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diagrams/data5.xml" ContentType="application/vnd.openxmlformats-officedocument.drawingml.diagramData+xml"/>
  <Override PartName="/word/diagrams/data2.xml" ContentType="application/vnd.openxmlformats-officedocument.drawingml.diagramData+xml"/>
  <Override PartName="/word/diagrams/data4.xml" ContentType="application/vnd.openxmlformats-officedocument.drawingml.diagramData+xml"/>
  <Override PartName="/word/diagrams/data3.xml" ContentType="application/vnd.openxmlformats-officedocument.drawingml.diagramData+xml"/>
  <Override PartName="/word/diagrams/data1.xml" ContentType="application/vnd.openxmlformats-officedocument.drawingml.diagramData+xml"/>
  <Override PartName="/word/diagrams/data6.xml" ContentType="application/vnd.openxmlformats-officedocument.drawingml.diagramData+xml"/>
  <Override PartName="/word/diagrams/data7.xml" ContentType="application/vnd.openxmlformats-officedocument.drawingml.diagramData+xml"/>
  <Override PartName="/word/diagrams/data8.xml" ContentType="application/vnd.openxmlformats-officedocument.drawingml.diagramData+xml"/>
  <Override PartName="/word/diagrams/data9.xml" ContentType="application/vnd.openxmlformats-officedocument.drawingml.diagramData+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footer18.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3.xml" ContentType="application/vnd.openxmlformats-officedocument.wordprocessingml.header+xml"/>
  <Override PartName="/word/footer17.xml" ContentType="application/vnd.openxmlformats-officedocument.wordprocessingml.footer+xml"/>
  <Override PartName="/word/header11.xml" ContentType="application/vnd.openxmlformats-officedocument.wordprocessingml.header+xml"/>
  <Override PartName="/word/footer15.xml" ContentType="application/vnd.openxmlformats-officedocument.wordprocessingml.footer+xml"/>
  <Override PartName="/word/header12.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header14.xml" ContentType="application/vnd.openxmlformats-officedocument.wordprocessingml.header+xml"/>
  <Override PartName="/word/footnotes.xml" ContentType="application/vnd.openxmlformats-officedocument.wordprocessingml.footnotes+xml"/>
  <Override PartName="/word/header18.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diagrams/layout2.xml" ContentType="application/vnd.openxmlformats-officedocument.drawingml.diagramLayout+xml"/>
  <Override PartName="/word/diagrams/quickStyle2.xml" ContentType="application/vnd.openxmlformats-officedocument.drawingml.diagramStyle+xml"/>
  <Override PartName="/word/diagrams/drawing2.xml" ContentType="application/vnd.ms-office.drawingml.diagramDrawing+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2.xml" ContentType="application/vnd.openxmlformats-officedocument.drawingml.diagramColors+xml"/>
  <Override PartName="/word/diagrams/drawing4.xml" ContentType="application/vnd.ms-office.drawingml.diagramDrawing+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colors4.xml" ContentType="application/vnd.openxmlformats-officedocument.drawingml.diagramColors+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layout9.xml" ContentType="application/vnd.openxmlformats-officedocument.drawingml.diagramLayout+xml"/>
  <Override PartName="/word/diagrams/layout1.xml" ContentType="application/vnd.openxmlformats-officedocument.drawingml.diagramLayout+xml"/>
  <Override PartName="/word/diagrams/colors9.xml" ContentType="application/vnd.openxmlformats-officedocument.drawingml.diagramColors+xml"/>
  <Override PartName="/word/diagrams/drawing9.xml" ContentType="application/vnd.ms-office.drawingml.diagramDrawing+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quickStyle9.xml" ContentType="application/vnd.openxmlformats-officedocument.drawingml.diagramStyle+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C9D0AD" w14:textId="723A8A37" w:rsidR="00B57283" w:rsidRPr="00F03917" w:rsidRDefault="00B46138" w:rsidP="00166102">
      <w:pPr>
        <w:pStyle w:val="Title"/>
        <w:spacing w:before="0" w:line="500" w:lineRule="atLeast"/>
        <w:jc w:val="left"/>
      </w:pPr>
      <w:r w:rsidRPr="00F03917">
        <w:rPr>
          <w:noProof/>
          <w14:ligatures w14:val="standardContextual"/>
        </w:rPr>
        <w:drawing>
          <wp:anchor distT="0" distB="0" distL="114300" distR="114300" simplePos="0" relativeHeight="251658240" behindDoc="0" locked="0" layoutInCell="1" allowOverlap="1" wp14:anchorId="64C5FC6D" wp14:editId="58533B22">
            <wp:simplePos x="0" y="0"/>
            <wp:positionH relativeFrom="column">
              <wp:posOffset>-1073150</wp:posOffset>
            </wp:positionH>
            <wp:positionV relativeFrom="paragraph">
              <wp:posOffset>-3592329</wp:posOffset>
            </wp:positionV>
            <wp:extent cx="7585749" cy="10728000"/>
            <wp:effectExtent l="0" t="0" r="0" b="0"/>
            <wp:wrapNone/>
            <wp:docPr id="176985865" name="Picture 176985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85865" name="Picture 176985865"/>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85749" cy="10728000"/>
                    </a:xfrm>
                    <a:prstGeom prst="rect">
                      <a:avLst/>
                    </a:prstGeom>
                  </pic:spPr>
                </pic:pic>
              </a:graphicData>
            </a:graphic>
            <wp14:sizeRelH relativeFrom="page">
              <wp14:pctWidth>0</wp14:pctWidth>
            </wp14:sizeRelH>
            <wp14:sizeRelV relativeFrom="page">
              <wp14:pctHeight>0</wp14:pctHeight>
            </wp14:sizeRelV>
          </wp:anchor>
        </w:drawing>
      </w:r>
      <w:r w:rsidR="395E289F" w:rsidRPr="00F03917">
        <w:t>Coastal</w:t>
      </w:r>
      <w:r w:rsidR="00B57283" w:rsidRPr="00F03917">
        <w:t xml:space="preserve"> hazards and climate change</w:t>
      </w:r>
      <w:r w:rsidR="009C247A" w:rsidRPr="00F03917">
        <w:t xml:space="preserve"> guidance</w:t>
      </w:r>
    </w:p>
    <w:p w14:paraId="398ACABC" w14:textId="6B3C29A7" w:rsidR="00B57283" w:rsidRPr="00F03917" w:rsidRDefault="00B57283" w:rsidP="00B57283">
      <w:pPr>
        <w:spacing w:before="120" w:after="120" w:line="280" w:lineRule="atLeast"/>
        <w:rPr>
          <w:rFonts w:ascii="Calibri" w:eastAsia="MS Mincho" w:hAnsi="Calibri" w:cs="Arial"/>
          <w:kern w:val="0"/>
          <w:sz w:val="22"/>
          <w:szCs w:val="22"/>
          <w:lang w:eastAsia="en-NZ"/>
          <w14:ligatures w14:val="none"/>
        </w:rPr>
        <w:sectPr w:rsidR="00B57283" w:rsidRPr="00F03917" w:rsidSect="007E5AB2">
          <w:headerReference w:type="even" r:id="rId9"/>
          <w:footerReference w:type="even" r:id="rId10"/>
          <w:footerReference w:type="default" r:id="rId11"/>
          <w:pgSz w:w="11907" w:h="16840" w:code="9"/>
          <w:pgMar w:top="5670" w:right="1701" w:bottom="1134" w:left="1701" w:header="567" w:footer="567" w:gutter="0"/>
          <w:cols w:space="720"/>
          <w:docGrid w:linePitch="299"/>
        </w:sectPr>
      </w:pPr>
    </w:p>
    <w:p w14:paraId="1BB34316" w14:textId="77777777" w:rsidR="00B56D98" w:rsidRPr="00F03917" w:rsidRDefault="00B56D98" w:rsidP="00B56D98">
      <w:pPr>
        <w:pStyle w:val="Imprint"/>
        <w:spacing w:before="0" w:after="0"/>
        <w:rPr>
          <w:b/>
        </w:rPr>
      </w:pPr>
      <w:r w:rsidRPr="00F03917">
        <w:rPr>
          <w:b/>
        </w:rPr>
        <w:lastRenderedPageBreak/>
        <w:t>Disclaimer</w:t>
      </w:r>
    </w:p>
    <w:p w14:paraId="4721703E" w14:textId="31983091" w:rsidR="00B56D98" w:rsidRPr="00F03917" w:rsidRDefault="00B56D98" w:rsidP="00B56D98">
      <w:pPr>
        <w:pStyle w:val="Imprint"/>
      </w:pPr>
      <w:r w:rsidRPr="00F03917">
        <w:t>The information in this publication is, according to the Ministry for the Environment’s best efforts, accurate at the time of publication. The Ministry will make every reasonable effort to</w:t>
      </w:r>
      <w:r w:rsidR="00D67677" w:rsidRPr="00F03917">
        <w:t> </w:t>
      </w:r>
      <w:r w:rsidRPr="00F03917">
        <w:t xml:space="preserve">keep it current and accurate. However, users of this publication are advised that: </w:t>
      </w:r>
    </w:p>
    <w:p w14:paraId="68DBDEC6" w14:textId="77777777" w:rsidR="00B56D98" w:rsidRPr="00F03917" w:rsidRDefault="00B56D98" w:rsidP="00F302ED">
      <w:pPr>
        <w:pStyle w:val="Bullet"/>
      </w:pPr>
      <w:r w:rsidRPr="00F03917">
        <w:t xml:space="preserve">the information does not alter the laws of New Zealand, other official guidelines, or requirements </w:t>
      </w:r>
    </w:p>
    <w:p w14:paraId="55FE537B" w14:textId="77777777" w:rsidR="00B56D98" w:rsidRPr="00F03917" w:rsidRDefault="00B56D98" w:rsidP="00F302ED">
      <w:pPr>
        <w:pStyle w:val="Bullet"/>
      </w:pPr>
      <w:r w:rsidRPr="00F03917">
        <w:t xml:space="preserve">it does not constitute legal advice, and users should take specific advice from qualified professionals before taking any action based on information in this publication </w:t>
      </w:r>
    </w:p>
    <w:p w14:paraId="18D571B3" w14:textId="7FDEB6A5" w:rsidR="00B56D98" w:rsidRPr="00F03917" w:rsidRDefault="00B56D98" w:rsidP="00F302ED">
      <w:pPr>
        <w:pStyle w:val="Bullet"/>
      </w:pPr>
      <w:r w:rsidRPr="00F03917">
        <w:t>the Ministry does not accept any responsibility or liability whatsoever whether in contract, tort, equity, or otherwise for any action taken as a result of reading, or reliance placed on</w:t>
      </w:r>
      <w:r w:rsidR="000F6107" w:rsidRPr="00F03917">
        <w:t> </w:t>
      </w:r>
      <w:r w:rsidRPr="00F03917">
        <w:t xml:space="preserve">this publication because of having read any part, or all, of the information in this publication or for any error, or inadequacy, deficiency, flaw in, or omission from the information in this publication </w:t>
      </w:r>
    </w:p>
    <w:p w14:paraId="1C4BD45D" w14:textId="4F8B8E16" w:rsidR="00B56D98" w:rsidRPr="00F03917" w:rsidRDefault="00B56D98" w:rsidP="00F302ED">
      <w:pPr>
        <w:pStyle w:val="Bullet"/>
      </w:pPr>
      <w:r w:rsidRPr="00F03917">
        <w:t>all references to websites, organisations or people not within the Ministry are for convenience only and should not be taken as endorsement of those websites or information contained in those websites nor of organisations or people referred to.</w:t>
      </w:r>
    </w:p>
    <w:p w14:paraId="46EFE624" w14:textId="77777777" w:rsidR="00B56D98" w:rsidRPr="00F03917" w:rsidRDefault="00B56D98" w:rsidP="00F302ED">
      <w:pPr>
        <w:pStyle w:val="BodyText"/>
      </w:pPr>
    </w:p>
    <w:p w14:paraId="5E24D161" w14:textId="77777777" w:rsidR="00B56D98" w:rsidRPr="00F03917" w:rsidRDefault="00B56D98" w:rsidP="00B56D98">
      <w:pPr>
        <w:pStyle w:val="Imprint"/>
      </w:pPr>
    </w:p>
    <w:p w14:paraId="7705401E" w14:textId="77777777" w:rsidR="0045462A" w:rsidRPr="00F03917" w:rsidRDefault="0045462A" w:rsidP="00B56D98">
      <w:pPr>
        <w:pStyle w:val="Imprint"/>
      </w:pPr>
    </w:p>
    <w:p w14:paraId="4FAAADAE" w14:textId="77777777" w:rsidR="0045462A" w:rsidRPr="00F03917" w:rsidRDefault="0045462A" w:rsidP="00B56D98">
      <w:pPr>
        <w:pStyle w:val="Imprint"/>
      </w:pPr>
    </w:p>
    <w:p w14:paraId="496B29A4" w14:textId="77777777" w:rsidR="0045462A" w:rsidRPr="00F03917" w:rsidRDefault="0045462A" w:rsidP="00B56D98">
      <w:pPr>
        <w:pStyle w:val="Imprint"/>
      </w:pPr>
    </w:p>
    <w:p w14:paraId="6CBEB562" w14:textId="77777777" w:rsidR="0045462A" w:rsidRPr="00F03917" w:rsidRDefault="0045462A" w:rsidP="00B56D98">
      <w:pPr>
        <w:pStyle w:val="Imprint"/>
      </w:pPr>
    </w:p>
    <w:p w14:paraId="08F6A653" w14:textId="77777777" w:rsidR="0045462A" w:rsidRPr="00F03917" w:rsidRDefault="0045462A" w:rsidP="00B56D98">
      <w:pPr>
        <w:pStyle w:val="Imprint"/>
      </w:pPr>
    </w:p>
    <w:p w14:paraId="7663C230" w14:textId="77777777" w:rsidR="0045462A" w:rsidRPr="00F03917" w:rsidRDefault="0045462A" w:rsidP="00B56D98">
      <w:pPr>
        <w:pStyle w:val="Imprint"/>
      </w:pPr>
    </w:p>
    <w:p w14:paraId="4182B4C8" w14:textId="77777777" w:rsidR="0045462A" w:rsidRPr="00F03917" w:rsidRDefault="0045462A" w:rsidP="00B56D98">
      <w:pPr>
        <w:pStyle w:val="Imprint"/>
      </w:pPr>
    </w:p>
    <w:p w14:paraId="36D50E99" w14:textId="77777777" w:rsidR="0045462A" w:rsidRPr="00F03917" w:rsidRDefault="0045462A" w:rsidP="00B56D98">
      <w:pPr>
        <w:pStyle w:val="Imprint"/>
      </w:pPr>
    </w:p>
    <w:p w14:paraId="52BE88B6" w14:textId="02300579" w:rsidR="00B56D98" w:rsidRPr="00F03917" w:rsidRDefault="00B56D98" w:rsidP="00B56D98">
      <w:pPr>
        <w:pStyle w:val="Imprint"/>
      </w:pPr>
      <w:r w:rsidRPr="00F03917">
        <w:t xml:space="preserve">This document may be cited as: Ministry for the Environment. 2024. </w:t>
      </w:r>
      <w:r w:rsidRPr="00F03917">
        <w:rPr>
          <w:i/>
        </w:rPr>
        <w:t>Coastal hazards and climate change guidance</w:t>
      </w:r>
      <w:r w:rsidRPr="00F03917">
        <w:t>. Wellington: Ministry for the Environment.</w:t>
      </w:r>
    </w:p>
    <w:p w14:paraId="6154C40F" w14:textId="6AA6A638" w:rsidR="004E4BCB" w:rsidRPr="00F03917" w:rsidRDefault="00B57283" w:rsidP="00AC35C1">
      <w:pPr>
        <w:pStyle w:val="Imprint"/>
        <w:spacing w:before="360"/>
      </w:pPr>
      <w:r w:rsidRPr="00F03917">
        <w:t xml:space="preserve">Published in </w:t>
      </w:r>
      <w:r w:rsidR="007607EC" w:rsidRPr="00F03917">
        <w:t xml:space="preserve">February </w:t>
      </w:r>
      <w:r w:rsidR="006C1EE6" w:rsidRPr="00F03917">
        <w:t>202</w:t>
      </w:r>
      <w:r w:rsidR="00281B79" w:rsidRPr="00F03917">
        <w:t>4</w:t>
      </w:r>
      <w:r w:rsidRPr="00F03917">
        <w:t xml:space="preserve"> by the</w:t>
      </w:r>
      <w:r w:rsidRPr="00F03917">
        <w:br/>
        <w:t xml:space="preserve">Ministry for the Environment </w:t>
      </w:r>
      <w:r w:rsidRPr="00F03917">
        <w:br/>
        <w:t>Manatū Mō Te Taiao</w:t>
      </w:r>
      <w:r w:rsidRPr="00F03917">
        <w:br/>
        <w:t>PO Box 10362, Wellington 6143, New Zealand</w:t>
      </w:r>
      <w:r w:rsidR="004E4BCB" w:rsidRPr="00F03917">
        <w:br/>
      </w:r>
      <w:hyperlink r:id="rId12" w:tgtFrame="_blank" w:history="1">
        <w:r w:rsidR="004E4BCB" w:rsidRPr="00F03917">
          <w:rPr>
            <w:rFonts w:cs="Calibri"/>
            <w:color w:val="32809C"/>
            <w:shd w:val="clear" w:color="auto" w:fill="FFFFFF"/>
          </w:rPr>
          <w:t>environment.govt.nz</w:t>
        </w:r>
      </w:hyperlink>
    </w:p>
    <w:p w14:paraId="69DE9E8C" w14:textId="19E255BF" w:rsidR="00B57283" w:rsidRPr="00F03917" w:rsidRDefault="00B57283" w:rsidP="0036396E">
      <w:pPr>
        <w:pStyle w:val="Imprint"/>
      </w:pPr>
      <w:r w:rsidRPr="00F03917">
        <w:t xml:space="preserve">ISBN: </w:t>
      </w:r>
      <w:r w:rsidRPr="00F03917">
        <w:rPr>
          <w:rFonts w:cstheme="minorHAnsi"/>
          <w:color w:val="000000"/>
          <w:shd w:val="clear" w:color="auto" w:fill="FFFFFF"/>
        </w:rPr>
        <w:t>978-1-</w:t>
      </w:r>
      <w:r w:rsidR="00AC7A25" w:rsidRPr="00F03917">
        <w:rPr>
          <w:rFonts w:cstheme="minorHAnsi"/>
          <w:color w:val="000000"/>
          <w:shd w:val="clear" w:color="auto" w:fill="FFFFFF"/>
        </w:rPr>
        <w:t>991140-05-0</w:t>
      </w:r>
      <w:r w:rsidR="006C1EE6" w:rsidRPr="00F03917">
        <w:rPr>
          <w:rFonts w:ascii="Arial" w:hAnsi="Arial"/>
          <w:color w:val="000000"/>
          <w:shd w:val="clear" w:color="auto" w:fill="FFFFFF"/>
        </w:rPr>
        <w:t> </w:t>
      </w:r>
      <w:r w:rsidRPr="00F03917">
        <w:br/>
        <w:t xml:space="preserve">Publication number: ME </w:t>
      </w:r>
      <w:r w:rsidR="00B82FD4" w:rsidRPr="00F03917">
        <w:t>1805</w:t>
      </w:r>
    </w:p>
    <w:p w14:paraId="588445D0" w14:textId="4302B408" w:rsidR="001F6526" w:rsidRPr="00F03917" w:rsidRDefault="00B57283" w:rsidP="00E5736E">
      <w:pPr>
        <w:pStyle w:val="Imprint"/>
      </w:pPr>
      <w:r w:rsidRPr="00F03917">
        <w:t xml:space="preserve">© Crown copyright New Zealand </w:t>
      </w:r>
      <w:r w:rsidR="006C1EE6" w:rsidRPr="00F03917">
        <w:t>202</w:t>
      </w:r>
      <w:r w:rsidR="00281B79" w:rsidRPr="00F03917">
        <w:t>4</w:t>
      </w:r>
      <w:r w:rsidR="00E5736E" w:rsidRPr="00F03917">
        <w:t xml:space="preserve"> </w:t>
      </w:r>
      <w:r w:rsidR="001F6526" w:rsidRPr="00F03917">
        <w:br w:type="page"/>
      </w:r>
    </w:p>
    <w:p w14:paraId="089ED4EA" w14:textId="77777777" w:rsidR="001F6526" w:rsidRPr="00F03917" w:rsidRDefault="001F6526" w:rsidP="005F2994">
      <w:pPr>
        <w:pStyle w:val="Imprint"/>
        <w:spacing w:before="0" w:after="240"/>
        <w:rPr>
          <w:b/>
        </w:rPr>
      </w:pPr>
      <w:r w:rsidRPr="00F03917">
        <w:rPr>
          <w:b/>
        </w:rPr>
        <w:lastRenderedPageBreak/>
        <w:t>Acknowledgements</w:t>
      </w:r>
    </w:p>
    <w:p w14:paraId="4570F2BA" w14:textId="77777777" w:rsidR="001F6526" w:rsidRPr="00F03917" w:rsidRDefault="001F6526" w:rsidP="001F6526">
      <w:pPr>
        <w:pStyle w:val="Imprint"/>
        <w:spacing w:before="0" w:after="0"/>
        <w:rPr>
          <w:b/>
          <w:bCs/>
        </w:rPr>
      </w:pPr>
      <w:r w:rsidRPr="00F03917">
        <w:rPr>
          <w:b/>
          <w:bCs/>
        </w:rPr>
        <w:t>Lead authors</w:t>
      </w:r>
      <w:r w:rsidRPr="00F03917">
        <w:rPr>
          <w:b/>
        </w:rPr>
        <w:t xml:space="preserve"> on the publication, </w:t>
      </w:r>
      <w:r w:rsidRPr="00F03917">
        <w:rPr>
          <w:b/>
          <w:i/>
        </w:rPr>
        <w:t>Coastal hazards and climate change</w:t>
      </w:r>
      <w:r w:rsidRPr="00F03917">
        <w:rPr>
          <w:b/>
          <w:i/>
          <w:iCs/>
        </w:rPr>
        <w:t xml:space="preserve"> guidance</w:t>
      </w:r>
    </w:p>
    <w:p w14:paraId="191CAFA0" w14:textId="77777777" w:rsidR="001F6526" w:rsidRPr="00F03917" w:rsidRDefault="001F6526" w:rsidP="001F6526">
      <w:pPr>
        <w:pStyle w:val="Imprint"/>
        <w:spacing w:after="0"/>
      </w:pPr>
      <w:r w:rsidRPr="00F03917">
        <w:t>J Lawrence (PS Consulting Ltd)</w:t>
      </w:r>
    </w:p>
    <w:p w14:paraId="7C8A4FBC" w14:textId="77777777" w:rsidR="001F6526" w:rsidRPr="00F03917" w:rsidRDefault="001F6526" w:rsidP="001F6526">
      <w:pPr>
        <w:pStyle w:val="Imprint"/>
        <w:spacing w:after="0"/>
      </w:pPr>
      <w:r w:rsidRPr="00F03917">
        <w:t>R Bell (Bell Adapt Ltd</w:t>
      </w:r>
      <w:r w:rsidRPr="00F03917" w:rsidDel="00C30A85">
        <w:t>)</w:t>
      </w:r>
    </w:p>
    <w:p w14:paraId="6121CB7E" w14:textId="77777777" w:rsidR="001F6526" w:rsidRPr="00F03917" w:rsidRDefault="001F6526" w:rsidP="005F2994">
      <w:pPr>
        <w:pStyle w:val="Imprint"/>
        <w:spacing w:before="360" w:after="0"/>
        <w:rPr>
          <w:b/>
        </w:rPr>
      </w:pPr>
      <w:r w:rsidRPr="00F03917">
        <w:rPr>
          <w:b/>
        </w:rPr>
        <w:t xml:space="preserve">Contributing advisors on the publication, </w:t>
      </w:r>
      <w:r w:rsidRPr="00F03917">
        <w:rPr>
          <w:b/>
          <w:i/>
        </w:rPr>
        <w:t xml:space="preserve">Coastal hazards and climate change </w:t>
      </w:r>
      <w:r w:rsidRPr="00F03917">
        <w:rPr>
          <w:b/>
          <w:i/>
          <w:iCs/>
        </w:rPr>
        <w:t>guidance</w:t>
      </w:r>
    </w:p>
    <w:p w14:paraId="688885B3" w14:textId="6931C50B" w:rsidR="001F6526" w:rsidRPr="00F03917" w:rsidRDefault="001F6526" w:rsidP="00E26F98">
      <w:pPr>
        <w:pStyle w:val="BodyText"/>
      </w:pPr>
      <w:r w:rsidRPr="00F03917">
        <w:t>A Martin (Thames-Coromandel District Council), N Carpenter (Auckland Council), J Payan (Otago Regional Council), T FitzGerald (Northland Regional Council), S Bendall (Traverse Ltd), H</w:t>
      </w:r>
      <w:r w:rsidR="005F2994" w:rsidRPr="00F03917">
        <w:t> </w:t>
      </w:r>
      <w:r w:rsidRPr="00F03917">
        <w:t>Smith (Massey University), M de Boer (Northland Regional Council), R Levy (GNS Science), T</w:t>
      </w:r>
      <w:r w:rsidR="005F2994" w:rsidRPr="00F03917">
        <w:t> </w:t>
      </w:r>
      <w:r w:rsidRPr="00F03917">
        <w:t>Naish (Victoria University of Wellington), S John (Royal HaskoningDHV), A Sharma (Auckland</w:t>
      </w:r>
      <w:r w:rsidR="00687FC4" w:rsidRPr="00F03917">
        <w:t> </w:t>
      </w:r>
      <w:r w:rsidRPr="00F03917">
        <w:t xml:space="preserve">Transport), Policy and Regulatory Services and Biodiversity Heritage and Visitors (Department of Conservation), Building System Performance (Ministry of Business, Innovation </w:t>
      </w:r>
      <w:r w:rsidR="002C32F1" w:rsidRPr="00F03917">
        <w:t>and</w:t>
      </w:r>
      <w:r w:rsidRPr="00F03917">
        <w:t xml:space="preserve"> Employment), Climate Impacts, Climate RM Policy, Resource Management Systems, Adaptation Policy, Nga Parirau</w:t>
      </w:r>
      <w:r w:rsidR="00090CFC" w:rsidRPr="00F03917">
        <w:t>,</w:t>
      </w:r>
      <w:r w:rsidRPr="00F03917">
        <w:t xml:space="preserve"> Māori Climate Action</w:t>
      </w:r>
      <w:r w:rsidR="00090CFC" w:rsidRPr="00F03917">
        <w:t xml:space="preserve"> and Legal</w:t>
      </w:r>
      <w:r w:rsidRPr="00F03917">
        <w:t xml:space="preserve"> (Ministry for the Environment)</w:t>
      </w:r>
    </w:p>
    <w:p w14:paraId="5E407BD5" w14:textId="4D362C43" w:rsidR="009C6E5E" w:rsidRPr="00F03917" w:rsidRDefault="00B42924" w:rsidP="005F2994">
      <w:pPr>
        <w:pStyle w:val="Imprint"/>
        <w:spacing w:before="240" w:after="0"/>
        <w:rPr>
          <w:b/>
          <w:i/>
          <w:iCs/>
        </w:rPr>
      </w:pPr>
      <w:r w:rsidRPr="00F03917">
        <w:rPr>
          <w:b/>
        </w:rPr>
        <w:t xml:space="preserve">Peer reviewers on the </w:t>
      </w:r>
      <w:r w:rsidR="00FC2CCF" w:rsidRPr="00F03917">
        <w:rPr>
          <w:b/>
        </w:rPr>
        <w:t xml:space="preserve">publication, </w:t>
      </w:r>
      <w:r w:rsidR="00FC2CCF" w:rsidRPr="00F03917">
        <w:rPr>
          <w:b/>
          <w:i/>
        </w:rPr>
        <w:t xml:space="preserve">Coastal hazards and climate change </w:t>
      </w:r>
      <w:r w:rsidR="00FC2CCF" w:rsidRPr="00F03917">
        <w:rPr>
          <w:b/>
          <w:i/>
          <w:iCs/>
        </w:rPr>
        <w:t>guidance</w:t>
      </w:r>
    </w:p>
    <w:p w14:paraId="6E1AFE42" w14:textId="5C095164" w:rsidR="00FC2CCF" w:rsidRPr="00F03917" w:rsidRDefault="005257EE" w:rsidP="00664A5F">
      <w:pPr>
        <w:pStyle w:val="Imprint"/>
        <w:rPr>
          <w:bCs/>
        </w:rPr>
      </w:pPr>
      <w:r w:rsidRPr="00F03917">
        <w:rPr>
          <w:bCs/>
        </w:rPr>
        <w:t xml:space="preserve">M </w:t>
      </w:r>
      <w:r w:rsidR="00833958" w:rsidRPr="00F03917">
        <w:rPr>
          <w:bCs/>
        </w:rPr>
        <w:t>Dickson</w:t>
      </w:r>
      <w:r w:rsidRPr="00F03917">
        <w:rPr>
          <w:bCs/>
        </w:rPr>
        <w:t>, M Ford</w:t>
      </w:r>
      <w:r w:rsidR="007A252D" w:rsidRPr="00F03917">
        <w:rPr>
          <w:bCs/>
        </w:rPr>
        <w:t xml:space="preserve"> and M</w:t>
      </w:r>
      <w:r w:rsidR="002F4EBE" w:rsidRPr="00F03917">
        <w:rPr>
          <w:bCs/>
        </w:rPr>
        <w:t xml:space="preserve"> Tuck (</w:t>
      </w:r>
      <w:r w:rsidR="004E0F4D" w:rsidRPr="00F03917">
        <w:rPr>
          <w:bCs/>
        </w:rPr>
        <w:t>University of Auckland)</w:t>
      </w:r>
    </w:p>
    <w:p w14:paraId="587E1791" w14:textId="7E214AD3" w:rsidR="001F6526" w:rsidRPr="00F03917" w:rsidRDefault="001F6526" w:rsidP="00664A5F">
      <w:pPr>
        <w:pStyle w:val="Imprint"/>
        <w:spacing w:before="360" w:after="0"/>
        <w:rPr>
          <w:rFonts w:eastAsia="Calibri" w:cs="Calibri"/>
          <w:b/>
        </w:rPr>
      </w:pPr>
      <w:r w:rsidRPr="00F03917">
        <w:rPr>
          <w:b/>
        </w:rPr>
        <w:t xml:space="preserve">Contributing authors and advisors on the 2017 publication, </w:t>
      </w:r>
      <w:r w:rsidRPr="00F03917">
        <w:rPr>
          <w:b/>
          <w:i/>
        </w:rPr>
        <w:t xml:space="preserve">Coastal hazards and climate change: </w:t>
      </w:r>
      <w:r w:rsidRPr="00F03917">
        <w:rPr>
          <w:b/>
          <w:i/>
          <w:iCs/>
        </w:rPr>
        <w:t>Guidance</w:t>
      </w:r>
      <w:r w:rsidRPr="00F03917">
        <w:rPr>
          <w:b/>
          <w:i/>
        </w:rPr>
        <w:t xml:space="preserve"> for local </w:t>
      </w:r>
      <w:r w:rsidRPr="00F03917">
        <w:rPr>
          <w:b/>
          <w:i/>
          <w:iCs/>
        </w:rPr>
        <w:t>government</w:t>
      </w:r>
    </w:p>
    <w:p w14:paraId="785AF2F5" w14:textId="7DDE3E6B" w:rsidR="001F6526" w:rsidRPr="00F03917" w:rsidRDefault="001F6526" w:rsidP="001F6526">
      <w:pPr>
        <w:pStyle w:val="Imprint"/>
      </w:pPr>
      <w:r w:rsidRPr="00F03917">
        <w:t>Authors: R Bell (NIWA), J Lawrence (PS Consulting Ltd), S Allan (Allan Planning and Research Ltd), P Blackett (NIWA</w:t>
      </w:r>
      <w:r w:rsidR="003F1834" w:rsidRPr="00F03917">
        <w:t xml:space="preserve">) and </w:t>
      </w:r>
      <w:r w:rsidRPr="00F03917">
        <w:t>S Stephens (NIWA)</w:t>
      </w:r>
    </w:p>
    <w:p w14:paraId="5427A6AD" w14:textId="65893009" w:rsidR="001F6526" w:rsidRPr="00F03917" w:rsidRDefault="001F6526" w:rsidP="001F6526">
      <w:pPr>
        <w:pStyle w:val="Imprint"/>
      </w:pPr>
      <w:r w:rsidRPr="00F03917">
        <w:t>Advisors: J Hannah (Vision New Zealand Ltd), T Shand (Tonkin+Taylor), P Thomson (Statistics Research Associates Ltd), B Glavovic (Massey University), R Britton (Planning Consultant, Focus Management Group), M Dickson (University of Auckland), P Quilter (Tonkin+Taylor), N Hudson and K Davies (NIWA)</w:t>
      </w:r>
    </w:p>
    <w:p w14:paraId="61A5DDA3" w14:textId="77777777" w:rsidR="005F2994" w:rsidRPr="00F03917" w:rsidRDefault="005F2994" w:rsidP="001F6526">
      <w:pPr>
        <w:pStyle w:val="Imprint"/>
      </w:pPr>
    </w:p>
    <w:p w14:paraId="75ECD9CC" w14:textId="77777777" w:rsidR="00B57283" w:rsidRPr="00F03917" w:rsidRDefault="00B57283" w:rsidP="0036396E">
      <w:pPr>
        <w:pStyle w:val="Imprint"/>
        <w:sectPr w:rsidR="00B57283" w:rsidRPr="00F03917" w:rsidSect="007E5AB2">
          <w:headerReference w:type="even" r:id="rId13"/>
          <w:footerReference w:type="even" r:id="rId14"/>
          <w:footerReference w:type="default" r:id="rId15"/>
          <w:headerReference w:type="first" r:id="rId16"/>
          <w:footerReference w:type="first" r:id="rId17"/>
          <w:pgSz w:w="11907" w:h="16840" w:code="9"/>
          <w:pgMar w:top="1134" w:right="1701" w:bottom="1134" w:left="1701" w:header="567" w:footer="567" w:gutter="0"/>
          <w:cols w:space="720"/>
          <w:docGrid w:linePitch="299"/>
        </w:sectPr>
      </w:pPr>
    </w:p>
    <w:p w14:paraId="554AB448" w14:textId="7302F7B9" w:rsidR="00B57283" w:rsidRPr="00F03917" w:rsidRDefault="785E971A" w:rsidP="00793E03">
      <w:pPr>
        <w:pStyle w:val="Heading"/>
        <w:numPr>
          <w:ilvl w:val="0"/>
          <w:numId w:val="0"/>
        </w:numPr>
        <w:ind w:left="567" w:hanging="567"/>
      </w:pPr>
      <w:r w:rsidRPr="00F03917">
        <w:lastRenderedPageBreak/>
        <w:t>Contents</w:t>
      </w:r>
    </w:p>
    <w:p w14:paraId="0A278DC0" w14:textId="3F7CD8FF" w:rsidR="00391897" w:rsidRPr="00F03917" w:rsidRDefault="007F70BA">
      <w:pPr>
        <w:pStyle w:val="TOC1"/>
        <w:rPr>
          <w:rFonts w:asciiTheme="minorHAnsi" w:hAnsiTheme="minorHAnsi"/>
          <w:kern w:val="2"/>
          <w14:ligatures w14:val="standardContextual"/>
        </w:rPr>
      </w:pPr>
      <w:r w:rsidRPr="00F03917">
        <w:rPr>
          <w:rFonts w:eastAsia="MS Mincho" w:cs="Arial"/>
          <w:noProof w:val="0"/>
        </w:rPr>
        <w:fldChar w:fldCharType="begin"/>
      </w:r>
      <w:r w:rsidRPr="00F03917">
        <w:rPr>
          <w:rFonts w:eastAsia="MS Mincho" w:cs="Arial"/>
          <w:noProof w:val="0"/>
        </w:rPr>
        <w:instrText xml:space="preserve"> TOC \h \z \t "Heading 1,1,Heading 2,2,PART HEADING,1" </w:instrText>
      </w:r>
      <w:r w:rsidRPr="00F03917">
        <w:rPr>
          <w:rFonts w:eastAsia="MS Mincho" w:cs="Arial"/>
          <w:noProof w:val="0"/>
        </w:rPr>
        <w:fldChar w:fldCharType="separate"/>
      </w:r>
      <w:hyperlink w:anchor="_Toc160096228" w:history="1">
        <w:r w:rsidR="00391897" w:rsidRPr="00F03917">
          <w:rPr>
            <w:rStyle w:val="Hyperlink"/>
          </w:rPr>
          <w:t>About this guidance</w:t>
        </w:r>
        <w:r w:rsidR="00391897" w:rsidRPr="00F03917">
          <w:rPr>
            <w:webHidden/>
          </w:rPr>
          <w:tab/>
        </w:r>
        <w:r w:rsidR="00391897" w:rsidRPr="00F03917">
          <w:rPr>
            <w:webHidden/>
          </w:rPr>
          <w:fldChar w:fldCharType="begin"/>
        </w:r>
        <w:r w:rsidR="00391897" w:rsidRPr="00F03917">
          <w:rPr>
            <w:webHidden/>
          </w:rPr>
          <w:instrText xml:space="preserve"> PAGEREF _Toc160096228 \h </w:instrText>
        </w:r>
        <w:r w:rsidR="00391897" w:rsidRPr="00F03917">
          <w:rPr>
            <w:webHidden/>
          </w:rPr>
        </w:r>
        <w:r w:rsidR="00391897" w:rsidRPr="00F03917">
          <w:rPr>
            <w:webHidden/>
          </w:rPr>
          <w:fldChar w:fldCharType="separate"/>
        </w:r>
        <w:r w:rsidR="004F66AE">
          <w:rPr>
            <w:webHidden/>
          </w:rPr>
          <w:t>9</w:t>
        </w:r>
        <w:r w:rsidR="00391897" w:rsidRPr="00F03917">
          <w:rPr>
            <w:webHidden/>
          </w:rPr>
          <w:fldChar w:fldCharType="end"/>
        </w:r>
      </w:hyperlink>
    </w:p>
    <w:p w14:paraId="2A75A770" w14:textId="414271D6" w:rsidR="00391897" w:rsidRPr="00F03917" w:rsidRDefault="00000000">
      <w:pPr>
        <w:pStyle w:val="TOC2"/>
        <w:rPr>
          <w:rFonts w:asciiTheme="minorHAnsi" w:hAnsiTheme="minorHAnsi"/>
          <w:noProof/>
          <w:kern w:val="2"/>
          <w14:ligatures w14:val="standardContextual"/>
        </w:rPr>
      </w:pPr>
      <w:hyperlink w:anchor="_Toc160096229" w:history="1">
        <w:r w:rsidR="00391897" w:rsidRPr="00F03917">
          <w:rPr>
            <w:rStyle w:val="Hyperlink"/>
            <w:noProof/>
          </w:rPr>
          <w:t>Why is this guidance required?</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_Toc160096229 \h </w:instrText>
        </w:r>
        <w:r w:rsidR="00391897" w:rsidRPr="00F03917">
          <w:rPr>
            <w:noProof/>
            <w:webHidden/>
          </w:rPr>
        </w:r>
        <w:r w:rsidR="00391897" w:rsidRPr="00F03917">
          <w:rPr>
            <w:noProof/>
            <w:webHidden/>
          </w:rPr>
          <w:fldChar w:fldCharType="separate"/>
        </w:r>
        <w:r w:rsidR="004F66AE">
          <w:rPr>
            <w:noProof/>
            <w:webHidden/>
          </w:rPr>
          <w:t>9</w:t>
        </w:r>
        <w:r w:rsidR="00391897" w:rsidRPr="00F03917">
          <w:rPr>
            <w:noProof/>
            <w:webHidden/>
          </w:rPr>
          <w:fldChar w:fldCharType="end"/>
        </w:r>
      </w:hyperlink>
    </w:p>
    <w:p w14:paraId="7EA53F5D" w14:textId="3FBA549E" w:rsidR="00391897" w:rsidRPr="00F03917" w:rsidRDefault="00000000">
      <w:pPr>
        <w:pStyle w:val="TOC2"/>
        <w:rPr>
          <w:rFonts w:asciiTheme="minorHAnsi" w:hAnsiTheme="minorHAnsi"/>
          <w:noProof/>
          <w:kern w:val="2"/>
          <w14:ligatures w14:val="standardContextual"/>
        </w:rPr>
      </w:pPr>
      <w:hyperlink w:anchor="_Toc160096230" w:history="1">
        <w:r w:rsidR="00391897" w:rsidRPr="00F03917">
          <w:rPr>
            <w:rStyle w:val="Hyperlink"/>
            <w:noProof/>
          </w:rPr>
          <w:t>How do I use this guidance?</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_Toc160096230 \h </w:instrText>
        </w:r>
        <w:r w:rsidR="00391897" w:rsidRPr="00F03917">
          <w:rPr>
            <w:noProof/>
            <w:webHidden/>
          </w:rPr>
        </w:r>
        <w:r w:rsidR="00391897" w:rsidRPr="00F03917">
          <w:rPr>
            <w:noProof/>
            <w:webHidden/>
          </w:rPr>
          <w:fldChar w:fldCharType="separate"/>
        </w:r>
        <w:r w:rsidR="004F66AE">
          <w:rPr>
            <w:noProof/>
            <w:webHidden/>
          </w:rPr>
          <w:t>11</w:t>
        </w:r>
        <w:r w:rsidR="00391897" w:rsidRPr="00F03917">
          <w:rPr>
            <w:noProof/>
            <w:webHidden/>
          </w:rPr>
          <w:fldChar w:fldCharType="end"/>
        </w:r>
      </w:hyperlink>
    </w:p>
    <w:p w14:paraId="247CBE29" w14:textId="2AC8BCE9" w:rsidR="00391897" w:rsidRPr="00F03917" w:rsidRDefault="00000000">
      <w:pPr>
        <w:pStyle w:val="TOC1"/>
        <w:rPr>
          <w:rFonts w:asciiTheme="minorHAnsi" w:hAnsiTheme="minorHAnsi"/>
          <w:kern w:val="2"/>
          <w14:ligatures w14:val="standardContextual"/>
        </w:rPr>
      </w:pPr>
      <w:hyperlink w:anchor="_Toc160096231" w:history="1">
        <w:r w:rsidR="00391897" w:rsidRPr="00F03917">
          <w:rPr>
            <w:rStyle w:val="Hyperlink"/>
          </w:rPr>
          <w:t>Part A: What is happening?</w:t>
        </w:r>
        <w:r w:rsidR="00391897" w:rsidRPr="00F03917">
          <w:rPr>
            <w:webHidden/>
          </w:rPr>
          <w:tab/>
        </w:r>
        <w:r w:rsidR="00391897" w:rsidRPr="00F03917">
          <w:rPr>
            <w:webHidden/>
          </w:rPr>
          <w:fldChar w:fldCharType="begin"/>
        </w:r>
        <w:r w:rsidR="00391897" w:rsidRPr="00F03917">
          <w:rPr>
            <w:webHidden/>
          </w:rPr>
          <w:instrText xml:space="preserve"> PAGEREF _Toc160096231 \h </w:instrText>
        </w:r>
        <w:r w:rsidR="00391897" w:rsidRPr="00F03917">
          <w:rPr>
            <w:webHidden/>
          </w:rPr>
        </w:r>
        <w:r w:rsidR="00391897" w:rsidRPr="00F03917">
          <w:rPr>
            <w:webHidden/>
          </w:rPr>
          <w:fldChar w:fldCharType="separate"/>
        </w:r>
        <w:r w:rsidR="004F66AE">
          <w:rPr>
            <w:webHidden/>
          </w:rPr>
          <w:t>13</w:t>
        </w:r>
        <w:r w:rsidR="00391897" w:rsidRPr="00F03917">
          <w:rPr>
            <w:webHidden/>
          </w:rPr>
          <w:fldChar w:fldCharType="end"/>
        </w:r>
      </w:hyperlink>
    </w:p>
    <w:p w14:paraId="6097E99C" w14:textId="1BE3114E" w:rsidR="00391897" w:rsidRPr="00F03917" w:rsidRDefault="00000000">
      <w:pPr>
        <w:pStyle w:val="TOC1"/>
        <w:rPr>
          <w:rFonts w:asciiTheme="minorHAnsi" w:hAnsiTheme="minorHAnsi"/>
          <w:kern w:val="2"/>
          <w14:ligatures w14:val="standardContextual"/>
        </w:rPr>
      </w:pPr>
      <w:hyperlink w:anchor="_Toc160096232" w:history="1">
        <w:r w:rsidR="00391897" w:rsidRPr="00F03917">
          <w:rPr>
            <w:rStyle w:val="Hyperlink"/>
          </w:rPr>
          <w:t>Step 1: Set the context and prepare</w:t>
        </w:r>
        <w:r w:rsidR="00391897" w:rsidRPr="00F03917">
          <w:rPr>
            <w:webHidden/>
          </w:rPr>
          <w:tab/>
        </w:r>
        <w:r w:rsidR="00391897" w:rsidRPr="00F03917">
          <w:rPr>
            <w:webHidden/>
          </w:rPr>
          <w:fldChar w:fldCharType="begin"/>
        </w:r>
        <w:r w:rsidR="00391897" w:rsidRPr="00F03917">
          <w:rPr>
            <w:webHidden/>
          </w:rPr>
          <w:instrText xml:space="preserve"> PAGEREF _Toc160096232 \h </w:instrText>
        </w:r>
        <w:r w:rsidR="00391897" w:rsidRPr="00F03917">
          <w:rPr>
            <w:webHidden/>
          </w:rPr>
        </w:r>
        <w:r w:rsidR="00391897" w:rsidRPr="00F03917">
          <w:rPr>
            <w:webHidden/>
          </w:rPr>
          <w:fldChar w:fldCharType="separate"/>
        </w:r>
        <w:r w:rsidR="004F66AE">
          <w:rPr>
            <w:webHidden/>
          </w:rPr>
          <w:t>13</w:t>
        </w:r>
        <w:r w:rsidR="00391897" w:rsidRPr="00F03917">
          <w:rPr>
            <w:webHidden/>
          </w:rPr>
          <w:fldChar w:fldCharType="end"/>
        </w:r>
      </w:hyperlink>
    </w:p>
    <w:p w14:paraId="3EE9E0C9" w14:textId="4D4F620A" w:rsidR="00391897" w:rsidRPr="00F03917" w:rsidRDefault="00000000">
      <w:pPr>
        <w:pStyle w:val="TOC2"/>
        <w:tabs>
          <w:tab w:val="left" w:pos="1134"/>
        </w:tabs>
        <w:rPr>
          <w:rFonts w:asciiTheme="minorHAnsi" w:hAnsiTheme="minorHAnsi"/>
          <w:noProof/>
          <w:kern w:val="2"/>
          <w14:ligatures w14:val="standardContextual"/>
        </w:rPr>
      </w:pPr>
      <w:hyperlink w:anchor="_Toc160096233" w:history="1">
        <w:r w:rsidR="00391897" w:rsidRPr="00F03917">
          <w:rPr>
            <w:rStyle w:val="Hyperlink"/>
            <w:noProof/>
          </w:rPr>
          <w:t>1.1</w:t>
        </w:r>
        <w:r w:rsidR="00391897" w:rsidRPr="00F03917">
          <w:rPr>
            <w:rFonts w:asciiTheme="minorHAnsi" w:hAnsiTheme="minorHAnsi"/>
            <w:noProof/>
            <w:kern w:val="2"/>
            <w14:ligatures w14:val="standardContextual"/>
          </w:rPr>
          <w:tab/>
        </w:r>
        <w:r w:rsidR="00391897" w:rsidRPr="00F03917">
          <w:rPr>
            <w:rStyle w:val="Hyperlink"/>
            <w:noProof/>
          </w:rPr>
          <w:t>Roles and responsibilities</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_Toc160096233 \h </w:instrText>
        </w:r>
        <w:r w:rsidR="00391897" w:rsidRPr="00F03917">
          <w:rPr>
            <w:noProof/>
            <w:webHidden/>
          </w:rPr>
        </w:r>
        <w:r w:rsidR="00391897" w:rsidRPr="00F03917">
          <w:rPr>
            <w:noProof/>
            <w:webHidden/>
          </w:rPr>
          <w:fldChar w:fldCharType="separate"/>
        </w:r>
        <w:r w:rsidR="004F66AE">
          <w:rPr>
            <w:noProof/>
            <w:webHidden/>
          </w:rPr>
          <w:t>13</w:t>
        </w:r>
        <w:r w:rsidR="00391897" w:rsidRPr="00F03917">
          <w:rPr>
            <w:noProof/>
            <w:webHidden/>
          </w:rPr>
          <w:fldChar w:fldCharType="end"/>
        </w:r>
      </w:hyperlink>
    </w:p>
    <w:p w14:paraId="2D615411" w14:textId="7DDA3362" w:rsidR="00391897" w:rsidRPr="00F03917" w:rsidRDefault="00000000">
      <w:pPr>
        <w:pStyle w:val="TOC2"/>
        <w:tabs>
          <w:tab w:val="left" w:pos="1134"/>
        </w:tabs>
        <w:rPr>
          <w:rFonts w:asciiTheme="minorHAnsi" w:hAnsiTheme="minorHAnsi"/>
          <w:noProof/>
          <w:kern w:val="2"/>
          <w14:ligatures w14:val="standardContextual"/>
        </w:rPr>
      </w:pPr>
      <w:hyperlink w:anchor="_Toc160096234" w:history="1">
        <w:r w:rsidR="00391897" w:rsidRPr="00F03917">
          <w:rPr>
            <w:rStyle w:val="Hyperlink"/>
            <w:noProof/>
          </w:rPr>
          <w:t>1.2</w:t>
        </w:r>
        <w:r w:rsidR="00391897" w:rsidRPr="00F03917">
          <w:rPr>
            <w:rFonts w:asciiTheme="minorHAnsi" w:hAnsiTheme="minorHAnsi"/>
            <w:noProof/>
            <w:kern w:val="2"/>
            <w14:ligatures w14:val="standardContextual"/>
          </w:rPr>
          <w:tab/>
        </w:r>
        <w:r w:rsidR="00391897" w:rsidRPr="00F03917">
          <w:rPr>
            <w:rStyle w:val="Hyperlink"/>
            <w:noProof/>
          </w:rPr>
          <w:t>Set the context and prepare</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_Toc160096234 \h </w:instrText>
        </w:r>
        <w:r w:rsidR="00391897" w:rsidRPr="00F03917">
          <w:rPr>
            <w:noProof/>
            <w:webHidden/>
          </w:rPr>
        </w:r>
        <w:r w:rsidR="00391897" w:rsidRPr="00F03917">
          <w:rPr>
            <w:noProof/>
            <w:webHidden/>
          </w:rPr>
          <w:fldChar w:fldCharType="separate"/>
        </w:r>
        <w:r w:rsidR="004F66AE">
          <w:rPr>
            <w:noProof/>
            <w:webHidden/>
          </w:rPr>
          <w:t>21</w:t>
        </w:r>
        <w:r w:rsidR="00391897" w:rsidRPr="00F03917">
          <w:rPr>
            <w:noProof/>
            <w:webHidden/>
          </w:rPr>
          <w:fldChar w:fldCharType="end"/>
        </w:r>
      </w:hyperlink>
    </w:p>
    <w:p w14:paraId="09E2C9E0" w14:textId="050AD023" w:rsidR="00391897" w:rsidRPr="00F03917" w:rsidRDefault="00000000">
      <w:pPr>
        <w:pStyle w:val="TOC1"/>
        <w:rPr>
          <w:rFonts w:asciiTheme="minorHAnsi" w:hAnsiTheme="minorHAnsi"/>
          <w:kern w:val="2"/>
          <w14:ligatures w14:val="standardContextual"/>
        </w:rPr>
      </w:pPr>
      <w:hyperlink w:anchor="_Toc160096235" w:history="1">
        <w:r w:rsidR="00391897" w:rsidRPr="00F03917">
          <w:rPr>
            <w:rStyle w:val="Hyperlink"/>
            <w:rFonts w:eastAsia="MS Gothic"/>
          </w:rPr>
          <w:t>Step 2: Assess sea-level rise and coastal hazards</w:t>
        </w:r>
        <w:r w:rsidR="00391897" w:rsidRPr="00F03917">
          <w:rPr>
            <w:webHidden/>
          </w:rPr>
          <w:tab/>
        </w:r>
        <w:r w:rsidR="00391897" w:rsidRPr="00F03917">
          <w:rPr>
            <w:webHidden/>
          </w:rPr>
          <w:fldChar w:fldCharType="begin"/>
        </w:r>
        <w:r w:rsidR="00391897" w:rsidRPr="00F03917">
          <w:rPr>
            <w:webHidden/>
          </w:rPr>
          <w:instrText xml:space="preserve"> PAGEREF _Toc160096235 \h </w:instrText>
        </w:r>
        <w:r w:rsidR="00391897" w:rsidRPr="00F03917">
          <w:rPr>
            <w:webHidden/>
          </w:rPr>
        </w:r>
        <w:r w:rsidR="00391897" w:rsidRPr="00F03917">
          <w:rPr>
            <w:webHidden/>
          </w:rPr>
          <w:fldChar w:fldCharType="separate"/>
        </w:r>
        <w:r w:rsidR="004F66AE">
          <w:rPr>
            <w:webHidden/>
          </w:rPr>
          <w:t>35</w:t>
        </w:r>
        <w:r w:rsidR="00391897" w:rsidRPr="00F03917">
          <w:rPr>
            <w:webHidden/>
          </w:rPr>
          <w:fldChar w:fldCharType="end"/>
        </w:r>
      </w:hyperlink>
    </w:p>
    <w:p w14:paraId="5C67449B" w14:textId="3E35E515" w:rsidR="00391897" w:rsidRPr="00F03917" w:rsidRDefault="00000000">
      <w:pPr>
        <w:pStyle w:val="TOC2"/>
        <w:tabs>
          <w:tab w:val="left" w:pos="1134"/>
        </w:tabs>
        <w:rPr>
          <w:rFonts w:asciiTheme="minorHAnsi" w:hAnsiTheme="minorHAnsi"/>
          <w:noProof/>
          <w:kern w:val="2"/>
          <w14:ligatures w14:val="standardContextual"/>
        </w:rPr>
      </w:pPr>
      <w:hyperlink w:anchor="_Toc160096236" w:history="1">
        <w:r w:rsidR="00391897" w:rsidRPr="00F03917">
          <w:rPr>
            <w:rStyle w:val="Hyperlink"/>
            <w:noProof/>
          </w:rPr>
          <w:t>2.1</w:t>
        </w:r>
        <w:r w:rsidR="00391897" w:rsidRPr="00F03917">
          <w:rPr>
            <w:rFonts w:asciiTheme="minorHAnsi" w:hAnsiTheme="minorHAnsi"/>
            <w:noProof/>
            <w:kern w:val="2"/>
            <w14:ligatures w14:val="standardContextual"/>
          </w:rPr>
          <w:tab/>
        </w:r>
        <w:r w:rsidR="00391897" w:rsidRPr="00F03917">
          <w:rPr>
            <w:rStyle w:val="Hyperlink"/>
            <w:noProof/>
          </w:rPr>
          <w:t>Assessing sea-level rise</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_Toc160096236 \h </w:instrText>
        </w:r>
        <w:r w:rsidR="00391897" w:rsidRPr="00F03917">
          <w:rPr>
            <w:noProof/>
            <w:webHidden/>
          </w:rPr>
        </w:r>
        <w:r w:rsidR="00391897" w:rsidRPr="00F03917">
          <w:rPr>
            <w:noProof/>
            <w:webHidden/>
          </w:rPr>
          <w:fldChar w:fldCharType="separate"/>
        </w:r>
        <w:r w:rsidR="004F66AE">
          <w:rPr>
            <w:noProof/>
            <w:webHidden/>
          </w:rPr>
          <w:t>36</w:t>
        </w:r>
        <w:r w:rsidR="00391897" w:rsidRPr="00F03917">
          <w:rPr>
            <w:noProof/>
            <w:webHidden/>
          </w:rPr>
          <w:fldChar w:fldCharType="end"/>
        </w:r>
      </w:hyperlink>
    </w:p>
    <w:p w14:paraId="00BFCAED" w14:textId="4BB1AE35" w:rsidR="00391897" w:rsidRPr="00F03917" w:rsidRDefault="00000000">
      <w:pPr>
        <w:pStyle w:val="TOC2"/>
        <w:tabs>
          <w:tab w:val="left" w:pos="1134"/>
        </w:tabs>
        <w:rPr>
          <w:rFonts w:asciiTheme="minorHAnsi" w:hAnsiTheme="minorHAnsi"/>
          <w:noProof/>
          <w:kern w:val="2"/>
          <w14:ligatures w14:val="standardContextual"/>
        </w:rPr>
      </w:pPr>
      <w:hyperlink w:anchor="_Toc160096237" w:history="1">
        <w:r w:rsidR="00391897" w:rsidRPr="00F03917">
          <w:rPr>
            <w:rStyle w:val="Hyperlink"/>
            <w:noProof/>
          </w:rPr>
          <w:t>2.2</w:t>
        </w:r>
        <w:r w:rsidR="00391897" w:rsidRPr="00F03917">
          <w:rPr>
            <w:rFonts w:asciiTheme="minorHAnsi" w:hAnsiTheme="minorHAnsi"/>
            <w:noProof/>
            <w:kern w:val="2"/>
            <w14:ligatures w14:val="standardContextual"/>
          </w:rPr>
          <w:tab/>
        </w:r>
        <w:r w:rsidR="00391897" w:rsidRPr="00F03917">
          <w:rPr>
            <w:rStyle w:val="Hyperlink"/>
            <w:noProof/>
          </w:rPr>
          <w:t>Coastal hazard assessment</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_Toc160096237 \h </w:instrText>
        </w:r>
        <w:r w:rsidR="00391897" w:rsidRPr="00F03917">
          <w:rPr>
            <w:noProof/>
            <w:webHidden/>
          </w:rPr>
        </w:r>
        <w:r w:rsidR="00391897" w:rsidRPr="00F03917">
          <w:rPr>
            <w:noProof/>
            <w:webHidden/>
          </w:rPr>
          <w:fldChar w:fldCharType="separate"/>
        </w:r>
        <w:r w:rsidR="004F66AE">
          <w:rPr>
            <w:noProof/>
            <w:webHidden/>
          </w:rPr>
          <w:t>54</w:t>
        </w:r>
        <w:r w:rsidR="00391897" w:rsidRPr="00F03917">
          <w:rPr>
            <w:noProof/>
            <w:webHidden/>
          </w:rPr>
          <w:fldChar w:fldCharType="end"/>
        </w:r>
      </w:hyperlink>
    </w:p>
    <w:p w14:paraId="58D886B1" w14:textId="7610E361" w:rsidR="00391897" w:rsidRPr="00F03917" w:rsidRDefault="00000000">
      <w:pPr>
        <w:pStyle w:val="TOC1"/>
        <w:rPr>
          <w:rFonts w:asciiTheme="minorHAnsi" w:hAnsiTheme="minorHAnsi"/>
          <w:kern w:val="2"/>
          <w14:ligatures w14:val="standardContextual"/>
        </w:rPr>
      </w:pPr>
      <w:hyperlink w:anchor="_Toc160096238" w:history="1">
        <w:r w:rsidR="00391897" w:rsidRPr="00F03917">
          <w:rPr>
            <w:rStyle w:val="Hyperlink"/>
          </w:rPr>
          <w:t>Part B: What matters most?</w:t>
        </w:r>
        <w:r w:rsidR="00391897" w:rsidRPr="00F03917">
          <w:rPr>
            <w:webHidden/>
          </w:rPr>
          <w:tab/>
        </w:r>
        <w:r w:rsidR="00391897" w:rsidRPr="00F03917">
          <w:rPr>
            <w:webHidden/>
          </w:rPr>
          <w:fldChar w:fldCharType="begin"/>
        </w:r>
        <w:r w:rsidR="00391897" w:rsidRPr="00F03917">
          <w:rPr>
            <w:webHidden/>
          </w:rPr>
          <w:instrText xml:space="preserve"> PAGEREF _Toc160096238 \h </w:instrText>
        </w:r>
        <w:r w:rsidR="00391897" w:rsidRPr="00F03917">
          <w:rPr>
            <w:webHidden/>
          </w:rPr>
        </w:r>
        <w:r w:rsidR="00391897" w:rsidRPr="00F03917">
          <w:rPr>
            <w:webHidden/>
          </w:rPr>
          <w:fldChar w:fldCharType="separate"/>
        </w:r>
        <w:r w:rsidR="004F66AE">
          <w:rPr>
            <w:webHidden/>
          </w:rPr>
          <w:t>72</w:t>
        </w:r>
        <w:r w:rsidR="00391897" w:rsidRPr="00F03917">
          <w:rPr>
            <w:webHidden/>
          </w:rPr>
          <w:fldChar w:fldCharType="end"/>
        </w:r>
      </w:hyperlink>
    </w:p>
    <w:p w14:paraId="05B40EAB" w14:textId="1059974E" w:rsidR="00391897" w:rsidRPr="00F03917" w:rsidRDefault="00000000">
      <w:pPr>
        <w:pStyle w:val="TOC1"/>
        <w:rPr>
          <w:rFonts w:asciiTheme="minorHAnsi" w:hAnsiTheme="minorHAnsi"/>
          <w:kern w:val="2"/>
          <w14:ligatures w14:val="standardContextual"/>
        </w:rPr>
      </w:pPr>
      <w:hyperlink w:anchor="_Toc160096239" w:history="1">
        <w:r w:rsidR="00391897" w:rsidRPr="00F03917">
          <w:rPr>
            <w:rStyle w:val="Hyperlink"/>
          </w:rPr>
          <w:t>Step 3: Establish values and objectives</w:t>
        </w:r>
        <w:r w:rsidR="00391897" w:rsidRPr="00F03917">
          <w:rPr>
            <w:webHidden/>
          </w:rPr>
          <w:tab/>
        </w:r>
        <w:r w:rsidR="00391897" w:rsidRPr="00F03917">
          <w:rPr>
            <w:webHidden/>
          </w:rPr>
          <w:fldChar w:fldCharType="begin"/>
        </w:r>
        <w:r w:rsidR="00391897" w:rsidRPr="00F03917">
          <w:rPr>
            <w:webHidden/>
          </w:rPr>
          <w:instrText xml:space="preserve"> PAGEREF _Toc160096239 \h </w:instrText>
        </w:r>
        <w:r w:rsidR="00391897" w:rsidRPr="00F03917">
          <w:rPr>
            <w:webHidden/>
          </w:rPr>
        </w:r>
        <w:r w:rsidR="00391897" w:rsidRPr="00F03917">
          <w:rPr>
            <w:webHidden/>
          </w:rPr>
          <w:fldChar w:fldCharType="separate"/>
        </w:r>
        <w:r w:rsidR="004F66AE">
          <w:rPr>
            <w:webHidden/>
          </w:rPr>
          <w:t>72</w:t>
        </w:r>
        <w:r w:rsidR="00391897" w:rsidRPr="00F03917">
          <w:rPr>
            <w:webHidden/>
          </w:rPr>
          <w:fldChar w:fldCharType="end"/>
        </w:r>
      </w:hyperlink>
    </w:p>
    <w:p w14:paraId="67A3774E" w14:textId="34C077EB" w:rsidR="00391897" w:rsidRPr="00F03917" w:rsidRDefault="00000000">
      <w:pPr>
        <w:pStyle w:val="TOC2"/>
        <w:tabs>
          <w:tab w:val="left" w:pos="1134"/>
        </w:tabs>
        <w:rPr>
          <w:rFonts w:asciiTheme="minorHAnsi" w:hAnsiTheme="minorHAnsi"/>
          <w:noProof/>
          <w:kern w:val="2"/>
          <w14:ligatures w14:val="standardContextual"/>
        </w:rPr>
      </w:pPr>
      <w:hyperlink w:anchor="_Toc160096240" w:history="1">
        <w:r w:rsidR="00391897" w:rsidRPr="00F03917">
          <w:rPr>
            <w:rStyle w:val="Hyperlink"/>
            <w:rFonts w:cs="Arial"/>
            <w:noProof/>
          </w:rPr>
          <w:t>3.1</w:t>
        </w:r>
        <w:r w:rsidR="00391897" w:rsidRPr="00F03917">
          <w:rPr>
            <w:rFonts w:asciiTheme="minorHAnsi" w:hAnsiTheme="minorHAnsi"/>
            <w:noProof/>
            <w:kern w:val="2"/>
            <w14:ligatures w14:val="standardContextual"/>
          </w:rPr>
          <w:tab/>
        </w:r>
        <w:r w:rsidR="00391897" w:rsidRPr="00F03917">
          <w:rPr>
            <w:rStyle w:val="Hyperlink"/>
            <w:noProof/>
          </w:rPr>
          <w:t>Mana whenua and community values and objectives</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_Toc160096240 \h </w:instrText>
        </w:r>
        <w:r w:rsidR="00391897" w:rsidRPr="00F03917">
          <w:rPr>
            <w:noProof/>
            <w:webHidden/>
          </w:rPr>
        </w:r>
        <w:r w:rsidR="00391897" w:rsidRPr="00F03917">
          <w:rPr>
            <w:noProof/>
            <w:webHidden/>
          </w:rPr>
          <w:fldChar w:fldCharType="separate"/>
        </w:r>
        <w:r w:rsidR="004F66AE">
          <w:rPr>
            <w:noProof/>
            <w:webHidden/>
          </w:rPr>
          <w:t>72</w:t>
        </w:r>
        <w:r w:rsidR="00391897" w:rsidRPr="00F03917">
          <w:rPr>
            <w:noProof/>
            <w:webHidden/>
          </w:rPr>
          <w:fldChar w:fldCharType="end"/>
        </w:r>
      </w:hyperlink>
    </w:p>
    <w:p w14:paraId="0524EC97" w14:textId="6A06A56B" w:rsidR="00391897" w:rsidRPr="00F03917" w:rsidRDefault="00000000">
      <w:pPr>
        <w:pStyle w:val="TOC2"/>
        <w:tabs>
          <w:tab w:val="left" w:pos="1134"/>
        </w:tabs>
        <w:rPr>
          <w:rFonts w:asciiTheme="minorHAnsi" w:hAnsiTheme="minorHAnsi"/>
          <w:noProof/>
          <w:kern w:val="2"/>
          <w14:ligatures w14:val="standardContextual"/>
        </w:rPr>
      </w:pPr>
      <w:hyperlink w:anchor="_Toc160096241" w:history="1">
        <w:r w:rsidR="00391897" w:rsidRPr="00F03917">
          <w:rPr>
            <w:rStyle w:val="Hyperlink"/>
            <w:rFonts w:cs="Arial"/>
            <w:noProof/>
          </w:rPr>
          <w:t>3.2</w:t>
        </w:r>
        <w:r w:rsidR="00391897" w:rsidRPr="00F03917">
          <w:rPr>
            <w:rFonts w:asciiTheme="minorHAnsi" w:hAnsiTheme="minorHAnsi"/>
            <w:noProof/>
            <w:kern w:val="2"/>
            <w14:ligatures w14:val="standardContextual"/>
          </w:rPr>
          <w:tab/>
        </w:r>
        <w:r w:rsidR="00391897" w:rsidRPr="00F03917">
          <w:rPr>
            <w:rStyle w:val="Hyperlink"/>
            <w:noProof/>
          </w:rPr>
          <w:t>Local government objectives</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_Toc160096241 \h </w:instrText>
        </w:r>
        <w:r w:rsidR="00391897" w:rsidRPr="00F03917">
          <w:rPr>
            <w:noProof/>
            <w:webHidden/>
          </w:rPr>
        </w:r>
        <w:r w:rsidR="00391897" w:rsidRPr="00F03917">
          <w:rPr>
            <w:noProof/>
            <w:webHidden/>
          </w:rPr>
          <w:fldChar w:fldCharType="separate"/>
        </w:r>
        <w:r w:rsidR="004F66AE">
          <w:rPr>
            <w:noProof/>
            <w:webHidden/>
          </w:rPr>
          <w:t>76</w:t>
        </w:r>
        <w:r w:rsidR="00391897" w:rsidRPr="00F03917">
          <w:rPr>
            <w:noProof/>
            <w:webHidden/>
          </w:rPr>
          <w:fldChar w:fldCharType="end"/>
        </w:r>
      </w:hyperlink>
    </w:p>
    <w:p w14:paraId="74951CFE" w14:textId="00C79875" w:rsidR="00391897" w:rsidRPr="00F03917" w:rsidRDefault="00000000">
      <w:pPr>
        <w:pStyle w:val="TOC1"/>
        <w:rPr>
          <w:rFonts w:asciiTheme="minorHAnsi" w:hAnsiTheme="minorHAnsi"/>
          <w:kern w:val="2"/>
          <w14:ligatures w14:val="standardContextual"/>
        </w:rPr>
      </w:pPr>
      <w:hyperlink w:anchor="_Toc160096242" w:history="1">
        <w:r w:rsidR="00391897" w:rsidRPr="00F03917">
          <w:rPr>
            <w:rStyle w:val="Hyperlink"/>
            <w:rFonts w:eastAsia="MS Gothic"/>
          </w:rPr>
          <w:t>Step 4: Assess vulnerability and risk</w:t>
        </w:r>
        <w:r w:rsidR="00391897" w:rsidRPr="00F03917">
          <w:rPr>
            <w:webHidden/>
          </w:rPr>
          <w:tab/>
        </w:r>
        <w:r w:rsidR="00391897" w:rsidRPr="00F03917">
          <w:rPr>
            <w:webHidden/>
          </w:rPr>
          <w:fldChar w:fldCharType="begin"/>
        </w:r>
        <w:r w:rsidR="00391897" w:rsidRPr="00F03917">
          <w:rPr>
            <w:webHidden/>
          </w:rPr>
          <w:instrText xml:space="preserve"> PAGEREF _Toc160096242 \h </w:instrText>
        </w:r>
        <w:r w:rsidR="00391897" w:rsidRPr="00F03917">
          <w:rPr>
            <w:webHidden/>
          </w:rPr>
        </w:r>
        <w:r w:rsidR="00391897" w:rsidRPr="00F03917">
          <w:rPr>
            <w:webHidden/>
          </w:rPr>
          <w:fldChar w:fldCharType="separate"/>
        </w:r>
        <w:r w:rsidR="004F66AE">
          <w:rPr>
            <w:webHidden/>
          </w:rPr>
          <w:t>78</w:t>
        </w:r>
        <w:r w:rsidR="00391897" w:rsidRPr="00F03917">
          <w:rPr>
            <w:webHidden/>
          </w:rPr>
          <w:fldChar w:fldCharType="end"/>
        </w:r>
      </w:hyperlink>
    </w:p>
    <w:p w14:paraId="178628B3" w14:textId="5048E817" w:rsidR="00391897" w:rsidRPr="00F03917" w:rsidRDefault="00000000">
      <w:pPr>
        <w:pStyle w:val="TOC2"/>
        <w:tabs>
          <w:tab w:val="left" w:pos="1134"/>
        </w:tabs>
        <w:rPr>
          <w:rFonts w:asciiTheme="minorHAnsi" w:hAnsiTheme="minorHAnsi"/>
          <w:noProof/>
          <w:kern w:val="2"/>
          <w14:ligatures w14:val="standardContextual"/>
        </w:rPr>
      </w:pPr>
      <w:hyperlink w:anchor="_Toc160096244" w:history="1">
        <w:r w:rsidR="00391897" w:rsidRPr="00F03917">
          <w:rPr>
            <w:rStyle w:val="Hyperlink"/>
            <w:rFonts w:cs="Arial"/>
            <w:noProof/>
          </w:rPr>
          <w:t>4.1</w:t>
        </w:r>
        <w:r w:rsidR="00391897" w:rsidRPr="00F03917">
          <w:rPr>
            <w:rFonts w:asciiTheme="minorHAnsi" w:hAnsiTheme="minorHAnsi"/>
            <w:noProof/>
            <w:kern w:val="2"/>
            <w14:ligatures w14:val="standardContextual"/>
          </w:rPr>
          <w:tab/>
        </w:r>
        <w:r w:rsidR="00391897" w:rsidRPr="00F03917">
          <w:rPr>
            <w:rStyle w:val="Hyperlink"/>
            <w:noProof/>
          </w:rPr>
          <w:t>Undertake a coastal climate risk assessment</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_Toc160096244 \h </w:instrText>
        </w:r>
        <w:r w:rsidR="00391897" w:rsidRPr="00F03917">
          <w:rPr>
            <w:noProof/>
            <w:webHidden/>
          </w:rPr>
        </w:r>
        <w:r w:rsidR="00391897" w:rsidRPr="00F03917">
          <w:rPr>
            <w:noProof/>
            <w:webHidden/>
          </w:rPr>
          <w:fldChar w:fldCharType="separate"/>
        </w:r>
        <w:r w:rsidR="004F66AE">
          <w:rPr>
            <w:noProof/>
            <w:webHidden/>
          </w:rPr>
          <w:t>79</w:t>
        </w:r>
        <w:r w:rsidR="00391897" w:rsidRPr="00F03917">
          <w:rPr>
            <w:noProof/>
            <w:webHidden/>
          </w:rPr>
          <w:fldChar w:fldCharType="end"/>
        </w:r>
      </w:hyperlink>
    </w:p>
    <w:p w14:paraId="10D40836" w14:textId="524D7917" w:rsidR="00391897" w:rsidRPr="00F03917" w:rsidRDefault="00000000">
      <w:pPr>
        <w:pStyle w:val="TOC2"/>
        <w:tabs>
          <w:tab w:val="left" w:pos="1134"/>
        </w:tabs>
        <w:rPr>
          <w:rFonts w:asciiTheme="minorHAnsi" w:hAnsiTheme="minorHAnsi"/>
          <w:noProof/>
          <w:kern w:val="2"/>
          <w14:ligatures w14:val="standardContextual"/>
        </w:rPr>
      </w:pPr>
      <w:hyperlink w:anchor="_Toc160096245" w:history="1">
        <w:r w:rsidR="00391897" w:rsidRPr="00F03917">
          <w:rPr>
            <w:rStyle w:val="Hyperlink"/>
            <w:rFonts w:cs="Arial"/>
            <w:noProof/>
          </w:rPr>
          <w:t>4.2</w:t>
        </w:r>
        <w:r w:rsidR="00391897" w:rsidRPr="00F03917">
          <w:rPr>
            <w:rFonts w:asciiTheme="minorHAnsi" w:hAnsiTheme="minorHAnsi"/>
            <w:noProof/>
            <w:kern w:val="2"/>
            <w14:ligatures w14:val="standardContextual"/>
          </w:rPr>
          <w:tab/>
        </w:r>
        <w:r w:rsidR="00391897" w:rsidRPr="00F03917">
          <w:rPr>
            <w:rStyle w:val="Hyperlink"/>
            <w:noProof/>
          </w:rPr>
          <w:t>Assess social, cultural and environmental vulnerability</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_Toc160096245 \h </w:instrText>
        </w:r>
        <w:r w:rsidR="00391897" w:rsidRPr="00F03917">
          <w:rPr>
            <w:noProof/>
            <w:webHidden/>
          </w:rPr>
        </w:r>
        <w:r w:rsidR="00391897" w:rsidRPr="00F03917">
          <w:rPr>
            <w:noProof/>
            <w:webHidden/>
          </w:rPr>
          <w:fldChar w:fldCharType="separate"/>
        </w:r>
        <w:r w:rsidR="004F66AE">
          <w:rPr>
            <w:noProof/>
            <w:webHidden/>
          </w:rPr>
          <w:t>96</w:t>
        </w:r>
        <w:r w:rsidR="00391897" w:rsidRPr="00F03917">
          <w:rPr>
            <w:noProof/>
            <w:webHidden/>
          </w:rPr>
          <w:fldChar w:fldCharType="end"/>
        </w:r>
      </w:hyperlink>
    </w:p>
    <w:p w14:paraId="314BC766" w14:textId="772E21C4" w:rsidR="00391897" w:rsidRPr="00F03917" w:rsidRDefault="00000000">
      <w:pPr>
        <w:pStyle w:val="TOC1"/>
        <w:rPr>
          <w:rFonts w:asciiTheme="minorHAnsi" w:hAnsiTheme="minorHAnsi"/>
          <w:kern w:val="2"/>
          <w14:ligatures w14:val="standardContextual"/>
        </w:rPr>
      </w:pPr>
      <w:hyperlink w:anchor="_Toc160096246" w:history="1">
        <w:r w:rsidR="00391897" w:rsidRPr="00F03917">
          <w:rPr>
            <w:rStyle w:val="Hyperlink"/>
          </w:rPr>
          <w:t>Part C: What can we do about it?</w:t>
        </w:r>
        <w:r w:rsidR="00391897" w:rsidRPr="00F03917">
          <w:rPr>
            <w:webHidden/>
          </w:rPr>
          <w:tab/>
        </w:r>
        <w:r w:rsidR="00391897" w:rsidRPr="00F03917">
          <w:rPr>
            <w:webHidden/>
          </w:rPr>
          <w:fldChar w:fldCharType="begin"/>
        </w:r>
        <w:r w:rsidR="00391897" w:rsidRPr="00F03917">
          <w:rPr>
            <w:webHidden/>
          </w:rPr>
          <w:instrText xml:space="preserve"> PAGEREF _Toc160096246 \h </w:instrText>
        </w:r>
        <w:r w:rsidR="00391897" w:rsidRPr="00F03917">
          <w:rPr>
            <w:webHidden/>
          </w:rPr>
        </w:r>
        <w:r w:rsidR="00391897" w:rsidRPr="00F03917">
          <w:rPr>
            <w:webHidden/>
          </w:rPr>
          <w:fldChar w:fldCharType="separate"/>
        </w:r>
        <w:r w:rsidR="004F66AE">
          <w:rPr>
            <w:webHidden/>
          </w:rPr>
          <w:t>101</w:t>
        </w:r>
        <w:r w:rsidR="00391897" w:rsidRPr="00F03917">
          <w:rPr>
            <w:webHidden/>
          </w:rPr>
          <w:fldChar w:fldCharType="end"/>
        </w:r>
      </w:hyperlink>
    </w:p>
    <w:p w14:paraId="432D6E58" w14:textId="056EF0A4" w:rsidR="00391897" w:rsidRPr="00F03917" w:rsidRDefault="00000000">
      <w:pPr>
        <w:pStyle w:val="TOC1"/>
        <w:rPr>
          <w:rFonts w:asciiTheme="minorHAnsi" w:hAnsiTheme="minorHAnsi"/>
          <w:kern w:val="2"/>
          <w14:ligatures w14:val="standardContextual"/>
        </w:rPr>
      </w:pPr>
      <w:hyperlink w:anchor="_Toc160096247" w:history="1">
        <w:r w:rsidR="00391897" w:rsidRPr="00F03917">
          <w:rPr>
            <w:rStyle w:val="Hyperlink"/>
          </w:rPr>
          <w:t>Step 5: Identify options and pathways</w:t>
        </w:r>
        <w:r w:rsidR="00391897" w:rsidRPr="00F03917">
          <w:rPr>
            <w:webHidden/>
          </w:rPr>
          <w:tab/>
        </w:r>
        <w:r w:rsidR="00391897" w:rsidRPr="00F03917">
          <w:rPr>
            <w:webHidden/>
          </w:rPr>
          <w:fldChar w:fldCharType="begin"/>
        </w:r>
        <w:r w:rsidR="00391897" w:rsidRPr="00F03917">
          <w:rPr>
            <w:webHidden/>
          </w:rPr>
          <w:instrText xml:space="preserve"> PAGEREF _Toc160096247 \h </w:instrText>
        </w:r>
        <w:r w:rsidR="00391897" w:rsidRPr="00F03917">
          <w:rPr>
            <w:webHidden/>
          </w:rPr>
        </w:r>
        <w:r w:rsidR="00391897" w:rsidRPr="00F03917">
          <w:rPr>
            <w:webHidden/>
          </w:rPr>
          <w:fldChar w:fldCharType="separate"/>
        </w:r>
        <w:r w:rsidR="004F66AE">
          <w:rPr>
            <w:webHidden/>
          </w:rPr>
          <w:t>101</w:t>
        </w:r>
        <w:r w:rsidR="00391897" w:rsidRPr="00F03917">
          <w:rPr>
            <w:webHidden/>
          </w:rPr>
          <w:fldChar w:fldCharType="end"/>
        </w:r>
      </w:hyperlink>
    </w:p>
    <w:p w14:paraId="40EEFB16" w14:textId="3BA4C34D" w:rsidR="00391897" w:rsidRPr="00F03917" w:rsidRDefault="00000000">
      <w:pPr>
        <w:pStyle w:val="TOC2"/>
        <w:tabs>
          <w:tab w:val="left" w:pos="1134"/>
        </w:tabs>
        <w:rPr>
          <w:rFonts w:asciiTheme="minorHAnsi" w:hAnsiTheme="minorHAnsi"/>
          <w:noProof/>
          <w:kern w:val="2"/>
          <w14:ligatures w14:val="standardContextual"/>
        </w:rPr>
      </w:pPr>
      <w:hyperlink w:anchor="_Toc160096249" w:history="1">
        <w:r w:rsidR="00391897" w:rsidRPr="00F03917">
          <w:rPr>
            <w:rStyle w:val="Hyperlink"/>
            <w:noProof/>
          </w:rPr>
          <w:t>5.1</w:t>
        </w:r>
        <w:r w:rsidR="00391897" w:rsidRPr="00F03917">
          <w:rPr>
            <w:rFonts w:asciiTheme="minorHAnsi" w:hAnsiTheme="minorHAnsi"/>
            <w:noProof/>
            <w:kern w:val="2"/>
            <w14:ligatures w14:val="standardContextual"/>
          </w:rPr>
          <w:tab/>
        </w:r>
        <w:r w:rsidR="00391897" w:rsidRPr="00F03917">
          <w:rPr>
            <w:rStyle w:val="Hyperlink"/>
            <w:noProof/>
          </w:rPr>
          <w:t>Identify adaptation options and pathways</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_Toc160096249 \h </w:instrText>
        </w:r>
        <w:r w:rsidR="00391897" w:rsidRPr="00F03917">
          <w:rPr>
            <w:noProof/>
            <w:webHidden/>
          </w:rPr>
        </w:r>
        <w:r w:rsidR="00391897" w:rsidRPr="00F03917">
          <w:rPr>
            <w:noProof/>
            <w:webHidden/>
          </w:rPr>
          <w:fldChar w:fldCharType="separate"/>
        </w:r>
        <w:r w:rsidR="004F66AE">
          <w:rPr>
            <w:noProof/>
            <w:webHidden/>
          </w:rPr>
          <w:t>101</w:t>
        </w:r>
        <w:r w:rsidR="00391897" w:rsidRPr="00F03917">
          <w:rPr>
            <w:noProof/>
            <w:webHidden/>
          </w:rPr>
          <w:fldChar w:fldCharType="end"/>
        </w:r>
      </w:hyperlink>
    </w:p>
    <w:p w14:paraId="2B236205" w14:textId="06C072BB" w:rsidR="00391897" w:rsidRPr="00F03917" w:rsidRDefault="00000000">
      <w:pPr>
        <w:pStyle w:val="TOC2"/>
        <w:tabs>
          <w:tab w:val="left" w:pos="1134"/>
        </w:tabs>
        <w:rPr>
          <w:rFonts w:asciiTheme="minorHAnsi" w:hAnsiTheme="minorHAnsi"/>
          <w:noProof/>
          <w:kern w:val="2"/>
          <w14:ligatures w14:val="standardContextual"/>
        </w:rPr>
      </w:pPr>
      <w:hyperlink w:anchor="_Toc160096250" w:history="1">
        <w:r w:rsidR="00391897" w:rsidRPr="00F03917">
          <w:rPr>
            <w:rStyle w:val="Hyperlink"/>
            <w:noProof/>
          </w:rPr>
          <w:t xml:space="preserve">5.2 </w:t>
        </w:r>
        <w:r w:rsidR="00391897" w:rsidRPr="00F03917">
          <w:rPr>
            <w:rFonts w:asciiTheme="minorHAnsi" w:hAnsiTheme="minorHAnsi"/>
            <w:noProof/>
            <w:kern w:val="2"/>
            <w14:ligatures w14:val="standardContextual"/>
          </w:rPr>
          <w:tab/>
        </w:r>
        <w:r w:rsidR="00391897" w:rsidRPr="00F03917">
          <w:rPr>
            <w:rStyle w:val="Hyperlink"/>
            <w:noProof/>
          </w:rPr>
          <w:t>Develop dynamic adaptive pathways planning approach</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_Toc160096250 \h </w:instrText>
        </w:r>
        <w:r w:rsidR="00391897" w:rsidRPr="00F03917">
          <w:rPr>
            <w:noProof/>
            <w:webHidden/>
          </w:rPr>
        </w:r>
        <w:r w:rsidR="00391897" w:rsidRPr="00F03917">
          <w:rPr>
            <w:noProof/>
            <w:webHidden/>
          </w:rPr>
          <w:fldChar w:fldCharType="separate"/>
        </w:r>
        <w:r w:rsidR="004F66AE">
          <w:rPr>
            <w:noProof/>
            <w:webHidden/>
          </w:rPr>
          <w:t>106</w:t>
        </w:r>
        <w:r w:rsidR="00391897" w:rsidRPr="00F03917">
          <w:rPr>
            <w:noProof/>
            <w:webHidden/>
          </w:rPr>
          <w:fldChar w:fldCharType="end"/>
        </w:r>
      </w:hyperlink>
    </w:p>
    <w:p w14:paraId="07742A4B" w14:textId="72FD6C2F" w:rsidR="00391897" w:rsidRPr="00F03917" w:rsidRDefault="00000000">
      <w:pPr>
        <w:pStyle w:val="TOC1"/>
        <w:rPr>
          <w:rFonts w:asciiTheme="minorHAnsi" w:hAnsiTheme="minorHAnsi"/>
          <w:kern w:val="2"/>
          <w14:ligatures w14:val="standardContextual"/>
        </w:rPr>
      </w:pPr>
      <w:hyperlink w:anchor="_Toc160096251" w:history="1">
        <w:r w:rsidR="00391897" w:rsidRPr="00F03917">
          <w:rPr>
            <w:rStyle w:val="Hyperlink"/>
          </w:rPr>
          <w:t>Step 6: Evaluate options and pathways</w:t>
        </w:r>
        <w:r w:rsidR="00391897" w:rsidRPr="00F03917">
          <w:rPr>
            <w:webHidden/>
          </w:rPr>
          <w:tab/>
        </w:r>
        <w:r w:rsidR="00391897" w:rsidRPr="00F03917">
          <w:rPr>
            <w:webHidden/>
          </w:rPr>
          <w:fldChar w:fldCharType="begin"/>
        </w:r>
        <w:r w:rsidR="00391897" w:rsidRPr="00F03917">
          <w:rPr>
            <w:webHidden/>
          </w:rPr>
          <w:instrText xml:space="preserve"> PAGEREF _Toc160096251 \h </w:instrText>
        </w:r>
        <w:r w:rsidR="00391897" w:rsidRPr="00F03917">
          <w:rPr>
            <w:webHidden/>
          </w:rPr>
        </w:r>
        <w:r w:rsidR="00391897" w:rsidRPr="00F03917">
          <w:rPr>
            <w:webHidden/>
          </w:rPr>
          <w:fldChar w:fldCharType="separate"/>
        </w:r>
        <w:r w:rsidR="004F66AE">
          <w:rPr>
            <w:webHidden/>
          </w:rPr>
          <w:t>108</w:t>
        </w:r>
        <w:r w:rsidR="00391897" w:rsidRPr="00F03917">
          <w:rPr>
            <w:webHidden/>
          </w:rPr>
          <w:fldChar w:fldCharType="end"/>
        </w:r>
      </w:hyperlink>
    </w:p>
    <w:p w14:paraId="0E8735DF" w14:textId="615B1917" w:rsidR="00391897" w:rsidRPr="00F03917" w:rsidRDefault="00000000">
      <w:pPr>
        <w:pStyle w:val="TOC2"/>
        <w:rPr>
          <w:rFonts w:asciiTheme="minorHAnsi" w:hAnsiTheme="minorHAnsi"/>
          <w:noProof/>
          <w:kern w:val="2"/>
          <w14:ligatures w14:val="standardContextual"/>
        </w:rPr>
      </w:pPr>
      <w:hyperlink w:anchor="_Toc160096252" w:history="1">
        <w:r w:rsidR="00391897" w:rsidRPr="00F03917">
          <w:rPr>
            <w:rStyle w:val="Hyperlink"/>
            <w:noProof/>
          </w:rPr>
          <w:t>6.1</w:t>
        </w:r>
        <w:r w:rsidR="00EB2CC1" w:rsidRPr="00F03917">
          <w:rPr>
            <w:rStyle w:val="Hyperlink"/>
            <w:noProof/>
          </w:rPr>
          <w:tab/>
        </w:r>
        <w:r w:rsidR="00391897" w:rsidRPr="00F03917">
          <w:rPr>
            <w:rStyle w:val="Hyperlink"/>
            <w:noProof/>
          </w:rPr>
          <w:t>Choose evaluation tools</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_Toc160096252 \h </w:instrText>
        </w:r>
        <w:r w:rsidR="00391897" w:rsidRPr="00F03917">
          <w:rPr>
            <w:noProof/>
            <w:webHidden/>
          </w:rPr>
        </w:r>
        <w:r w:rsidR="00391897" w:rsidRPr="00F03917">
          <w:rPr>
            <w:noProof/>
            <w:webHidden/>
          </w:rPr>
          <w:fldChar w:fldCharType="separate"/>
        </w:r>
        <w:r w:rsidR="004F66AE">
          <w:rPr>
            <w:noProof/>
            <w:webHidden/>
          </w:rPr>
          <w:t>108</w:t>
        </w:r>
        <w:r w:rsidR="00391897" w:rsidRPr="00F03917">
          <w:rPr>
            <w:noProof/>
            <w:webHidden/>
          </w:rPr>
          <w:fldChar w:fldCharType="end"/>
        </w:r>
      </w:hyperlink>
    </w:p>
    <w:p w14:paraId="742A6F72" w14:textId="393FD36A" w:rsidR="00391897" w:rsidRPr="00F03917" w:rsidRDefault="00000000">
      <w:pPr>
        <w:pStyle w:val="TOC2"/>
        <w:rPr>
          <w:rFonts w:asciiTheme="minorHAnsi" w:hAnsiTheme="minorHAnsi"/>
          <w:noProof/>
          <w:kern w:val="2"/>
          <w14:ligatures w14:val="standardContextual"/>
        </w:rPr>
      </w:pPr>
      <w:hyperlink w:anchor="_Toc160096253" w:history="1">
        <w:r w:rsidR="00391897" w:rsidRPr="00F03917">
          <w:rPr>
            <w:rStyle w:val="Hyperlink"/>
            <w:noProof/>
          </w:rPr>
          <w:t>6.2</w:t>
        </w:r>
        <w:r w:rsidR="00EB2CC1" w:rsidRPr="00F03917">
          <w:rPr>
            <w:rStyle w:val="Hyperlink"/>
            <w:noProof/>
          </w:rPr>
          <w:tab/>
        </w:r>
        <w:r w:rsidR="00391897" w:rsidRPr="00F03917">
          <w:rPr>
            <w:rStyle w:val="Hyperlink"/>
            <w:noProof/>
          </w:rPr>
          <w:t>Evaluate options and pathways</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_Toc160096253 \h </w:instrText>
        </w:r>
        <w:r w:rsidR="00391897" w:rsidRPr="00F03917">
          <w:rPr>
            <w:noProof/>
            <w:webHidden/>
          </w:rPr>
        </w:r>
        <w:r w:rsidR="00391897" w:rsidRPr="00F03917">
          <w:rPr>
            <w:noProof/>
            <w:webHidden/>
          </w:rPr>
          <w:fldChar w:fldCharType="separate"/>
        </w:r>
        <w:r w:rsidR="004F66AE">
          <w:rPr>
            <w:noProof/>
            <w:webHidden/>
          </w:rPr>
          <w:t>111</w:t>
        </w:r>
        <w:r w:rsidR="00391897" w:rsidRPr="00F03917">
          <w:rPr>
            <w:noProof/>
            <w:webHidden/>
          </w:rPr>
          <w:fldChar w:fldCharType="end"/>
        </w:r>
      </w:hyperlink>
    </w:p>
    <w:p w14:paraId="1B02548A" w14:textId="390B0B59" w:rsidR="00391897" w:rsidRPr="00F03917" w:rsidRDefault="00000000">
      <w:pPr>
        <w:pStyle w:val="TOC1"/>
        <w:rPr>
          <w:rFonts w:asciiTheme="minorHAnsi" w:hAnsiTheme="minorHAnsi"/>
          <w:kern w:val="2"/>
          <w14:ligatures w14:val="standardContextual"/>
        </w:rPr>
      </w:pPr>
      <w:hyperlink w:anchor="_Toc160096254" w:history="1">
        <w:r w:rsidR="00391897" w:rsidRPr="00F03917">
          <w:rPr>
            <w:rStyle w:val="Hyperlink"/>
          </w:rPr>
          <w:t>Part D: How can we implement the strategy?</w:t>
        </w:r>
        <w:r w:rsidR="00391897" w:rsidRPr="00F03917">
          <w:rPr>
            <w:webHidden/>
          </w:rPr>
          <w:tab/>
        </w:r>
        <w:r w:rsidR="00391897" w:rsidRPr="00F03917">
          <w:rPr>
            <w:webHidden/>
          </w:rPr>
          <w:fldChar w:fldCharType="begin"/>
        </w:r>
        <w:r w:rsidR="00391897" w:rsidRPr="00F03917">
          <w:rPr>
            <w:webHidden/>
          </w:rPr>
          <w:instrText xml:space="preserve"> PAGEREF _Toc160096254 \h </w:instrText>
        </w:r>
        <w:r w:rsidR="00391897" w:rsidRPr="00F03917">
          <w:rPr>
            <w:webHidden/>
          </w:rPr>
        </w:r>
        <w:r w:rsidR="00391897" w:rsidRPr="00F03917">
          <w:rPr>
            <w:webHidden/>
          </w:rPr>
          <w:fldChar w:fldCharType="separate"/>
        </w:r>
        <w:r w:rsidR="004F66AE">
          <w:rPr>
            <w:webHidden/>
          </w:rPr>
          <w:t>113</w:t>
        </w:r>
        <w:r w:rsidR="00391897" w:rsidRPr="00F03917">
          <w:rPr>
            <w:webHidden/>
          </w:rPr>
          <w:fldChar w:fldCharType="end"/>
        </w:r>
      </w:hyperlink>
    </w:p>
    <w:p w14:paraId="4371E9CE" w14:textId="7A8D5328" w:rsidR="00391897" w:rsidRPr="00F03917" w:rsidRDefault="00000000">
      <w:pPr>
        <w:pStyle w:val="TOC1"/>
        <w:rPr>
          <w:rFonts w:asciiTheme="minorHAnsi" w:hAnsiTheme="minorHAnsi"/>
          <w:kern w:val="2"/>
          <w14:ligatures w14:val="standardContextual"/>
        </w:rPr>
      </w:pPr>
      <w:hyperlink w:anchor="_Toc160096255" w:history="1">
        <w:r w:rsidR="00391897" w:rsidRPr="00F03917">
          <w:rPr>
            <w:rStyle w:val="Hyperlink"/>
          </w:rPr>
          <w:t>Step 7: Develop the adaptive planning strategy</w:t>
        </w:r>
        <w:r w:rsidR="00391897" w:rsidRPr="00F03917">
          <w:rPr>
            <w:webHidden/>
          </w:rPr>
          <w:tab/>
        </w:r>
        <w:r w:rsidR="00391897" w:rsidRPr="00F03917">
          <w:rPr>
            <w:webHidden/>
          </w:rPr>
          <w:fldChar w:fldCharType="begin"/>
        </w:r>
        <w:r w:rsidR="00391897" w:rsidRPr="00F03917">
          <w:rPr>
            <w:webHidden/>
          </w:rPr>
          <w:instrText xml:space="preserve"> PAGEREF _Toc160096255 \h </w:instrText>
        </w:r>
        <w:r w:rsidR="00391897" w:rsidRPr="00F03917">
          <w:rPr>
            <w:webHidden/>
          </w:rPr>
        </w:r>
        <w:r w:rsidR="00391897" w:rsidRPr="00F03917">
          <w:rPr>
            <w:webHidden/>
          </w:rPr>
          <w:fldChar w:fldCharType="separate"/>
        </w:r>
        <w:r w:rsidR="004F66AE">
          <w:rPr>
            <w:webHidden/>
          </w:rPr>
          <w:t>113</w:t>
        </w:r>
        <w:r w:rsidR="00391897" w:rsidRPr="00F03917">
          <w:rPr>
            <w:webHidden/>
          </w:rPr>
          <w:fldChar w:fldCharType="end"/>
        </w:r>
      </w:hyperlink>
    </w:p>
    <w:p w14:paraId="04235C1B" w14:textId="3D290441" w:rsidR="00391897" w:rsidRPr="00F03917" w:rsidRDefault="00000000">
      <w:pPr>
        <w:pStyle w:val="TOC2"/>
        <w:tabs>
          <w:tab w:val="left" w:pos="1134"/>
        </w:tabs>
        <w:rPr>
          <w:rFonts w:asciiTheme="minorHAnsi" w:hAnsiTheme="minorHAnsi"/>
          <w:noProof/>
          <w:kern w:val="2"/>
          <w14:ligatures w14:val="standardContextual"/>
        </w:rPr>
      </w:pPr>
      <w:hyperlink w:anchor="_Toc160096256" w:history="1">
        <w:r w:rsidR="00391897" w:rsidRPr="00F03917">
          <w:rPr>
            <w:rStyle w:val="Hyperlink"/>
            <w:noProof/>
          </w:rPr>
          <w:t>7.1</w:t>
        </w:r>
        <w:r w:rsidR="00391897" w:rsidRPr="00F03917">
          <w:rPr>
            <w:rFonts w:asciiTheme="minorHAnsi" w:hAnsiTheme="minorHAnsi"/>
            <w:noProof/>
            <w:kern w:val="2"/>
            <w14:ligatures w14:val="standardContextual"/>
          </w:rPr>
          <w:tab/>
        </w:r>
        <w:r w:rsidR="00391897" w:rsidRPr="00F03917">
          <w:rPr>
            <w:rStyle w:val="Hyperlink"/>
            <w:noProof/>
          </w:rPr>
          <w:t>Identify signals</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_Toc160096256 \h </w:instrText>
        </w:r>
        <w:r w:rsidR="00391897" w:rsidRPr="00F03917">
          <w:rPr>
            <w:noProof/>
            <w:webHidden/>
          </w:rPr>
        </w:r>
        <w:r w:rsidR="00391897" w:rsidRPr="00F03917">
          <w:rPr>
            <w:noProof/>
            <w:webHidden/>
          </w:rPr>
          <w:fldChar w:fldCharType="separate"/>
        </w:r>
        <w:r w:rsidR="004F66AE">
          <w:rPr>
            <w:noProof/>
            <w:webHidden/>
          </w:rPr>
          <w:t>114</w:t>
        </w:r>
        <w:r w:rsidR="00391897" w:rsidRPr="00F03917">
          <w:rPr>
            <w:noProof/>
            <w:webHidden/>
          </w:rPr>
          <w:fldChar w:fldCharType="end"/>
        </w:r>
      </w:hyperlink>
    </w:p>
    <w:p w14:paraId="5B912A3C" w14:textId="14ABE0E9" w:rsidR="00391897" w:rsidRPr="00F03917" w:rsidRDefault="00000000">
      <w:pPr>
        <w:pStyle w:val="TOC2"/>
        <w:tabs>
          <w:tab w:val="left" w:pos="1134"/>
        </w:tabs>
        <w:rPr>
          <w:rFonts w:asciiTheme="minorHAnsi" w:hAnsiTheme="minorHAnsi"/>
          <w:noProof/>
          <w:kern w:val="2"/>
          <w14:ligatures w14:val="standardContextual"/>
        </w:rPr>
      </w:pPr>
      <w:hyperlink w:anchor="_Toc160096257" w:history="1">
        <w:r w:rsidR="00391897" w:rsidRPr="00F03917">
          <w:rPr>
            <w:rStyle w:val="Hyperlink"/>
            <w:noProof/>
          </w:rPr>
          <w:t>7.2</w:t>
        </w:r>
        <w:r w:rsidR="00391897" w:rsidRPr="00F03917">
          <w:rPr>
            <w:rFonts w:asciiTheme="minorHAnsi" w:hAnsiTheme="minorHAnsi"/>
            <w:noProof/>
            <w:kern w:val="2"/>
            <w14:ligatures w14:val="standardContextual"/>
          </w:rPr>
          <w:tab/>
        </w:r>
        <w:r w:rsidR="00391897" w:rsidRPr="00F03917">
          <w:rPr>
            <w:rStyle w:val="Hyperlink"/>
            <w:noProof/>
          </w:rPr>
          <w:t>Design and set triggers</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_Toc160096257 \h </w:instrText>
        </w:r>
        <w:r w:rsidR="00391897" w:rsidRPr="00F03917">
          <w:rPr>
            <w:noProof/>
            <w:webHidden/>
          </w:rPr>
        </w:r>
        <w:r w:rsidR="00391897" w:rsidRPr="00F03917">
          <w:rPr>
            <w:noProof/>
            <w:webHidden/>
          </w:rPr>
          <w:fldChar w:fldCharType="separate"/>
        </w:r>
        <w:r w:rsidR="004F66AE">
          <w:rPr>
            <w:noProof/>
            <w:webHidden/>
          </w:rPr>
          <w:t>115</w:t>
        </w:r>
        <w:r w:rsidR="00391897" w:rsidRPr="00F03917">
          <w:rPr>
            <w:noProof/>
            <w:webHidden/>
          </w:rPr>
          <w:fldChar w:fldCharType="end"/>
        </w:r>
      </w:hyperlink>
    </w:p>
    <w:p w14:paraId="6B0E2300" w14:textId="5026EEC3" w:rsidR="00391897" w:rsidRPr="00F03917" w:rsidRDefault="00000000">
      <w:pPr>
        <w:pStyle w:val="TOC1"/>
        <w:rPr>
          <w:rFonts w:asciiTheme="minorHAnsi" w:hAnsiTheme="minorHAnsi"/>
          <w:kern w:val="2"/>
          <w14:ligatures w14:val="standardContextual"/>
        </w:rPr>
      </w:pPr>
      <w:hyperlink w:anchor="_Toc160096258" w:history="1">
        <w:r w:rsidR="00391897" w:rsidRPr="00F03917">
          <w:rPr>
            <w:rStyle w:val="Hyperlink"/>
          </w:rPr>
          <w:t>Step 8: Implement the adaptive planning strategy</w:t>
        </w:r>
        <w:r w:rsidR="00391897" w:rsidRPr="00F03917">
          <w:rPr>
            <w:webHidden/>
          </w:rPr>
          <w:tab/>
        </w:r>
        <w:r w:rsidR="00391897" w:rsidRPr="00F03917">
          <w:rPr>
            <w:webHidden/>
          </w:rPr>
          <w:fldChar w:fldCharType="begin"/>
        </w:r>
        <w:r w:rsidR="00391897" w:rsidRPr="00F03917">
          <w:rPr>
            <w:webHidden/>
          </w:rPr>
          <w:instrText xml:space="preserve"> PAGEREF _Toc160096258 \h </w:instrText>
        </w:r>
        <w:r w:rsidR="00391897" w:rsidRPr="00F03917">
          <w:rPr>
            <w:webHidden/>
          </w:rPr>
        </w:r>
        <w:r w:rsidR="00391897" w:rsidRPr="00F03917">
          <w:rPr>
            <w:webHidden/>
          </w:rPr>
          <w:fldChar w:fldCharType="separate"/>
        </w:r>
        <w:r w:rsidR="004F66AE">
          <w:rPr>
            <w:webHidden/>
          </w:rPr>
          <w:t>117</w:t>
        </w:r>
        <w:r w:rsidR="00391897" w:rsidRPr="00F03917">
          <w:rPr>
            <w:webHidden/>
          </w:rPr>
          <w:fldChar w:fldCharType="end"/>
        </w:r>
      </w:hyperlink>
    </w:p>
    <w:p w14:paraId="1861A3B9" w14:textId="7A0E4297" w:rsidR="00391897" w:rsidRPr="00F03917" w:rsidRDefault="00000000">
      <w:pPr>
        <w:pStyle w:val="TOC2"/>
        <w:tabs>
          <w:tab w:val="left" w:pos="1134"/>
        </w:tabs>
        <w:rPr>
          <w:rFonts w:asciiTheme="minorHAnsi" w:hAnsiTheme="minorHAnsi"/>
          <w:noProof/>
          <w:kern w:val="2"/>
          <w14:ligatures w14:val="standardContextual"/>
        </w:rPr>
      </w:pPr>
      <w:hyperlink w:anchor="_Toc160096261" w:history="1">
        <w:r w:rsidR="00391897" w:rsidRPr="00F03917">
          <w:rPr>
            <w:rStyle w:val="Hyperlink"/>
            <w:noProof/>
          </w:rPr>
          <w:t>8.1</w:t>
        </w:r>
        <w:r w:rsidR="00391897" w:rsidRPr="00F03917">
          <w:rPr>
            <w:rFonts w:asciiTheme="minorHAnsi" w:hAnsiTheme="minorHAnsi"/>
            <w:noProof/>
            <w:kern w:val="2"/>
            <w14:ligatures w14:val="standardContextual"/>
          </w:rPr>
          <w:tab/>
        </w:r>
        <w:r w:rsidR="00391897" w:rsidRPr="00F03917">
          <w:rPr>
            <w:rStyle w:val="Hyperlink"/>
            <w:noProof/>
          </w:rPr>
          <w:t>Measures and processes for implementing the adaptive planning strategy</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_Toc160096261 \h </w:instrText>
        </w:r>
        <w:r w:rsidR="00391897" w:rsidRPr="00F03917">
          <w:rPr>
            <w:noProof/>
            <w:webHidden/>
          </w:rPr>
        </w:r>
        <w:r w:rsidR="00391897" w:rsidRPr="00F03917">
          <w:rPr>
            <w:noProof/>
            <w:webHidden/>
          </w:rPr>
          <w:fldChar w:fldCharType="separate"/>
        </w:r>
        <w:r w:rsidR="004F66AE">
          <w:rPr>
            <w:noProof/>
            <w:webHidden/>
          </w:rPr>
          <w:t>118</w:t>
        </w:r>
        <w:r w:rsidR="00391897" w:rsidRPr="00F03917">
          <w:rPr>
            <w:noProof/>
            <w:webHidden/>
          </w:rPr>
          <w:fldChar w:fldCharType="end"/>
        </w:r>
      </w:hyperlink>
    </w:p>
    <w:p w14:paraId="74D2B942" w14:textId="5A0654D7" w:rsidR="00391897" w:rsidRPr="00F03917" w:rsidRDefault="00000000">
      <w:pPr>
        <w:pStyle w:val="TOC2"/>
        <w:tabs>
          <w:tab w:val="left" w:pos="1134"/>
        </w:tabs>
        <w:rPr>
          <w:rFonts w:asciiTheme="minorHAnsi" w:hAnsiTheme="minorHAnsi"/>
          <w:noProof/>
          <w:kern w:val="2"/>
          <w14:ligatures w14:val="standardContextual"/>
        </w:rPr>
      </w:pPr>
      <w:hyperlink w:anchor="_Toc160096262" w:history="1">
        <w:r w:rsidR="00391897" w:rsidRPr="00F03917">
          <w:rPr>
            <w:rStyle w:val="Hyperlink"/>
            <w:noProof/>
          </w:rPr>
          <w:t>8.2</w:t>
        </w:r>
        <w:r w:rsidR="00391897" w:rsidRPr="00F03917">
          <w:rPr>
            <w:rFonts w:asciiTheme="minorHAnsi" w:hAnsiTheme="minorHAnsi"/>
            <w:noProof/>
            <w:kern w:val="2"/>
            <w14:ligatures w14:val="standardContextual"/>
          </w:rPr>
          <w:tab/>
        </w:r>
        <w:r w:rsidR="00391897" w:rsidRPr="00F03917">
          <w:rPr>
            <w:rStyle w:val="Hyperlink"/>
            <w:noProof/>
          </w:rPr>
          <w:t>Funding the implementation of an adaptive planning strategy</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_Toc160096262 \h </w:instrText>
        </w:r>
        <w:r w:rsidR="00391897" w:rsidRPr="00F03917">
          <w:rPr>
            <w:noProof/>
            <w:webHidden/>
          </w:rPr>
        </w:r>
        <w:r w:rsidR="00391897" w:rsidRPr="00F03917">
          <w:rPr>
            <w:noProof/>
            <w:webHidden/>
          </w:rPr>
          <w:fldChar w:fldCharType="separate"/>
        </w:r>
        <w:r w:rsidR="004F66AE">
          <w:rPr>
            <w:noProof/>
            <w:webHidden/>
          </w:rPr>
          <w:t>124</w:t>
        </w:r>
        <w:r w:rsidR="00391897" w:rsidRPr="00F03917">
          <w:rPr>
            <w:noProof/>
            <w:webHidden/>
          </w:rPr>
          <w:fldChar w:fldCharType="end"/>
        </w:r>
      </w:hyperlink>
    </w:p>
    <w:p w14:paraId="531A1D00" w14:textId="35736FA9" w:rsidR="00391897" w:rsidRPr="00F03917" w:rsidRDefault="00000000">
      <w:pPr>
        <w:pStyle w:val="TOC2"/>
        <w:tabs>
          <w:tab w:val="left" w:pos="1134"/>
        </w:tabs>
        <w:rPr>
          <w:rFonts w:asciiTheme="minorHAnsi" w:hAnsiTheme="minorHAnsi"/>
          <w:noProof/>
          <w:kern w:val="2"/>
          <w14:ligatures w14:val="standardContextual"/>
        </w:rPr>
      </w:pPr>
      <w:hyperlink w:anchor="_Toc160096263" w:history="1">
        <w:r w:rsidR="00391897" w:rsidRPr="00F03917">
          <w:rPr>
            <w:rStyle w:val="Hyperlink"/>
            <w:noProof/>
          </w:rPr>
          <w:t>8.3</w:t>
        </w:r>
        <w:r w:rsidR="00391897" w:rsidRPr="00F03917">
          <w:rPr>
            <w:rFonts w:asciiTheme="minorHAnsi" w:hAnsiTheme="minorHAnsi"/>
            <w:noProof/>
            <w:kern w:val="2"/>
            <w14:ligatures w14:val="standardContextual"/>
          </w:rPr>
          <w:tab/>
        </w:r>
        <w:r w:rsidR="00391897" w:rsidRPr="00F03917">
          <w:rPr>
            <w:rStyle w:val="Hyperlink"/>
            <w:noProof/>
          </w:rPr>
          <w:t>Insurance</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_Toc160096263 \h </w:instrText>
        </w:r>
        <w:r w:rsidR="00391897" w:rsidRPr="00F03917">
          <w:rPr>
            <w:noProof/>
            <w:webHidden/>
          </w:rPr>
        </w:r>
        <w:r w:rsidR="00391897" w:rsidRPr="00F03917">
          <w:rPr>
            <w:noProof/>
            <w:webHidden/>
          </w:rPr>
          <w:fldChar w:fldCharType="separate"/>
        </w:r>
        <w:r w:rsidR="004F66AE">
          <w:rPr>
            <w:noProof/>
            <w:webHidden/>
          </w:rPr>
          <w:t>125</w:t>
        </w:r>
        <w:r w:rsidR="00391897" w:rsidRPr="00F03917">
          <w:rPr>
            <w:noProof/>
            <w:webHidden/>
          </w:rPr>
          <w:fldChar w:fldCharType="end"/>
        </w:r>
      </w:hyperlink>
    </w:p>
    <w:p w14:paraId="2BD764F0" w14:textId="223A865D" w:rsidR="00391897" w:rsidRPr="00F03917" w:rsidRDefault="00000000">
      <w:pPr>
        <w:pStyle w:val="TOC1"/>
        <w:rPr>
          <w:rFonts w:asciiTheme="minorHAnsi" w:hAnsiTheme="minorHAnsi"/>
          <w:kern w:val="2"/>
          <w14:ligatures w14:val="standardContextual"/>
        </w:rPr>
      </w:pPr>
      <w:hyperlink w:anchor="_Toc160096264" w:history="1">
        <w:r w:rsidR="00391897" w:rsidRPr="00F03917">
          <w:rPr>
            <w:rStyle w:val="Hyperlink"/>
          </w:rPr>
          <w:t>Part E: How is it working?</w:t>
        </w:r>
        <w:r w:rsidR="00391897" w:rsidRPr="00F03917">
          <w:rPr>
            <w:webHidden/>
          </w:rPr>
          <w:tab/>
        </w:r>
        <w:r w:rsidR="00391897" w:rsidRPr="00F03917">
          <w:rPr>
            <w:webHidden/>
          </w:rPr>
          <w:fldChar w:fldCharType="begin"/>
        </w:r>
        <w:r w:rsidR="00391897" w:rsidRPr="00F03917">
          <w:rPr>
            <w:webHidden/>
          </w:rPr>
          <w:instrText xml:space="preserve"> PAGEREF _Toc160096264 \h </w:instrText>
        </w:r>
        <w:r w:rsidR="00391897" w:rsidRPr="00F03917">
          <w:rPr>
            <w:webHidden/>
          </w:rPr>
        </w:r>
        <w:r w:rsidR="00391897" w:rsidRPr="00F03917">
          <w:rPr>
            <w:webHidden/>
          </w:rPr>
          <w:fldChar w:fldCharType="separate"/>
        </w:r>
        <w:r w:rsidR="004F66AE">
          <w:rPr>
            <w:webHidden/>
          </w:rPr>
          <w:t>126</w:t>
        </w:r>
        <w:r w:rsidR="00391897" w:rsidRPr="00F03917">
          <w:rPr>
            <w:webHidden/>
          </w:rPr>
          <w:fldChar w:fldCharType="end"/>
        </w:r>
      </w:hyperlink>
    </w:p>
    <w:p w14:paraId="01482029" w14:textId="76DA28E1" w:rsidR="00391897" w:rsidRPr="00F03917" w:rsidRDefault="00000000">
      <w:pPr>
        <w:pStyle w:val="TOC1"/>
        <w:rPr>
          <w:rFonts w:asciiTheme="minorHAnsi" w:hAnsiTheme="minorHAnsi"/>
          <w:kern w:val="2"/>
          <w14:ligatures w14:val="standardContextual"/>
        </w:rPr>
      </w:pPr>
      <w:hyperlink w:anchor="_Toc160096265" w:history="1">
        <w:r w:rsidR="00391897" w:rsidRPr="00F03917">
          <w:rPr>
            <w:rStyle w:val="Hyperlink"/>
          </w:rPr>
          <w:t>Step 9: Monitor the adaptive planning strategy</w:t>
        </w:r>
        <w:r w:rsidR="00391897" w:rsidRPr="00F03917">
          <w:rPr>
            <w:webHidden/>
          </w:rPr>
          <w:tab/>
        </w:r>
        <w:r w:rsidR="00391897" w:rsidRPr="00F03917">
          <w:rPr>
            <w:webHidden/>
          </w:rPr>
          <w:fldChar w:fldCharType="begin"/>
        </w:r>
        <w:r w:rsidR="00391897" w:rsidRPr="00F03917">
          <w:rPr>
            <w:webHidden/>
          </w:rPr>
          <w:instrText xml:space="preserve"> PAGEREF _Toc160096265 \h </w:instrText>
        </w:r>
        <w:r w:rsidR="00391897" w:rsidRPr="00F03917">
          <w:rPr>
            <w:webHidden/>
          </w:rPr>
        </w:r>
        <w:r w:rsidR="00391897" w:rsidRPr="00F03917">
          <w:rPr>
            <w:webHidden/>
          </w:rPr>
          <w:fldChar w:fldCharType="separate"/>
        </w:r>
        <w:r w:rsidR="004F66AE">
          <w:rPr>
            <w:webHidden/>
          </w:rPr>
          <w:t>126</w:t>
        </w:r>
        <w:r w:rsidR="00391897" w:rsidRPr="00F03917">
          <w:rPr>
            <w:webHidden/>
          </w:rPr>
          <w:fldChar w:fldCharType="end"/>
        </w:r>
      </w:hyperlink>
    </w:p>
    <w:p w14:paraId="4706779F" w14:textId="22757A43" w:rsidR="00391897" w:rsidRPr="00F03917" w:rsidRDefault="00000000">
      <w:pPr>
        <w:pStyle w:val="TOC2"/>
        <w:tabs>
          <w:tab w:val="left" w:pos="1134"/>
        </w:tabs>
        <w:rPr>
          <w:rFonts w:asciiTheme="minorHAnsi" w:hAnsiTheme="minorHAnsi"/>
          <w:noProof/>
          <w:kern w:val="2"/>
          <w14:ligatures w14:val="standardContextual"/>
        </w:rPr>
      </w:pPr>
      <w:hyperlink w:anchor="_Toc160096266" w:history="1">
        <w:r w:rsidR="00391897" w:rsidRPr="00F03917">
          <w:rPr>
            <w:rStyle w:val="Hyperlink"/>
            <w:noProof/>
          </w:rPr>
          <w:t>9.1</w:t>
        </w:r>
        <w:r w:rsidR="00391897" w:rsidRPr="00F03917">
          <w:rPr>
            <w:rFonts w:asciiTheme="minorHAnsi" w:hAnsiTheme="minorHAnsi"/>
            <w:noProof/>
            <w:kern w:val="2"/>
            <w14:ligatures w14:val="standardContextual"/>
          </w:rPr>
          <w:tab/>
        </w:r>
        <w:r w:rsidR="00391897" w:rsidRPr="00F03917">
          <w:rPr>
            <w:rStyle w:val="Hyperlink"/>
            <w:noProof/>
          </w:rPr>
          <w:t>Set up the monitoring framework</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_Toc160096266 \h </w:instrText>
        </w:r>
        <w:r w:rsidR="00391897" w:rsidRPr="00F03917">
          <w:rPr>
            <w:noProof/>
            <w:webHidden/>
          </w:rPr>
        </w:r>
        <w:r w:rsidR="00391897" w:rsidRPr="00F03917">
          <w:rPr>
            <w:noProof/>
            <w:webHidden/>
          </w:rPr>
          <w:fldChar w:fldCharType="separate"/>
        </w:r>
        <w:r w:rsidR="004F66AE">
          <w:rPr>
            <w:noProof/>
            <w:webHidden/>
          </w:rPr>
          <w:t>126</w:t>
        </w:r>
        <w:r w:rsidR="00391897" w:rsidRPr="00F03917">
          <w:rPr>
            <w:noProof/>
            <w:webHidden/>
          </w:rPr>
          <w:fldChar w:fldCharType="end"/>
        </w:r>
      </w:hyperlink>
    </w:p>
    <w:p w14:paraId="5E27E77A" w14:textId="26FE7AB9" w:rsidR="00391897" w:rsidRPr="00F03917" w:rsidRDefault="00000000">
      <w:pPr>
        <w:pStyle w:val="TOC2"/>
        <w:tabs>
          <w:tab w:val="left" w:pos="1134"/>
        </w:tabs>
        <w:rPr>
          <w:rFonts w:asciiTheme="minorHAnsi" w:hAnsiTheme="minorHAnsi"/>
          <w:noProof/>
          <w:kern w:val="2"/>
          <w14:ligatures w14:val="standardContextual"/>
        </w:rPr>
      </w:pPr>
      <w:hyperlink w:anchor="_Toc160096267" w:history="1">
        <w:r w:rsidR="00391897" w:rsidRPr="00F03917">
          <w:rPr>
            <w:rStyle w:val="Hyperlink"/>
            <w:noProof/>
          </w:rPr>
          <w:t>9.2</w:t>
        </w:r>
        <w:r w:rsidR="00391897" w:rsidRPr="00F03917">
          <w:rPr>
            <w:rFonts w:asciiTheme="minorHAnsi" w:hAnsiTheme="minorHAnsi"/>
            <w:noProof/>
            <w:kern w:val="2"/>
            <w14:ligatures w14:val="standardContextual"/>
          </w:rPr>
          <w:tab/>
        </w:r>
        <w:r w:rsidR="00391897" w:rsidRPr="00F03917">
          <w:rPr>
            <w:rStyle w:val="Hyperlink"/>
            <w:noProof/>
          </w:rPr>
          <w:t>Involve communities in monitoring</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_Toc160096267 \h </w:instrText>
        </w:r>
        <w:r w:rsidR="00391897" w:rsidRPr="00F03917">
          <w:rPr>
            <w:noProof/>
            <w:webHidden/>
          </w:rPr>
        </w:r>
        <w:r w:rsidR="00391897" w:rsidRPr="00F03917">
          <w:rPr>
            <w:noProof/>
            <w:webHidden/>
          </w:rPr>
          <w:fldChar w:fldCharType="separate"/>
        </w:r>
        <w:r w:rsidR="004F66AE">
          <w:rPr>
            <w:noProof/>
            <w:webHidden/>
          </w:rPr>
          <w:t>132</w:t>
        </w:r>
        <w:r w:rsidR="00391897" w:rsidRPr="00F03917">
          <w:rPr>
            <w:noProof/>
            <w:webHidden/>
          </w:rPr>
          <w:fldChar w:fldCharType="end"/>
        </w:r>
      </w:hyperlink>
    </w:p>
    <w:p w14:paraId="3BE81B06" w14:textId="7E30E08F" w:rsidR="00391897" w:rsidRPr="00F03917" w:rsidRDefault="00000000">
      <w:pPr>
        <w:pStyle w:val="TOC1"/>
        <w:rPr>
          <w:rFonts w:asciiTheme="minorHAnsi" w:hAnsiTheme="minorHAnsi"/>
          <w:kern w:val="2"/>
          <w14:ligatures w14:val="standardContextual"/>
        </w:rPr>
      </w:pPr>
      <w:hyperlink w:anchor="_Toc160096268" w:history="1">
        <w:r w:rsidR="00391897" w:rsidRPr="00F03917">
          <w:rPr>
            <w:rStyle w:val="Hyperlink"/>
          </w:rPr>
          <w:t>Step 10: Review and adjust the adaptive planning strategy</w:t>
        </w:r>
        <w:r w:rsidR="00391897" w:rsidRPr="00F03917">
          <w:rPr>
            <w:webHidden/>
          </w:rPr>
          <w:tab/>
        </w:r>
        <w:r w:rsidR="00391897" w:rsidRPr="00F03917">
          <w:rPr>
            <w:webHidden/>
          </w:rPr>
          <w:fldChar w:fldCharType="begin"/>
        </w:r>
        <w:r w:rsidR="00391897" w:rsidRPr="00F03917">
          <w:rPr>
            <w:webHidden/>
          </w:rPr>
          <w:instrText xml:space="preserve"> PAGEREF _Toc160096268 \h </w:instrText>
        </w:r>
        <w:r w:rsidR="00391897" w:rsidRPr="00F03917">
          <w:rPr>
            <w:webHidden/>
          </w:rPr>
        </w:r>
        <w:r w:rsidR="00391897" w:rsidRPr="00F03917">
          <w:rPr>
            <w:webHidden/>
          </w:rPr>
          <w:fldChar w:fldCharType="separate"/>
        </w:r>
        <w:r w:rsidR="004F66AE">
          <w:rPr>
            <w:webHidden/>
          </w:rPr>
          <w:t>133</w:t>
        </w:r>
        <w:r w:rsidR="00391897" w:rsidRPr="00F03917">
          <w:rPr>
            <w:webHidden/>
          </w:rPr>
          <w:fldChar w:fldCharType="end"/>
        </w:r>
      </w:hyperlink>
    </w:p>
    <w:p w14:paraId="526177A4" w14:textId="5D691753" w:rsidR="00391897" w:rsidRPr="00F03917" w:rsidRDefault="00000000">
      <w:pPr>
        <w:pStyle w:val="TOC2"/>
        <w:tabs>
          <w:tab w:val="left" w:pos="1985"/>
        </w:tabs>
        <w:rPr>
          <w:rFonts w:asciiTheme="minorHAnsi" w:hAnsiTheme="minorHAnsi"/>
          <w:noProof/>
          <w:kern w:val="2"/>
          <w14:ligatures w14:val="standardContextual"/>
        </w:rPr>
      </w:pPr>
      <w:hyperlink w:anchor="_Toc160096269" w:history="1">
        <w:r w:rsidR="00391897" w:rsidRPr="00F03917">
          <w:rPr>
            <w:rStyle w:val="Hyperlink"/>
            <w:noProof/>
          </w:rPr>
          <w:t>10.1</w:t>
        </w:r>
        <w:r w:rsidR="00391897" w:rsidRPr="00F03917">
          <w:rPr>
            <w:rFonts w:asciiTheme="minorHAnsi" w:hAnsiTheme="minorHAnsi"/>
            <w:noProof/>
            <w:kern w:val="2"/>
            <w14:ligatures w14:val="standardContextual"/>
          </w:rPr>
          <w:tab/>
        </w:r>
        <w:r w:rsidR="00391897" w:rsidRPr="00F03917">
          <w:rPr>
            <w:rStyle w:val="Hyperlink"/>
            <w:noProof/>
          </w:rPr>
          <w:t>Review the dynamic adaptive pathways planning objectives and actions</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_Toc160096269 \h </w:instrText>
        </w:r>
        <w:r w:rsidR="00391897" w:rsidRPr="00F03917">
          <w:rPr>
            <w:noProof/>
            <w:webHidden/>
          </w:rPr>
        </w:r>
        <w:r w:rsidR="00391897" w:rsidRPr="00F03917">
          <w:rPr>
            <w:noProof/>
            <w:webHidden/>
          </w:rPr>
          <w:fldChar w:fldCharType="separate"/>
        </w:r>
        <w:r w:rsidR="004F66AE">
          <w:rPr>
            <w:noProof/>
            <w:webHidden/>
          </w:rPr>
          <w:t>133</w:t>
        </w:r>
        <w:r w:rsidR="00391897" w:rsidRPr="00F03917">
          <w:rPr>
            <w:noProof/>
            <w:webHidden/>
          </w:rPr>
          <w:fldChar w:fldCharType="end"/>
        </w:r>
      </w:hyperlink>
    </w:p>
    <w:p w14:paraId="0037ACD8" w14:textId="4B998BBA" w:rsidR="00391897" w:rsidRPr="00F03917" w:rsidRDefault="00000000">
      <w:pPr>
        <w:pStyle w:val="TOC2"/>
        <w:tabs>
          <w:tab w:val="left" w:pos="1985"/>
        </w:tabs>
        <w:rPr>
          <w:rFonts w:asciiTheme="minorHAnsi" w:hAnsiTheme="minorHAnsi"/>
          <w:noProof/>
          <w:kern w:val="2"/>
          <w14:ligatures w14:val="standardContextual"/>
        </w:rPr>
      </w:pPr>
      <w:hyperlink w:anchor="_Toc160096270" w:history="1">
        <w:r w:rsidR="00391897" w:rsidRPr="00F03917">
          <w:rPr>
            <w:rStyle w:val="Hyperlink"/>
            <w:noProof/>
          </w:rPr>
          <w:t>10.2</w:t>
        </w:r>
        <w:r w:rsidR="00391897" w:rsidRPr="00F03917">
          <w:rPr>
            <w:rFonts w:asciiTheme="minorHAnsi" w:hAnsiTheme="minorHAnsi"/>
            <w:noProof/>
            <w:kern w:val="2"/>
            <w14:ligatures w14:val="standardContextual"/>
          </w:rPr>
          <w:tab/>
        </w:r>
        <w:r w:rsidR="00391897" w:rsidRPr="00F03917">
          <w:rPr>
            <w:rStyle w:val="Hyperlink"/>
            <w:noProof/>
          </w:rPr>
          <w:t>Adjust the dynamic adaptive pathways planning objectives and actions</w:t>
        </w:r>
        <w:r w:rsidR="00391897" w:rsidRPr="00F03917">
          <w:rPr>
            <w:noProof/>
            <w:webHidden/>
          </w:rPr>
          <w:tab/>
        </w:r>
        <w:r w:rsidR="00391897" w:rsidRPr="00F03917">
          <w:rPr>
            <w:noProof/>
            <w:webHidden/>
          </w:rPr>
          <w:fldChar w:fldCharType="begin"/>
        </w:r>
        <w:r w:rsidR="00391897" w:rsidRPr="00F03917">
          <w:rPr>
            <w:noProof/>
            <w:webHidden/>
          </w:rPr>
          <w:instrText xml:space="preserve"> PAGEREF _Toc160096270 \h </w:instrText>
        </w:r>
        <w:r w:rsidR="00391897" w:rsidRPr="00F03917">
          <w:rPr>
            <w:noProof/>
            <w:webHidden/>
          </w:rPr>
        </w:r>
        <w:r w:rsidR="00391897" w:rsidRPr="00F03917">
          <w:rPr>
            <w:noProof/>
            <w:webHidden/>
          </w:rPr>
          <w:fldChar w:fldCharType="separate"/>
        </w:r>
        <w:r w:rsidR="004F66AE">
          <w:rPr>
            <w:noProof/>
            <w:webHidden/>
          </w:rPr>
          <w:t>134</w:t>
        </w:r>
        <w:r w:rsidR="00391897" w:rsidRPr="00F03917">
          <w:rPr>
            <w:noProof/>
            <w:webHidden/>
          </w:rPr>
          <w:fldChar w:fldCharType="end"/>
        </w:r>
      </w:hyperlink>
    </w:p>
    <w:p w14:paraId="72EE7AE9" w14:textId="736DA494" w:rsidR="00391897" w:rsidRPr="00F03917" w:rsidRDefault="00000000">
      <w:pPr>
        <w:pStyle w:val="TOC1"/>
        <w:rPr>
          <w:rFonts w:asciiTheme="minorHAnsi" w:hAnsiTheme="minorHAnsi"/>
          <w:kern w:val="2"/>
          <w14:ligatures w14:val="standardContextual"/>
        </w:rPr>
      </w:pPr>
      <w:hyperlink w:anchor="_Toc160096271" w:history="1">
        <w:r w:rsidR="00391897" w:rsidRPr="00F03917">
          <w:rPr>
            <w:rStyle w:val="Hyperlink"/>
          </w:rPr>
          <w:t>Glossary of abbreviations and terms</w:t>
        </w:r>
        <w:r w:rsidR="00391897" w:rsidRPr="00F03917">
          <w:rPr>
            <w:webHidden/>
          </w:rPr>
          <w:tab/>
        </w:r>
        <w:r w:rsidR="00391897" w:rsidRPr="00F03917">
          <w:rPr>
            <w:webHidden/>
          </w:rPr>
          <w:fldChar w:fldCharType="begin"/>
        </w:r>
        <w:r w:rsidR="00391897" w:rsidRPr="00F03917">
          <w:rPr>
            <w:webHidden/>
          </w:rPr>
          <w:instrText xml:space="preserve"> PAGEREF _Toc160096271 \h </w:instrText>
        </w:r>
        <w:r w:rsidR="00391897" w:rsidRPr="00F03917">
          <w:rPr>
            <w:webHidden/>
          </w:rPr>
        </w:r>
        <w:r w:rsidR="00391897" w:rsidRPr="00F03917">
          <w:rPr>
            <w:webHidden/>
          </w:rPr>
          <w:fldChar w:fldCharType="separate"/>
        </w:r>
        <w:r w:rsidR="004F66AE">
          <w:rPr>
            <w:webHidden/>
          </w:rPr>
          <w:t>135</w:t>
        </w:r>
        <w:r w:rsidR="00391897" w:rsidRPr="00F03917">
          <w:rPr>
            <w:webHidden/>
          </w:rPr>
          <w:fldChar w:fldCharType="end"/>
        </w:r>
      </w:hyperlink>
    </w:p>
    <w:p w14:paraId="41EE2F70" w14:textId="1B41E1EA" w:rsidR="00391897" w:rsidRPr="00F03917" w:rsidRDefault="00000000">
      <w:pPr>
        <w:pStyle w:val="TOC1"/>
        <w:rPr>
          <w:rFonts w:asciiTheme="minorHAnsi" w:hAnsiTheme="minorHAnsi"/>
          <w:kern w:val="2"/>
          <w14:ligatures w14:val="standardContextual"/>
        </w:rPr>
      </w:pPr>
      <w:hyperlink w:anchor="_Toc160096272" w:history="1">
        <w:r w:rsidR="00391897" w:rsidRPr="00F03917">
          <w:rPr>
            <w:rStyle w:val="Hyperlink"/>
          </w:rPr>
          <w:t>Appendix A: Coastal hazard management case studies</w:t>
        </w:r>
        <w:r w:rsidR="00391897" w:rsidRPr="00F03917">
          <w:rPr>
            <w:webHidden/>
          </w:rPr>
          <w:tab/>
        </w:r>
        <w:r w:rsidR="00391897" w:rsidRPr="00F03917">
          <w:rPr>
            <w:webHidden/>
          </w:rPr>
          <w:fldChar w:fldCharType="begin"/>
        </w:r>
        <w:r w:rsidR="00391897" w:rsidRPr="00F03917">
          <w:rPr>
            <w:webHidden/>
          </w:rPr>
          <w:instrText xml:space="preserve"> PAGEREF _Toc160096272 \h </w:instrText>
        </w:r>
        <w:r w:rsidR="00391897" w:rsidRPr="00F03917">
          <w:rPr>
            <w:webHidden/>
          </w:rPr>
        </w:r>
        <w:r w:rsidR="00391897" w:rsidRPr="00F03917">
          <w:rPr>
            <w:webHidden/>
          </w:rPr>
          <w:fldChar w:fldCharType="separate"/>
        </w:r>
        <w:r w:rsidR="004F66AE">
          <w:rPr>
            <w:webHidden/>
          </w:rPr>
          <w:t>145</w:t>
        </w:r>
        <w:r w:rsidR="00391897" w:rsidRPr="00F03917">
          <w:rPr>
            <w:webHidden/>
          </w:rPr>
          <w:fldChar w:fldCharType="end"/>
        </w:r>
      </w:hyperlink>
    </w:p>
    <w:p w14:paraId="699EA80A" w14:textId="7DBB48F2" w:rsidR="00391897" w:rsidRPr="00F03917" w:rsidRDefault="00000000">
      <w:pPr>
        <w:pStyle w:val="TOC1"/>
        <w:rPr>
          <w:rFonts w:asciiTheme="minorHAnsi" w:hAnsiTheme="minorHAnsi"/>
          <w:kern w:val="2"/>
          <w14:ligatures w14:val="standardContextual"/>
        </w:rPr>
      </w:pPr>
      <w:hyperlink w:anchor="_Toc160096273" w:history="1">
        <w:r w:rsidR="00391897" w:rsidRPr="00F03917">
          <w:rPr>
            <w:rStyle w:val="Hyperlink"/>
          </w:rPr>
          <w:t>Appendix B: Relevant court cases</w:t>
        </w:r>
        <w:r w:rsidR="00391897" w:rsidRPr="00F03917">
          <w:rPr>
            <w:webHidden/>
          </w:rPr>
          <w:tab/>
        </w:r>
        <w:r w:rsidR="00391897" w:rsidRPr="00F03917">
          <w:rPr>
            <w:webHidden/>
          </w:rPr>
          <w:fldChar w:fldCharType="begin"/>
        </w:r>
        <w:r w:rsidR="00391897" w:rsidRPr="00F03917">
          <w:rPr>
            <w:webHidden/>
          </w:rPr>
          <w:instrText xml:space="preserve"> PAGEREF _Toc160096273 \h </w:instrText>
        </w:r>
        <w:r w:rsidR="00391897" w:rsidRPr="00F03917">
          <w:rPr>
            <w:webHidden/>
          </w:rPr>
        </w:r>
        <w:r w:rsidR="00391897" w:rsidRPr="00F03917">
          <w:rPr>
            <w:webHidden/>
          </w:rPr>
          <w:fldChar w:fldCharType="separate"/>
        </w:r>
        <w:r w:rsidR="004F66AE">
          <w:rPr>
            <w:webHidden/>
          </w:rPr>
          <w:t>162</w:t>
        </w:r>
        <w:r w:rsidR="00391897" w:rsidRPr="00F03917">
          <w:rPr>
            <w:webHidden/>
          </w:rPr>
          <w:fldChar w:fldCharType="end"/>
        </w:r>
      </w:hyperlink>
    </w:p>
    <w:p w14:paraId="06A164FF" w14:textId="7ED57CFE" w:rsidR="00391897" w:rsidRPr="00F03917" w:rsidRDefault="00000000">
      <w:pPr>
        <w:pStyle w:val="TOC1"/>
        <w:rPr>
          <w:rFonts w:asciiTheme="minorHAnsi" w:hAnsiTheme="minorHAnsi"/>
          <w:kern w:val="2"/>
          <w14:ligatures w14:val="standardContextual"/>
        </w:rPr>
      </w:pPr>
      <w:hyperlink w:anchor="_Toc160096274" w:history="1">
        <w:r w:rsidR="00391897" w:rsidRPr="00F03917">
          <w:rPr>
            <w:rStyle w:val="Hyperlink"/>
          </w:rPr>
          <w:t>Appendix C: Dynamic adaptive pathways planning approach and addressing barriers to uptake</w:t>
        </w:r>
        <w:r w:rsidR="00391897" w:rsidRPr="00F03917">
          <w:rPr>
            <w:webHidden/>
          </w:rPr>
          <w:tab/>
        </w:r>
        <w:r w:rsidR="00391897" w:rsidRPr="00F03917">
          <w:rPr>
            <w:webHidden/>
          </w:rPr>
          <w:fldChar w:fldCharType="begin"/>
        </w:r>
        <w:r w:rsidR="00391897" w:rsidRPr="00F03917">
          <w:rPr>
            <w:webHidden/>
          </w:rPr>
          <w:instrText xml:space="preserve"> PAGEREF _Toc160096274 \h </w:instrText>
        </w:r>
        <w:r w:rsidR="00391897" w:rsidRPr="00F03917">
          <w:rPr>
            <w:webHidden/>
          </w:rPr>
        </w:r>
        <w:r w:rsidR="00391897" w:rsidRPr="00F03917">
          <w:rPr>
            <w:webHidden/>
          </w:rPr>
          <w:fldChar w:fldCharType="separate"/>
        </w:r>
        <w:r w:rsidR="004F66AE">
          <w:rPr>
            <w:webHidden/>
          </w:rPr>
          <w:t>165</w:t>
        </w:r>
        <w:r w:rsidR="00391897" w:rsidRPr="00F03917">
          <w:rPr>
            <w:webHidden/>
          </w:rPr>
          <w:fldChar w:fldCharType="end"/>
        </w:r>
      </w:hyperlink>
    </w:p>
    <w:p w14:paraId="78AC4A8C" w14:textId="4516FE96" w:rsidR="00391897" w:rsidRPr="00F03917" w:rsidRDefault="00000000">
      <w:pPr>
        <w:pStyle w:val="TOC1"/>
        <w:rPr>
          <w:rFonts w:asciiTheme="minorHAnsi" w:hAnsiTheme="minorHAnsi"/>
          <w:kern w:val="2"/>
          <w14:ligatures w14:val="standardContextual"/>
        </w:rPr>
      </w:pPr>
      <w:hyperlink w:anchor="_Toc160096275" w:history="1">
        <w:r w:rsidR="00391897" w:rsidRPr="00F03917">
          <w:rPr>
            <w:rStyle w:val="Hyperlink"/>
          </w:rPr>
          <w:t>Appendix D: Baseline mean sea level for locations around Aotearoa New Zealand</w:t>
        </w:r>
        <w:r w:rsidR="00391897" w:rsidRPr="00F03917">
          <w:rPr>
            <w:webHidden/>
          </w:rPr>
          <w:tab/>
        </w:r>
        <w:r w:rsidR="00391897" w:rsidRPr="00F03917">
          <w:rPr>
            <w:webHidden/>
          </w:rPr>
          <w:fldChar w:fldCharType="begin"/>
        </w:r>
        <w:r w:rsidR="00391897" w:rsidRPr="00F03917">
          <w:rPr>
            <w:webHidden/>
          </w:rPr>
          <w:instrText xml:space="preserve"> PAGEREF _Toc160096275 \h </w:instrText>
        </w:r>
        <w:r w:rsidR="00391897" w:rsidRPr="00F03917">
          <w:rPr>
            <w:webHidden/>
          </w:rPr>
        </w:r>
        <w:r w:rsidR="00391897" w:rsidRPr="00F03917">
          <w:rPr>
            <w:webHidden/>
          </w:rPr>
          <w:fldChar w:fldCharType="separate"/>
        </w:r>
        <w:r w:rsidR="004F66AE">
          <w:rPr>
            <w:webHidden/>
          </w:rPr>
          <w:t>171</w:t>
        </w:r>
        <w:r w:rsidR="00391897" w:rsidRPr="00F03917">
          <w:rPr>
            <w:webHidden/>
          </w:rPr>
          <w:fldChar w:fldCharType="end"/>
        </w:r>
      </w:hyperlink>
    </w:p>
    <w:p w14:paraId="04B4DABE" w14:textId="6DFDB770" w:rsidR="00391897" w:rsidRPr="00F03917" w:rsidRDefault="00000000">
      <w:pPr>
        <w:pStyle w:val="TOC1"/>
        <w:rPr>
          <w:rFonts w:asciiTheme="minorHAnsi" w:hAnsiTheme="minorHAnsi"/>
          <w:kern w:val="2"/>
          <w14:ligatures w14:val="standardContextual"/>
        </w:rPr>
      </w:pPr>
      <w:hyperlink w:anchor="_Toc160096276" w:history="1">
        <w:r w:rsidR="00391897" w:rsidRPr="00F03917">
          <w:rPr>
            <w:rStyle w:val="Hyperlink"/>
          </w:rPr>
          <w:t>References</w:t>
        </w:r>
        <w:r w:rsidR="00391897" w:rsidRPr="00F03917">
          <w:rPr>
            <w:webHidden/>
          </w:rPr>
          <w:tab/>
        </w:r>
        <w:r w:rsidR="00391897" w:rsidRPr="00F03917">
          <w:rPr>
            <w:webHidden/>
          </w:rPr>
          <w:fldChar w:fldCharType="begin"/>
        </w:r>
        <w:r w:rsidR="00391897" w:rsidRPr="00F03917">
          <w:rPr>
            <w:webHidden/>
          </w:rPr>
          <w:instrText xml:space="preserve"> PAGEREF _Toc160096276 \h </w:instrText>
        </w:r>
        <w:r w:rsidR="00391897" w:rsidRPr="00F03917">
          <w:rPr>
            <w:webHidden/>
          </w:rPr>
        </w:r>
        <w:r w:rsidR="00391897" w:rsidRPr="00F03917">
          <w:rPr>
            <w:webHidden/>
          </w:rPr>
          <w:fldChar w:fldCharType="separate"/>
        </w:r>
        <w:r w:rsidR="004F66AE">
          <w:rPr>
            <w:webHidden/>
          </w:rPr>
          <w:t>174</w:t>
        </w:r>
        <w:r w:rsidR="00391897" w:rsidRPr="00F03917">
          <w:rPr>
            <w:webHidden/>
          </w:rPr>
          <w:fldChar w:fldCharType="end"/>
        </w:r>
      </w:hyperlink>
    </w:p>
    <w:p w14:paraId="4AEB13A4" w14:textId="65D55C4E" w:rsidR="00B57283" w:rsidRPr="00F03917" w:rsidRDefault="007F70BA" w:rsidP="00B57283">
      <w:pPr>
        <w:spacing w:before="120" w:after="120" w:line="280" w:lineRule="atLeast"/>
        <w:jc w:val="both"/>
        <w:rPr>
          <w:rFonts w:ascii="Calibri" w:eastAsia="MS Mincho" w:hAnsi="Calibri" w:cs="Arial"/>
          <w:kern w:val="0"/>
          <w:sz w:val="22"/>
          <w:szCs w:val="22"/>
          <w:lang w:eastAsia="en-NZ"/>
          <w14:ligatures w14:val="none"/>
        </w:rPr>
      </w:pPr>
      <w:r w:rsidRPr="00F03917">
        <w:rPr>
          <w:rFonts w:ascii="Calibri" w:eastAsia="MS Mincho" w:hAnsi="Calibri" w:cs="Arial"/>
          <w:kern w:val="0"/>
          <w:sz w:val="22"/>
          <w:szCs w:val="22"/>
          <w:lang w:eastAsia="en-NZ"/>
          <w14:ligatures w14:val="none"/>
        </w:rPr>
        <w:fldChar w:fldCharType="end"/>
      </w:r>
    </w:p>
    <w:p w14:paraId="375D486E" w14:textId="77777777" w:rsidR="00B968A7" w:rsidRPr="00F03917" w:rsidRDefault="00B968A7" w:rsidP="00B57283">
      <w:pPr>
        <w:spacing w:before="120" w:after="120" w:line="280" w:lineRule="atLeast"/>
        <w:rPr>
          <w:rFonts w:ascii="Calibri" w:eastAsia="MS Mincho" w:hAnsi="Calibri" w:cs="Arial"/>
          <w:kern w:val="0"/>
          <w:sz w:val="22"/>
          <w:szCs w:val="22"/>
          <w:lang w:eastAsia="en-NZ"/>
          <w14:ligatures w14:val="none"/>
        </w:rPr>
        <w:sectPr w:rsidR="00B968A7" w:rsidRPr="00F03917" w:rsidSect="007E5AB2">
          <w:headerReference w:type="even" r:id="rId18"/>
          <w:headerReference w:type="default" r:id="rId19"/>
          <w:footerReference w:type="even" r:id="rId20"/>
          <w:footerReference w:type="default" r:id="rId21"/>
          <w:headerReference w:type="first" r:id="rId22"/>
          <w:footerReference w:type="first" r:id="rId23"/>
          <w:pgSz w:w="11907" w:h="16840" w:code="9"/>
          <w:pgMar w:top="1134" w:right="1701" w:bottom="1134" w:left="1701" w:header="567" w:footer="567" w:gutter="0"/>
          <w:cols w:space="720"/>
          <w:docGrid w:linePitch="299"/>
        </w:sectPr>
      </w:pPr>
    </w:p>
    <w:p w14:paraId="10B0733D" w14:textId="77777777" w:rsidR="00B57283" w:rsidRPr="00F03917" w:rsidRDefault="00B57283" w:rsidP="005B653E">
      <w:pPr>
        <w:pStyle w:val="IntroHeading1"/>
        <w:rPr>
          <w:rFonts w:eastAsia="MS Gothic"/>
        </w:rPr>
      </w:pPr>
      <w:r w:rsidRPr="00F03917">
        <w:rPr>
          <w:rFonts w:eastAsia="MS Gothic"/>
        </w:rPr>
        <w:lastRenderedPageBreak/>
        <w:t>Tables</w:t>
      </w:r>
    </w:p>
    <w:p w14:paraId="48AD256A" w14:textId="5FC6A9AA" w:rsidR="004D028D" w:rsidRPr="00F03917" w:rsidRDefault="007F70BA">
      <w:pPr>
        <w:pStyle w:val="TableofFigures"/>
        <w:tabs>
          <w:tab w:val="right" w:pos="8495"/>
        </w:tabs>
        <w:rPr>
          <w:rFonts w:asciiTheme="minorHAnsi" w:eastAsiaTheme="minorEastAsia" w:hAnsiTheme="minorHAnsi"/>
          <w:noProof/>
          <w:kern w:val="2"/>
          <w14:ligatures w14:val="standardContextual"/>
        </w:rPr>
      </w:pPr>
      <w:r w:rsidRPr="00F03917">
        <w:rPr>
          <w:rFonts w:cs="Arial"/>
        </w:rPr>
        <w:fldChar w:fldCharType="begin"/>
      </w:r>
      <w:r w:rsidRPr="00F03917">
        <w:rPr>
          <w:rFonts w:cs="Arial"/>
        </w:rPr>
        <w:instrText xml:space="preserve"> TOC \h \z \t "Table heading" \c </w:instrText>
      </w:r>
      <w:r w:rsidRPr="00F03917">
        <w:rPr>
          <w:rFonts w:cs="Arial"/>
        </w:rPr>
        <w:fldChar w:fldCharType="separate"/>
      </w:r>
      <w:hyperlink w:anchor="_Toc160098395" w:history="1">
        <w:r w:rsidR="004D028D" w:rsidRPr="00F03917">
          <w:rPr>
            <w:rStyle w:val="Hyperlink"/>
            <w:noProof/>
          </w:rPr>
          <w:t>Table 1:</w:t>
        </w:r>
        <w:r w:rsidR="004D028D" w:rsidRPr="00F03917">
          <w:rPr>
            <w:rFonts w:asciiTheme="minorHAnsi" w:eastAsiaTheme="minorEastAsia" w:hAnsiTheme="minorHAnsi"/>
            <w:noProof/>
            <w:kern w:val="2"/>
            <w14:ligatures w14:val="standardContextual"/>
          </w:rPr>
          <w:tab/>
        </w:r>
        <w:r w:rsidR="004D028D" w:rsidRPr="00F03917">
          <w:rPr>
            <w:rStyle w:val="Hyperlink"/>
            <w:noProof/>
          </w:rPr>
          <w:t>Overview of legislation and policy instruments for managing coastal hazards and the effects of climate change</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_Toc160098395 \h </w:instrText>
        </w:r>
        <w:r w:rsidR="004D028D" w:rsidRPr="00F03917">
          <w:rPr>
            <w:noProof/>
            <w:webHidden/>
          </w:rPr>
        </w:r>
        <w:r w:rsidR="004D028D" w:rsidRPr="00F03917">
          <w:rPr>
            <w:noProof/>
            <w:webHidden/>
          </w:rPr>
          <w:fldChar w:fldCharType="separate"/>
        </w:r>
        <w:r w:rsidR="004F66AE">
          <w:rPr>
            <w:noProof/>
            <w:webHidden/>
          </w:rPr>
          <w:t>15</w:t>
        </w:r>
        <w:r w:rsidR="004D028D" w:rsidRPr="00F03917">
          <w:rPr>
            <w:noProof/>
            <w:webHidden/>
          </w:rPr>
          <w:fldChar w:fldCharType="end"/>
        </w:r>
      </w:hyperlink>
    </w:p>
    <w:p w14:paraId="35812E66" w14:textId="1F71BC9D"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396" w:history="1">
        <w:r w:rsidR="004D028D" w:rsidRPr="00F03917">
          <w:rPr>
            <w:rStyle w:val="Hyperlink"/>
            <w:noProof/>
          </w:rPr>
          <w:t>Table 2:</w:t>
        </w:r>
        <w:r w:rsidR="004D028D" w:rsidRPr="00F03917">
          <w:rPr>
            <w:rFonts w:asciiTheme="minorHAnsi" w:eastAsiaTheme="minorEastAsia" w:hAnsiTheme="minorHAnsi"/>
            <w:noProof/>
            <w:kern w:val="2"/>
            <w14:ligatures w14:val="standardContextual"/>
          </w:rPr>
          <w:tab/>
        </w:r>
        <w:r w:rsidR="004D028D" w:rsidRPr="00F03917">
          <w:rPr>
            <w:rStyle w:val="Hyperlink"/>
            <w:noProof/>
          </w:rPr>
          <w:t>Principles for managing coastal hazards under a changing climate</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_Toc160098396 \h </w:instrText>
        </w:r>
        <w:r w:rsidR="004D028D" w:rsidRPr="00F03917">
          <w:rPr>
            <w:noProof/>
            <w:webHidden/>
          </w:rPr>
        </w:r>
        <w:r w:rsidR="004D028D" w:rsidRPr="00F03917">
          <w:rPr>
            <w:noProof/>
            <w:webHidden/>
          </w:rPr>
          <w:fldChar w:fldCharType="separate"/>
        </w:r>
        <w:r w:rsidR="004F66AE">
          <w:rPr>
            <w:noProof/>
            <w:webHidden/>
          </w:rPr>
          <w:t>18</w:t>
        </w:r>
        <w:r w:rsidR="004D028D" w:rsidRPr="00F03917">
          <w:rPr>
            <w:noProof/>
            <w:webHidden/>
          </w:rPr>
          <w:fldChar w:fldCharType="end"/>
        </w:r>
      </w:hyperlink>
    </w:p>
    <w:p w14:paraId="37DDBF32" w14:textId="48EEE85C"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397" w:history="1">
        <w:r w:rsidR="004D028D" w:rsidRPr="00F03917">
          <w:rPr>
            <w:rStyle w:val="Hyperlink"/>
            <w:noProof/>
          </w:rPr>
          <w:t>Table 3:</w:t>
        </w:r>
        <w:r w:rsidR="004D028D" w:rsidRPr="00F03917">
          <w:rPr>
            <w:rFonts w:asciiTheme="minorHAnsi" w:eastAsiaTheme="minorEastAsia" w:hAnsiTheme="minorHAnsi"/>
            <w:noProof/>
            <w:kern w:val="2"/>
            <w14:ligatures w14:val="standardContextual"/>
          </w:rPr>
          <w:tab/>
        </w:r>
        <w:r w:rsidR="004D028D" w:rsidRPr="00F03917">
          <w:rPr>
            <w:rStyle w:val="Hyperlink"/>
            <w:noProof/>
          </w:rPr>
          <w:t>Preparatory tasks for developing a dynamic adaptive pathways planning (DAPP) strategy</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_Toc160098397 \h </w:instrText>
        </w:r>
        <w:r w:rsidR="004D028D" w:rsidRPr="00F03917">
          <w:rPr>
            <w:noProof/>
            <w:webHidden/>
          </w:rPr>
        </w:r>
        <w:r w:rsidR="004D028D" w:rsidRPr="00F03917">
          <w:rPr>
            <w:noProof/>
            <w:webHidden/>
          </w:rPr>
          <w:fldChar w:fldCharType="separate"/>
        </w:r>
        <w:r w:rsidR="004F66AE">
          <w:rPr>
            <w:noProof/>
            <w:webHidden/>
          </w:rPr>
          <w:t>33</w:t>
        </w:r>
        <w:r w:rsidR="004D028D" w:rsidRPr="00F03917">
          <w:rPr>
            <w:noProof/>
            <w:webHidden/>
          </w:rPr>
          <w:fldChar w:fldCharType="end"/>
        </w:r>
      </w:hyperlink>
    </w:p>
    <w:p w14:paraId="50FCA739" w14:textId="233A0D61"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398" w:history="1">
        <w:r w:rsidR="004D028D" w:rsidRPr="00F03917">
          <w:rPr>
            <w:rStyle w:val="Hyperlink"/>
            <w:noProof/>
          </w:rPr>
          <w:t>Table 4:</w:t>
        </w:r>
        <w:r w:rsidR="004D028D" w:rsidRPr="00F03917">
          <w:rPr>
            <w:rFonts w:asciiTheme="minorHAnsi" w:eastAsiaTheme="minorEastAsia" w:hAnsiTheme="minorHAnsi"/>
            <w:noProof/>
            <w:kern w:val="2"/>
            <w14:ligatures w14:val="standardContextual"/>
          </w:rPr>
          <w:tab/>
        </w:r>
        <w:r w:rsidR="004D028D" w:rsidRPr="00F03917">
          <w:rPr>
            <w:rStyle w:val="Hyperlink"/>
            <w:noProof/>
          </w:rPr>
          <w:t>Skills, disciplines and knowledge sets to consider in an adaptation team</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_Toc160098398 \h </w:instrText>
        </w:r>
        <w:r w:rsidR="004D028D" w:rsidRPr="00F03917">
          <w:rPr>
            <w:noProof/>
            <w:webHidden/>
          </w:rPr>
        </w:r>
        <w:r w:rsidR="004D028D" w:rsidRPr="00F03917">
          <w:rPr>
            <w:noProof/>
            <w:webHidden/>
          </w:rPr>
          <w:fldChar w:fldCharType="separate"/>
        </w:r>
        <w:r w:rsidR="004F66AE">
          <w:rPr>
            <w:noProof/>
            <w:webHidden/>
          </w:rPr>
          <w:t>34</w:t>
        </w:r>
        <w:r w:rsidR="004D028D" w:rsidRPr="00F03917">
          <w:rPr>
            <w:noProof/>
            <w:webHidden/>
          </w:rPr>
          <w:fldChar w:fldCharType="end"/>
        </w:r>
      </w:hyperlink>
    </w:p>
    <w:p w14:paraId="07A8092E" w14:textId="3786AF1E"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399" w:history="1">
        <w:r w:rsidR="004D028D" w:rsidRPr="00F03917">
          <w:rPr>
            <w:rStyle w:val="Hyperlink"/>
            <w:noProof/>
          </w:rPr>
          <w:t>Table 5:</w:t>
        </w:r>
        <w:r w:rsidR="004D028D" w:rsidRPr="00F03917">
          <w:rPr>
            <w:rFonts w:asciiTheme="minorHAnsi" w:eastAsiaTheme="minorEastAsia" w:hAnsiTheme="minorHAnsi"/>
            <w:noProof/>
            <w:kern w:val="2"/>
            <w14:ligatures w14:val="standardContextual"/>
          </w:rPr>
          <w:tab/>
        </w:r>
        <w:r w:rsidR="004D028D" w:rsidRPr="00F03917">
          <w:rPr>
            <w:rStyle w:val="Hyperlink"/>
            <w:noProof/>
          </w:rPr>
          <w:t>Main elements of the two relative sea-level rise approaches for assessing hazards and risk and input to informing a dynamic adaptive pathways planning (DAPP) approach</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_Toc160098399 \h </w:instrText>
        </w:r>
        <w:r w:rsidR="004D028D" w:rsidRPr="00F03917">
          <w:rPr>
            <w:noProof/>
            <w:webHidden/>
          </w:rPr>
        </w:r>
        <w:r w:rsidR="004D028D" w:rsidRPr="00F03917">
          <w:rPr>
            <w:noProof/>
            <w:webHidden/>
          </w:rPr>
          <w:fldChar w:fldCharType="separate"/>
        </w:r>
        <w:r w:rsidR="004F66AE">
          <w:rPr>
            <w:noProof/>
            <w:webHidden/>
          </w:rPr>
          <w:t>46</w:t>
        </w:r>
        <w:r w:rsidR="004D028D" w:rsidRPr="00F03917">
          <w:rPr>
            <w:noProof/>
            <w:webHidden/>
          </w:rPr>
          <w:fldChar w:fldCharType="end"/>
        </w:r>
      </w:hyperlink>
    </w:p>
    <w:p w14:paraId="5474EA86" w14:textId="1A8FD952"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00" w:history="1">
        <w:r w:rsidR="004D028D" w:rsidRPr="00F03917">
          <w:rPr>
            <w:rStyle w:val="Hyperlink"/>
            <w:noProof/>
          </w:rPr>
          <w:t>Table 6:</w:t>
        </w:r>
        <w:r w:rsidR="004D028D" w:rsidRPr="00F03917">
          <w:rPr>
            <w:rFonts w:asciiTheme="minorHAnsi" w:eastAsiaTheme="minorEastAsia" w:hAnsiTheme="minorHAnsi"/>
            <w:noProof/>
            <w:kern w:val="2"/>
            <w14:ligatures w14:val="standardContextual"/>
          </w:rPr>
          <w:tab/>
        </w:r>
        <w:r w:rsidR="004D028D" w:rsidRPr="00F03917">
          <w:rPr>
            <w:rStyle w:val="Hyperlink"/>
            <w:noProof/>
          </w:rPr>
          <w:t>Summary of approximate year when absolute sea-level rise (SLR) heights could be reached using the recommended projections for a central location in Aotearoa New Zealand</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_Toc160098400 \h </w:instrText>
        </w:r>
        <w:r w:rsidR="004D028D" w:rsidRPr="00F03917">
          <w:rPr>
            <w:noProof/>
            <w:webHidden/>
          </w:rPr>
        </w:r>
        <w:r w:rsidR="004D028D" w:rsidRPr="00F03917">
          <w:rPr>
            <w:noProof/>
            <w:webHidden/>
          </w:rPr>
          <w:fldChar w:fldCharType="separate"/>
        </w:r>
        <w:r w:rsidR="004F66AE">
          <w:rPr>
            <w:noProof/>
            <w:webHidden/>
          </w:rPr>
          <w:t>49</w:t>
        </w:r>
        <w:r w:rsidR="004D028D" w:rsidRPr="00F03917">
          <w:rPr>
            <w:noProof/>
            <w:webHidden/>
          </w:rPr>
          <w:fldChar w:fldCharType="end"/>
        </w:r>
      </w:hyperlink>
    </w:p>
    <w:p w14:paraId="2455F517" w14:textId="1F4F3BD3"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01" w:history="1">
        <w:r w:rsidR="004D028D" w:rsidRPr="00F03917">
          <w:rPr>
            <w:rStyle w:val="Hyperlink"/>
            <w:noProof/>
          </w:rPr>
          <w:t>Table 7:</w:t>
        </w:r>
        <w:r w:rsidR="004D028D" w:rsidRPr="00F03917">
          <w:rPr>
            <w:rFonts w:asciiTheme="minorHAnsi" w:eastAsiaTheme="minorEastAsia" w:hAnsiTheme="minorHAnsi"/>
            <w:noProof/>
            <w:kern w:val="2"/>
            <w14:ligatures w14:val="standardContextual"/>
          </w:rPr>
          <w:tab/>
        </w:r>
        <w:r w:rsidR="004D028D" w:rsidRPr="00F03917">
          <w:rPr>
            <w:rStyle w:val="Hyperlink"/>
            <w:i/>
            <w:noProof/>
          </w:rPr>
          <w:t>Example:</w:t>
        </w:r>
        <w:r w:rsidR="004D028D" w:rsidRPr="00F03917">
          <w:rPr>
            <w:rStyle w:val="Hyperlink"/>
            <w:noProof/>
          </w:rPr>
          <w:t xml:space="preserve"> Approximate year when relative sea-level rise (RSLR) increments could be reached using recommended projections for the Nelson urban area (compared with table 6 where vertical land movement is not included)</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_Toc160098401 \h </w:instrText>
        </w:r>
        <w:r w:rsidR="004D028D" w:rsidRPr="00F03917">
          <w:rPr>
            <w:noProof/>
            <w:webHidden/>
          </w:rPr>
        </w:r>
        <w:r w:rsidR="004D028D" w:rsidRPr="00F03917">
          <w:rPr>
            <w:noProof/>
            <w:webHidden/>
          </w:rPr>
          <w:fldChar w:fldCharType="separate"/>
        </w:r>
        <w:r w:rsidR="004F66AE">
          <w:rPr>
            <w:noProof/>
            <w:webHidden/>
          </w:rPr>
          <w:t>49</w:t>
        </w:r>
        <w:r w:rsidR="004D028D" w:rsidRPr="00F03917">
          <w:rPr>
            <w:noProof/>
            <w:webHidden/>
          </w:rPr>
          <w:fldChar w:fldCharType="end"/>
        </w:r>
      </w:hyperlink>
    </w:p>
    <w:p w14:paraId="10A8481A" w14:textId="287A90E2"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02" w:history="1">
        <w:r w:rsidR="004D028D" w:rsidRPr="00F03917">
          <w:rPr>
            <w:rStyle w:val="Hyperlink"/>
            <w:noProof/>
          </w:rPr>
          <w:t>Table 8:</w:t>
        </w:r>
        <w:r w:rsidR="004D028D" w:rsidRPr="00F03917">
          <w:rPr>
            <w:rFonts w:asciiTheme="minorHAnsi" w:eastAsiaTheme="minorEastAsia" w:hAnsiTheme="minorHAnsi"/>
            <w:noProof/>
            <w:kern w:val="2"/>
            <w14:ligatures w14:val="standardContextual"/>
          </w:rPr>
          <w:tab/>
        </w:r>
        <w:r w:rsidR="004D028D" w:rsidRPr="00F03917">
          <w:rPr>
            <w:rStyle w:val="Hyperlink"/>
            <w:noProof/>
          </w:rPr>
          <w:t>Interim precautionary relative sea-level rise allowances recommended to use for coastal planning and policy before undertaking a dynamic adaptive pathways planning approach for a precinct, district or region</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_Toc160098402 \h </w:instrText>
        </w:r>
        <w:r w:rsidR="004D028D" w:rsidRPr="00F03917">
          <w:rPr>
            <w:noProof/>
            <w:webHidden/>
          </w:rPr>
        </w:r>
        <w:r w:rsidR="004D028D" w:rsidRPr="00F03917">
          <w:rPr>
            <w:noProof/>
            <w:webHidden/>
          </w:rPr>
          <w:fldChar w:fldCharType="separate"/>
        </w:r>
        <w:r w:rsidR="004F66AE">
          <w:rPr>
            <w:noProof/>
            <w:webHidden/>
          </w:rPr>
          <w:t>52</w:t>
        </w:r>
        <w:r w:rsidR="004D028D" w:rsidRPr="00F03917">
          <w:rPr>
            <w:noProof/>
            <w:webHidden/>
          </w:rPr>
          <w:fldChar w:fldCharType="end"/>
        </w:r>
      </w:hyperlink>
    </w:p>
    <w:p w14:paraId="22E2D1A2" w14:textId="1E3201FC"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03" w:history="1">
        <w:r w:rsidR="004D028D" w:rsidRPr="00F03917">
          <w:rPr>
            <w:rStyle w:val="Hyperlink"/>
            <w:noProof/>
          </w:rPr>
          <w:t>Table 9:</w:t>
        </w:r>
        <w:r w:rsidR="004D028D" w:rsidRPr="00F03917">
          <w:rPr>
            <w:rFonts w:asciiTheme="minorHAnsi" w:eastAsiaTheme="minorEastAsia" w:hAnsiTheme="minorHAnsi"/>
            <w:noProof/>
            <w:kern w:val="2"/>
            <w14:ligatures w14:val="standardContextual"/>
          </w:rPr>
          <w:tab/>
        </w:r>
        <w:r w:rsidR="004D028D" w:rsidRPr="00F03917">
          <w:rPr>
            <w:rStyle w:val="Hyperlink"/>
            <w:noProof/>
          </w:rPr>
          <w:t>Recommended minimum shared socio-economic pathway scenarios for relative sea-level rise projections to use for screening and detailed phases of hazard and risk assessments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_Toc160098403 \h </w:instrText>
        </w:r>
        <w:r w:rsidR="004D028D" w:rsidRPr="00F03917">
          <w:rPr>
            <w:noProof/>
            <w:webHidden/>
          </w:rPr>
        </w:r>
        <w:r w:rsidR="004D028D" w:rsidRPr="00F03917">
          <w:rPr>
            <w:noProof/>
            <w:webHidden/>
          </w:rPr>
          <w:fldChar w:fldCharType="separate"/>
        </w:r>
        <w:r w:rsidR="004F66AE">
          <w:rPr>
            <w:noProof/>
            <w:webHidden/>
          </w:rPr>
          <w:t>54</w:t>
        </w:r>
        <w:r w:rsidR="004D028D" w:rsidRPr="00F03917">
          <w:rPr>
            <w:noProof/>
            <w:webHidden/>
          </w:rPr>
          <w:fldChar w:fldCharType="end"/>
        </w:r>
      </w:hyperlink>
    </w:p>
    <w:p w14:paraId="7290F290" w14:textId="5B8AEAA4"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04" w:history="1">
        <w:r w:rsidR="004D028D" w:rsidRPr="00F03917">
          <w:rPr>
            <w:rStyle w:val="Hyperlink"/>
            <w:noProof/>
          </w:rPr>
          <w:t>Table 10:</w:t>
        </w:r>
        <w:r w:rsidR="004D028D" w:rsidRPr="00F03917">
          <w:rPr>
            <w:rFonts w:asciiTheme="minorHAnsi" w:eastAsiaTheme="minorEastAsia" w:hAnsiTheme="minorHAnsi"/>
            <w:noProof/>
            <w:kern w:val="2"/>
            <w14:ligatures w14:val="standardContextual"/>
          </w:rPr>
          <w:tab/>
        </w:r>
        <w:r w:rsidR="004D028D" w:rsidRPr="00F03917">
          <w:rPr>
            <w:rStyle w:val="Hyperlink"/>
            <w:noProof/>
          </w:rPr>
          <w:t>Example of four methods that can be used in combination to understand mana whenua and community values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_Toc160098404 \h </w:instrText>
        </w:r>
        <w:r w:rsidR="004D028D" w:rsidRPr="00F03917">
          <w:rPr>
            <w:noProof/>
            <w:webHidden/>
          </w:rPr>
        </w:r>
        <w:r w:rsidR="004D028D" w:rsidRPr="00F03917">
          <w:rPr>
            <w:noProof/>
            <w:webHidden/>
          </w:rPr>
          <w:fldChar w:fldCharType="separate"/>
        </w:r>
        <w:r w:rsidR="004F66AE">
          <w:rPr>
            <w:noProof/>
            <w:webHidden/>
          </w:rPr>
          <w:t>75</w:t>
        </w:r>
        <w:r w:rsidR="004D028D" w:rsidRPr="00F03917">
          <w:rPr>
            <w:noProof/>
            <w:webHidden/>
          </w:rPr>
          <w:fldChar w:fldCharType="end"/>
        </w:r>
      </w:hyperlink>
    </w:p>
    <w:p w14:paraId="3DB67FCA" w14:textId="0DB98AE3"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05" w:history="1">
        <w:r w:rsidR="004D028D" w:rsidRPr="00F03917">
          <w:rPr>
            <w:rStyle w:val="Hyperlink"/>
            <w:noProof/>
          </w:rPr>
          <w:t>Table 11:</w:t>
        </w:r>
        <w:r w:rsidR="004D028D" w:rsidRPr="00F03917">
          <w:rPr>
            <w:rFonts w:asciiTheme="minorHAnsi" w:eastAsiaTheme="minorEastAsia" w:hAnsiTheme="minorHAnsi"/>
            <w:noProof/>
            <w:kern w:val="2"/>
            <w14:ligatures w14:val="standardContextual"/>
          </w:rPr>
          <w:tab/>
        </w:r>
        <w:r w:rsidR="004D028D" w:rsidRPr="00F03917">
          <w:rPr>
            <w:rStyle w:val="Hyperlink"/>
            <w:noProof/>
          </w:rPr>
          <w:t>Two examples of translating values into objectives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_Toc160098405 \h </w:instrText>
        </w:r>
        <w:r w:rsidR="004D028D" w:rsidRPr="00F03917">
          <w:rPr>
            <w:noProof/>
            <w:webHidden/>
          </w:rPr>
        </w:r>
        <w:r w:rsidR="004D028D" w:rsidRPr="00F03917">
          <w:rPr>
            <w:noProof/>
            <w:webHidden/>
          </w:rPr>
          <w:fldChar w:fldCharType="separate"/>
        </w:r>
        <w:r w:rsidR="004F66AE">
          <w:rPr>
            <w:noProof/>
            <w:webHidden/>
          </w:rPr>
          <w:t>76</w:t>
        </w:r>
        <w:r w:rsidR="004D028D" w:rsidRPr="00F03917">
          <w:rPr>
            <w:noProof/>
            <w:webHidden/>
          </w:rPr>
          <w:fldChar w:fldCharType="end"/>
        </w:r>
      </w:hyperlink>
    </w:p>
    <w:p w14:paraId="1D513D6E" w14:textId="230DB6C6"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06" w:history="1">
        <w:r w:rsidR="004D028D" w:rsidRPr="00F03917">
          <w:rPr>
            <w:rStyle w:val="Hyperlink"/>
            <w:noProof/>
          </w:rPr>
          <w:t>Table 12:</w:t>
        </w:r>
        <w:r w:rsidR="004D028D" w:rsidRPr="00F03917">
          <w:rPr>
            <w:rFonts w:asciiTheme="minorHAnsi" w:eastAsiaTheme="minorEastAsia" w:hAnsiTheme="minorHAnsi"/>
            <w:noProof/>
            <w:kern w:val="2"/>
            <w14:ligatures w14:val="standardContextual"/>
          </w:rPr>
          <w:tab/>
        </w:r>
        <w:r w:rsidR="004D028D" w:rsidRPr="00F03917">
          <w:rPr>
            <w:rStyle w:val="Hyperlink"/>
            <w:noProof/>
          </w:rPr>
          <w:t>Questions to generate local government objectives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_Toc160098406 \h </w:instrText>
        </w:r>
        <w:r w:rsidR="004D028D" w:rsidRPr="00F03917">
          <w:rPr>
            <w:noProof/>
            <w:webHidden/>
          </w:rPr>
        </w:r>
        <w:r w:rsidR="004D028D" w:rsidRPr="00F03917">
          <w:rPr>
            <w:noProof/>
            <w:webHidden/>
          </w:rPr>
          <w:fldChar w:fldCharType="separate"/>
        </w:r>
        <w:r w:rsidR="004F66AE">
          <w:rPr>
            <w:noProof/>
            <w:webHidden/>
          </w:rPr>
          <w:t>77</w:t>
        </w:r>
        <w:r w:rsidR="004D028D" w:rsidRPr="00F03917">
          <w:rPr>
            <w:noProof/>
            <w:webHidden/>
          </w:rPr>
          <w:fldChar w:fldCharType="end"/>
        </w:r>
      </w:hyperlink>
    </w:p>
    <w:p w14:paraId="50AE5EA8" w14:textId="376E5A65"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07" w:history="1">
        <w:r w:rsidR="004D028D" w:rsidRPr="00F03917">
          <w:rPr>
            <w:rStyle w:val="Hyperlink"/>
            <w:noProof/>
          </w:rPr>
          <w:t>Table 13:</w:t>
        </w:r>
        <w:r w:rsidR="004D028D" w:rsidRPr="00F03917">
          <w:rPr>
            <w:rFonts w:asciiTheme="minorHAnsi" w:eastAsiaTheme="minorEastAsia" w:hAnsiTheme="minorHAnsi"/>
            <w:noProof/>
            <w:kern w:val="2"/>
            <w14:ligatures w14:val="standardContextual"/>
          </w:rPr>
          <w:tab/>
        </w:r>
        <w:r w:rsidR="004D028D" w:rsidRPr="00F03917">
          <w:rPr>
            <w:rStyle w:val="Hyperlink"/>
            <w:noProof/>
          </w:rPr>
          <w:t>Process for assessing climate risks in coastal areas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_Toc160098407 \h </w:instrText>
        </w:r>
        <w:r w:rsidR="004D028D" w:rsidRPr="00F03917">
          <w:rPr>
            <w:noProof/>
            <w:webHidden/>
          </w:rPr>
        </w:r>
        <w:r w:rsidR="004D028D" w:rsidRPr="00F03917">
          <w:rPr>
            <w:noProof/>
            <w:webHidden/>
          </w:rPr>
          <w:fldChar w:fldCharType="separate"/>
        </w:r>
        <w:r w:rsidR="004F66AE">
          <w:rPr>
            <w:noProof/>
            <w:webHidden/>
          </w:rPr>
          <w:t>87</w:t>
        </w:r>
        <w:r w:rsidR="004D028D" w:rsidRPr="00F03917">
          <w:rPr>
            <w:noProof/>
            <w:webHidden/>
          </w:rPr>
          <w:fldChar w:fldCharType="end"/>
        </w:r>
      </w:hyperlink>
    </w:p>
    <w:p w14:paraId="4C7227A0" w14:textId="4048E363"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08" w:history="1">
        <w:r w:rsidR="004D028D" w:rsidRPr="00F03917">
          <w:rPr>
            <w:rStyle w:val="Hyperlink"/>
            <w:noProof/>
          </w:rPr>
          <w:t>Table 14:</w:t>
        </w:r>
        <w:r w:rsidR="004D028D" w:rsidRPr="00F03917">
          <w:rPr>
            <w:rFonts w:asciiTheme="minorHAnsi" w:eastAsiaTheme="minorEastAsia" w:hAnsiTheme="minorHAnsi"/>
            <w:noProof/>
            <w:kern w:val="2"/>
            <w14:ligatures w14:val="standardContextual"/>
          </w:rPr>
          <w:tab/>
        </w:r>
        <w:r w:rsidR="004D028D" w:rsidRPr="00F03917">
          <w:rPr>
            <w:rStyle w:val="Hyperlink"/>
            <w:noProof/>
          </w:rPr>
          <w:t>Advantages and disadvantages of methods for measuring social vulnerability</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_Toc160098408 \h </w:instrText>
        </w:r>
        <w:r w:rsidR="004D028D" w:rsidRPr="00F03917">
          <w:rPr>
            <w:noProof/>
            <w:webHidden/>
          </w:rPr>
        </w:r>
        <w:r w:rsidR="004D028D" w:rsidRPr="00F03917">
          <w:rPr>
            <w:noProof/>
            <w:webHidden/>
          </w:rPr>
          <w:fldChar w:fldCharType="separate"/>
        </w:r>
        <w:r w:rsidR="004F66AE">
          <w:rPr>
            <w:noProof/>
            <w:webHidden/>
          </w:rPr>
          <w:t>97</w:t>
        </w:r>
        <w:r w:rsidR="004D028D" w:rsidRPr="00F03917">
          <w:rPr>
            <w:noProof/>
            <w:webHidden/>
          </w:rPr>
          <w:fldChar w:fldCharType="end"/>
        </w:r>
      </w:hyperlink>
    </w:p>
    <w:p w14:paraId="526701BC" w14:textId="3786AD2E"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09" w:history="1">
        <w:r w:rsidR="004D028D" w:rsidRPr="00F03917">
          <w:rPr>
            <w:rStyle w:val="Hyperlink"/>
            <w:noProof/>
          </w:rPr>
          <w:t>Table 15:</w:t>
        </w:r>
        <w:r w:rsidR="004D028D" w:rsidRPr="00F03917">
          <w:rPr>
            <w:rFonts w:asciiTheme="minorHAnsi" w:eastAsiaTheme="minorEastAsia" w:hAnsiTheme="minorHAnsi"/>
            <w:noProof/>
            <w:kern w:val="2"/>
            <w14:ligatures w14:val="standardContextual"/>
          </w:rPr>
          <w:tab/>
        </w:r>
        <w:r w:rsidR="004D028D" w:rsidRPr="00F03917">
          <w:rPr>
            <w:rStyle w:val="Hyperlink"/>
            <w:noProof/>
          </w:rPr>
          <w:t>Applicability of different decision support tools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_Toc160098409 \h </w:instrText>
        </w:r>
        <w:r w:rsidR="004D028D" w:rsidRPr="00F03917">
          <w:rPr>
            <w:noProof/>
            <w:webHidden/>
          </w:rPr>
        </w:r>
        <w:r w:rsidR="004D028D" w:rsidRPr="00F03917">
          <w:rPr>
            <w:noProof/>
            <w:webHidden/>
          </w:rPr>
          <w:fldChar w:fldCharType="separate"/>
        </w:r>
        <w:r w:rsidR="004F66AE">
          <w:rPr>
            <w:noProof/>
            <w:webHidden/>
          </w:rPr>
          <w:t>109</w:t>
        </w:r>
        <w:r w:rsidR="004D028D" w:rsidRPr="00F03917">
          <w:rPr>
            <w:noProof/>
            <w:webHidden/>
          </w:rPr>
          <w:fldChar w:fldCharType="end"/>
        </w:r>
      </w:hyperlink>
    </w:p>
    <w:p w14:paraId="54BA769E" w14:textId="76A2E8CB"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10" w:history="1">
        <w:r w:rsidR="004D028D" w:rsidRPr="00F03917">
          <w:rPr>
            <w:rStyle w:val="Hyperlink"/>
            <w:noProof/>
          </w:rPr>
          <w:t>Table 16:</w:t>
        </w:r>
        <w:r w:rsidR="004D028D" w:rsidRPr="00F03917">
          <w:rPr>
            <w:rFonts w:asciiTheme="minorHAnsi" w:eastAsiaTheme="minorEastAsia" w:hAnsiTheme="minorHAnsi"/>
            <w:noProof/>
            <w:kern w:val="2"/>
            <w14:ligatures w14:val="standardContextual"/>
          </w:rPr>
          <w:tab/>
        </w:r>
        <w:r w:rsidR="004D028D" w:rsidRPr="00F03917">
          <w:rPr>
            <w:rStyle w:val="Hyperlink"/>
            <w:noProof/>
          </w:rPr>
          <w:t>Examples of indicators for different types of signals and triggers for coastal hazards and climate change</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_Toc160098410 \h </w:instrText>
        </w:r>
        <w:r w:rsidR="004D028D" w:rsidRPr="00F03917">
          <w:rPr>
            <w:noProof/>
            <w:webHidden/>
          </w:rPr>
        </w:r>
        <w:r w:rsidR="004D028D" w:rsidRPr="00F03917">
          <w:rPr>
            <w:noProof/>
            <w:webHidden/>
          </w:rPr>
          <w:fldChar w:fldCharType="separate"/>
        </w:r>
        <w:r w:rsidR="004F66AE">
          <w:rPr>
            <w:noProof/>
            <w:webHidden/>
          </w:rPr>
          <w:t>116</w:t>
        </w:r>
        <w:r w:rsidR="004D028D" w:rsidRPr="00F03917">
          <w:rPr>
            <w:noProof/>
            <w:webHidden/>
          </w:rPr>
          <w:fldChar w:fldCharType="end"/>
        </w:r>
      </w:hyperlink>
    </w:p>
    <w:p w14:paraId="106565C4" w14:textId="6B322F40"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11" w:history="1">
        <w:r w:rsidR="004D028D" w:rsidRPr="00F03917">
          <w:rPr>
            <w:rStyle w:val="Hyperlink"/>
            <w:noProof/>
          </w:rPr>
          <w:t>Table 17:</w:t>
        </w:r>
        <w:r w:rsidR="004D028D" w:rsidRPr="00F03917">
          <w:rPr>
            <w:rFonts w:asciiTheme="minorHAnsi" w:eastAsiaTheme="minorEastAsia" w:hAnsiTheme="minorHAnsi"/>
            <w:noProof/>
            <w:kern w:val="2"/>
            <w14:ligatures w14:val="standardContextual"/>
          </w:rPr>
          <w:tab/>
        </w:r>
        <w:r w:rsidR="004D028D" w:rsidRPr="00F03917">
          <w:rPr>
            <w:rStyle w:val="Hyperlink"/>
            <w:noProof/>
          </w:rPr>
          <w:t>Effective monitoring implementation</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_Toc160098411 \h </w:instrText>
        </w:r>
        <w:r w:rsidR="004D028D" w:rsidRPr="00F03917">
          <w:rPr>
            <w:noProof/>
            <w:webHidden/>
          </w:rPr>
        </w:r>
        <w:r w:rsidR="004D028D" w:rsidRPr="00F03917">
          <w:rPr>
            <w:noProof/>
            <w:webHidden/>
          </w:rPr>
          <w:fldChar w:fldCharType="separate"/>
        </w:r>
        <w:r w:rsidR="004F66AE">
          <w:rPr>
            <w:noProof/>
            <w:webHidden/>
          </w:rPr>
          <w:t>128</w:t>
        </w:r>
        <w:r w:rsidR="004D028D" w:rsidRPr="00F03917">
          <w:rPr>
            <w:noProof/>
            <w:webHidden/>
          </w:rPr>
          <w:fldChar w:fldCharType="end"/>
        </w:r>
      </w:hyperlink>
    </w:p>
    <w:p w14:paraId="1CFDC5EE" w14:textId="144FDBE5"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12" w:history="1">
        <w:r w:rsidR="004D028D" w:rsidRPr="00F03917">
          <w:rPr>
            <w:rStyle w:val="Hyperlink"/>
            <w:noProof/>
          </w:rPr>
          <w:t xml:space="preserve">Table A.1: </w:t>
        </w:r>
        <w:r w:rsidR="004D028D" w:rsidRPr="00F03917">
          <w:rPr>
            <w:rFonts w:asciiTheme="minorHAnsi" w:eastAsiaTheme="minorEastAsia" w:hAnsiTheme="minorHAnsi"/>
            <w:noProof/>
            <w:kern w:val="2"/>
            <w14:ligatures w14:val="standardContextual"/>
          </w:rPr>
          <w:tab/>
        </w:r>
        <w:r w:rsidR="004D028D" w:rsidRPr="00F03917">
          <w:rPr>
            <w:rStyle w:val="Hyperlink"/>
            <w:noProof/>
          </w:rPr>
          <w:t>Climate change scenarios used to investigate potential peak flood water levels in the valley and around Tangoio Marae</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_Toc160098412 \h </w:instrText>
        </w:r>
        <w:r w:rsidR="004D028D" w:rsidRPr="00F03917">
          <w:rPr>
            <w:noProof/>
            <w:webHidden/>
          </w:rPr>
        </w:r>
        <w:r w:rsidR="004D028D" w:rsidRPr="00F03917">
          <w:rPr>
            <w:noProof/>
            <w:webHidden/>
          </w:rPr>
          <w:fldChar w:fldCharType="separate"/>
        </w:r>
        <w:r w:rsidR="004F66AE">
          <w:rPr>
            <w:noProof/>
            <w:webHidden/>
          </w:rPr>
          <w:t>159</w:t>
        </w:r>
        <w:r w:rsidR="004D028D" w:rsidRPr="00F03917">
          <w:rPr>
            <w:noProof/>
            <w:webHidden/>
          </w:rPr>
          <w:fldChar w:fldCharType="end"/>
        </w:r>
      </w:hyperlink>
    </w:p>
    <w:p w14:paraId="4E9EF801" w14:textId="426E5635"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13" w:history="1">
        <w:r w:rsidR="004D028D" w:rsidRPr="00F03917">
          <w:rPr>
            <w:rStyle w:val="Hyperlink"/>
            <w:noProof/>
          </w:rPr>
          <w:t>Table B.1:</w:t>
        </w:r>
        <w:r w:rsidR="004D028D" w:rsidRPr="00F03917">
          <w:rPr>
            <w:rFonts w:asciiTheme="minorHAnsi" w:eastAsiaTheme="minorEastAsia" w:hAnsiTheme="minorHAnsi"/>
            <w:noProof/>
            <w:kern w:val="2"/>
            <w14:ligatures w14:val="standardContextual"/>
          </w:rPr>
          <w:tab/>
        </w:r>
        <w:r w:rsidR="004D028D" w:rsidRPr="00F03917">
          <w:rPr>
            <w:rStyle w:val="Hyperlink"/>
            <w:noProof/>
          </w:rPr>
          <w:t>Summary of relevant court cases in relation to coastal hazards, application of New Zealand Coastal Policy Statement 2010, and climate change effects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_Toc160098413 \h </w:instrText>
        </w:r>
        <w:r w:rsidR="004D028D" w:rsidRPr="00F03917">
          <w:rPr>
            <w:noProof/>
            <w:webHidden/>
          </w:rPr>
        </w:r>
        <w:r w:rsidR="004D028D" w:rsidRPr="00F03917">
          <w:rPr>
            <w:noProof/>
            <w:webHidden/>
          </w:rPr>
          <w:fldChar w:fldCharType="separate"/>
        </w:r>
        <w:r w:rsidR="004F66AE">
          <w:rPr>
            <w:noProof/>
            <w:webHidden/>
          </w:rPr>
          <w:t>162</w:t>
        </w:r>
        <w:r w:rsidR="004D028D" w:rsidRPr="00F03917">
          <w:rPr>
            <w:noProof/>
            <w:webHidden/>
          </w:rPr>
          <w:fldChar w:fldCharType="end"/>
        </w:r>
      </w:hyperlink>
    </w:p>
    <w:p w14:paraId="439D0F36" w14:textId="4EF3F9FF"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14" w:history="1">
        <w:r w:rsidR="004D028D" w:rsidRPr="00F03917">
          <w:rPr>
            <w:rStyle w:val="Hyperlink"/>
            <w:noProof/>
          </w:rPr>
          <w:t xml:space="preserve">Table C.1: </w:t>
        </w:r>
        <w:r w:rsidR="004D028D" w:rsidRPr="00F03917">
          <w:rPr>
            <w:rFonts w:asciiTheme="minorHAnsi" w:eastAsiaTheme="minorEastAsia" w:hAnsiTheme="minorHAnsi"/>
            <w:noProof/>
            <w:kern w:val="2"/>
            <w14:ligatures w14:val="standardContextual"/>
          </w:rPr>
          <w:tab/>
        </w:r>
        <w:r w:rsidR="004D028D" w:rsidRPr="00F03917">
          <w:rPr>
            <w:rStyle w:val="Hyperlink"/>
            <w:noProof/>
          </w:rPr>
          <w:t>Strategies for addressing barriers to dynamic adaptive pathways planning (DAPP) uptake and implementation of the DAPP plan</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_Toc160098414 \h </w:instrText>
        </w:r>
        <w:r w:rsidR="004D028D" w:rsidRPr="00F03917">
          <w:rPr>
            <w:noProof/>
            <w:webHidden/>
          </w:rPr>
        </w:r>
        <w:r w:rsidR="004D028D" w:rsidRPr="00F03917">
          <w:rPr>
            <w:noProof/>
            <w:webHidden/>
          </w:rPr>
          <w:fldChar w:fldCharType="separate"/>
        </w:r>
        <w:r w:rsidR="004F66AE">
          <w:rPr>
            <w:noProof/>
            <w:webHidden/>
          </w:rPr>
          <w:t>169</w:t>
        </w:r>
        <w:r w:rsidR="004D028D" w:rsidRPr="00F03917">
          <w:rPr>
            <w:noProof/>
            <w:webHidden/>
          </w:rPr>
          <w:fldChar w:fldCharType="end"/>
        </w:r>
      </w:hyperlink>
    </w:p>
    <w:p w14:paraId="7B5D6414" w14:textId="73447870"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15" w:history="1">
        <w:r w:rsidR="004D028D" w:rsidRPr="00F03917">
          <w:rPr>
            <w:rStyle w:val="Hyperlink"/>
            <w:noProof/>
          </w:rPr>
          <w:t>Table D.1:</w:t>
        </w:r>
        <w:r w:rsidR="004D028D" w:rsidRPr="00F03917">
          <w:rPr>
            <w:rFonts w:asciiTheme="minorHAnsi" w:eastAsiaTheme="minorEastAsia" w:hAnsiTheme="minorHAnsi"/>
            <w:noProof/>
            <w:kern w:val="2"/>
            <w14:ligatures w14:val="standardContextual"/>
          </w:rPr>
          <w:tab/>
        </w:r>
        <w:r w:rsidR="004D028D" w:rsidRPr="00F03917">
          <w:rPr>
            <w:rStyle w:val="Hyperlink"/>
            <w:noProof/>
          </w:rPr>
          <w:t xml:space="preserve">Mean sea level (MSL) at Aotearoa New Zealand locations averaged over the approximate 1995–2014 baseline (used by IPCC) for adding on </w:t>
        </w:r>
        <w:r w:rsidR="004D028D" w:rsidRPr="00F03917">
          <w:rPr>
            <w:rStyle w:val="Hyperlink"/>
            <w:noProof/>
          </w:rPr>
          <w:noBreakHyphen/>
          <w:t>sea-level rise projections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_Toc160098415 \h </w:instrText>
        </w:r>
        <w:r w:rsidR="004D028D" w:rsidRPr="00F03917">
          <w:rPr>
            <w:noProof/>
            <w:webHidden/>
          </w:rPr>
        </w:r>
        <w:r w:rsidR="004D028D" w:rsidRPr="00F03917">
          <w:rPr>
            <w:noProof/>
            <w:webHidden/>
          </w:rPr>
          <w:fldChar w:fldCharType="separate"/>
        </w:r>
        <w:r w:rsidR="004F66AE">
          <w:rPr>
            <w:noProof/>
            <w:webHidden/>
          </w:rPr>
          <w:t>172</w:t>
        </w:r>
        <w:r w:rsidR="004D028D" w:rsidRPr="00F03917">
          <w:rPr>
            <w:noProof/>
            <w:webHidden/>
          </w:rPr>
          <w:fldChar w:fldCharType="end"/>
        </w:r>
      </w:hyperlink>
    </w:p>
    <w:p w14:paraId="0365F17D" w14:textId="48D54ED2" w:rsidR="007F70BA" w:rsidRPr="00F03917" w:rsidRDefault="007F70BA" w:rsidP="0087387A">
      <w:pPr>
        <w:tabs>
          <w:tab w:val="right" w:pos="8494"/>
        </w:tabs>
        <w:spacing w:after="120" w:line="280" w:lineRule="atLeast"/>
        <w:ind w:right="567"/>
        <w:rPr>
          <w:rFonts w:ascii="Calibri" w:eastAsia="MS Mincho" w:hAnsi="Calibri" w:cs="Arial"/>
          <w:kern w:val="0"/>
          <w:sz w:val="22"/>
          <w:szCs w:val="22"/>
          <w:lang w:eastAsia="en-NZ"/>
          <w14:ligatures w14:val="none"/>
        </w:rPr>
      </w:pPr>
      <w:r w:rsidRPr="00F03917">
        <w:rPr>
          <w:rFonts w:ascii="Calibri" w:eastAsia="MS Mincho" w:hAnsi="Calibri" w:cs="Arial"/>
          <w:kern w:val="0"/>
          <w:sz w:val="22"/>
          <w:szCs w:val="22"/>
          <w:lang w:eastAsia="en-NZ"/>
          <w14:ligatures w14:val="none"/>
        </w:rPr>
        <w:fldChar w:fldCharType="end"/>
      </w:r>
    </w:p>
    <w:p w14:paraId="2F599F80" w14:textId="204C0376" w:rsidR="00B57283" w:rsidRPr="00F03917" w:rsidRDefault="00B57283" w:rsidP="005B653E">
      <w:pPr>
        <w:pStyle w:val="IntroHeading1"/>
        <w:rPr>
          <w:rFonts w:eastAsia="MS Gothic"/>
        </w:rPr>
      </w:pPr>
      <w:r w:rsidRPr="00F03917">
        <w:rPr>
          <w:rFonts w:eastAsia="MS Gothic"/>
        </w:rPr>
        <w:lastRenderedPageBreak/>
        <w:t>Figures</w:t>
      </w:r>
    </w:p>
    <w:p w14:paraId="13F12EA2" w14:textId="76F69D82" w:rsidR="004D028D" w:rsidRPr="00F03917" w:rsidRDefault="007F70BA">
      <w:pPr>
        <w:pStyle w:val="TableofFigures"/>
        <w:tabs>
          <w:tab w:val="right" w:pos="8495"/>
        </w:tabs>
        <w:rPr>
          <w:rFonts w:asciiTheme="minorHAnsi" w:eastAsiaTheme="minorEastAsia" w:hAnsiTheme="minorHAnsi"/>
          <w:noProof/>
          <w:kern w:val="2"/>
          <w14:ligatures w14:val="standardContextual"/>
        </w:rPr>
      </w:pPr>
      <w:r w:rsidRPr="00F03917">
        <w:rPr>
          <w:rFonts w:cs="Arial"/>
        </w:rPr>
        <w:fldChar w:fldCharType="begin"/>
      </w:r>
      <w:r w:rsidRPr="00F03917">
        <w:rPr>
          <w:rFonts w:cs="Arial"/>
        </w:rPr>
        <w:instrText xml:space="preserve"> TOC \h \z \t "Figure heading" \c </w:instrText>
      </w:r>
      <w:r w:rsidRPr="00F03917">
        <w:rPr>
          <w:rFonts w:cs="Arial"/>
        </w:rPr>
        <w:fldChar w:fldCharType="separate"/>
      </w:r>
      <w:hyperlink w:anchor="_Toc160098416" w:history="1">
        <w:r w:rsidR="004D028D" w:rsidRPr="00F03917">
          <w:rPr>
            <w:rStyle w:val="Hyperlink"/>
            <w:noProof/>
          </w:rPr>
          <w:t xml:space="preserve">Figure 1: </w:t>
        </w:r>
        <w:r w:rsidR="004D028D" w:rsidRPr="00F03917">
          <w:rPr>
            <w:rFonts w:asciiTheme="minorHAnsi" w:eastAsiaTheme="minorEastAsia" w:hAnsiTheme="minorHAnsi"/>
            <w:noProof/>
            <w:kern w:val="2"/>
            <w14:ligatures w14:val="standardContextual"/>
          </w:rPr>
          <w:tab/>
        </w:r>
        <w:r w:rsidR="004D028D" w:rsidRPr="00F03917">
          <w:rPr>
            <w:rStyle w:val="Hyperlink"/>
            <w:noProof/>
          </w:rPr>
          <w:t>Ten-step decision cycle</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_Toc160098416 \h </w:instrText>
        </w:r>
        <w:r w:rsidR="004D028D" w:rsidRPr="00F03917">
          <w:rPr>
            <w:noProof/>
            <w:webHidden/>
          </w:rPr>
        </w:r>
        <w:r w:rsidR="004D028D" w:rsidRPr="00F03917">
          <w:rPr>
            <w:noProof/>
            <w:webHidden/>
          </w:rPr>
          <w:fldChar w:fldCharType="separate"/>
        </w:r>
        <w:r w:rsidR="004F66AE">
          <w:rPr>
            <w:noProof/>
            <w:webHidden/>
          </w:rPr>
          <w:t>12</w:t>
        </w:r>
        <w:r w:rsidR="004D028D" w:rsidRPr="00F03917">
          <w:rPr>
            <w:noProof/>
            <w:webHidden/>
          </w:rPr>
          <w:fldChar w:fldCharType="end"/>
        </w:r>
      </w:hyperlink>
    </w:p>
    <w:p w14:paraId="2696C7A2" w14:textId="60E20DE2"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17" w:history="1">
        <w:r w:rsidR="004D028D" w:rsidRPr="00F03917">
          <w:rPr>
            <w:rStyle w:val="Hyperlink"/>
            <w:noProof/>
          </w:rPr>
          <w:t xml:space="preserve">Figure 2: </w:t>
        </w:r>
        <w:r w:rsidR="004D028D" w:rsidRPr="00F03917">
          <w:rPr>
            <w:rFonts w:asciiTheme="minorHAnsi" w:eastAsiaTheme="minorEastAsia" w:hAnsiTheme="minorHAnsi"/>
            <w:noProof/>
            <w:kern w:val="2"/>
            <w14:ligatures w14:val="standardContextual"/>
          </w:rPr>
          <w:tab/>
        </w:r>
        <w:r w:rsidR="004D028D" w:rsidRPr="00F03917">
          <w:rPr>
            <w:rStyle w:val="Hyperlink"/>
            <w:noProof/>
          </w:rPr>
          <w:t>Relationship between key instruments for managing natural hazards in the Aotearoa New Zealand coastal environment</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_Toc160098417 \h </w:instrText>
        </w:r>
        <w:r w:rsidR="004D028D" w:rsidRPr="00F03917">
          <w:rPr>
            <w:noProof/>
            <w:webHidden/>
          </w:rPr>
        </w:r>
        <w:r w:rsidR="004D028D" w:rsidRPr="00F03917">
          <w:rPr>
            <w:noProof/>
            <w:webHidden/>
          </w:rPr>
          <w:fldChar w:fldCharType="separate"/>
        </w:r>
        <w:r w:rsidR="004F66AE">
          <w:rPr>
            <w:noProof/>
            <w:webHidden/>
          </w:rPr>
          <w:t>15</w:t>
        </w:r>
        <w:r w:rsidR="004D028D" w:rsidRPr="00F03917">
          <w:rPr>
            <w:noProof/>
            <w:webHidden/>
          </w:rPr>
          <w:fldChar w:fldCharType="end"/>
        </w:r>
      </w:hyperlink>
    </w:p>
    <w:p w14:paraId="01754FF9" w14:textId="1251A043"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18" w:history="1">
        <w:r w:rsidR="004D028D" w:rsidRPr="00F03917">
          <w:rPr>
            <w:rStyle w:val="Hyperlink"/>
            <w:noProof/>
          </w:rPr>
          <w:t xml:space="preserve">Figure 3: </w:t>
        </w:r>
        <w:r w:rsidR="004D028D" w:rsidRPr="00F03917">
          <w:rPr>
            <w:rFonts w:asciiTheme="minorHAnsi" w:eastAsiaTheme="minorEastAsia" w:hAnsiTheme="minorHAnsi"/>
            <w:noProof/>
            <w:kern w:val="2"/>
            <w14:ligatures w14:val="standardContextual"/>
          </w:rPr>
          <w:tab/>
        </w:r>
        <w:r w:rsidR="004D028D" w:rsidRPr="00F03917">
          <w:rPr>
            <w:rStyle w:val="Hyperlink"/>
            <w:noProof/>
          </w:rPr>
          <w:t>Climate change driven hazards that generate coastal impacts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_Toc160098418 \h </w:instrText>
        </w:r>
        <w:r w:rsidR="004D028D" w:rsidRPr="00F03917">
          <w:rPr>
            <w:noProof/>
            <w:webHidden/>
          </w:rPr>
        </w:r>
        <w:r w:rsidR="004D028D" w:rsidRPr="00F03917">
          <w:rPr>
            <w:noProof/>
            <w:webHidden/>
          </w:rPr>
          <w:fldChar w:fldCharType="separate"/>
        </w:r>
        <w:r w:rsidR="004F66AE">
          <w:rPr>
            <w:noProof/>
            <w:webHidden/>
          </w:rPr>
          <w:t>23</w:t>
        </w:r>
        <w:r w:rsidR="004D028D" w:rsidRPr="00F03917">
          <w:rPr>
            <w:noProof/>
            <w:webHidden/>
          </w:rPr>
          <w:fldChar w:fldCharType="end"/>
        </w:r>
      </w:hyperlink>
    </w:p>
    <w:p w14:paraId="0C89A6D4" w14:textId="56D336AF"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19" w:history="1">
        <w:r w:rsidR="004D028D" w:rsidRPr="00F03917">
          <w:rPr>
            <w:rStyle w:val="Hyperlink"/>
            <w:noProof/>
          </w:rPr>
          <w:t xml:space="preserve">Figure 4: </w:t>
        </w:r>
        <w:r w:rsidR="004D028D" w:rsidRPr="00F03917">
          <w:rPr>
            <w:rFonts w:asciiTheme="minorHAnsi" w:eastAsiaTheme="minorEastAsia" w:hAnsiTheme="minorHAnsi"/>
            <w:noProof/>
            <w:kern w:val="2"/>
            <w14:ligatures w14:val="standardContextual"/>
          </w:rPr>
          <w:tab/>
        </w:r>
        <w:r w:rsidR="004D028D" w:rsidRPr="00F03917">
          <w:rPr>
            <w:rStyle w:val="Hyperlink"/>
            <w:noProof/>
          </w:rPr>
          <w:t>Regional coastal flood risk exposure for a 1 per cent annual exceedance probability event locally on top of a 1 metre sea-level rise</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_Toc160098419 \h </w:instrText>
        </w:r>
        <w:r w:rsidR="004D028D" w:rsidRPr="00F03917">
          <w:rPr>
            <w:noProof/>
            <w:webHidden/>
          </w:rPr>
        </w:r>
        <w:r w:rsidR="004D028D" w:rsidRPr="00F03917">
          <w:rPr>
            <w:noProof/>
            <w:webHidden/>
          </w:rPr>
          <w:fldChar w:fldCharType="separate"/>
        </w:r>
        <w:r w:rsidR="004F66AE">
          <w:rPr>
            <w:noProof/>
            <w:webHidden/>
          </w:rPr>
          <w:t>25</w:t>
        </w:r>
        <w:r w:rsidR="004D028D" w:rsidRPr="00F03917">
          <w:rPr>
            <w:noProof/>
            <w:webHidden/>
          </w:rPr>
          <w:fldChar w:fldCharType="end"/>
        </w:r>
      </w:hyperlink>
    </w:p>
    <w:p w14:paraId="17D1BC4E" w14:textId="2BF068DE"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20" w:history="1">
        <w:r w:rsidR="004D028D" w:rsidRPr="00F03917">
          <w:rPr>
            <w:rStyle w:val="Hyperlink"/>
            <w:noProof/>
          </w:rPr>
          <w:t xml:space="preserve">Figure 5: </w:t>
        </w:r>
        <w:r w:rsidR="004D028D" w:rsidRPr="00F03917">
          <w:rPr>
            <w:rFonts w:asciiTheme="minorHAnsi" w:eastAsiaTheme="minorEastAsia" w:hAnsiTheme="minorHAnsi"/>
            <w:noProof/>
            <w:kern w:val="2"/>
            <w14:ligatures w14:val="standardContextual"/>
          </w:rPr>
          <w:tab/>
        </w:r>
        <w:r w:rsidR="004D028D" w:rsidRPr="00F03917">
          <w:rPr>
            <w:rStyle w:val="Hyperlink"/>
            <w:noProof/>
          </w:rPr>
          <w:t>Types of adaptation options and actions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_Toc160098420 \h </w:instrText>
        </w:r>
        <w:r w:rsidR="004D028D" w:rsidRPr="00F03917">
          <w:rPr>
            <w:noProof/>
            <w:webHidden/>
          </w:rPr>
        </w:r>
        <w:r w:rsidR="004D028D" w:rsidRPr="00F03917">
          <w:rPr>
            <w:noProof/>
            <w:webHidden/>
          </w:rPr>
          <w:fldChar w:fldCharType="separate"/>
        </w:r>
        <w:r w:rsidR="004F66AE">
          <w:rPr>
            <w:noProof/>
            <w:webHidden/>
          </w:rPr>
          <w:t>28</w:t>
        </w:r>
        <w:r w:rsidR="004D028D" w:rsidRPr="00F03917">
          <w:rPr>
            <w:noProof/>
            <w:webHidden/>
          </w:rPr>
          <w:fldChar w:fldCharType="end"/>
        </w:r>
      </w:hyperlink>
    </w:p>
    <w:p w14:paraId="6431BE88" w14:textId="66B32888"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21" w:history="1">
        <w:r w:rsidR="004D028D" w:rsidRPr="00F03917">
          <w:rPr>
            <w:rStyle w:val="Hyperlink"/>
            <w:noProof/>
          </w:rPr>
          <w:t xml:space="preserve">Figure 6: </w:t>
        </w:r>
        <w:r w:rsidR="004D028D" w:rsidRPr="00F03917">
          <w:rPr>
            <w:rFonts w:asciiTheme="minorHAnsi" w:eastAsiaTheme="minorEastAsia" w:hAnsiTheme="minorHAnsi"/>
            <w:noProof/>
            <w:kern w:val="2"/>
            <w14:ligatures w14:val="standardContextual"/>
          </w:rPr>
          <w:tab/>
        </w:r>
        <w:r w:rsidR="004D028D" w:rsidRPr="00F03917">
          <w:rPr>
            <w:rStyle w:val="Hyperlink"/>
            <w:noProof/>
          </w:rPr>
          <w:t>Evolving and shrinking solution space to address sea-level rise</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_Toc160098421 \h </w:instrText>
        </w:r>
        <w:r w:rsidR="004D028D" w:rsidRPr="00F03917">
          <w:rPr>
            <w:noProof/>
            <w:webHidden/>
          </w:rPr>
        </w:r>
        <w:r w:rsidR="004D028D" w:rsidRPr="00F03917">
          <w:rPr>
            <w:noProof/>
            <w:webHidden/>
          </w:rPr>
          <w:fldChar w:fldCharType="separate"/>
        </w:r>
        <w:r w:rsidR="004F66AE">
          <w:rPr>
            <w:noProof/>
            <w:webHidden/>
          </w:rPr>
          <w:t>31</w:t>
        </w:r>
        <w:r w:rsidR="004D028D" w:rsidRPr="00F03917">
          <w:rPr>
            <w:noProof/>
            <w:webHidden/>
          </w:rPr>
          <w:fldChar w:fldCharType="end"/>
        </w:r>
      </w:hyperlink>
    </w:p>
    <w:p w14:paraId="636766D2" w14:textId="2508CEF5"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22" w:history="1">
        <w:r w:rsidR="004D028D" w:rsidRPr="00F03917">
          <w:rPr>
            <w:rStyle w:val="Hyperlink"/>
            <w:noProof/>
          </w:rPr>
          <w:t xml:space="preserve">Figure 7: </w:t>
        </w:r>
        <w:r w:rsidR="004D028D" w:rsidRPr="00F03917">
          <w:rPr>
            <w:rFonts w:asciiTheme="minorHAnsi" w:eastAsiaTheme="minorEastAsia" w:hAnsiTheme="minorHAnsi"/>
            <w:noProof/>
            <w:kern w:val="2"/>
            <w14:ligatures w14:val="standardContextual"/>
          </w:rPr>
          <w:tab/>
        </w:r>
        <w:r w:rsidR="004D028D" w:rsidRPr="00F03917">
          <w:rPr>
            <w:rStyle w:val="Hyperlink"/>
            <w:noProof/>
          </w:rPr>
          <w:t>Generic adaptation pathways for coastal cities and settlements to sea</w:t>
        </w:r>
        <w:r w:rsidR="004D028D" w:rsidRPr="00F03917">
          <w:rPr>
            <w:rStyle w:val="Hyperlink"/>
            <w:noProof/>
          </w:rPr>
          <w:noBreakHyphen/>
          <w:t>level rise</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_Toc160098422 \h </w:instrText>
        </w:r>
        <w:r w:rsidR="004D028D" w:rsidRPr="00F03917">
          <w:rPr>
            <w:noProof/>
            <w:webHidden/>
          </w:rPr>
        </w:r>
        <w:r w:rsidR="004D028D" w:rsidRPr="00F03917">
          <w:rPr>
            <w:noProof/>
            <w:webHidden/>
          </w:rPr>
          <w:fldChar w:fldCharType="separate"/>
        </w:r>
        <w:r w:rsidR="004F66AE">
          <w:rPr>
            <w:noProof/>
            <w:webHidden/>
          </w:rPr>
          <w:t>32</w:t>
        </w:r>
        <w:r w:rsidR="004D028D" w:rsidRPr="00F03917">
          <w:rPr>
            <w:noProof/>
            <w:webHidden/>
          </w:rPr>
          <w:fldChar w:fldCharType="end"/>
        </w:r>
      </w:hyperlink>
    </w:p>
    <w:p w14:paraId="10E06EBE" w14:textId="18D70B77"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23" w:history="1">
        <w:r w:rsidR="004D028D" w:rsidRPr="00F03917">
          <w:rPr>
            <w:rStyle w:val="Hyperlink"/>
            <w:noProof/>
          </w:rPr>
          <w:t xml:space="preserve">Figure 8: </w:t>
        </w:r>
        <w:r w:rsidR="004D028D" w:rsidRPr="00F03917">
          <w:rPr>
            <w:rFonts w:asciiTheme="minorHAnsi" w:eastAsiaTheme="minorEastAsia" w:hAnsiTheme="minorHAnsi"/>
            <w:noProof/>
            <w:kern w:val="2"/>
            <w14:ligatures w14:val="standardContextual"/>
          </w:rPr>
          <w:tab/>
        </w:r>
        <w:r w:rsidR="004D028D" w:rsidRPr="00F03917">
          <w:rPr>
            <w:rStyle w:val="Hyperlink"/>
            <w:noProof/>
          </w:rPr>
          <w:t>Change in annual mean sea level for the four main ports and Moturiki between 1900 and 2020, spliced with a range of New Zealand averaged sea-level rise projections based on shared socio-economic pathway scenarios to 2050</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_Toc160098423 \h </w:instrText>
        </w:r>
        <w:r w:rsidR="004D028D" w:rsidRPr="00F03917">
          <w:rPr>
            <w:noProof/>
            <w:webHidden/>
          </w:rPr>
        </w:r>
        <w:r w:rsidR="004D028D" w:rsidRPr="00F03917">
          <w:rPr>
            <w:noProof/>
            <w:webHidden/>
          </w:rPr>
          <w:fldChar w:fldCharType="separate"/>
        </w:r>
        <w:r w:rsidR="004F66AE">
          <w:rPr>
            <w:noProof/>
            <w:webHidden/>
          </w:rPr>
          <w:t>36</w:t>
        </w:r>
        <w:r w:rsidR="004D028D" w:rsidRPr="00F03917">
          <w:rPr>
            <w:noProof/>
            <w:webHidden/>
          </w:rPr>
          <w:fldChar w:fldCharType="end"/>
        </w:r>
      </w:hyperlink>
    </w:p>
    <w:p w14:paraId="0D052A72" w14:textId="75A56516"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24" w:history="1">
        <w:r w:rsidR="004D028D" w:rsidRPr="00F03917">
          <w:rPr>
            <w:rStyle w:val="Hyperlink"/>
            <w:noProof/>
          </w:rPr>
          <w:t xml:space="preserve">Figure 9: </w:t>
        </w:r>
        <w:r w:rsidR="004D028D" w:rsidRPr="00F03917">
          <w:rPr>
            <w:rFonts w:asciiTheme="minorHAnsi" w:eastAsiaTheme="minorEastAsia" w:hAnsiTheme="minorHAnsi"/>
            <w:noProof/>
            <w:kern w:val="2"/>
            <w14:ligatures w14:val="standardContextual"/>
          </w:rPr>
          <w:tab/>
        </w:r>
        <w:r w:rsidR="004D028D" w:rsidRPr="00F03917">
          <w:rPr>
            <w:rStyle w:val="Hyperlink"/>
            <w:noProof/>
          </w:rPr>
          <w:t>Averaged coastal vertical land movement around Aotearoa New Zealand</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_Toc160098424 \h </w:instrText>
        </w:r>
        <w:r w:rsidR="004D028D" w:rsidRPr="00F03917">
          <w:rPr>
            <w:noProof/>
            <w:webHidden/>
          </w:rPr>
        </w:r>
        <w:r w:rsidR="004D028D" w:rsidRPr="00F03917">
          <w:rPr>
            <w:noProof/>
            <w:webHidden/>
          </w:rPr>
          <w:fldChar w:fldCharType="separate"/>
        </w:r>
        <w:r w:rsidR="004F66AE">
          <w:rPr>
            <w:noProof/>
            <w:webHidden/>
          </w:rPr>
          <w:t>44</w:t>
        </w:r>
        <w:r w:rsidR="004D028D" w:rsidRPr="00F03917">
          <w:rPr>
            <w:noProof/>
            <w:webHidden/>
          </w:rPr>
          <w:fldChar w:fldCharType="end"/>
        </w:r>
      </w:hyperlink>
    </w:p>
    <w:p w14:paraId="1A3A0C77" w14:textId="31C64CB3"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25" w:history="1">
        <w:r w:rsidR="004D028D" w:rsidRPr="00F03917">
          <w:rPr>
            <w:rStyle w:val="Hyperlink"/>
            <w:noProof/>
          </w:rPr>
          <w:t xml:space="preserve">Figure 10: </w:t>
        </w:r>
        <w:r w:rsidR="004D028D" w:rsidRPr="00F03917">
          <w:rPr>
            <w:rFonts w:asciiTheme="minorHAnsi" w:eastAsiaTheme="minorEastAsia" w:hAnsiTheme="minorHAnsi"/>
            <w:noProof/>
            <w:kern w:val="2"/>
            <w14:ligatures w14:val="standardContextual"/>
          </w:rPr>
          <w:tab/>
        </w:r>
        <w:r w:rsidR="004D028D" w:rsidRPr="00F03917">
          <w:rPr>
            <w:rStyle w:val="Hyperlink"/>
            <w:noProof/>
          </w:rPr>
          <w:t>Recommended sea-level rise (SLR) projections (excluding vertical land movement) based on shared socio-economic pathways scenarios (SSP) (from a central location, broadly representative of SLR across Aotearoa New Zealand)</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_Toc160098425 \h </w:instrText>
        </w:r>
        <w:r w:rsidR="004D028D" w:rsidRPr="00F03917">
          <w:rPr>
            <w:noProof/>
            <w:webHidden/>
          </w:rPr>
        </w:r>
        <w:r w:rsidR="004D028D" w:rsidRPr="00F03917">
          <w:rPr>
            <w:noProof/>
            <w:webHidden/>
          </w:rPr>
          <w:fldChar w:fldCharType="separate"/>
        </w:r>
        <w:r w:rsidR="004F66AE">
          <w:rPr>
            <w:noProof/>
            <w:webHidden/>
          </w:rPr>
          <w:t>47</w:t>
        </w:r>
        <w:r w:rsidR="004D028D" w:rsidRPr="00F03917">
          <w:rPr>
            <w:noProof/>
            <w:webHidden/>
          </w:rPr>
          <w:fldChar w:fldCharType="end"/>
        </w:r>
      </w:hyperlink>
    </w:p>
    <w:p w14:paraId="3FFCFBC9" w14:textId="0BC4D4A0"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26" w:history="1">
        <w:r w:rsidR="004D028D" w:rsidRPr="00F03917">
          <w:rPr>
            <w:rStyle w:val="Hyperlink"/>
            <w:noProof/>
          </w:rPr>
          <w:t xml:space="preserve">Figure 11: </w:t>
        </w:r>
        <w:r w:rsidR="004D028D" w:rsidRPr="00F03917">
          <w:rPr>
            <w:rFonts w:asciiTheme="minorHAnsi" w:eastAsiaTheme="minorEastAsia" w:hAnsiTheme="minorHAnsi"/>
            <w:noProof/>
            <w:kern w:val="2"/>
            <w14:ligatures w14:val="standardContextual"/>
          </w:rPr>
          <w:tab/>
        </w:r>
        <w:r w:rsidR="004D028D" w:rsidRPr="00F03917">
          <w:rPr>
            <w:rStyle w:val="Hyperlink"/>
            <w:noProof/>
          </w:rPr>
          <w:t>Example of an uncertainty framework for coastal hazard assessments to support the dynamic adaptive pathways planning approach</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_Toc160098426 \h </w:instrText>
        </w:r>
        <w:r w:rsidR="004D028D" w:rsidRPr="00F03917">
          <w:rPr>
            <w:noProof/>
            <w:webHidden/>
          </w:rPr>
        </w:r>
        <w:r w:rsidR="004D028D" w:rsidRPr="00F03917">
          <w:rPr>
            <w:noProof/>
            <w:webHidden/>
          </w:rPr>
          <w:fldChar w:fldCharType="separate"/>
        </w:r>
        <w:r w:rsidR="004F66AE">
          <w:rPr>
            <w:noProof/>
            <w:webHidden/>
          </w:rPr>
          <w:t>63</w:t>
        </w:r>
        <w:r w:rsidR="004D028D" w:rsidRPr="00F03917">
          <w:rPr>
            <w:noProof/>
            <w:webHidden/>
          </w:rPr>
          <w:fldChar w:fldCharType="end"/>
        </w:r>
      </w:hyperlink>
    </w:p>
    <w:p w14:paraId="67541D97" w14:textId="22CE9725"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27" w:history="1">
        <w:r w:rsidR="004D028D" w:rsidRPr="00F03917">
          <w:rPr>
            <w:rStyle w:val="Hyperlink"/>
            <w:noProof/>
          </w:rPr>
          <w:t xml:space="preserve">Figure 12: </w:t>
        </w:r>
        <w:r w:rsidR="004D028D" w:rsidRPr="00F03917">
          <w:rPr>
            <w:rFonts w:asciiTheme="minorHAnsi" w:eastAsiaTheme="minorEastAsia" w:hAnsiTheme="minorHAnsi"/>
            <w:noProof/>
            <w:kern w:val="2"/>
            <w14:ligatures w14:val="standardContextual"/>
          </w:rPr>
          <w:tab/>
        </w:r>
        <w:r w:rsidR="004D028D" w:rsidRPr="00F03917">
          <w:rPr>
            <w:rStyle w:val="Hyperlink"/>
            <w:noProof/>
          </w:rPr>
          <w:t>Areas flooded from 0.1 metre sea-level rise increments on extreme coastal storm inundation exposure at Mission Bay, Auckland</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_Toc160098427 \h </w:instrText>
        </w:r>
        <w:r w:rsidR="004D028D" w:rsidRPr="00F03917">
          <w:rPr>
            <w:noProof/>
            <w:webHidden/>
          </w:rPr>
        </w:r>
        <w:r w:rsidR="004D028D" w:rsidRPr="00F03917">
          <w:rPr>
            <w:noProof/>
            <w:webHidden/>
          </w:rPr>
          <w:fldChar w:fldCharType="separate"/>
        </w:r>
        <w:r w:rsidR="004F66AE">
          <w:rPr>
            <w:noProof/>
            <w:webHidden/>
          </w:rPr>
          <w:t>69</w:t>
        </w:r>
        <w:r w:rsidR="004D028D" w:rsidRPr="00F03917">
          <w:rPr>
            <w:noProof/>
            <w:webHidden/>
          </w:rPr>
          <w:fldChar w:fldCharType="end"/>
        </w:r>
      </w:hyperlink>
    </w:p>
    <w:p w14:paraId="21002650" w14:textId="2D010C83"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28" w:history="1">
        <w:r w:rsidR="004D028D" w:rsidRPr="00F03917">
          <w:rPr>
            <w:rStyle w:val="Hyperlink"/>
            <w:noProof/>
          </w:rPr>
          <w:t xml:space="preserve">Figure 13: </w:t>
        </w:r>
        <w:r w:rsidR="004D028D" w:rsidRPr="00F03917">
          <w:rPr>
            <w:rFonts w:asciiTheme="minorHAnsi" w:eastAsiaTheme="minorEastAsia" w:hAnsiTheme="minorHAnsi"/>
            <w:noProof/>
            <w:kern w:val="2"/>
            <w14:ligatures w14:val="standardContextual"/>
          </w:rPr>
          <w:tab/>
        </w:r>
        <w:r w:rsidR="004D028D" w:rsidRPr="00F03917">
          <w:rPr>
            <w:rStyle w:val="Hyperlink"/>
            <w:noProof/>
          </w:rPr>
          <w:t>Depth of inundation at Mission Bay, Auckland, for a 1 per cent annual exceedance probability storm tide covering present-day mean sea level and two relative sea-level rise height increments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_Toc160098428 \h </w:instrText>
        </w:r>
        <w:r w:rsidR="004D028D" w:rsidRPr="00F03917">
          <w:rPr>
            <w:noProof/>
            <w:webHidden/>
          </w:rPr>
        </w:r>
        <w:r w:rsidR="004D028D" w:rsidRPr="00F03917">
          <w:rPr>
            <w:noProof/>
            <w:webHidden/>
          </w:rPr>
          <w:fldChar w:fldCharType="separate"/>
        </w:r>
        <w:r w:rsidR="004F66AE">
          <w:rPr>
            <w:noProof/>
            <w:webHidden/>
          </w:rPr>
          <w:t>70</w:t>
        </w:r>
        <w:r w:rsidR="004D028D" w:rsidRPr="00F03917">
          <w:rPr>
            <w:noProof/>
            <w:webHidden/>
          </w:rPr>
          <w:fldChar w:fldCharType="end"/>
        </w:r>
      </w:hyperlink>
    </w:p>
    <w:p w14:paraId="1DCA9997" w14:textId="56F752D9"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29" w:history="1">
        <w:r w:rsidR="004D028D" w:rsidRPr="00F03917">
          <w:rPr>
            <w:rStyle w:val="Hyperlink"/>
            <w:noProof/>
          </w:rPr>
          <w:t xml:space="preserve">Figure 14: </w:t>
        </w:r>
        <w:r w:rsidR="004D028D" w:rsidRPr="00F03917">
          <w:rPr>
            <w:rFonts w:asciiTheme="minorHAnsi" w:eastAsiaTheme="minorEastAsia" w:hAnsiTheme="minorHAnsi"/>
            <w:noProof/>
            <w:kern w:val="2"/>
            <w14:ligatures w14:val="standardContextual"/>
          </w:rPr>
          <w:tab/>
        </w:r>
        <w:r w:rsidR="004D028D" w:rsidRPr="00F03917">
          <w:rPr>
            <w:rStyle w:val="Hyperlink"/>
            <w:noProof/>
          </w:rPr>
          <w:t>Frequency of inundation (exceedances per year) at Mission Bay, Auckland, for a 1 per cent annual exceedance probability storm tide, covering present-day mean sea level and two relative sea-level rise height increments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_Toc160098429 \h </w:instrText>
        </w:r>
        <w:r w:rsidR="004D028D" w:rsidRPr="00F03917">
          <w:rPr>
            <w:noProof/>
            <w:webHidden/>
          </w:rPr>
        </w:r>
        <w:r w:rsidR="004D028D" w:rsidRPr="00F03917">
          <w:rPr>
            <w:noProof/>
            <w:webHidden/>
          </w:rPr>
          <w:fldChar w:fldCharType="separate"/>
        </w:r>
        <w:r w:rsidR="004F66AE">
          <w:rPr>
            <w:noProof/>
            <w:webHidden/>
          </w:rPr>
          <w:t>70</w:t>
        </w:r>
        <w:r w:rsidR="004D028D" w:rsidRPr="00F03917">
          <w:rPr>
            <w:noProof/>
            <w:webHidden/>
          </w:rPr>
          <w:fldChar w:fldCharType="end"/>
        </w:r>
      </w:hyperlink>
    </w:p>
    <w:p w14:paraId="0072F71F" w14:textId="4709A0BB"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30" w:history="1">
        <w:r w:rsidR="004D028D" w:rsidRPr="00F03917">
          <w:rPr>
            <w:rStyle w:val="Hyperlink"/>
            <w:noProof/>
          </w:rPr>
          <w:t xml:space="preserve">Figure 15: </w:t>
        </w:r>
        <w:r w:rsidR="004D028D" w:rsidRPr="00F03917">
          <w:rPr>
            <w:rFonts w:asciiTheme="minorHAnsi" w:eastAsiaTheme="minorEastAsia" w:hAnsiTheme="minorHAnsi"/>
            <w:noProof/>
            <w:kern w:val="2"/>
            <w14:ligatures w14:val="standardContextual"/>
          </w:rPr>
          <w:tab/>
        </w:r>
        <w:r w:rsidR="004D028D" w:rsidRPr="00F03917">
          <w:rPr>
            <w:rStyle w:val="Hyperlink"/>
            <w:noProof/>
          </w:rPr>
          <w:t>Three intersecting components of risk, all increasing over time</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_Toc160098430 \h </w:instrText>
        </w:r>
        <w:r w:rsidR="004D028D" w:rsidRPr="00F03917">
          <w:rPr>
            <w:noProof/>
            <w:webHidden/>
          </w:rPr>
        </w:r>
        <w:r w:rsidR="004D028D" w:rsidRPr="00F03917">
          <w:rPr>
            <w:noProof/>
            <w:webHidden/>
          </w:rPr>
          <w:fldChar w:fldCharType="separate"/>
        </w:r>
        <w:r w:rsidR="004F66AE">
          <w:rPr>
            <w:noProof/>
            <w:webHidden/>
          </w:rPr>
          <w:t>80</w:t>
        </w:r>
        <w:r w:rsidR="004D028D" w:rsidRPr="00F03917">
          <w:rPr>
            <w:noProof/>
            <w:webHidden/>
          </w:rPr>
          <w:fldChar w:fldCharType="end"/>
        </w:r>
      </w:hyperlink>
    </w:p>
    <w:p w14:paraId="557F1BC1" w14:textId="4B22883B"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31" w:history="1">
        <w:r w:rsidR="004D028D" w:rsidRPr="00F03917">
          <w:rPr>
            <w:rStyle w:val="Hyperlink"/>
            <w:noProof/>
          </w:rPr>
          <w:t xml:space="preserve">Figure 16: </w:t>
        </w:r>
        <w:r w:rsidR="004D028D" w:rsidRPr="00F03917">
          <w:rPr>
            <w:rFonts w:asciiTheme="minorHAnsi" w:eastAsiaTheme="minorEastAsia" w:hAnsiTheme="minorHAnsi"/>
            <w:noProof/>
            <w:kern w:val="2"/>
            <w14:ligatures w14:val="standardContextual"/>
          </w:rPr>
          <w:tab/>
        </w:r>
        <w:r w:rsidR="004D028D" w:rsidRPr="00F03917">
          <w:rPr>
            <w:rStyle w:val="Hyperlink"/>
            <w:noProof/>
          </w:rPr>
          <w:t>Generic example of an impact or cascades chain that can be created through participatory workshops and hui, underpinned by relevant hazard and risk exposure mapping</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_Toc160098431 \h </w:instrText>
        </w:r>
        <w:r w:rsidR="004D028D" w:rsidRPr="00F03917">
          <w:rPr>
            <w:noProof/>
            <w:webHidden/>
          </w:rPr>
        </w:r>
        <w:r w:rsidR="004D028D" w:rsidRPr="00F03917">
          <w:rPr>
            <w:noProof/>
            <w:webHidden/>
          </w:rPr>
          <w:fldChar w:fldCharType="separate"/>
        </w:r>
        <w:r w:rsidR="004F66AE">
          <w:rPr>
            <w:noProof/>
            <w:webHidden/>
          </w:rPr>
          <w:t>82</w:t>
        </w:r>
        <w:r w:rsidR="004D028D" w:rsidRPr="00F03917">
          <w:rPr>
            <w:noProof/>
            <w:webHidden/>
          </w:rPr>
          <w:fldChar w:fldCharType="end"/>
        </w:r>
      </w:hyperlink>
    </w:p>
    <w:p w14:paraId="08589D80" w14:textId="20A36E82"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32" w:history="1">
        <w:r w:rsidR="004D028D" w:rsidRPr="00F03917">
          <w:rPr>
            <w:rStyle w:val="Hyperlink"/>
            <w:noProof/>
          </w:rPr>
          <w:t xml:space="preserve">Figure 17: </w:t>
        </w:r>
        <w:r w:rsidR="004D028D" w:rsidRPr="00F03917">
          <w:rPr>
            <w:rFonts w:asciiTheme="minorHAnsi" w:eastAsiaTheme="minorEastAsia" w:hAnsiTheme="minorHAnsi"/>
            <w:noProof/>
            <w:kern w:val="2"/>
            <w14:ligatures w14:val="standardContextual"/>
          </w:rPr>
          <w:tab/>
        </w:r>
        <w:r w:rsidR="004D028D" w:rsidRPr="00F03917">
          <w:rPr>
            <w:rStyle w:val="Hyperlink"/>
            <w:noProof/>
          </w:rPr>
          <w:t>Effect on level of risk over time for incremental or a precautionary approach to adaptation relative to a local adaptation threshold (or risk tolerance threshold)</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_Toc160098432 \h </w:instrText>
        </w:r>
        <w:r w:rsidR="004D028D" w:rsidRPr="00F03917">
          <w:rPr>
            <w:noProof/>
            <w:webHidden/>
          </w:rPr>
        </w:r>
        <w:r w:rsidR="004D028D" w:rsidRPr="00F03917">
          <w:rPr>
            <w:noProof/>
            <w:webHidden/>
          </w:rPr>
          <w:fldChar w:fldCharType="separate"/>
        </w:r>
        <w:r w:rsidR="004F66AE">
          <w:rPr>
            <w:noProof/>
            <w:webHidden/>
          </w:rPr>
          <w:t>84</w:t>
        </w:r>
        <w:r w:rsidR="004D028D" w:rsidRPr="00F03917">
          <w:rPr>
            <w:noProof/>
            <w:webHidden/>
          </w:rPr>
          <w:fldChar w:fldCharType="end"/>
        </w:r>
      </w:hyperlink>
    </w:p>
    <w:p w14:paraId="4A9EE308" w14:textId="177BBBD5"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33" w:history="1">
        <w:r w:rsidR="004D028D" w:rsidRPr="00F03917">
          <w:rPr>
            <w:rStyle w:val="Hyperlink"/>
            <w:noProof/>
          </w:rPr>
          <w:t xml:space="preserve">Figure 18: </w:t>
        </w:r>
        <w:r w:rsidR="004D028D" w:rsidRPr="00F03917">
          <w:rPr>
            <w:rFonts w:asciiTheme="minorHAnsi" w:eastAsiaTheme="minorEastAsia" w:hAnsiTheme="minorHAnsi"/>
            <w:noProof/>
            <w:kern w:val="2"/>
            <w14:ligatures w14:val="standardContextual"/>
          </w:rPr>
          <w:tab/>
        </w:r>
        <w:r w:rsidR="004D028D" w:rsidRPr="00F03917">
          <w:rPr>
            <w:rStyle w:val="Hyperlink"/>
            <w:noProof/>
          </w:rPr>
          <w:t>Suggested workflow for a first pass coastal risk-screening assessment</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_Toc160098433 \h </w:instrText>
        </w:r>
        <w:r w:rsidR="004D028D" w:rsidRPr="00F03917">
          <w:rPr>
            <w:noProof/>
            <w:webHidden/>
          </w:rPr>
        </w:r>
        <w:r w:rsidR="004D028D" w:rsidRPr="00F03917">
          <w:rPr>
            <w:noProof/>
            <w:webHidden/>
          </w:rPr>
          <w:fldChar w:fldCharType="separate"/>
        </w:r>
        <w:r w:rsidR="004F66AE">
          <w:rPr>
            <w:noProof/>
            <w:webHidden/>
          </w:rPr>
          <w:t>92</w:t>
        </w:r>
        <w:r w:rsidR="004D028D" w:rsidRPr="00F03917">
          <w:rPr>
            <w:noProof/>
            <w:webHidden/>
          </w:rPr>
          <w:fldChar w:fldCharType="end"/>
        </w:r>
      </w:hyperlink>
    </w:p>
    <w:p w14:paraId="4C789833" w14:textId="69C9682F"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34" w:history="1">
        <w:r w:rsidR="004D028D" w:rsidRPr="00F03917">
          <w:rPr>
            <w:rStyle w:val="Hyperlink"/>
            <w:noProof/>
          </w:rPr>
          <w:t xml:space="preserve">Figure 19: </w:t>
        </w:r>
        <w:r w:rsidR="004D028D" w:rsidRPr="00F03917">
          <w:rPr>
            <w:rFonts w:asciiTheme="minorHAnsi" w:eastAsiaTheme="minorEastAsia" w:hAnsiTheme="minorHAnsi"/>
            <w:noProof/>
            <w:kern w:val="2"/>
            <w14:ligatures w14:val="standardContextual"/>
          </w:rPr>
          <w:tab/>
        </w:r>
        <w:r w:rsidR="004D028D" w:rsidRPr="00F03917">
          <w:rPr>
            <w:rStyle w:val="Hyperlink"/>
            <w:noProof/>
          </w:rPr>
          <w:t>Suggested workflow for a detailed coastal risk assessment</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_Toc160098434 \h </w:instrText>
        </w:r>
        <w:r w:rsidR="004D028D" w:rsidRPr="00F03917">
          <w:rPr>
            <w:noProof/>
            <w:webHidden/>
          </w:rPr>
        </w:r>
        <w:r w:rsidR="004D028D" w:rsidRPr="00F03917">
          <w:rPr>
            <w:noProof/>
            <w:webHidden/>
          </w:rPr>
          <w:fldChar w:fldCharType="separate"/>
        </w:r>
        <w:r w:rsidR="004F66AE">
          <w:rPr>
            <w:noProof/>
            <w:webHidden/>
          </w:rPr>
          <w:t>95</w:t>
        </w:r>
        <w:r w:rsidR="004D028D" w:rsidRPr="00F03917">
          <w:rPr>
            <w:noProof/>
            <w:webHidden/>
          </w:rPr>
          <w:fldChar w:fldCharType="end"/>
        </w:r>
      </w:hyperlink>
    </w:p>
    <w:p w14:paraId="4973C4C1" w14:textId="401DB3C5"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35" w:history="1">
        <w:r w:rsidR="004D028D" w:rsidRPr="00F03917">
          <w:rPr>
            <w:rStyle w:val="Hyperlink"/>
            <w:noProof/>
          </w:rPr>
          <w:t xml:space="preserve">Figure 20: </w:t>
        </w:r>
        <w:r w:rsidR="004D028D" w:rsidRPr="00F03917">
          <w:rPr>
            <w:rFonts w:asciiTheme="minorHAnsi" w:eastAsiaTheme="minorEastAsia" w:hAnsiTheme="minorHAnsi"/>
            <w:noProof/>
            <w:kern w:val="2"/>
            <w14:ligatures w14:val="standardContextual"/>
          </w:rPr>
          <w:tab/>
        </w:r>
        <w:r w:rsidR="004D028D" w:rsidRPr="00F03917">
          <w:rPr>
            <w:rStyle w:val="Hyperlink"/>
            <w:noProof/>
          </w:rPr>
          <w:t>Typical lifetimes of different options for avoiding lock-in</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_Toc160098435 \h </w:instrText>
        </w:r>
        <w:r w:rsidR="004D028D" w:rsidRPr="00F03917">
          <w:rPr>
            <w:noProof/>
            <w:webHidden/>
          </w:rPr>
        </w:r>
        <w:r w:rsidR="004D028D" w:rsidRPr="00F03917">
          <w:rPr>
            <w:noProof/>
            <w:webHidden/>
          </w:rPr>
          <w:fldChar w:fldCharType="separate"/>
        </w:r>
        <w:r w:rsidR="004F66AE">
          <w:rPr>
            <w:noProof/>
            <w:webHidden/>
          </w:rPr>
          <w:t>105</w:t>
        </w:r>
        <w:r w:rsidR="004D028D" w:rsidRPr="00F03917">
          <w:rPr>
            <w:noProof/>
            <w:webHidden/>
          </w:rPr>
          <w:fldChar w:fldCharType="end"/>
        </w:r>
      </w:hyperlink>
    </w:p>
    <w:p w14:paraId="794FECFD" w14:textId="1632E886"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36" w:history="1">
        <w:r w:rsidR="004D028D" w:rsidRPr="00F03917">
          <w:rPr>
            <w:rStyle w:val="Hyperlink"/>
            <w:noProof/>
          </w:rPr>
          <w:t>Figure 21:</w:t>
        </w:r>
        <w:r w:rsidR="004D028D" w:rsidRPr="00F03917">
          <w:rPr>
            <w:rFonts w:asciiTheme="minorHAnsi" w:eastAsiaTheme="minorEastAsia" w:hAnsiTheme="minorHAnsi"/>
            <w:noProof/>
            <w:kern w:val="2"/>
            <w14:ligatures w14:val="standardContextual"/>
          </w:rPr>
          <w:tab/>
        </w:r>
        <w:r w:rsidR="004D028D" w:rsidRPr="00F03917">
          <w:rPr>
            <w:rStyle w:val="Hyperlink"/>
            <w:noProof/>
          </w:rPr>
          <w:t>A dynamic adaptive pathways planning map</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_Toc160098436 \h </w:instrText>
        </w:r>
        <w:r w:rsidR="004D028D" w:rsidRPr="00F03917">
          <w:rPr>
            <w:noProof/>
            <w:webHidden/>
          </w:rPr>
        </w:r>
        <w:r w:rsidR="004D028D" w:rsidRPr="00F03917">
          <w:rPr>
            <w:noProof/>
            <w:webHidden/>
          </w:rPr>
          <w:fldChar w:fldCharType="separate"/>
        </w:r>
        <w:r w:rsidR="004F66AE">
          <w:rPr>
            <w:noProof/>
            <w:webHidden/>
          </w:rPr>
          <w:t>107</w:t>
        </w:r>
        <w:r w:rsidR="004D028D" w:rsidRPr="00F03917">
          <w:rPr>
            <w:noProof/>
            <w:webHidden/>
          </w:rPr>
          <w:fldChar w:fldCharType="end"/>
        </w:r>
      </w:hyperlink>
    </w:p>
    <w:p w14:paraId="0A438DB0" w14:textId="7055CFE8"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37" w:history="1">
        <w:r w:rsidR="004D028D" w:rsidRPr="00F03917">
          <w:rPr>
            <w:rStyle w:val="Hyperlink"/>
            <w:noProof/>
          </w:rPr>
          <w:t xml:space="preserve">Figure 22: </w:t>
        </w:r>
        <w:r w:rsidR="004D028D" w:rsidRPr="00F03917">
          <w:rPr>
            <w:rFonts w:asciiTheme="minorHAnsi" w:eastAsiaTheme="minorEastAsia" w:hAnsiTheme="minorHAnsi"/>
            <w:noProof/>
            <w:kern w:val="2"/>
            <w14:ligatures w14:val="standardContextual"/>
          </w:rPr>
          <w:tab/>
        </w:r>
        <w:r w:rsidR="004D028D" w:rsidRPr="00F03917">
          <w:rPr>
            <w:rStyle w:val="Hyperlink"/>
            <w:noProof/>
          </w:rPr>
          <w:t>Signals and triggers linked to the adaptation threshold</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_Toc160098437 \h </w:instrText>
        </w:r>
        <w:r w:rsidR="004D028D" w:rsidRPr="00F03917">
          <w:rPr>
            <w:noProof/>
            <w:webHidden/>
          </w:rPr>
        </w:r>
        <w:r w:rsidR="004D028D" w:rsidRPr="00F03917">
          <w:rPr>
            <w:noProof/>
            <w:webHidden/>
          </w:rPr>
          <w:fldChar w:fldCharType="separate"/>
        </w:r>
        <w:r w:rsidR="004F66AE">
          <w:rPr>
            <w:noProof/>
            <w:webHidden/>
          </w:rPr>
          <w:t>114</w:t>
        </w:r>
        <w:r w:rsidR="004D028D" w:rsidRPr="00F03917">
          <w:rPr>
            <w:noProof/>
            <w:webHidden/>
          </w:rPr>
          <w:fldChar w:fldCharType="end"/>
        </w:r>
      </w:hyperlink>
    </w:p>
    <w:p w14:paraId="5C9F6271" w14:textId="0D9F4602"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38" w:history="1">
        <w:r w:rsidR="004D028D" w:rsidRPr="00F03917">
          <w:rPr>
            <w:rStyle w:val="Hyperlink"/>
            <w:noProof/>
          </w:rPr>
          <w:t xml:space="preserve">Figure 23: </w:t>
        </w:r>
        <w:r w:rsidR="004D028D" w:rsidRPr="00F03917">
          <w:rPr>
            <w:rFonts w:asciiTheme="minorHAnsi" w:eastAsiaTheme="minorEastAsia" w:hAnsiTheme="minorHAnsi"/>
            <w:noProof/>
            <w:kern w:val="2"/>
            <w14:ligatures w14:val="standardContextual"/>
          </w:rPr>
          <w:tab/>
        </w:r>
        <w:r w:rsidR="004D028D" w:rsidRPr="00F03917">
          <w:rPr>
            <w:rStyle w:val="Hyperlink"/>
            <w:noProof/>
          </w:rPr>
          <w:t>Coastal hazard management under Resource Management Act 1991 policy and plans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_Toc160098438 \h </w:instrText>
        </w:r>
        <w:r w:rsidR="004D028D" w:rsidRPr="00F03917">
          <w:rPr>
            <w:noProof/>
            <w:webHidden/>
          </w:rPr>
        </w:r>
        <w:r w:rsidR="004D028D" w:rsidRPr="00F03917">
          <w:rPr>
            <w:noProof/>
            <w:webHidden/>
          </w:rPr>
          <w:fldChar w:fldCharType="separate"/>
        </w:r>
        <w:r w:rsidR="004F66AE">
          <w:rPr>
            <w:noProof/>
            <w:webHidden/>
          </w:rPr>
          <w:t>119</w:t>
        </w:r>
        <w:r w:rsidR="004D028D" w:rsidRPr="00F03917">
          <w:rPr>
            <w:noProof/>
            <w:webHidden/>
          </w:rPr>
          <w:fldChar w:fldCharType="end"/>
        </w:r>
      </w:hyperlink>
    </w:p>
    <w:p w14:paraId="69906A28" w14:textId="60F6A223"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39" w:history="1">
        <w:r w:rsidR="004D028D" w:rsidRPr="00F03917">
          <w:rPr>
            <w:rStyle w:val="Hyperlink"/>
            <w:noProof/>
            <w:shd w:val="clear" w:color="auto" w:fill="FFFFFF"/>
          </w:rPr>
          <w:t xml:space="preserve">Figure 24: </w:t>
        </w:r>
        <w:r w:rsidR="004D028D" w:rsidRPr="00F03917">
          <w:rPr>
            <w:rFonts w:asciiTheme="minorHAnsi" w:eastAsiaTheme="minorEastAsia" w:hAnsiTheme="minorHAnsi"/>
            <w:noProof/>
            <w:kern w:val="2"/>
            <w14:ligatures w14:val="standardContextual"/>
          </w:rPr>
          <w:tab/>
        </w:r>
        <w:r w:rsidR="004D028D" w:rsidRPr="00F03917">
          <w:rPr>
            <w:rStyle w:val="Hyperlink"/>
            <w:noProof/>
            <w:shd w:val="clear" w:color="auto" w:fill="FFFFFF"/>
          </w:rPr>
          <w:t>Broad New Zealand Coastal Policy Statement 2010 decision context for coastal areas exposed to coastal hazards and climate change</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_Toc160098439 \h </w:instrText>
        </w:r>
        <w:r w:rsidR="004D028D" w:rsidRPr="00F03917">
          <w:rPr>
            <w:noProof/>
            <w:webHidden/>
          </w:rPr>
        </w:r>
        <w:r w:rsidR="004D028D" w:rsidRPr="00F03917">
          <w:rPr>
            <w:noProof/>
            <w:webHidden/>
          </w:rPr>
          <w:fldChar w:fldCharType="separate"/>
        </w:r>
        <w:r w:rsidR="004F66AE">
          <w:rPr>
            <w:noProof/>
            <w:webHidden/>
          </w:rPr>
          <w:t>122</w:t>
        </w:r>
        <w:r w:rsidR="004D028D" w:rsidRPr="00F03917">
          <w:rPr>
            <w:noProof/>
            <w:webHidden/>
          </w:rPr>
          <w:fldChar w:fldCharType="end"/>
        </w:r>
      </w:hyperlink>
    </w:p>
    <w:p w14:paraId="644569F4" w14:textId="3780CC5E"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40" w:history="1">
        <w:r w:rsidR="004D028D" w:rsidRPr="00F03917">
          <w:rPr>
            <w:rStyle w:val="Hyperlink"/>
            <w:noProof/>
          </w:rPr>
          <w:t>Figure A.1:</w:t>
        </w:r>
        <w:r w:rsidR="004D028D" w:rsidRPr="00F03917">
          <w:rPr>
            <w:rFonts w:asciiTheme="minorHAnsi" w:eastAsiaTheme="minorEastAsia" w:hAnsiTheme="minorHAnsi"/>
            <w:noProof/>
            <w:kern w:val="2"/>
            <w14:ligatures w14:val="standardContextual"/>
          </w:rPr>
          <w:tab/>
        </w:r>
        <w:r w:rsidR="004D028D" w:rsidRPr="00F03917">
          <w:rPr>
            <w:rStyle w:val="Hyperlink"/>
            <w:noProof/>
          </w:rPr>
          <w:t>Current mean high water spring tide and a future upper-range coastal storm inundation for a 0.5 metre sea-level rise at Thames using the coastal inundation tool</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_Toc160098440 \h </w:instrText>
        </w:r>
        <w:r w:rsidR="004D028D" w:rsidRPr="00F03917">
          <w:rPr>
            <w:noProof/>
            <w:webHidden/>
          </w:rPr>
        </w:r>
        <w:r w:rsidR="004D028D" w:rsidRPr="00F03917">
          <w:rPr>
            <w:noProof/>
            <w:webHidden/>
          </w:rPr>
          <w:fldChar w:fldCharType="separate"/>
        </w:r>
        <w:r w:rsidR="004F66AE">
          <w:rPr>
            <w:noProof/>
            <w:webHidden/>
          </w:rPr>
          <w:t>146</w:t>
        </w:r>
        <w:r w:rsidR="004D028D" w:rsidRPr="00F03917">
          <w:rPr>
            <w:noProof/>
            <w:webHidden/>
          </w:rPr>
          <w:fldChar w:fldCharType="end"/>
        </w:r>
      </w:hyperlink>
    </w:p>
    <w:p w14:paraId="55FEA548" w14:textId="520F3C22"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41" w:history="1">
        <w:r w:rsidR="004D028D" w:rsidRPr="00F03917">
          <w:rPr>
            <w:rStyle w:val="Hyperlink"/>
            <w:noProof/>
          </w:rPr>
          <w:t xml:space="preserve">Figure A.2: </w:t>
        </w:r>
        <w:r w:rsidR="004D028D" w:rsidRPr="00F03917">
          <w:rPr>
            <w:rFonts w:asciiTheme="minorHAnsi" w:eastAsiaTheme="minorEastAsia" w:hAnsiTheme="minorHAnsi"/>
            <w:noProof/>
            <w:kern w:val="2"/>
            <w14:ligatures w14:val="standardContextual"/>
          </w:rPr>
          <w:tab/>
        </w:r>
        <w:r w:rsidR="004D028D" w:rsidRPr="00F03917">
          <w:rPr>
            <w:rStyle w:val="Hyperlink"/>
            <w:noProof/>
          </w:rPr>
          <w:t>Combined (joint probability) storm tide and wave setup and runup elevations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_Toc160098441 \h </w:instrText>
        </w:r>
        <w:r w:rsidR="004D028D" w:rsidRPr="00F03917">
          <w:rPr>
            <w:noProof/>
            <w:webHidden/>
          </w:rPr>
        </w:r>
        <w:r w:rsidR="004D028D" w:rsidRPr="00F03917">
          <w:rPr>
            <w:noProof/>
            <w:webHidden/>
          </w:rPr>
          <w:fldChar w:fldCharType="separate"/>
        </w:r>
        <w:r w:rsidR="004F66AE">
          <w:rPr>
            <w:noProof/>
            <w:webHidden/>
          </w:rPr>
          <w:t>147</w:t>
        </w:r>
        <w:r w:rsidR="004D028D" w:rsidRPr="00F03917">
          <w:rPr>
            <w:noProof/>
            <w:webHidden/>
          </w:rPr>
          <w:fldChar w:fldCharType="end"/>
        </w:r>
      </w:hyperlink>
    </w:p>
    <w:p w14:paraId="2517ADB9" w14:textId="0D5F5D1D"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42" w:history="1">
        <w:r w:rsidR="004D028D" w:rsidRPr="00F03917">
          <w:rPr>
            <w:rStyle w:val="Hyperlink"/>
            <w:noProof/>
          </w:rPr>
          <w:t>Figure A.3.1:</w:t>
        </w:r>
        <w:r w:rsidR="004D028D" w:rsidRPr="00F03917">
          <w:rPr>
            <w:rFonts w:asciiTheme="minorHAnsi" w:eastAsiaTheme="minorEastAsia" w:hAnsiTheme="minorHAnsi"/>
            <w:noProof/>
            <w:kern w:val="2"/>
            <w14:ligatures w14:val="standardContextual"/>
          </w:rPr>
          <w:tab/>
        </w:r>
        <w:r w:rsidR="004D028D" w:rsidRPr="00F03917">
          <w:rPr>
            <w:rStyle w:val="Hyperlink"/>
            <w:noProof/>
          </w:rPr>
          <w:t>Relationships among study requirement, type of uncertainty, scenarios and modelling complexity, arising from developing the Auckland coastal inundation layers</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_Toc160098442 \h </w:instrText>
        </w:r>
        <w:r w:rsidR="004D028D" w:rsidRPr="00F03917">
          <w:rPr>
            <w:noProof/>
            <w:webHidden/>
          </w:rPr>
        </w:r>
        <w:r w:rsidR="004D028D" w:rsidRPr="00F03917">
          <w:rPr>
            <w:noProof/>
            <w:webHidden/>
          </w:rPr>
          <w:fldChar w:fldCharType="separate"/>
        </w:r>
        <w:r w:rsidR="004F66AE">
          <w:rPr>
            <w:noProof/>
            <w:webHidden/>
          </w:rPr>
          <w:t>147</w:t>
        </w:r>
        <w:r w:rsidR="004D028D" w:rsidRPr="00F03917">
          <w:rPr>
            <w:noProof/>
            <w:webHidden/>
          </w:rPr>
          <w:fldChar w:fldCharType="end"/>
        </w:r>
      </w:hyperlink>
    </w:p>
    <w:p w14:paraId="187061A2" w14:textId="4108B75A"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43" w:history="1">
        <w:r w:rsidR="004D028D" w:rsidRPr="00F03917">
          <w:rPr>
            <w:rStyle w:val="Hyperlink"/>
            <w:noProof/>
          </w:rPr>
          <w:t>Figure A.3.2:</w:t>
        </w:r>
        <w:r w:rsidR="004D028D" w:rsidRPr="00F03917">
          <w:rPr>
            <w:rFonts w:asciiTheme="minorHAnsi" w:eastAsiaTheme="minorEastAsia" w:hAnsiTheme="minorHAnsi"/>
            <w:noProof/>
            <w:kern w:val="2"/>
            <w14:ligatures w14:val="standardContextual"/>
          </w:rPr>
          <w:tab/>
        </w:r>
        <w:r w:rsidR="004D028D" w:rsidRPr="00F03917">
          <w:rPr>
            <w:rStyle w:val="Hyperlink"/>
            <w:noProof/>
          </w:rPr>
          <w:t>Coastal storm inundation mapping and planning overlay at Mission Bay, Auckland</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_Toc160098443 \h </w:instrText>
        </w:r>
        <w:r w:rsidR="004D028D" w:rsidRPr="00F03917">
          <w:rPr>
            <w:noProof/>
            <w:webHidden/>
          </w:rPr>
        </w:r>
        <w:r w:rsidR="004D028D" w:rsidRPr="00F03917">
          <w:rPr>
            <w:noProof/>
            <w:webHidden/>
          </w:rPr>
          <w:fldChar w:fldCharType="separate"/>
        </w:r>
        <w:r w:rsidR="004F66AE">
          <w:rPr>
            <w:noProof/>
            <w:webHidden/>
          </w:rPr>
          <w:t>149</w:t>
        </w:r>
        <w:r w:rsidR="004D028D" w:rsidRPr="00F03917">
          <w:rPr>
            <w:noProof/>
            <w:webHidden/>
          </w:rPr>
          <w:fldChar w:fldCharType="end"/>
        </w:r>
      </w:hyperlink>
    </w:p>
    <w:p w14:paraId="2A5E4C02" w14:textId="62192115"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44" w:history="1">
        <w:r w:rsidR="004D028D" w:rsidRPr="00F03917">
          <w:rPr>
            <w:rStyle w:val="Hyperlink"/>
            <w:noProof/>
          </w:rPr>
          <w:t>Figure A.4:</w:t>
        </w:r>
        <w:r w:rsidR="004D028D" w:rsidRPr="00F03917">
          <w:rPr>
            <w:rFonts w:asciiTheme="minorHAnsi" w:eastAsiaTheme="minorEastAsia" w:hAnsiTheme="minorHAnsi"/>
            <w:noProof/>
            <w:kern w:val="2"/>
            <w14:ligatures w14:val="standardContextual"/>
          </w:rPr>
          <w:tab/>
        </w:r>
        <w:r w:rsidR="004D028D" w:rsidRPr="00F03917">
          <w:rPr>
            <w:rStyle w:val="Hyperlink"/>
            <w:noProof/>
          </w:rPr>
          <w:t>Comparison of static (left) and dynamic (right) maps of 1 per cent annual exceedance probability (AEP) coastal storm inundation at present-day mean sea level, Parakai, West Auckland</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_Toc160098444 \h </w:instrText>
        </w:r>
        <w:r w:rsidR="004D028D" w:rsidRPr="00F03917">
          <w:rPr>
            <w:noProof/>
            <w:webHidden/>
          </w:rPr>
        </w:r>
        <w:r w:rsidR="004D028D" w:rsidRPr="00F03917">
          <w:rPr>
            <w:noProof/>
            <w:webHidden/>
          </w:rPr>
          <w:fldChar w:fldCharType="separate"/>
        </w:r>
        <w:r w:rsidR="004F66AE">
          <w:rPr>
            <w:noProof/>
            <w:webHidden/>
          </w:rPr>
          <w:t>151</w:t>
        </w:r>
        <w:r w:rsidR="004D028D" w:rsidRPr="00F03917">
          <w:rPr>
            <w:noProof/>
            <w:webHidden/>
          </w:rPr>
          <w:fldChar w:fldCharType="end"/>
        </w:r>
      </w:hyperlink>
    </w:p>
    <w:p w14:paraId="7E96BF7D" w14:textId="028CD183"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45" w:history="1">
        <w:r w:rsidR="004D028D" w:rsidRPr="00F03917">
          <w:rPr>
            <w:rStyle w:val="Hyperlink"/>
            <w:noProof/>
          </w:rPr>
          <w:t>Figure A.5:</w:t>
        </w:r>
        <w:r w:rsidR="004D028D" w:rsidRPr="00F03917">
          <w:rPr>
            <w:rFonts w:asciiTheme="minorHAnsi" w:eastAsiaTheme="minorEastAsia" w:hAnsiTheme="minorHAnsi"/>
            <w:noProof/>
            <w:kern w:val="2"/>
            <w14:ligatures w14:val="standardContextual"/>
          </w:rPr>
          <w:tab/>
        </w:r>
        <w:r w:rsidR="004D028D" w:rsidRPr="00F03917">
          <w:rPr>
            <w:rStyle w:val="Hyperlink"/>
            <w:noProof/>
          </w:rPr>
          <w:t>Example of shoreline-change components as histograms (left), used to develop the width of a coastal erosion hazard zone (CEHZ) based on P</w:t>
        </w:r>
        <w:r w:rsidR="004D028D" w:rsidRPr="00F03917">
          <w:rPr>
            <w:rStyle w:val="Hyperlink"/>
            <w:noProof/>
            <w:vertAlign w:val="subscript"/>
          </w:rPr>
          <w:t>66%</w:t>
        </w:r>
        <w:r w:rsidR="004D028D" w:rsidRPr="00F03917">
          <w:rPr>
            <w:rStyle w:val="Hyperlink"/>
            <w:noProof/>
          </w:rPr>
          <w:t xml:space="preserve"> and P</w:t>
        </w:r>
        <w:r w:rsidR="004D028D" w:rsidRPr="00F03917">
          <w:rPr>
            <w:rStyle w:val="Hyperlink"/>
            <w:noProof/>
            <w:vertAlign w:val="subscript"/>
          </w:rPr>
          <w:t>5%</w:t>
        </w:r>
        <w:r w:rsidR="004D028D" w:rsidRPr="00F03917">
          <w:rPr>
            <w:rStyle w:val="Hyperlink"/>
            <w:noProof/>
          </w:rPr>
          <w:t xml:space="preserve"> lines overlaid on an aerial image (right)</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_Toc160098445 \h </w:instrText>
        </w:r>
        <w:r w:rsidR="004D028D" w:rsidRPr="00F03917">
          <w:rPr>
            <w:noProof/>
            <w:webHidden/>
          </w:rPr>
        </w:r>
        <w:r w:rsidR="004D028D" w:rsidRPr="00F03917">
          <w:rPr>
            <w:noProof/>
            <w:webHidden/>
          </w:rPr>
          <w:fldChar w:fldCharType="separate"/>
        </w:r>
        <w:r w:rsidR="004F66AE">
          <w:rPr>
            <w:noProof/>
            <w:webHidden/>
          </w:rPr>
          <w:t>153</w:t>
        </w:r>
        <w:r w:rsidR="004D028D" w:rsidRPr="00F03917">
          <w:rPr>
            <w:noProof/>
            <w:webHidden/>
          </w:rPr>
          <w:fldChar w:fldCharType="end"/>
        </w:r>
      </w:hyperlink>
    </w:p>
    <w:p w14:paraId="783D2BA6" w14:textId="25AE75DB"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46" w:history="1">
        <w:r w:rsidR="004D028D" w:rsidRPr="00F03917">
          <w:rPr>
            <w:rStyle w:val="Hyperlink"/>
            <w:noProof/>
          </w:rPr>
          <w:t xml:space="preserve">Figure A.6: </w:t>
        </w:r>
        <w:r w:rsidR="004D028D" w:rsidRPr="00F03917">
          <w:rPr>
            <w:rFonts w:asciiTheme="minorHAnsi" w:eastAsiaTheme="minorEastAsia" w:hAnsiTheme="minorHAnsi"/>
            <w:noProof/>
            <w:kern w:val="2"/>
            <w14:ligatures w14:val="standardContextual"/>
          </w:rPr>
          <w:tab/>
        </w:r>
        <w:r w:rsidR="004D028D" w:rsidRPr="00F03917">
          <w:rPr>
            <w:rStyle w:val="Hyperlink"/>
            <w:noProof/>
          </w:rPr>
          <w:t>Photographs at the Mapua foreshore (left) and Ruby Bay rock revetment after a wave overtopping event</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_Toc160098446 \h </w:instrText>
        </w:r>
        <w:r w:rsidR="004D028D" w:rsidRPr="00F03917">
          <w:rPr>
            <w:noProof/>
            <w:webHidden/>
          </w:rPr>
        </w:r>
        <w:r w:rsidR="004D028D" w:rsidRPr="00F03917">
          <w:rPr>
            <w:noProof/>
            <w:webHidden/>
          </w:rPr>
          <w:fldChar w:fldCharType="separate"/>
        </w:r>
        <w:r w:rsidR="004F66AE">
          <w:rPr>
            <w:noProof/>
            <w:webHidden/>
          </w:rPr>
          <w:t>154</w:t>
        </w:r>
        <w:r w:rsidR="004D028D" w:rsidRPr="00F03917">
          <w:rPr>
            <w:noProof/>
            <w:webHidden/>
          </w:rPr>
          <w:fldChar w:fldCharType="end"/>
        </w:r>
      </w:hyperlink>
    </w:p>
    <w:p w14:paraId="5DC06847" w14:textId="6CA1770E"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47" w:history="1">
        <w:r w:rsidR="004D028D" w:rsidRPr="00F03917">
          <w:rPr>
            <w:rStyle w:val="Hyperlink"/>
            <w:noProof/>
          </w:rPr>
          <w:t>Figure A.8.1:</w:t>
        </w:r>
        <w:r w:rsidR="004D028D" w:rsidRPr="00F03917">
          <w:rPr>
            <w:rFonts w:asciiTheme="minorHAnsi" w:eastAsiaTheme="minorEastAsia" w:hAnsiTheme="minorHAnsi"/>
            <w:noProof/>
            <w:kern w:val="2"/>
            <w14:ligatures w14:val="standardContextual"/>
          </w:rPr>
          <w:tab/>
        </w:r>
        <w:r w:rsidR="004D028D" w:rsidRPr="00F03917">
          <w:rPr>
            <w:rStyle w:val="Hyperlink"/>
            <w:noProof/>
          </w:rPr>
          <w:t>Definition sketch for open coast coastal erosion hazard setback</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_Toc160098447 \h </w:instrText>
        </w:r>
        <w:r w:rsidR="004D028D" w:rsidRPr="00F03917">
          <w:rPr>
            <w:noProof/>
            <w:webHidden/>
          </w:rPr>
        </w:r>
        <w:r w:rsidR="004D028D" w:rsidRPr="00F03917">
          <w:rPr>
            <w:noProof/>
            <w:webHidden/>
          </w:rPr>
          <w:fldChar w:fldCharType="separate"/>
        </w:r>
        <w:r w:rsidR="004F66AE">
          <w:rPr>
            <w:noProof/>
            <w:webHidden/>
          </w:rPr>
          <w:t>157</w:t>
        </w:r>
        <w:r w:rsidR="004D028D" w:rsidRPr="00F03917">
          <w:rPr>
            <w:noProof/>
            <w:webHidden/>
          </w:rPr>
          <w:fldChar w:fldCharType="end"/>
        </w:r>
      </w:hyperlink>
    </w:p>
    <w:p w14:paraId="396D5811" w14:textId="750576F9"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48" w:history="1">
        <w:r w:rsidR="004D028D" w:rsidRPr="00F03917">
          <w:rPr>
            <w:rStyle w:val="Hyperlink"/>
            <w:noProof/>
          </w:rPr>
          <w:t>Figure A.8.2:</w:t>
        </w:r>
        <w:r w:rsidR="004D028D" w:rsidRPr="00F03917">
          <w:rPr>
            <w:rFonts w:asciiTheme="minorHAnsi" w:eastAsiaTheme="minorEastAsia" w:hAnsiTheme="minorHAnsi"/>
            <w:noProof/>
            <w:kern w:val="2"/>
            <w14:ligatures w14:val="standardContextual"/>
          </w:rPr>
          <w:tab/>
        </w:r>
        <w:r w:rsidR="004D028D" w:rsidRPr="00F03917">
          <w:rPr>
            <w:rStyle w:val="Hyperlink"/>
            <w:noProof/>
          </w:rPr>
          <w:t>Definition sketch for cliff coastal erosion hazard setback</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_Toc160098448 \h </w:instrText>
        </w:r>
        <w:r w:rsidR="004D028D" w:rsidRPr="00F03917">
          <w:rPr>
            <w:noProof/>
            <w:webHidden/>
          </w:rPr>
        </w:r>
        <w:r w:rsidR="004D028D" w:rsidRPr="00F03917">
          <w:rPr>
            <w:noProof/>
            <w:webHidden/>
          </w:rPr>
          <w:fldChar w:fldCharType="separate"/>
        </w:r>
        <w:r w:rsidR="004F66AE">
          <w:rPr>
            <w:noProof/>
            <w:webHidden/>
          </w:rPr>
          <w:t>158</w:t>
        </w:r>
        <w:r w:rsidR="004D028D" w:rsidRPr="00F03917">
          <w:rPr>
            <w:noProof/>
            <w:webHidden/>
          </w:rPr>
          <w:fldChar w:fldCharType="end"/>
        </w:r>
      </w:hyperlink>
    </w:p>
    <w:p w14:paraId="32D849B6" w14:textId="66590ADD"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49" w:history="1">
        <w:r w:rsidR="004D028D" w:rsidRPr="00F03917">
          <w:rPr>
            <w:rStyle w:val="Hyperlink"/>
            <w:noProof/>
          </w:rPr>
          <w:t>Figure C.1:</w:t>
        </w:r>
        <w:r w:rsidR="004D028D" w:rsidRPr="00F03917">
          <w:rPr>
            <w:rFonts w:asciiTheme="minorHAnsi" w:eastAsiaTheme="minorEastAsia" w:hAnsiTheme="minorHAnsi"/>
            <w:noProof/>
            <w:kern w:val="2"/>
            <w14:ligatures w14:val="standardContextual"/>
          </w:rPr>
          <w:tab/>
        </w:r>
        <w:r w:rsidR="004D028D" w:rsidRPr="00F03917">
          <w:rPr>
            <w:rStyle w:val="Hyperlink"/>
            <w:noProof/>
          </w:rPr>
          <w:t>Example of a pathways map</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_Toc160098449 \h </w:instrText>
        </w:r>
        <w:r w:rsidR="004D028D" w:rsidRPr="00F03917">
          <w:rPr>
            <w:noProof/>
            <w:webHidden/>
          </w:rPr>
        </w:r>
        <w:r w:rsidR="004D028D" w:rsidRPr="00F03917">
          <w:rPr>
            <w:noProof/>
            <w:webHidden/>
          </w:rPr>
          <w:fldChar w:fldCharType="separate"/>
        </w:r>
        <w:r w:rsidR="004F66AE">
          <w:rPr>
            <w:noProof/>
            <w:webHidden/>
          </w:rPr>
          <w:t>167</w:t>
        </w:r>
        <w:r w:rsidR="004D028D" w:rsidRPr="00F03917">
          <w:rPr>
            <w:noProof/>
            <w:webHidden/>
          </w:rPr>
          <w:fldChar w:fldCharType="end"/>
        </w:r>
      </w:hyperlink>
    </w:p>
    <w:p w14:paraId="2E90942C" w14:textId="5DE4F804" w:rsidR="004D028D" w:rsidRPr="00F03917" w:rsidRDefault="00000000">
      <w:pPr>
        <w:pStyle w:val="TableofFigures"/>
        <w:tabs>
          <w:tab w:val="right" w:pos="8495"/>
        </w:tabs>
        <w:rPr>
          <w:rFonts w:asciiTheme="minorHAnsi" w:eastAsiaTheme="minorEastAsia" w:hAnsiTheme="minorHAnsi"/>
          <w:noProof/>
          <w:kern w:val="2"/>
          <w14:ligatures w14:val="standardContextual"/>
        </w:rPr>
      </w:pPr>
      <w:hyperlink w:anchor="_Toc160098450" w:history="1">
        <w:r w:rsidR="004D028D" w:rsidRPr="00F03917">
          <w:rPr>
            <w:rStyle w:val="Hyperlink"/>
            <w:noProof/>
          </w:rPr>
          <w:t>Figure D.1:</w:t>
        </w:r>
        <w:r w:rsidR="004D028D" w:rsidRPr="00F03917">
          <w:rPr>
            <w:rFonts w:asciiTheme="minorHAnsi" w:eastAsiaTheme="minorEastAsia" w:hAnsiTheme="minorHAnsi"/>
            <w:noProof/>
            <w:kern w:val="2"/>
            <w14:ligatures w14:val="standardContextual"/>
          </w:rPr>
          <w:tab/>
        </w:r>
        <w:r w:rsidR="004D028D" w:rsidRPr="00F03917">
          <w:rPr>
            <w:rStyle w:val="Hyperlink"/>
            <w:noProof/>
          </w:rPr>
          <w:t>Schematic of ‘present’ mean sea level and relationship to various vertical datums and additional sea-level rise</w:t>
        </w:r>
        <w:r w:rsidR="004D028D" w:rsidRPr="00F03917">
          <w:rPr>
            <w:noProof/>
            <w:webHidden/>
          </w:rPr>
          <w:tab/>
        </w:r>
        <w:r w:rsidR="004D028D" w:rsidRPr="00F03917">
          <w:rPr>
            <w:noProof/>
            <w:webHidden/>
          </w:rPr>
          <w:fldChar w:fldCharType="begin"/>
        </w:r>
        <w:r w:rsidR="004D028D" w:rsidRPr="00F03917">
          <w:rPr>
            <w:noProof/>
            <w:webHidden/>
          </w:rPr>
          <w:instrText xml:space="preserve"> PAGEREF _Toc160098450 \h </w:instrText>
        </w:r>
        <w:r w:rsidR="004D028D" w:rsidRPr="00F03917">
          <w:rPr>
            <w:noProof/>
            <w:webHidden/>
          </w:rPr>
        </w:r>
        <w:r w:rsidR="004D028D" w:rsidRPr="00F03917">
          <w:rPr>
            <w:noProof/>
            <w:webHidden/>
          </w:rPr>
          <w:fldChar w:fldCharType="separate"/>
        </w:r>
        <w:r w:rsidR="004F66AE">
          <w:rPr>
            <w:noProof/>
            <w:webHidden/>
          </w:rPr>
          <w:t>171</w:t>
        </w:r>
        <w:r w:rsidR="004D028D" w:rsidRPr="00F03917">
          <w:rPr>
            <w:noProof/>
            <w:webHidden/>
          </w:rPr>
          <w:fldChar w:fldCharType="end"/>
        </w:r>
      </w:hyperlink>
    </w:p>
    <w:p w14:paraId="524344CD" w14:textId="7B9139A4" w:rsidR="00502815" w:rsidRPr="00F03917" w:rsidRDefault="007F70BA" w:rsidP="00502815">
      <w:pPr>
        <w:pStyle w:val="BodyText"/>
      </w:pPr>
      <w:r w:rsidRPr="00F03917">
        <w:fldChar w:fldCharType="end"/>
      </w:r>
    </w:p>
    <w:p w14:paraId="2FD5A050" w14:textId="68CACF36" w:rsidR="00502815" w:rsidRPr="00F03917" w:rsidRDefault="00502815" w:rsidP="00502815">
      <w:pPr>
        <w:pStyle w:val="BodyText"/>
        <w:sectPr w:rsidR="00502815" w:rsidRPr="00F03917" w:rsidSect="007E5AB2">
          <w:footerReference w:type="even" r:id="rId24"/>
          <w:footerReference w:type="default" r:id="rId25"/>
          <w:pgSz w:w="11907" w:h="16840" w:code="9"/>
          <w:pgMar w:top="1134" w:right="1701" w:bottom="1134" w:left="1701" w:header="567" w:footer="567" w:gutter="0"/>
          <w:cols w:space="720"/>
          <w:docGrid w:linePitch="299"/>
        </w:sectPr>
      </w:pPr>
    </w:p>
    <w:p w14:paraId="67FCF299" w14:textId="7335CB65" w:rsidR="00B57283" w:rsidRPr="00F03917" w:rsidRDefault="00B57283" w:rsidP="00B968A7">
      <w:pPr>
        <w:pStyle w:val="Heading1"/>
      </w:pPr>
      <w:bookmarkStart w:id="0" w:name="_Toc160096228"/>
      <w:r w:rsidRPr="00F03917">
        <w:lastRenderedPageBreak/>
        <w:t>About this guidance</w:t>
      </w:r>
      <w:bookmarkEnd w:id="0"/>
    </w:p>
    <w:p w14:paraId="1569A908" w14:textId="2FDA026E" w:rsidR="00B57283" w:rsidRPr="00F03917" w:rsidRDefault="00B57283" w:rsidP="009002C3">
      <w:pPr>
        <w:pStyle w:val="Heading2"/>
        <w:spacing w:before="240"/>
      </w:pPr>
      <w:bookmarkStart w:id="1" w:name="_Toc160096229"/>
      <w:r w:rsidRPr="00F03917">
        <w:t>Why is this guidance required?</w:t>
      </w:r>
      <w:bookmarkEnd w:id="1"/>
    </w:p>
    <w:p w14:paraId="0D99F762" w14:textId="4AEAED49" w:rsidR="00B57283" w:rsidRPr="00F03917" w:rsidRDefault="785E971A" w:rsidP="00E33185">
      <w:pPr>
        <w:pStyle w:val="BodyText"/>
      </w:pPr>
      <w:r w:rsidRPr="00F03917">
        <w:t xml:space="preserve">Since 2001, the Ministry for the Environment has </w:t>
      </w:r>
      <w:r w:rsidR="7F4A39F4" w:rsidRPr="00F03917">
        <w:t>provided guidance to</w:t>
      </w:r>
      <w:r w:rsidRPr="00F03917">
        <w:t xml:space="preserve"> local government on</w:t>
      </w:r>
      <w:r w:rsidRPr="00F03917" w:rsidDel="004D018A">
        <w:t xml:space="preserve"> </w:t>
      </w:r>
      <w:r w:rsidRPr="00F03917">
        <w:t xml:space="preserve">adapting to coastal hazards and the risks </w:t>
      </w:r>
      <w:r w:rsidR="7DF7D36D" w:rsidRPr="00F03917">
        <w:t xml:space="preserve">presented </w:t>
      </w:r>
      <w:r w:rsidRPr="00F03917">
        <w:t>from climate change</w:t>
      </w:r>
      <w:r w:rsidR="0CA39536" w:rsidRPr="00F03917">
        <w:t>,</w:t>
      </w:r>
      <w:r w:rsidR="00D6043F" w:rsidRPr="00F03917">
        <w:rPr>
          <w:vertAlign w:val="superscript"/>
        </w:rPr>
        <w:footnoteReference w:id="2"/>
      </w:r>
      <w:r w:rsidRPr="00F03917">
        <w:t xml:space="preserve"> particularly sea</w:t>
      </w:r>
      <w:r w:rsidR="63DFAA93" w:rsidRPr="00F03917">
        <w:t>-</w:t>
      </w:r>
      <w:r w:rsidRPr="00F03917">
        <w:t xml:space="preserve">level rise (SLR). </w:t>
      </w:r>
      <w:r w:rsidR="00236759" w:rsidRPr="00F03917">
        <w:t>H</w:t>
      </w:r>
      <w:r w:rsidR="00681DFC" w:rsidRPr="00F03917">
        <w:t>azards associated within a complex and dynamic coastal zone</w:t>
      </w:r>
      <w:r w:rsidR="00BF7CDF" w:rsidRPr="00F03917">
        <w:t xml:space="preserve">, </w:t>
      </w:r>
      <w:r w:rsidR="00C23F45" w:rsidRPr="00F03917">
        <w:t xml:space="preserve">have been </w:t>
      </w:r>
      <w:r w:rsidR="00BF7CDF" w:rsidRPr="00F03917">
        <w:t>a</w:t>
      </w:r>
      <w:r w:rsidR="00C23F45" w:rsidRPr="00F03917">
        <w:t>n</w:t>
      </w:r>
      <w:r w:rsidR="00BF7CDF" w:rsidRPr="00F03917">
        <w:t xml:space="preserve"> historic and </w:t>
      </w:r>
      <w:r w:rsidR="00C4731F" w:rsidRPr="00F03917">
        <w:t xml:space="preserve">are an </w:t>
      </w:r>
      <w:r w:rsidR="00BF7CDF" w:rsidRPr="00F03917">
        <w:t xml:space="preserve">ongoing </w:t>
      </w:r>
      <w:r w:rsidR="00C23F45" w:rsidRPr="00F03917">
        <w:t>occurrence</w:t>
      </w:r>
      <w:r w:rsidR="008925D8" w:rsidRPr="00F03917">
        <w:t xml:space="preserve"> </w:t>
      </w:r>
      <w:r w:rsidR="00955D35" w:rsidRPr="00F03917">
        <w:t>for</w:t>
      </w:r>
      <w:r w:rsidR="003B66F8" w:rsidRPr="00F03917">
        <w:t xml:space="preserve"> </w:t>
      </w:r>
      <w:r w:rsidR="007A05D2" w:rsidRPr="00F03917">
        <w:t xml:space="preserve">the </w:t>
      </w:r>
      <w:r w:rsidR="003B66F8" w:rsidRPr="00F03917">
        <w:t>coastal communities</w:t>
      </w:r>
      <w:r w:rsidR="007A05D2" w:rsidRPr="00F03917">
        <w:t xml:space="preserve"> of</w:t>
      </w:r>
      <w:r w:rsidR="00BF7CDF" w:rsidRPr="00F03917">
        <w:t xml:space="preserve"> Aotearoa New Zealand</w:t>
      </w:r>
      <w:r w:rsidR="00681DFC" w:rsidRPr="00F03917">
        <w:t xml:space="preserve">. Hence, </w:t>
      </w:r>
      <w:r w:rsidR="00103D70" w:rsidRPr="00F03917">
        <w:t>the</w:t>
      </w:r>
      <w:r w:rsidR="00681DFC" w:rsidRPr="00F03917">
        <w:t xml:space="preserve"> need to plan for coastal hazards that exist irrespective of climate change and SLR (ie</w:t>
      </w:r>
      <w:r w:rsidR="007C1592" w:rsidRPr="00F03917">
        <w:t>,</w:t>
      </w:r>
      <w:r w:rsidR="00681DFC" w:rsidRPr="00F03917">
        <w:t xml:space="preserve"> cliff collapse, coastal erosion due to changes in sediment supply due to land-use changes, tectonic activity </w:t>
      </w:r>
      <w:r w:rsidR="007C1592" w:rsidRPr="00F03917">
        <w:t>and so on</w:t>
      </w:r>
      <w:r w:rsidR="00681DFC" w:rsidRPr="00F03917">
        <w:t>)</w:t>
      </w:r>
      <w:r w:rsidR="00EB1164" w:rsidRPr="00F03917">
        <w:t xml:space="preserve">. </w:t>
      </w:r>
      <w:r w:rsidR="00B601E7" w:rsidRPr="00F03917">
        <w:t>There is</w:t>
      </w:r>
      <w:r w:rsidR="00681DFC" w:rsidRPr="00F03917">
        <w:t xml:space="preserve"> also </w:t>
      </w:r>
      <w:r w:rsidR="00DD705B" w:rsidRPr="00F03917">
        <w:t xml:space="preserve">a </w:t>
      </w:r>
      <w:r w:rsidR="00681DFC" w:rsidRPr="00F03917">
        <w:t>need to plan for the way that coastal hazards that will be modified</w:t>
      </w:r>
      <w:r w:rsidR="00681DFC" w:rsidRPr="00F03917" w:rsidDel="00C50273">
        <w:t xml:space="preserve"> </w:t>
      </w:r>
      <w:r w:rsidR="00681DFC" w:rsidRPr="00F03917">
        <w:t>and</w:t>
      </w:r>
      <w:r w:rsidR="005511E2" w:rsidRPr="00F03917">
        <w:t>,</w:t>
      </w:r>
      <w:r w:rsidR="00681DFC" w:rsidRPr="00F03917">
        <w:t xml:space="preserve"> in most cases</w:t>
      </w:r>
      <w:r w:rsidR="00681DFC" w:rsidRPr="00F03917" w:rsidDel="00C50273">
        <w:t>,</w:t>
      </w:r>
      <w:r w:rsidR="00681DFC" w:rsidRPr="00F03917">
        <w:t xml:space="preserve"> amplified by SLR.</w:t>
      </w:r>
    </w:p>
    <w:p w14:paraId="41C3D8A0" w14:textId="5330C792" w:rsidR="00E90F2A" w:rsidRPr="00F03917" w:rsidRDefault="00E90F2A" w:rsidP="00F04D6F">
      <w:pPr>
        <w:pStyle w:val="BodyText"/>
      </w:pPr>
      <w:r w:rsidRPr="00F03917">
        <w:t>This guidance incorporates the NZ SeaRise research programme</w:t>
      </w:r>
      <w:r w:rsidR="00B83110" w:rsidRPr="00F03917">
        <w:t>’s</w:t>
      </w:r>
      <w:r w:rsidRPr="00F03917">
        <w:t xml:space="preserve"> updated Aotearoa sea-level rise projections that were released on 2 May 2022. These projections combine the 2021 </w:t>
      </w:r>
      <w:r w:rsidR="002A163D" w:rsidRPr="00F03917">
        <w:rPr>
          <w:rFonts w:eastAsia="Calibri" w:cs="Calibri"/>
        </w:rPr>
        <w:t>Intergovernmental Panel on Climate Change</w:t>
      </w:r>
      <w:r w:rsidR="002A163D" w:rsidRPr="00F03917">
        <w:t xml:space="preserve"> (</w:t>
      </w:r>
      <w:r w:rsidRPr="00F03917">
        <w:t>IPCC</w:t>
      </w:r>
      <w:r w:rsidR="002A163D" w:rsidRPr="00F03917">
        <w:t>)</w:t>
      </w:r>
      <w:r w:rsidRPr="00F03917">
        <w:t xml:space="preserve"> Sixth Assessment Report (AR6) sea-level data (downscaled to </w:t>
      </w:r>
      <w:r w:rsidR="006A23E0" w:rsidRPr="00F03917">
        <w:t>Aotearoa</w:t>
      </w:r>
      <w:r w:rsidRPr="00F03917">
        <w:t>), with localised rates of vertical land movement (VLM) around the coast</w:t>
      </w:r>
      <w:r w:rsidR="00F54843" w:rsidRPr="00F03917">
        <w:t xml:space="preserve"> (Fox-Kemper et al, 2021; Kopp et al, 2023; Naish et al, in review)</w:t>
      </w:r>
      <w:r w:rsidRPr="00F03917">
        <w:t xml:space="preserve">. The result is estimates of relative sea-level rise (RSLR), or sea-level rise relative to the local landmass. This information is critical for planning and implementing hazard and risk assessments, as well as adaptation approaches locally in our complex and dynamic coastal environments. </w:t>
      </w:r>
    </w:p>
    <w:p w14:paraId="115A4B98" w14:textId="116503B5" w:rsidR="00E90F2A" w:rsidRPr="00F03917" w:rsidRDefault="00F73C1A" w:rsidP="00F04D6F">
      <w:pPr>
        <w:pStyle w:val="BodyText"/>
      </w:pPr>
      <w:r w:rsidRPr="00F03917">
        <w:t>T</w:t>
      </w:r>
      <w:r w:rsidR="00E90F2A" w:rsidRPr="00F03917">
        <w:t>he NZ SeaRise method represents an emerging scien</w:t>
      </w:r>
      <w:r w:rsidR="00F333E1" w:rsidRPr="00F03917">
        <w:t>tific</w:t>
      </w:r>
      <w:r w:rsidR="00E90F2A" w:rsidRPr="00F03917">
        <w:t xml:space="preserve"> approach. While the SLR projections are based on the same framework used by the IPCC, the satellite-derived estimates of VLM are new science and cover a relatively short time period (8 years). At the time of publication of this guidance, the NZ SeaRise method was still under peer review by an international scientific journal and had not yet been accepted for publication</w:t>
      </w:r>
      <w:r w:rsidR="00F15B72" w:rsidRPr="00F03917">
        <w:t xml:space="preserve"> (Naish et al, in review)</w:t>
      </w:r>
      <w:r w:rsidR="00E90F2A" w:rsidRPr="00F03917">
        <w:t>. Further improvements to the NZ SeaRise projections with new and longer measures of satellite</w:t>
      </w:r>
      <w:r w:rsidR="006C5DEC" w:rsidRPr="00F03917">
        <w:t>-</w:t>
      </w:r>
      <w:r w:rsidR="00E90F2A" w:rsidRPr="00F03917">
        <w:t xml:space="preserve">derived VLM and other data are already signalled (Levy et al, 2023). Land Information New Zealand is also set to establish a further six </w:t>
      </w:r>
      <w:r w:rsidR="00E81AB0" w:rsidRPr="00F03917">
        <w:t xml:space="preserve">global navigation satellite system </w:t>
      </w:r>
      <w:r w:rsidR="00E90F2A" w:rsidRPr="00F03917">
        <w:t>stations</w:t>
      </w:r>
      <w:r w:rsidR="001F7444" w:rsidRPr="00F03917">
        <w:t>,</w:t>
      </w:r>
      <w:r w:rsidR="00E90F2A" w:rsidRPr="00F03917">
        <w:t xml:space="preserve"> which will result in improved measures of sea level. </w:t>
      </w:r>
    </w:p>
    <w:p w14:paraId="7589C91E" w14:textId="4252DE11" w:rsidR="00312781" w:rsidRPr="00F03917" w:rsidRDefault="0079244B" w:rsidP="007F2DAE">
      <w:pPr>
        <w:pStyle w:val="BodyText"/>
        <w:rPr>
          <w:rFonts w:eastAsia="Times New Roman" w:cs="Calibri"/>
          <w:sz w:val="16"/>
          <w:szCs w:val="16"/>
        </w:rPr>
      </w:pPr>
      <w:r w:rsidRPr="00F03917">
        <w:t xml:space="preserve">The </w:t>
      </w:r>
      <w:r w:rsidR="00E90F2A" w:rsidRPr="00F03917">
        <w:t xml:space="preserve">NZ SeaRise </w:t>
      </w:r>
      <w:r w:rsidR="0094158A" w:rsidRPr="00F03917">
        <w:t>method</w:t>
      </w:r>
      <w:r w:rsidRPr="00F03917">
        <w:t xml:space="preserve"> </w:t>
      </w:r>
      <w:r w:rsidR="00E90F2A" w:rsidRPr="00F03917">
        <w:t>is the only currently available</w:t>
      </w:r>
      <w:r w:rsidR="00E90F2A" w:rsidRPr="00F03917" w:rsidDel="0094158A">
        <w:t xml:space="preserve"> </w:t>
      </w:r>
      <w:r w:rsidR="0094158A" w:rsidRPr="00F03917">
        <w:t>approach</w:t>
      </w:r>
      <w:r w:rsidR="00E90F2A" w:rsidRPr="00F03917">
        <w:t xml:space="preserve"> for estimating RSLR around the entire Aotearoa coast under a range of plausible future climate change scenarios. Using environmental models or approaches like NZ SeaRise, which are emerging science or contain uncertainties</w:t>
      </w:r>
      <w:r w:rsidR="002D6182" w:rsidRPr="00F03917">
        <w:t>,</w:t>
      </w:r>
      <w:r w:rsidR="00E90F2A" w:rsidRPr="00F03917">
        <w:t xml:space="preserve"> is deemed appropriate for providing insight into complex systems when they represent the only available information (MfE, 2023b). ). However, because of the uncertainty associated with these types of models, it is recommended </w:t>
      </w:r>
      <w:r w:rsidR="00292FA3" w:rsidRPr="00F03917">
        <w:t>that</w:t>
      </w:r>
      <w:r w:rsidR="00E90F2A" w:rsidRPr="00F03917">
        <w:t xml:space="preserve"> they are used alongside multiple sources of information (MfE, 2023b). </w:t>
      </w:r>
      <w:r w:rsidR="003B5137" w:rsidRPr="00F03917">
        <w:t xml:space="preserve">Due to </w:t>
      </w:r>
      <w:r w:rsidR="00E90F2A" w:rsidRPr="00F03917">
        <w:t>the uncertainty associated</w:t>
      </w:r>
      <w:r w:rsidR="003D24CA" w:rsidRPr="00F03917">
        <w:t xml:space="preserve"> with</w:t>
      </w:r>
      <w:r w:rsidR="00E90F2A" w:rsidRPr="00F03917">
        <w:t xml:space="preserve"> the NZ SeaRise method, particular</w:t>
      </w:r>
      <w:r w:rsidR="000C3D8A" w:rsidRPr="00F03917">
        <w:t>ly</w:t>
      </w:r>
      <w:r w:rsidR="00E90F2A" w:rsidRPr="00F03917">
        <w:t xml:space="preserve"> with the satellite</w:t>
      </w:r>
      <w:r w:rsidR="00DD2971" w:rsidRPr="00F03917">
        <w:t>-</w:t>
      </w:r>
      <w:r w:rsidR="00E90F2A" w:rsidRPr="00F03917">
        <w:t xml:space="preserve">derived VLM rates, this guidance recommends a multi-evidence approach for assessing RSLR. This guidance recommends using these as part of a precautionary approach alongside a </w:t>
      </w:r>
      <w:r w:rsidR="0065457A" w:rsidRPr="00F03917">
        <w:t>d</w:t>
      </w:r>
      <w:r w:rsidR="00E90F2A" w:rsidRPr="00F03917">
        <w:t xml:space="preserve">ynamic </w:t>
      </w:r>
      <w:r w:rsidR="0065457A" w:rsidRPr="00F03917">
        <w:t>a</w:t>
      </w:r>
      <w:r w:rsidR="00E90F2A" w:rsidRPr="00F03917">
        <w:t xml:space="preserve">daptive </w:t>
      </w:r>
      <w:r w:rsidR="0065457A" w:rsidRPr="00F03917">
        <w:t>p</w:t>
      </w:r>
      <w:r w:rsidR="00E90F2A" w:rsidRPr="00F03917">
        <w:t xml:space="preserve">athways </w:t>
      </w:r>
      <w:r w:rsidR="0065457A" w:rsidRPr="00F03917">
        <w:t>p</w:t>
      </w:r>
      <w:r w:rsidR="00E90F2A" w:rsidRPr="00F03917">
        <w:t>lanning (DAPP) approach</w:t>
      </w:r>
      <w:r w:rsidR="0065457A" w:rsidRPr="00F03917">
        <w:t>,</w:t>
      </w:r>
      <w:r w:rsidR="00E90F2A" w:rsidRPr="00F03917">
        <w:t xml:space="preserve"> which allows for adjusting pathways as new information emerges.</w:t>
      </w:r>
    </w:p>
    <w:p w14:paraId="2CB4A59E" w14:textId="2CDCD120" w:rsidR="00B01241" w:rsidRPr="00F03917" w:rsidRDefault="00B01241" w:rsidP="00A14875">
      <w:pPr>
        <w:pStyle w:val="Heading3"/>
      </w:pPr>
      <w:r w:rsidRPr="00F03917">
        <w:lastRenderedPageBreak/>
        <w:t>An overview of changes since the previous update</w:t>
      </w:r>
    </w:p>
    <w:p w14:paraId="254F09D2" w14:textId="694239EA" w:rsidR="00B57283" w:rsidRPr="00F03917" w:rsidRDefault="785E971A" w:rsidP="00A14875">
      <w:pPr>
        <w:pStyle w:val="BodyText"/>
      </w:pPr>
      <w:r w:rsidRPr="00F03917">
        <w:t xml:space="preserve">The 2017 </w:t>
      </w:r>
      <w:r w:rsidRPr="00F03917">
        <w:rPr>
          <w:i/>
        </w:rPr>
        <w:t xml:space="preserve">Coastal </w:t>
      </w:r>
      <w:r w:rsidR="057F0224" w:rsidRPr="00F03917">
        <w:rPr>
          <w:i/>
          <w:iCs/>
        </w:rPr>
        <w:t>h</w:t>
      </w:r>
      <w:r w:rsidRPr="00F03917">
        <w:rPr>
          <w:i/>
          <w:iCs/>
        </w:rPr>
        <w:t>azards</w:t>
      </w:r>
      <w:r w:rsidRPr="00F03917">
        <w:rPr>
          <w:i/>
        </w:rPr>
        <w:t xml:space="preserve"> and </w:t>
      </w:r>
      <w:r w:rsidR="057F0224" w:rsidRPr="00F03917">
        <w:rPr>
          <w:i/>
          <w:iCs/>
        </w:rPr>
        <w:t>c</w:t>
      </w:r>
      <w:r w:rsidRPr="00F03917">
        <w:rPr>
          <w:i/>
          <w:iCs/>
        </w:rPr>
        <w:t xml:space="preserve">limate </w:t>
      </w:r>
      <w:r w:rsidR="057F0224" w:rsidRPr="00F03917">
        <w:rPr>
          <w:i/>
          <w:iCs/>
        </w:rPr>
        <w:t>c</w:t>
      </w:r>
      <w:r w:rsidRPr="00F03917">
        <w:rPr>
          <w:i/>
          <w:iCs/>
        </w:rPr>
        <w:t>hange</w:t>
      </w:r>
      <w:r w:rsidR="057F0224" w:rsidRPr="00F03917">
        <w:rPr>
          <w:i/>
          <w:iCs/>
        </w:rPr>
        <w:t>:</w:t>
      </w:r>
      <w:r w:rsidRPr="00F03917">
        <w:rPr>
          <w:i/>
          <w:iCs/>
        </w:rPr>
        <w:t xml:space="preserve"> </w:t>
      </w:r>
      <w:r w:rsidR="33B26E8A" w:rsidRPr="00F03917">
        <w:rPr>
          <w:i/>
          <w:iCs/>
        </w:rPr>
        <w:t>G</w:t>
      </w:r>
      <w:r w:rsidR="1824D72F" w:rsidRPr="00F03917">
        <w:rPr>
          <w:i/>
          <w:iCs/>
        </w:rPr>
        <w:t>uidance</w:t>
      </w:r>
      <w:r w:rsidR="057F0224" w:rsidRPr="00F03917">
        <w:rPr>
          <w:i/>
          <w:iCs/>
        </w:rPr>
        <w:t xml:space="preserve"> for local government</w:t>
      </w:r>
      <w:r w:rsidRPr="00F03917">
        <w:t xml:space="preserve"> (</w:t>
      </w:r>
      <w:r w:rsidR="2320155F" w:rsidRPr="00F03917">
        <w:t>MfE</w:t>
      </w:r>
      <w:r w:rsidRPr="00F03917">
        <w:t xml:space="preserve">, 2017) introduced advances in assessing hazard, risk and vulnerability; making decisions under uncertain and changing conditions; using collaborative community engagement; and updated changes to statutory frameworks. </w:t>
      </w:r>
      <w:r w:rsidRPr="00F03917">
        <w:rPr>
          <w:rFonts w:eastAsia="Merriweather" w:cs="Calibri"/>
          <w:bCs/>
          <w:iCs/>
        </w:rPr>
        <w:t>This 202</w:t>
      </w:r>
      <w:r w:rsidR="00CA075B" w:rsidRPr="00F03917">
        <w:rPr>
          <w:rFonts w:eastAsia="Merriweather" w:cs="Calibri"/>
          <w:bCs/>
          <w:iCs/>
        </w:rPr>
        <w:t>4</w:t>
      </w:r>
      <w:r w:rsidRPr="00F03917">
        <w:rPr>
          <w:rFonts w:eastAsia="Merriweather" w:cs="Calibri"/>
          <w:bCs/>
          <w:iCs/>
        </w:rPr>
        <w:t xml:space="preserve"> </w:t>
      </w:r>
      <w:r w:rsidRPr="00F03917">
        <w:t>guidance</w:t>
      </w:r>
      <w:r w:rsidRPr="00F03917">
        <w:rPr>
          <w:rFonts w:eastAsia="Merriweather" w:cs="Calibri"/>
          <w:bCs/>
          <w:iCs/>
        </w:rPr>
        <w:t xml:space="preserve"> revis</w:t>
      </w:r>
      <w:r w:rsidRPr="00F03917">
        <w:rPr>
          <w:rFonts w:eastAsia="Merriweather" w:cs="Calibri"/>
        </w:rPr>
        <w:t>es</w:t>
      </w:r>
      <w:r w:rsidRPr="00F03917">
        <w:rPr>
          <w:rFonts w:eastAsia="Merriweather" w:cs="Calibri"/>
          <w:bCs/>
          <w:iCs/>
        </w:rPr>
        <w:t xml:space="preserve"> </w:t>
      </w:r>
      <w:r w:rsidRPr="00F03917">
        <w:rPr>
          <w:rFonts w:eastAsia="Merriweather" w:cs="Calibri"/>
        </w:rPr>
        <w:t>th</w:t>
      </w:r>
      <w:r w:rsidR="36798C07" w:rsidRPr="00F03917">
        <w:rPr>
          <w:rFonts w:eastAsia="Merriweather" w:cs="Calibri"/>
        </w:rPr>
        <w:t>e 2017</w:t>
      </w:r>
      <w:r w:rsidRPr="00F03917">
        <w:rPr>
          <w:rFonts w:eastAsia="Merriweather" w:cs="Calibri"/>
          <w:bCs/>
          <w:iCs/>
        </w:rPr>
        <w:t xml:space="preserve"> publication</w:t>
      </w:r>
      <w:r w:rsidRPr="00F03917">
        <w:rPr>
          <w:rFonts w:eastAsia="Merriweather" w:cs="Calibri"/>
        </w:rPr>
        <w:t xml:space="preserve"> with the following</w:t>
      </w:r>
      <w:r w:rsidRPr="00F03917">
        <w:rPr>
          <w:rFonts w:eastAsia="Merriweather" w:cs="Calibri"/>
          <w:bCs/>
          <w:iCs/>
        </w:rPr>
        <w:t xml:space="preserve"> update</w:t>
      </w:r>
      <w:r w:rsidRPr="00F03917">
        <w:rPr>
          <w:rFonts w:eastAsia="Merriweather" w:cs="Calibri"/>
        </w:rPr>
        <w:t>s</w:t>
      </w:r>
      <w:r w:rsidRPr="00F03917">
        <w:rPr>
          <w:rFonts w:eastAsia="Merriweather" w:cs="Calibri"/>
          <w:bCs/>
          <w:iCs/>
        </w:rPr>
        <w:t>:</w:t>
      </w:r>
      <w:r w:rsidR="6DBD4D8C" w:rsidRPr="00F03917">
        <w:rPr>
          <w:rFonts w:eastAsia="Merriweather" w:cs="Calibri"/>
          <w:bCs/>
          <w:iCs/>
        </w:rPr>
        <w:t xml:space="preserve"> </w:t>
      </w:r>
    </w:p>
    <w:p w14:paraId="64388A8A" w14:textId="021FD402" w:rsidR="00B57283" w:rsidRPr="00F03917" w:rsidRDefault="785E971A" w:rsidP="00A14875">
      <w:pPr>
        <w:pStyle w:val="Bullet"/>
        <w:rPr>
          <w:rFonts w:eastAsia="MS Mincho" w:cs="Calibri"/>
          <w:color w:val="221F20"/>
        </w:rPr>
      </w:pPr>
      <w:r w:rsidRPr="00F03917">
        <w:rPr>
          <w:rFonts w:eastAsia="MS Mincho"/>
        </w:rPr>
        <w:t xml:space="preserve">advances in SLR science </w:t>
      </w:r>
      <w:r w:rsidR="6FFCDD43" w:rsidRPr="00F03917">
        <w:rPr>
          <w:rFonts w:eastAsia="MS Mincho"/>
        </w:rPr>
        <w:t xml:space="preserve">and global projections </w:t>
      </w:r>
      <w:r w:rsidRPr="00F03917">
        <w:rPr>
          <w:rFonts w:eastAsia="MS Mincho"/>
        </w:rPr>
        <w:t xml:space="preserve">from the IPCC </w:t>
      </w:r>
      <w:r w:rsidR="0056389D" w:rsidRPr="00F03917">
        <w:rPr>
          <w:rFonts w:eastAsia="MS Mincho"/>
        </w:rPr>
        <w:t>AR6</w:t>
      </w:r>
      <w:r w:rsidR="006A7E1A" w:rsidRPr="00F03917">
        <w:rPr>
          <w:rFonts w:eastAsia="MS Mincho"/>
        </w:rPr>
        <w:t xml:space="preserve"> </w:t>
      </w:r>
      <w:r w:rsidRPr="00F03917">
        <w:rPr>
          <w:rFonts w:eastAsia="MS Mincho"/>
        </w:rPr>
        <w:t>(IPCC, 2021</w:t>
      </w:r>
      <w:r w:rsidR="6074DA8C" w:rsidRPr="00F03917">
        <w:rPr>
          <w:rFonts w:eastAsia="MS Mincho"/>
        </w:rPr>
        <w:t>,</w:t>
      </w:r>
      <w:r w:rsidRPr="00F03917">
        <w:rPr>
          <w:rFonts w:eastAsia="MS Mincho"/>
        </w:rPr>
        <w:t xml:space="preserve"> 2022)</w:t>
      </w:r>
    </w:p>
    <w:p w14:paraId="6827B462" w14:textId="34BF0003" w:rsidR="00B57283" w:rsidRPr="00F03917" w:rsidRDefault="785E971A" w:rsidP="6388E084">
      <w:pPr>
        <w:pStyle w:val="Bullet"/>
        <w:numPr>
          <w:ilvl w:val="0"/>
          <w:numId w:val="0"/>
        </w:numPr>
        <w:rPr>
          <w:rFonts w:eastAsia="MS Mincho" w:cs="Calibri"/>
          <w:color w:val="221F20"/>
        </w:rPr>
      </w:pPr>
      <w:r w:rsidRPr="00F03917">
        <w:rPr>
          <w:rFonts w:eastAsia="MS Mincho"/>
        </w:rPr>
        <w:t xml:space="preserve">downscaling </w:t>
      </w:r>
      <w:r w:rsidR="6FFCDD43" w:rsidRPr="00F03917">
        <w:rPr>
          <w:rFonts w:eastAsia="MS Mincho"/>
        </w:rPr>
        <w:t xml:space="preserve">new </w:t>
      </w:r>
      <w:r w:rsidRPr="00F03917">
        <w:rPr>
          <w:rFonts w:eastAsia="MS Mincho"/>
        </w:rPr>
        <w:t xml:space="preserve">global projections </w:t>
      </w:r>
      <w:r w:rsidR="3FDA2691" w:rsidRPr="00F03917">
        <w:rPr>
          <w:rFonts w:eastAsia="MS Mincho"/>
        </w:rPr>
        <w:t>to Aotearoa by the NZ</w:t>
      </w:r>
      <w:r w:rsidR="04DDEF13" w:rsidRPr="00F03917">
        <w:rPr>
          <w:rFonts w:eastAsia="MS Mincho"/>
        </w:rPr>
        <w:t xml:space="preserve"> </w:t>
      </w:r>
      <w:r w:rsidR="3FDA2691" w:rsidRPr="00F03917">
        <w:rPr>
          <w:rFonts w:eastAsia="MS Mincho"/>
        </w:rPr>
        <w:t>SeaRise project plus the inclusion</w:t>
      </w:r>
      <w:r w:rsidR="6EE4C393" w:rsidRPr="00F03917">
        <w:rPr>
          <w:rFonts w:eastAsia="MS Mincho"/>
        </w:rPr>
        <w:t xml:space="preserve"> of VLM </w:t>
      </w:r>
      <w:r w:rsidR="3C1A12D3" w:rsidRPr="00F03917">
        <w:rPr>
          <w:rFonts w:eastAsia="MS Mincho"/>
        </w:rPr>
        <w:t>to produce localised</w:t>
      </w:r>
      <w:r w:rsidRPr="00F03917">
        <w:rPr>
          <w:rFonts w:eastAsia="MS Mincho"/>
        </w:rPr>
        <w:t xml:space="preserve"> </w:t>
      </w:r>
      <w:r w:rsidRPr="00F03917">
        <w:rPr>
          <w:rFonts w:eastAsia="MS Mincho"/>
          <w:i/>
        </w:rPr>
        <w:t>relative</w:t>
      </w:r>
      <w:r w:rsidRPr="00F03917">
        <w:rPr>
          <w:rFonts w:eastAsia="MS Mincho"/>
        </w:rPr>
        <w:t xml:space="preserve"> SLR (RSLR)</w:t>
      </w:r>
      <w:r w:rsidR="00B57283" w:rsidRPr="00F03917">
        <w:rPr>
          <w:rFonts w:eastAsia="MS Mincho"/>
          <w:vertAlign w:val="superscript"/>
        </w:rPr>
        <w:footnoteReference w:id="3"/>
      </w:r>
      <w:r w:rsidRPr="00F03917">
        <w:rPr>
          <w:rFonts w:eastAsia="MS Mincho"/>
        </w:rPr>
        <w:t xml:space="preserve"> </w:t>
      </w:r>
      <w:r w:rsidR="68FBE195" w:rsidRPr="00F03917">
        <w:rPr>
          <w:rFonts w:eastAsia="MS Mincho"/>
        </w:rPr>
        <w:t>projections</w:t>
      </w:r>
      <w:r w:rsidR="00D91104" w:rsidRPr="00F03917">
        <w:rPr>
          <w:rStyle w:val="FootnoteReference"/>
          <w:rFonts w:eastAsia="MS Mincho" w:cs="Arial"/>
        </w:rPr>
        <w:footnoteReference w:id="4"/>
      </w:r>
      <w:r w:rsidRPr="00F03917">
        <w:rPr>
          <w:rFonts w:eastAsia="MS Mincho"/>
        </w:rPr>
        <w:t xml:space="preserve"> </w:t>
      </w:r>
    </w:p>
    <w:p w14:paraId="3B4F255D" w14:textId="7F48ECDD" w:rsidR="008F41AF" w:rsidRPr="00F03917" w:rsidRDefault="008F41AF" w:rsidP="006A486F">
      <w:pPr>
        <w:pStyle w:val="BulletFIX"/>
      </w:pPr>
      <w:r w:rsidRPr="00F03917">
        <w:t xml:space="preserve">advances in </w:t>
      </w:r>
      <w:r w:rsidR="00D1640F" w:rsidRPr="00F03917">
        <w:t xml:space="preserve">knowledge relating to </w:t>
      </w:r>
      <w:r w:rsidRPr="00F03917">
        <w:t>the types of coastal hazards</w:t>
      </w:r>
      <w:r w:rsidR="006E0F19" w:rsidRPr="00F03917">
        <w:t xml:space="preserve"> and how they cascade and compound</w:t>
      </w:r>
      <w:r w:rsidRPr="00F03917">
        <w:t xml:space="preserve"> </w:t>
      </w:r>
      <w:r w:rsidR="60BFA0C8" w:rsidRPr="00F03917">
        <w:t xml:space="preserve">the effects on </w:t>
      </w:r>
      <w:r w:rsidRPr="00F03917">
        <w:t>the coast</w:t>
      </w:r>
      <w:r w:rsidR="00600F4E" w:rsidRPr="00F03917">
        <w:t xml:space="preserve"> </w:t>
      </w:r>
    </w:p>
    <w:p w14:paraId="66593C58" w14:textId="09950A9B" w:rsidR="008F41AF" w:rsidRPr="00F03917" w:rsidRDefault="00F66295" w:rsidP="00A14875">
      <w:pPr>
        <w:pStyle w:val="Bullet"/>
        <w:rPr>
          <w:rFonts w:eastAsia="MS Mincho"/>
        </w:rPr>
      </w:pPr>
      <w:r w:rsidRPr="00F03917">
        <w:rPr>
          <w:rFonts w:eastAsia="MS Mincho"/>
        </w:rPr>
        <w:t>improved guidance on</w:t>
      </w:r>
      <w:r w:rsidR="00F5261B" w:rsidRPr="00F03917">
        <w:rPr>
          <w:rFonts w:eastAsia="MS Mincho"/>
        </w:rPr>
        <w:t xml:space="preserve"> </w:t>
      </w:r>
      <w:r w:rsidR="008F41AF" w:rsidRPr="00F03917">
        <w:rPr>
          <w:rFonts w:eastAsia="MS Mincho"/>
        </w:rPr>
        <w:t>vulnerability and risk assessment methodology</w:t>
      </w:r>
      <w:r w:rsidR="00505C6F" w:rsidRPr="00F03917">
        <w:rPr>
          <w:rFonts w:eastAsia="MS Mincho"/>
        </w:rPr>
        <w:t xml:space="preserve"> and </w:t>
      </w:r>
      <w:r w:rsidR="00D64681" w:rsidRPr="00F03917">
        <w:rPr>
          <w:rFonts w:eastAsia="MS Mincho"/>
        </w:rPr>
        <w:t>monitoring adaptive pathways</w:t>
      </w:r>
      <w:r w:rsidR="008F41AF" w:rsidRPr="00F03917">
        <w:rPr>
          <w:rFonts w:eastAsia="MS Mincho"/>
        </w:rPr>
        <w:t xml:space="preserve"> for adaptation plans</w:t>
      </w:r>
    </w:p>
    <w:p w14:paraId="152DCA8F" w14:textId="5B2632F5" w:rsidR="00D66B89" w:rsidRPr="00F03917" w:rsidRDefault="00D66B89" w:rsidP="00D66B89">
      <w:pPr>
        <w:pStyle w:val="Bullet"/>
        <w:rPr>
          <w:rFonts w:eastAsia="MS Mincho" w:cs="Calibri"/>
          <w:color w:val="221F20"/>
        </w:rPr>
      </w:pPr>
      <w:r w:rsidRPr="00F03917">
        <w:t>the national adaptation plan (NAP) direct</w:t>
      </w:r>
      <w:r w:rsidR="00105EF4" w:rsidRPr="00F03917">
        <w:t>ion</w:t>
      </w:r>
      <w:r w:rsidRPr="00F03917">
        <w:t>s on which climate scenarios to use for hazard and risk assessment within the resource management system.</w:t>
      </w:r>
    </w:p>
    <w:p w14:paraId="5FEE277A" w14:textId="4AD176A9" w:rsidR="006B3353" w:rsidRPr="00F03917" w:rsidRDefault="00B57283" w:rsidP="00A14875">
      <w:pPr>
        <w:pStyle w:val="BodyText"/>
      </w:pPr>
      <w:r w:rsidRPr="00F03917">
        <w:t xml:space="preserve">The new assessments of the physical science – and of the projected and observed impacts, adaptation and vulnerability – show that hazards and their risks are compounding near coasts, estuaries and harbours throughout Aotearoa </w:t>
      </w:r>
      <w:r w:rsidR="00053203" w:rsidRPr="00F03917">
        <w:t>with impacts cascading more widely</w:t>
      </w:r>
      <w:r w:rsidRPr="00F03917">
        <w:t>. In addition to the environmental risks,</w:t>
      </w:r>
      <w:r w:rsidRPr="00F03917" w:rsidDel="007C7158">
        <w:t xml:space="preserve"> </w:t>
      </w:r>
      <w:r w:rsidRPr="00F03917">
        <w:t xml:space="preserve">a wide range of social, cultural and economic values are at stake. </w:t>
      </w:r>
    </w:p>
    <w:p w14:paraId="6C3BB631" w14:textId="22A0ED68" w:rsidR="006B3353" w:rsidRPr="00F03917" w:rsidRDefault="5AB40689" w:rsidP="009002C3">
      <w:pPr>
        <w:pStyle w:val="BodyText"/>
      </w:pPr>
      <w:r w:rsidRPr="00F03917">
        <w:t xml:space="preserve">The climate and sea </w:t>
      </w:r>
      <w:r w:rsidR="6A0D38A4" w:rsidRPr="00F03917">
        <w:t>level</w:t>
      </w:r>
      <w:r w:rsidRPr="00F03917">
        <w:t xml:space="preserve"> are changing</w:t>
      </w:r>
      <w:r w:rsidR="08F55A3F" w:rsidRPr="00F03917">
        <w:t>,</w:t>
      </w:r>
      <w:r w:rsidRPr="00F03917">
        <w:t xml:space="preserve"> and the pace is accelerating due to </w:t>
      </w:r>
      <w:r w:rsidR="70AAFE07" w:rsidRPr="00F03917">
        <w:t xml:space="preserve">greenhouse gas </w:t>
      </w:r>
      <w:r w:rsidR="33341523" w:rsidRPr="00F03917">
        <w:t xml:space="preserve">emissions warming the atmosphere </w:t>
      </w:r>
      <w:r w:rsidR="36DECCA4" w:rsidRPr="00F03917">
        <w:t xml:space="preserve">and </w:t>
      </w:r>
      <w:r w:rsidRPr="00F03917">
        <w:t xml:space="preserve">melting of </w:t>
      </w:r>
      <w:r w:rsidR="6440E2B7" w:rsidRPr="00F03917">
        <w:t xml:space="preserve">the </w:t>
      </w:r>
      <w:r w:rsidRPr="00F03917">
        <w:t xml:space="preserve">ice sheets and glaciers. </w:t>
      </w:r>
      <w:r w:rsidR="77583848" w:rsidRPr="00F03917">
        <w:t xml:space="preserve">There is </w:t>
      </w:r>
      <w:r w:rsidR="70BF30BD" w:rsidRPr="00F03917">
        <w:t>growing</w:t>
      </w:r>
      <w:r w:rsidR="77583848" w:rsidRPr="00F03917">
        <w:t xml:space="preserve"> understanding of the scale and pace of change from ongoing </w:t>
      </w:r>
      <w:r w:rsidR="0DD5A634" w:rsidRPr="00F03917">
        <w:t>and accelerating</w:t>
      </w:r>
      <w:r w:rsidR="77583848" w:rsidRPr="00F03917">
        <w:t xml:space="preserve"> </w:t>
      </w:r>
      <w:r w:rsidR="42FA6FF3" w:rsidRPr="00F03917">
        <w:t>SLR</w:t>
      </w:r>
      <w:r w:rsidR="77583848" w:rsidRPr="00F03917">
        <w:t xml:space="preserve"> and increased frequency of damaging weather events affecting coastal areas. </w:t>
      </w:r>
      <w:r w:rsidR="6C09FCC3" w:rsidRPr="00F03917">
        <w:t xml:space="preserve">The National Climate Change Risk Assessment </w:t>
      </w:r>
      <w:r w:rsidR="6C09FCC3" w:rsidRPr="00F03917" w:rsidDel="006A6F53">
        <w:t>(</w:t>
      </w:r>
      <w:r w:rsidR="551D115A" w:rsidRPr="00F03917">
        <w:t xml:space="preserve">MfE, </w:t>
      </w:r>
      <w:r w:rsidR="6C09FCC3" w:rsidRPr="00F03917">
        <w:t>2020</w:t>
      </w:r>
      <w:r w:rsidR="00C56B76" w:rsidRPr="00F03917">
        <w:t>a</w:t>
      </w:r>
      <w:r w:rsidR="6C09FCC3" w:rsidRPr="00F03917">
        <w:t xml:space="preserve">) </w:t>
      </w:r>
      <w:r w:rsidR="5B096D90" w:rsidRPr="00F03917">
        <w:t>identifie</w:t>
      </w:r>
      <w:r w:rsidR="00F1CD01" w:rsidRPr="00F03917">
        <w:t>s</w:t>
      </w:r>
      <w:r w:rsidR="5B096D90" w:rsidRPr="00F03917">
        <w:t xml:space="preserve"> </w:t>
      </w:r>
      <w:r w:rsidR="51781D49" w:rsidRPr="00F03917">
        <w:t>coastal hazards</w:t>
      </w:r>
      <w:r w:rsidR="1DAFD523" w:rsidRPr="00F03917">
        <w:t xml:space="preserve"> –</w:t>
      </w:r>
      <w:r w:rsidR="51781D49" w:rsidRPr="00F03917">
        <w:t xml:space="preserve"> such as coastal flooding and erosion or landslides, </w:t>
      </w:r>
      <w:r w:rsidR="769F9E74" w:rsidRPr="00F03917">
        <w:t>and progressive and ongoing</w:t>
      </w:r>
      <w:r w:rsidR="51781D49" w:rsidRPr="00F03917">
        <w:t xml:space="preserve"> changes (particularly SLR</w:t>
      </w:r>
      <w:r w:rsidR="00F03D25" w:rsidRPr="00F03917">
        <w:t>, associated groundwater rise and in combination with extreme rainfall events</w:t>
      </w:r>
      <w:r w:rsidR="51781D49" w:rsidRPr="00F03917">
        <w:t>)</w:t>
      </w:r>
      <w:r w:rsidR="3520A154" w:rsidRPr="00F03917">
        <w:t xml:space="preserve"> </w:t>
      </w:r>
      <w:r w:rsidR="1DAFD523" w:rsidRPr="00F03917">
        <w:t xml:space="preserve">– </w:t>
      </w:r>
      <w:r w:rsidR="51781D49" w:rsidRPr="00F03917">
        <w:t xml:space="preserve">as some of the </w:t>
      </w:r>
      <w:r w:rsidR="5B096D90" w:rsidRPr="00F03917">
        <w:t xml:space="preserve">most significant </w:t>
      </w:r>
      <w:r w:rsidR="00F1CD01" w:rsidRPr="00F03917">
        <w:t xml:space="preserve">risks </w:t>
      </w:r>
      <w:r w:rsidR="0262A20F" w:rsidRPr="00F03917">
        <w:t>for Aotearoa</w:t>
      </w:r>
      <w:r w:rsidR="51781D49" w:rsidRPr="00F03917">
        <w:t xml:space="preserve">. Risks to coastal ecosystems, </w:t>
      </w:r>
      <w:r w:rsidR="00312571" w:rsidRPr="00F03917">
        <w:t xml:space="preserve">low-lying coastal </w:t>
      </w:r>
      <w:r w:rsidR="51781D49" w:rsidRPr="00F03917">
        <w:t>communities and infrastructure are</w:t>
      </w:r>
      <w:r w:rsidR="28B62555" w:rsidRPr="00F03917">
        <w:t xml:space="preserve"> outlined</w:t>
      </w:r>
      <w:r w:rsidR="50541F1C" w:rsidRPr="00F03917">
        <w:t xml:space="preserve"> as </w:t>
      </w:r>
      <w:r w:rsidR="51781D49" w:rsidRPr="00F03917">
        <w:t>three of the top ten most significant risks</w:t>
      </w:r>
      <w:r w:rsidR="15F8912B" w:rsidRPr="00F03917">
        <w:t xml:space="preserve"> across multiple domains, </w:t>
      </w:r>
      <w:r w:rsidR="314BE9BF" w:rsidRPr="00F03917">
        <w:t xml:space="preserve">including the natural and built environments, </w:t>
      </w:r>
      <w:r w:rsidR="4F97375D" w:rsidRPr="00F03917">
        <w:t>humans and the economy.</w:t>
      </w:r>
      <w:r w:rsidR="6C09FCC3" w:rsidRPr="00F03917">
        <w:t xml:space="preserve"> </w:t>
      </w:r>
      <w:r w:rsidR="1FCCA713" w:rsidRPr="00F03917">
        <w:t>Additionally, i</w:t>
      </w:r>
      <w:r w:rsidR="785E971A" w:rsidRPr="00F03917">
        <w:t>n its 2050 challenge paper, Local Government New</w:t>
      </w:r>
      <w:r w:rsidR="1D9C0CBC" w:rsidRPr="00F03917">
        <w:t> </w:t>
      </w:r>
      <w:r w:rsidR="785E971A" w:rsidRPr="00F03917">
        <w:t xml:space="preserve">Zealand (LGNZ) highlighted SLR as one of the </w:t>
      </w:r>
      <w:r w:rsidR="4E65DB2E" w:rsidRPr="00F03917">
        <w:t>main</w:t>
      </w:r>
      <w:r w:rsidR="785E971A" w:rsidRPr="00F03917">
        <w:t xml:space="preserve"> factors that will greatly affect coastal communities (LGNZ, 2016b). </w:t>
      </w:r>
      <w:r w:rsidR="146F8E42" w:rsidRPr="00F03917">
        <w:t xml:space="preserve">The New Zealand Coastal Policy Statement </w:t>
      </w:r>
      <w:r w:rsidR="42FEF3BE" w:rsidRPr="00F03917">
        <w:t>2010</w:t>
      </w:r>
      <w:r w:rsidR="146F8E42" w:rsidRPr="00F03917">
        <w:t xml:space="preserve"> (NZCPS</w:t>
      </w:r>
      <w:r w:rsidR="4245D8CC" w:rsidRPr="00F03917">
        <w:t xml:space="preserve"> 2010</w:t>
      </w:r>
      <w:r w:rsidR="00E5383D" w:rsidRPr="00F03917">
        <w:t>, DOC, 2010</w:t>
      </w:r>
      <w:r w:rsidR="146F8E42" w:rsidRPr="00F03917">
        <w:t>) provides a directive to avoid increasing the risk and to plan for at least 100-year</w:t>
      </w:r>
      <w:r w:rsidR="71EE02AB" w:rsidRPr="00F03917">
        <w:t>s</w:t>
      </w:r>
      <w:r w:rsidR="146F8E42" w:rsidRPr="00F03917">
        <w:t xml:space="preserve"> in the coastal </w:t>
      </w:r>
      <w:r w:rsidR="00734DA8" w:rsidRPr="00F03917">
        <w:t>area</w:t>
      </w:r>
      <w:r w:rsidR="008562D0" w:rsidRPr="00F03917">
        <w:t xml:space="preserve">. </w:t>
      </w:r>
      <w:r w:rsidR="00FF416F" w:rsidRPr="00F03917">
        <w:t>The NZCPS a</w:t>
      </w:r>
      <w:r w:rsidR="00035D52" w:rsidRPr="00F03917">
        <w:t>lso</w:t>
      </w:r>
      <w:r w:rsidR="002822AE" w:rsidRPr="00F03917">
        <w:t xml:space="preserve"> includ</w:t>
      </w:r>
      <w:r w:rsidR="00035D52" w:rsidRPr="00F03917">
        <w:t>es</w:t>
      </w:r>
      <w:r w:rsidR="002822AE" w:rsidRPr="00F03917">
        <w:t xml:space="preserve"> polic</w:t>
      </w:r>
      <w:r w:rsidR="007666DF" w:rsidRPr="00F03917">
        <w:t xml:space="preserve">ies </w:t>
      </w:r>
      <w:r w:rsidR="00E32A07" w:rsidRPr="00F03917">
        <w:t>for assessing a range of options for reducing coastal hazard risk</w:t>
      </w:r>
      <w:r w:rsidR="00816671" w:rsidRPr="00F03917">
        <w:t xml:space="preserve"> to protect significant existing development</w:t>
      </w:r>
      <w:r w:rsidR="003467BC" w:rsidRPr="00F03917">
        <w:t xml:space="preserve"> (</w:t>
      </w:r>
      <w:r w:rsidR="00F35780" w:rsidRPr="00F03917">
        <w:t xml:space="preserve">Policy 27, </w:t>
      </w:r>
      <w:r w:rsidR="00EE699E" w:rsidRPr="00F03917">
        <w:t>DOC, 2010</w:t>
      </w:r>
      <w:r w:rsidR="003467BC" w:rsidRPr="00F03917">
        <w:t xml:space="preserve">). </w:t>
      </w:r>
      <w:r w:rsidR="0013336B" w:rsidRPr="00F03917">
        <w:t xml:space="preserve">Climate change and increasing </w:t>
      </w:r>
      <w:r w:rsidR="000F5D74" w:rsidRPr="00F03917">
        <w:t>SLR</w:t>
      </w:r>
      <w:r w:rsidR="00DD5361" w:rsidRPr="00F03917">
        <w:t xml:space="preserve"> </w:t>
      </w:r>
      <w:r w:rsidR="00EE1F18" w:rsidRPr="00F03917">
        <w:t xml:space="preserve">will increase </w:t>
      </w:r>
      <w:r w:rsidR="146F8E42" w:rsidRPr="00F03917">
        <w:t xml:space="preserve">the challenges </w:t>
      </w:r>
      <w:r w:rsidR="008562D0" w:rsidRPr="00F03917">
        <w:t>of</w:t>
      </w:r>
      <w:r w:rsidR="146F8E42" w:rsidRPr="00F03917">
        <w:t xml:space="preserve"> </w:t>
      </w:r>
      <w:r w:rsidR="00F034B7" w:rsidRPr="00F03917">
        <w:t xml:space="preserve">long-term </w:t>
      </w:r>
      <w:r w:rsidR="146F8E42" w:rsidRPr="00F03917">
        <w:t>sustainable management</w:t>
      </w:r>
      <w:r w:rsidR="00F034B7" w:rsidRPr="00F03917">
        <w:t xml:space="preserve"> of </w:t>
      </w:r>
      <w:r w:rsidR="00233F07" w:rsidRPr="00F03917">
        <w:t>the</w:t>
      </w:r>
      <w:r w:rsidR="00842571" w:rsidRPr="00F03917">
        <w:t xml:space="preserve"> </w:t>
      </w:r>
      <w:r w:rsidR="00105E20" w:rsidRPr="00F03917">
        <w:t>Aotearoa</w:t>
      </w:r>
      <w:r w:rsidR="009F60AE" w:rsidRPr="00F03917">
        <w:t xml:space="preserve"> </w:t>
      </w:r>
      <w:r w:rsidR="00F034B7" w:rsidRPr="00F03917">
        <w:t>coast</w:t>
      </w:r>
      <w:r w:rsidR="009F60AE" w:rsidRPr="00F03917">
        <w:t>al area</w:t>
      </w:r>
      <w:r w:rsidR="146F8E42" w:rsidRPr="00F03917">
        <w:t xml:space="preserve">. </w:t>
      </w:r>
    </w:p>
    <w:p w14:paraId="14E244EC" w14:textId="77777777" w:rsidR="00A850CB" w:rsidRPr="00F03917" w:rsidRDefault="00A850CB">
      <w:pPr>
        <w:rPr>
          <w:rFonts w:ascii="Calibri" w:eastAsiaTheme="minorEastAsia" w:hAnsi="Calibri"/>
          <w:kern w:val="0"/>
          <w:sz w:val="22"/>
          <w:szCs w:val="22"/>
          <w:lang w:eastAsia="en-NZ"/>
          <w14:ligatures w14:val="none"/>
        </w:rPr>
      </w:pPr>
      <w:r w:rsidRPr="00F03917">
        <w:br w:type="page"/>
      </w:r>
    </w:p>
    <w:p w14:paraId="07211F62" w14:textId="1C196271" w:rsidR="00EC1613" w:rsidRPr="00F03917" w:rsidRDefault="3D23F0F4" w:rsidP="000D035D">
      <w:pPr>
        <w:pStyle w:val="BodyText"/>
      </w:pPr>
      <w:r w:rsidRPr="00F03917">
        <w:lastRenderedPageBreak/>
        <w:t>Coastal hazards therefore require specific guidance and consideration</w:t>
      </w:r>
      <w:r w:rsidR="009900D0" w:rsidRPr="00F03917">
        <w:t>. This is</w:t>
      </w:r>
      <w:r w:rsidR="69FCF0C3" w:rsidRPr="00F03917">
        <w:t xml:space="preserve"> especially</w:t>
      </w:r>
      <w:r w:rsidRPr="00F03917">
        <w:t xml:space="preserve"> because</w:t>
      </w:r>
      <w:r w:rsidR="7415D779" w:rsidRPr="00F03917">
        <w:t xml:space="preserve"> </w:t>
      </w:r>
      <w:r w:rsidR="69FCF0C3" w:rsidRPr="00F03917">
        <w:t>SLR</w:t>
      </w:r>
      <w:r w:rsidR="7415D779" w:rsidRPr="00F03917">
        <w:t xml:space="preserve"> will continue for at least several centuries</w:t>
      </w:r>
      <w:r w:rsidR="4AD810C1" w:rsidRPr="00F03917">
        <w:t xml:space="preserve"> under all climate scenarios</w:t>
      </w:r>
      <w:r w:rsidR="7415D779" w:rsidRPr="00F03917">
        <w:t xml:space="preserve">, </w:t>
      </w:r>
      <w:r w:rsidR="00396020" w:rsidRPr="00F03917">
        <w:t>even if</w:t>
      </w:r>
      <w:r w:rsidR="7415D779" w:rsidRPr="00F03917">
        <w:t xml:space="preserve"> greenhouse gas emissions</w:t>
      </w:r>
      <w:r w:rsidR="48FEB6A8" w:rsidRPr="00F03917">
        <w:t xml:space="preserve"> </w:t>
      </w:r>
      <w:r w:rsidR="001436C3" w:rsidRPr="00F03917">
        <w:t>are curbed</w:t>
      </w:r>
      <w:r w:rsidR="00B92936" w:rsidRPr="00F03917">
        <w:t xml:space="preserve"> and</w:t>
      </w:r>
      <w:r w:rsidR="780B3970" w:rsidRPr="00F03917">
        <w:t xml:space="preserve"> the rate of rise</w:t>
      </w:r>
      <w:r w:rsidR="0096287F" w:rsidRPr="00F03917">
        <w:t xml:space="preserve"> and the overall amount of SLR</w:t>
      </w:r>
      <w:r w:rsidR="00324713" w:rsidRPr="00F03917">
        <w:t xml:space="preserve"> is slowed</w:t>
      </w:r>
      <w:r w:rsidR="7415D779" w:rsidRPr="00F03917">
        <w:t>. Th</w:t>
      </w:r>
      <w:r w:rsidR="00A93C4F" w:rsidRPr="00F03917">
        <w:t>ere is</w:t>
      </w:r>
      <w:r w:rsidR="7415D779" w:rsidRPr="00F03917">
        <w:t xml:space="preserve"> an ongoing </w:t>
      </w:r>
      <w:r w:rsidR="69DD707A" w:rsidRPr="00F03917">
        <w:t xml:space="preserve">challenge </w:t>
      </w:r>
      <w:r w:rsidR="00950DE6" w:rsidRPr="00F03917">
        <w:t>to</w:t>
      </w:r>
      <w:r w:rsidR="00950DE6" w:rsidRPr="00F03917" w:rsidDel="49610DBC">
        <w:t xml:space="preserve"> </w:t>
      </w:r>
      <w:r w:rsidR="7415D779" w:rsidRPr="00F03917">
        <w:t>manag</w:t>
      </w:r>
      <w:r w:rsidR="00950DE6" w:rsidRPr="00F03917">
        <w:t>e</w:t>
      </w:r>
      <w:r w:rsidR="7415D779" w:rsidRPr="00F03917">
        <w:t xml:space="preserve"> the transition to more </w:t>
      </w:r>
      <w:r w:rsidR="7FCBA748" w:rsidRPr="00F03917">
        <w:t>resilient</w:t>
      </w:r>
      <w:r w:rsidR="7415D779" w:rsidRPr="00F03917">
        <w:t xml:space="preserve"> coastal communities through adaptive plannin</w:t>
      </w:r>
      <w:r w:rsidR="4062CDB0" w:rsidRPr="00F03917">
        <w:t>g.</w:t>
      </w:r>
    </w:p>
    <w:p w14:paraId="597A9BB9" w14:textId="0F54886B" w:rsidR="00F11053" w:rsidRPr="00F03917" w:rsidRDefault="5930685C" w:rsidP="63431CDA">
      <w:pPr>
        <w:pStyle w:val="Heading2"/>
        <w:spacing w:before="480"/>
      </w:pPr>
      <w:bookmarkStart w:id="2" w:name="_Toc160096230"/>
      <w:r w:rsidRPr="00F03917">
        <w:t>How do I use this guidance?</w:t>
      </w:r>
      <w:bookmarkEnd w:id="2"/>
    </w:p>
    <w:p w14:paraId="616F7BDC" w14:textId="1F6CDC16" w:rsidR="00F11053" w:rsidRPr="00F03917" w:rsidRDefault="5930685C" w:rsidP="003960BF">
      <w:pPr>
        <w:pStyle w:val="BodyText"/>
        <w:spacing w:after="240"/>
      </w:pPr>
      <w:r w:rsidRPr="00F03917">
        <w:t>This guidance</w:t>
      </w:r>
      <w:r w:rsidRPr="00F03917" w:rsidDel="0057443C">
        <w:t xml:space="preserve"> </w:t>
      </w:r>
      <w:r w:rsidRPr="00F03917">
        <w:t xml:space="preserve">follows a 10-step decision cycle (figure </w:t>
      </w:r>
      <w:r w:rsidRPr="00F03917" w:rsidDel="00842D26">
        <w:t>1</w:t>
      </w:r>
      <w:r w:rsidRPr="00F03917">
        <w:t xml:space="preserve">). The steps </w:t>
      </w:r>
      <w:r w:rsidR="1FA0423E" w:rsidRPr="00F03917">
        <w:t xml:space="preserve">allow </w:t>
      </w:r>
      <w:r w:rsidR="2E8F562A" w:rsidRPr="00F03917">
        <w:t>for</w:t>
      </w:r>
      <w:r w:rsidRPr="00F03917">
        <w:t xml:space="preserve"> </w:t>
      </w:r>
      <w:r w:rsidR="04922F91" w:rsidRPr="00F03917">
        <w:t>both short</w:t>
      </w:r>
      <w:r w:rsidR="64DEC366" w:rsidRPr="00F03917">
        <w:t>-</w:t>
      </w:r>
      <w:r w:rsidR="04922F91" w:rsidRPr="00F03917">
        <w:t xml:space="preserve"> and</w:t>
      </w:r>
      <w:r w:rsidRPr="00F03917">
        <w:t xml:space="preserve"> </w:t>
      </w:r>
      <w:r w:rsidR="2D91A411" w:rsidRPr="00F03917">
        <w:t>long-</w:t>
      </w:r>
      <w:r w:rsidRPr="00F03917">
        <w:t>term planning, adaptive pathways and</w:t>
      </w:r>
      <w:r w:rsidRPr="00F03917" w:rsidDel="00277B4C">
        <w:t xml:space="preserve"> </w:t>
      </w:r>
      <w:r w:rsidRPr="00F03917">
        <w:t xml:space="preserve">decision-making for coastal areas that are, or </w:t>
      </w:r>
      <w:r w:rsidR="236CB1DA" w:rsidRPr="00F03917">
        <w:t>will</w:t>
      </w:r>
      <w:r w:rsidR="008175BC" w:rsidRPr="00F03917">
        <w:t> </w:t>
      </w:r>
      <w:r w:rsidRPr="00F03917">
        <w:t>be,</w:t>
      </w:r>
      <w:r w:rsidRPr="00F03917" w:rsidDel="00741964">
        <w:t xml:space="preserve"> </w:t>
      </w:r>
      <w:r w:rsidRPr="00F03917">
        <w:t xml:space="preserve">affected by coastal hazards and climate change. </w:t>
      </w:r>
      <w:r w:rsidRPr="00F03917">
        <w:rPr>
          <w:rFonts w:eastAsia="MS Mincho" w:cs="Arial"/>
        </w:rPr>
        <w:t xml:space="preserve">Adaptation is an iterative process. Iterations </w:t>
      </w:r>
      <w:r w:rsidR="021D7352" w:rsidRPr="00F03917">
        <w:rPr>
          <w:rFonts w:eastAsia="MS Mincho" w:cs="Arial"/>
        </w:rPr>
        <w:t>within</w:t>
      </w:r>
      <w:r w:rsidRPr="00F03917">
        <w:rPr>
          <w:rFonts w:eastAsia="MS Mincho" w:cs="Arial"/>
        </w:rPr>
        <w:t xml:space="preserve"> the process can be driven by </w:t>
      </w:r>
      <w:r w:rsidR="003269FB" w:rsidRPr="00F03917">
        <w:rPr>
          <w:rFonts w:eastAsia="MS Mincho" w:cs="Arial"/>
        </w:rPr>
        <w:t>experience of hazard events</w:t>
      </w:r>
      <w:r w:rsidR="00FF26BB" w:rsidRPr="00F03917">
        <w:rPr>
          <w:rFonts w:eastAsia="MS Mincho" w:cs="Arial"/>
        </w:rPr>
        <w:t xml:space="preserve"> and observations of</w:t>
      </w:r>
      <w:r w:rsidR="008175BC" w:rsidRPr="00F03917">
        <w:rPr>
          <w:rFonts w:eastAsia="MS Mincho" w:cs="Arial"/>
        </w:rPr>
        <w:t> </w:t>
      </w:r>
      <w:r w:rsidR="00FF26BB" w:rsidRPr="00F03917">
        <w:rPr>
          <w:rFonts w:eastAsia="MS Mincho" w:cs="Arial"/>
        </w:rPr>
        <w:t>progressive changes</w:t>
      </w:r>
      <w:r w:rsidR="003269FB" w:rsidRPr="00F03917">
        <w:rPr>
          <w:rFonts w:eastAsia="MS Mincho" w:cs="Arial"/>
        </w:rPr>
        <w:t xml:space="preserve">, </w:t>
      </w:r>
      <w:r w:rsidRPr="00F03917">
        <w:rPr>
          <w:rFonts w:eastAsia="MS Mincho" w:cs="Arial"/>
        </w:rPr>
        <w:t>new climate information</w:t>
      </w:r>
      <w:r w:rsidR="0ABFEAA6" w:rsidRPr="00F03917">
        <w:rPr>
          <w:rFonts w:eastAsia="MS Mincho" w:cs="Arial"/>
        </w:rPr>
        <w:t xml:space="preserve"> and projections</w:t>
      </w:r>
      <w:r w:rsidRPr="00F03917">
        <w:rPr>
          <w:rFonts w:eastAsia="MS Mincho" w:cs="Arial"/>
        </w:rPr>
        <w:t xml:space="preserve">; reappraising early signals (warnings) and triggers (decision points); and social, cultural and economic change. The steps can be worked through </w:t>
      </w:r>
      <w:r w:rsidR="24A73406" w:rsidRPr="00F03917">
        <w:rPr>
          <w:rFonts w:eastAsia="MS Mincho" w:cs="Arial"/>
        </w:rPr>
        <w:t xml:space="preserve">either </w:t>
      </w:r>
      <w:r w:rsidRPr="00F03917">
        <w:rPr>
          <w:rFonts w:eastAsia="MS Mincho" w:cs="Arial"/>
        </w:rPr>
        <w:t>sequentially</w:t>
      </w:r>
      <w:r w:rsidRPr="00F03917" w:rsidDel="00EA251A">
        <w:rPr>
          <w:rFonts w:eastAsia="MS Mincho" w:cs="Arial"/>
        </w:rPr>
        <w:t xml:space="preserve"> </w:t>
      </w:r>
      <w:r w:rsidRPr="00F03917">
        <w:rPr>
          <w:rFonts w:eastAsia="MS Mincho" w:cs="Arial"/>
        </w:rPr>
        <w:t>or in the order that makes best sense for your specific problem and process</w:t>
      </w:r>
      <w:r w:rsidR="1992F092" w:rsidRPr="00F03917">
        <w:rPr>
          <w:rFonts w:eastAsia="MS Mincho" w:cs="Arial"/>
        </w:rPr>
        <w:t>, allowing you</w:t>
      </w:r>
      <w:r w:rsidR="6B42AD68" w:rsidRPr="00F03917">
        <w:rPr>
          <w:rFonts w:eastAsia="MS Mincho" w:cs="Arial"/>
        </w:rPr>
        <w:t xml:space="preserve"> </w:t>
      </w:r>
      <w:r w:rsidR="052299A8" w:rsidRPr="00F03917">
        <w:rPr>
          <w:rFonts w:eastAsia="MS Mincho" w:cs="Arial"/>
        </w:rPr>
        <w:t>to</w:t>
      </w:r>
      <w:r w:rsidR="6B42AD68" w:rsidRPr="00F03917">
        <w:rPr>
          <w:rFonts w:eastAsia="MS Mincho" w:cs="Arial"/>
        </w:rPr>
        <w:t xml:space="preserve"> loop back to earlier steps if readjustments are needed.</w:t>
      </w:r>
      <w:r w:rsidRPr="00F03917">
        <w:t xml:space="preserve"> </w:t>
      </w:r>
      <w:r w:rsidR="0117BEEE" w:rsidRPr="00F03917">
        <w:t xml:space="preserve">The guidance is intended to </w:t>
      </w:r>
      <w:r w:rsidR="1523D1A1" w:rsidRPr="00F03917">
        <w:t>help</w:t>
      </w:r>
      <w:r w:rsidR="0117BEEE" w:rsidRPr="00F03917">
        <w:t xml:space="preserve"> only</w:t>
      </w:r>
      <w:r w:rsidR="56C0D6D8" w:rsidRPr="00F03917">
        <w:t>,</w:t>
      </w:r>
      <w:r w:rsidR="0117BEEE" w:rsidRPr="00F03917">
        <w:t xml:space="preserve"> and local authorities must use the most appropriate processes and methods for their region or district.</w:t>
      </w:r>
    </w:p>
    <w:p w14:paraId="5772ECAF" w14:textId="737994ED" w:rsidR="000C16AE" w:rsidRPr="00F03917" w:rsidRDefault="000C16AE" w:rsidP="003F1C3D">
      <w:pPr>
        <w:pStyle w:val="BodyText"/>
      </w:pPr>
      <w:r w:rsidRPr="00F03917">
        <w:t xml:space="preserve">Broader guidance on the practical steps to take as part of the adaptation process is expected to be published later in 2024. When this </w:t>
      </w:r>
      <w:r w:rsidR="00671FF6" w:rsidRPr="00F03917">
        <w:t>a</w:t>
      </w:r>
      <w:r w:rsidRPr="00F03917">
        <w:t xml:space="preserve">daptation </w:t>
      </w:r>
      <w:r w:rsidR="00671FF6" w:rsidRPr="00F03917">
        <w:t>p</w:t>
      </w:r>
      <w:r w:rsidRPr="00F03917">
        <w:t xml:space="preserve">lanning </w:t>
      </w:r>
      <w:r w:rsidR="00671FF6" w:rsidRPr="00F03917">
        <w:t>g</w:t>
      </w:r>
      <w:r w:rsidRPr="00F03917">
        <w:t xml:space="preserve">uidance is released, a condensed technical version of the Coastal Hazards and Climate Change Guidance will sit alongside it as a companion document.  </w:t>
      </w:r>
    </w:p>
    <w:p w14:paraId="411ADF0F" w14:textId="6B7878E2" w:rsidR="00612475" w:rsidRPr="00F03917" w:rsidRDefault="00612475" w:rsidP="00C972E6">
      <w:pPr>
        <w:pStyle w:val="Heading3"/>
      </w:pPr>
      <w:r w:rsidRPr="00F03917">
        <w:t xml:space="preserve">Guidance </w:t>
      </w:r>
      <w:r w:rsidR="00723A95" w:rsidRPr="00F03917">
        <w:t>abbreviations and terminology</w:t>
      </w:r>
    </w:p>
    <w:p w14:paraId="68E08F5E" w14:textId="65A9E1C5" w:rsidR="00612475" w:rsidRPr="00F03917" w:rsidRDefault="00612475" w:rsidP="00C972E6">
      <w:pPr>
        <w:pStyle w:val="BodyText"/>
      </w:pPr>
      <w:r w:rsidRPr="00F03917">
        <w:t xml:space="preserve">This guidance uses many terms in a defined way that is specific to this subject matter (examples include ‘adaptation’, ‘dynamic adaptive pathways planning’, ‘projection’, ‘scenario’, ‘uncertainty’, ‘vulnerability’). Please refer to the </w:t>
      </w:r>
      <w:hyperlink w:anchor="_Glossary_of_abbreviations" w:history="1">
        <w:r w:rsidRPr="00F03917">
          <w:rPr>
            <w:rStyle w:val="Hyperlink"/>
          </w:rPr>
          <w:t>Glossary of abbreviations and terms</w:t>
        </w:r>
      </w:hyperlink>
      <w:r w:rsidRPr="00F03917">
        <w:t xml:space="preserve"> for explanations of our use of such terms in this guidance.</w:t>
      </w:r>
    </w:p>
    <w:p w14:paraId="166612C0" w14:textId="10DEFB67" w:rsidR="009330DD" w:rsidRPr="00F03917" w:rsidRDefault="00CB039C" w:rsidP="00C972E6">
      <w:pPr>
        <w:pStyle w:val="Heading3"/>
      </w:pPr>
      <w:r w:rsidRPr="00F03917">
        <w:t>Guidance structure</w:t>
      </w:r>
    </w:p>
    <w:p w14:paraId="4A4CEBBE" w14:textId="16398864" w:rsidR="003F1C3D" w:rsidRPr="00F03917" w:rsidRDefault="003F1C3D" w:rsidP="003F1C3D">
      <w:pPr>
        <w:pStyle w:val="BodyText"/>
      </w:pPr>
      <w:r w:rsidRPr="00F03917">
        <w:t xml:space="preserve">This publication, </w:t>
      </w:r>
      <w:r w:rsidR="00F11053" w:rsidRPr="00F03917">
        <w:rPr>
          <w:i/>
        </w:rPr>
        <w:t>Coastal hazards</w:t>
      </w:r>
      <w:r w:rsidR="00AA03A4" w:rsidRPr="00F03917">
        <w:rPr>
          <w:i/>
        </w:rPr>
        <w:t xml:space="preserve"> </w:t>
      </w:r>
      <w:r w:rsidR="00DD5D76" w:rsidRPr="00F03917">
        <w:rPr>
          <w:i/>
        </w:rPr>
        <w:t>a</w:t>
      </w:r>
      <w:r w:rsidR="00AA03A4" w:rsidRPr="00F03917">
        <w:rPr>
          <w:i/>
        </w:rPr>
        <w:t>nd climate change guidance</w:t>
      </w:r>
      <w:r w:rsidRPr="00F03917">
        <w:t>, is an overview of the 10-step decision cycle and includes the following appendices:</w:t>
      </w:r>
    </w:p>
    <w:p w14:paraId="03FCBA69" w14:textId="55A0E208" w:rsidR="003F1C3D" w:rsidRPr="00F03917" w:rsidRDefault="00000000" w:rsidP="00C972E6">
      <w:pPr>
        <w:pStyle w:val="BodyText"/>
        <w:spacing w:after="0"/>
        <w:ind w:left="567"/>
      </w:pPr>
      <w:hyperlink w:anchor="_Appendix_A:_Coastal-hazard-manageme" w:history="1">
        <w:r w:rsidR="003F1C3D" w:rsidRPr="00F03917">
          <w:rPr>
            <w:rStyle w:val="Hyperlink"/>
          </w:rPr>
          <w:t>A: Coastal</w:t>
        </w:r>
        <w:r w:rsidR="00B6104D" w:rsidRPr="00F03917">
          <w:rPr>
            <w:rStyle w:val="Hyperlink"/>
          </w:rPr>
          <w:t xml:space="preserve"> </w:t>
        </w:r>
        <w:r w:rsidR="003F1C3D" w:rsidRPr="00F03917">
          <w:rPr>
            <w:rStyle w:val="Hyperlink"/>
          </w:rPr>
          <w:t>hazard</w:t>
        </w:r>
        <w:r w:rsidR="00B6104D" w:rsidRPr="00F03917">
          <w:rPr>
            <w:rStyle w:val="Hyperlink"/>
          </w:rPr>
          <w:t xml:space="preserve"> </w:t>
        </w:r>
        <w:r w:rsidR="003F1C3D" w:rsidRPr="00F03917">
          <w:rPr>
            <w:rStyle w:val="Hyperlink"/>
          </w:rPr>
          <w:t>management case studies</w:t>
        </w:r>
      </w:hyperlink>
    </w:p>
    <w:p w14:paraId="1187EE38" w14:textId="3535EEA9" w:rsidR="003F1C3D" w:rsidRPr="00F03917" w:rsidRDefault="00000000" w:rsidP="00C972E6">
      <w:pPr>
        <w:pStyle w:val="BodyText"/>
        <w:spacing w:after="0"/>
        <w:ind w:left="567"/>
      </w:pPr>
      <w:hyperlink w:anchor="_Appendix_B:_Relevant" w:history="1">
        <w:r w:rsidR="003F1C3D" w:rsidRPr="00F03917">
          <w:rPr>
            <w:rStyle w:val="Hyperlink"/>
          </w:rPr>
          <w:t>B: Relevant court cases</w:t>
        </w:r>
      </w:hyperlink>
    </w:p>
    <w:p w14:paraId="6F7BF41E" w14:textId="62D2107A" w:rsidR="009677FA" w:rsidRPr="00F03917" w:rsidRDefault="00000000" w:rsidP="00C972E6">
      <w:pPr>
        <w:pStyle w:val="BodyText"/>
        <w:spacing w:after="0"/>
        <w:ind w:left="567"/>
      </w:pPr>
      <w:hyperlink w:anchor="_Appendix_C:_Dynamic" w:history="1">
        <w:r w:rsidR="003F1C3D" w:rsidRPr="00F03917">
          <w:rPr>
            <w:rStyle w:val="Hyperlink"/>
          </w:rPr>
          <w:t xml:space="preserve">C: </w:t>
        </w:r>
        <w:r w:rsidR="009677FA" w:rsidRPr="00F03917">
          <w:rPr>
            <w:rStyle w:val="Hyperlink"/>
          </w:rPr>
          <w:t>Dynamic adaptive pathways planning approach and addressing barriers to uptake</w:t>
        </w:r>
      </w:hyperlink>
    </w:p>
    <w:p w14:paraId="74191B07" w14:textId="01E81D11" w:rsidR="003F1C3D" w:rsidRPr="00F03917" w:rsidRDefault="00000000" w:rsidP="00C972E6">
      <w:pPr>
        <w:pStyle w:val="BodyText"/>
        <w:spacing w:after="0"/>
        <w:ind w:left="567"/>
      </w:pPr>
      <w:hyperlink w:anchor="_Appendix_D:_Baseline" w:history="1">
        <w:r w:rsidR="00515148" w:rsidRPr="00F03917">
          <w:rPr>
            <w:rStyle w:val="Hyperlink"/>
          </w:rPr>
          <w:t xml:space="preserve">D: </w:t>
        </w:r>
        <w:r w:rsidR="003F1C3D" w:rsidRPr="00F03917">
          <w:rPr>
            <w:rStyle w:val="Hyperlink"/>
          </w:rPr>
          <w:t>Baseline mean sea level for locations around Aotearoa New Zealand</w:t>
        </w:r>
      </w:hyperlink>
      <w:r w:rsidR="00B81151" w:rsidRPr="00F03917">
        <w:t>.</w:t>
      </w:r>
    </w:p>
    <w:p w14:paraId="1E35EFC2" w14:textId="77777777" w:rsidR="00AE4E95" w:rsidRPr="00F03917" w:rsidRDefault="00AE4E95">
      <w:pPr>
        <w:rPr>
          <w:rFonts w:ascii="Calibri" w:eastAsiaTheme="minorEastAsia" w:hAnsi="Calibri"/>
          <w:kern w:val="0"/>
          <w:sz w:val="22"/>
          <w:szCs w:val="22"/>
          <w:lang w:eastAsia="en-NZ"/>
          <w14:ligatures w14:val="none"/>
        </w:rPr>
      </w:pPr>
      <w:r w:rsidRPr="00F03917">
        <w:br w:type="page"/>
      </w:r>
    </w:p>
    <w:p w14:paraId="5E05E6DB" w14:textId="3B282318" w:rsidR="003F1C3D" w:rsidRPr="00F03917" w:rsidRDefault="003F1C3D" w:rsidP="007273C8">
      <w:pPr>
        <w:pStyle w:val="BodyText"/>
      </w:pPr>
      <w:r w:rsidRPr="00F03917">
        <w:lastRenderedPageBreak/>
        <w:t xml:space="preserve">The guidance is structured around five main questions in the 10-step decision cycle. </w:t>
      </w:r>
    </w:p>
    <w:p w14:paraId="23764E4E" w14:textId="77777777" w:rsidR="003F1C3D" w:rsidRPr="00F03917" w:rsidRDefault="003F1C3D" w:rsidP="006A486F">
      <w:pPr>
        <w:pStyle w:val="BulletFIX"/>
      </w:pPr>
      <w:r w:rsidRPr="00F03917">
        <w:t>What is happening?</w:t>
      </w:r>
    </w:p>
    <w:p w14:paraId="0CA6CBA6" w14:textId="77777777" w:rsidR="003F1C3D" w:rsidRPr="00F03917" w:rsidRDefault="003F1C3D" w:rsidP="006A486F">
      <w:pPr>
        <w:pStyle w:val="BulletFIX"/>
      </w:pPr>
      <w:r w:rsidRPr="00F03917">
        <w:t>What matters most?</w:t>
      </w:r>
    </w:p>
    <w:p w14:paraId="75DF5374" w14:textId="77777777" w:rsidR="003F1C3D" w:rsidRPr="00F03917" w:rsidRDefault="003F1C3D" w:rsidP="006A486F">
      <w:pPr>
        <w:pStyle w:val="BulletFIX"/>
      </w:pPr>
      <w:r w:rsidRPr="00F03917">
        <w:t>What can we do about it?</w:t>
      </w:r>
    </w:p>
    <w:p w14:paraId="02C8F6A5" w14:textId="3104FCB1" w:rsidR="003F1C3D" w:rsidRPr="00F03917" w:rsidRDefault="003F1C3D" w:rsidP="006A486F">
      <w:pPr>
        <w:pStyle w:val="BulletFIX"/>
      </w:pPr>
      <w:r w:rsidRPr="00F03917">
        <w:t>How can we implement the strategy?</w:t>
      </w:r>
    </w:p>
    <w:p w14:paraId="54BFCB33" w14:textId="599D00BE" w:rsidR="003F1C3D" w:rsidRPr="00F03917" w:rsidRDefault="003F1C3D" w:rsidP="006A486F">
      <w:pPr>
        <w:pStyle w:val="BulletFIX"/>
      </w:pPr>
      <w:r w:rsidRPr="00F03917">
        <w:t>How is it working?</w:t>
      </w:r>
    </w:p>
    <w:p w14:paraId="2E0D03E9" w14:textId="196E9D37" w:rsidR="003F1C3D" w:rsidRPr="00F03917" w:rsidRDefault="003F1C3D" w:rsidP="00C52920">
      <w:pPr>
        <w:pStyle w:val="Figureheading"/>
      </w:pPr>
      <w:bookmarkStart w:id="3" w:name="_Toc160098416"/>
      <w:r w:rsidRPr="00F03917">
        <w:t xml:space="preserve">Figure 1: </w:t>
      </w:r>
      <w:r w:rsidR="00127D6D" w:rsidRPr="00F03917">
        <w:tab/>
      </w:r>
      <w:r w:rsidRPr="00F03917">
        <w:t>Ten-step decision cycle</w:t>
      </w:r>
      <w:bookmarkEnd w:id="3"/>
    </w:p>
    <w:p w14:paraId="445BC767" w14:textId="77777777" w:rsidR="003F1C3D" w:rsidRPr="00F03917" w:rsidRDefault="003F1C3D" w:rsidP="00926AFC">
      <w:pPr>
        <w:pStyle w:val="BodyText"/>
        <w:jc w:val="center"/>
      </w:pPr>
      <w:r w:rsidRPr="00F03917">
        <w:rPr>
          <w:noProof/>
        </w:rPr>
        <w:drawing>
          <wp:inline distT="0" distB="0" distL="0" distR="0" wp14:anchorId="0ECB928A" wp14:editId="660C022C">
            <wp:extent cx="4389990" cy="4376449"/>
            <wp:effectExtent l="0" t="0" r="0" b="5080"/>
            <wp:docPr id="1993970696" name="Picture 1993970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970696" name="Picture 1993970696"/>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4389990" cy="4376449"/>
                    </a:xfrm>
                    <a:prstGeom prst="rect">
                      <a:avLst/>
                    </a:prstGeom>
                    <a:ln>
                      <a:noFill/>
                    </a:ln>
                    <a:extLst>
                      <a:ext uri="{53640926-AAD7-44D8-BBD7-CCE9431645EC}">
                        <a14:shadowObscured xmlns:a14="http://schemas.microsoft.com/office/drawing/2010/main"/>
                      </a:ext>
                    </a:extLst>
                  </pic:spPr>
                </pic:pic>
              </a:graphicData>
            </a:graphic>
          </wp:inline>
        </w:drawing>
      </w:r>
    </w:p>
    <w:p w14:paraId="1976B623" w14:textId="55654CBF" w:rsidR="003F1C3D" w:rsidRPr="00F03917" w:rsidRDefault="003F1C3D" w:rsidP="00E134E1">
      <w:pPr>
        <w:pStyle w:val="Source"/>
      </w:pPr>
      <w:r w:rsidRPr="00F03917">
        <w:t>Source: Adapted from Max Oulton (University of Waikato) and UN-Habitat (2014)</w:t>
      </w:r>
    </w:p>
    <w:p w14:paraId="13330010" w14:textId="77777777" w:rsidR="00ED5FDB" w:rsidRPr="00F03917" w:rsidRDefault="00ED5FDB" w:rsidP="007F2DAE">
      <w:pPr>
        <w:pStyle w:val="Heading3"/>
      </w:pPr>
      <w:bookmarkStart w:id="4" w:name="_Supplements"/>
      <w:bookmarkEnd w:id="4"/>
      <w:r w:rsidRPr="00F03917">
        <w:t>Supplements</w:t>
      </w:r>
    </w:p>
    <w:p w14:paraId="1225D736" w14:textId="413B18CB" w:rsidR="003F1C3D" w:rsidRPr="00F03917" w:rsidRDefault="003F1C3D" w:rsidP="007273C8">
      <w:pPr>
        <w:pStyle w:val="BodyText"/>
        <w:keepNext/>
      </w:pPr>
      <w:r w:rsidRPr="00F03917">
        <w:t>Two supplements will be published in mid-2024. These are:</w:t>
      </w:r>
    </w:p>
    <w:p w14:paraId="74F430B7" w14:textId="05E64C67" w:rsidR="003F1C3D" w:rsidRPr="00F03917" w:rsidRDefault="009330DD" w:rsidP="006A486F">
      <w:pPr>
        <w:pStyle w:val="BulletFIX"/>
        <w:rPr>
          <w:i/>
        </w:rPr>
      </w:pPr>
      <w:r w:rsidRPr="00F03917">
        <w:rPr>
          <w:i/>
        </w:rPr>
        <w:t>Climate change, sea-level rise and coastal hazards science: Coastal hazards and climate change guidance – Supplement A</w:t>
      </w:r>
    </w:p>
    <w:p w14:paraId="4E633E9E" w14:textId="50DFFC55" w:rsidR="009330DD" w:rsidRPr="00F03917" w:rsidRDefault="009330DD" w:rsidP="006A486F">
      <w:pPr>
        <w:pStyle w:val="BulletFIX"/>
      </w:pPr>
      <w:r w:rsidRPr="00F03917">
        <w:rPr>
          <w:i/>
        </w:rPr>
        <w:t>Community</w:t>
      </w:r>
      <w:r w:rsidR="00275C09" w:rsidRPr="00F03917">
        <w:rPr>
          <w:i/>
        </w:rPr>
        <w:t xml:space="preserve"> </w:t>
      </w:r>
      <w:r w:rsidRPr="00F03917">
        <w:rPr>
          <w:i/>
        </w:rPr>
        <w:t>engagement principles and approach</w:t>
      </w:r>
      <w:r w:rsidR="00571A93" w:rsidRPr="00F03917">
        <w:rPr>
          <w:i/>
        </w:rPr>
        <w:t>es, and practice methods</w:t>
      </w:r>
      <w:r w:rsidRPr="00F03917">
        <w:rPr>
          <w:i/>
        </w:rPr>
        <w:t>: Coastal hazards and climate change guidance – Supplement B</w:t>
      </w:r>
      <w:r w:rsidR="00B81151" w:rsidRPr="00F03917">
        <w:t>.</w:t>
      </w:r>
    </w:p>
    <w:p w14:paraId="0277D6C6" w14:textId="353463A6" w:rsidR="00F11053" w:rsidRPr="00F03917" w:rsidRDefault="00F11053" w:rsidP="007273C8">
      <w:pPr>
        <w:pStyle w:val="BodyText"/>
      </w:pPr>
    </w:p>
    <w:p w14:paraId="6B163139" w14:textId="77777777" w:rsidR="00F11053" w:rsidRPr="00F03917" w:rsidRDefault="00F11053" w:rsidP="007273C8">
      <w:pPr>
        <w:pStyle w:val="BodyText"/>
      </w:pPr>
    </w:p>
    <w:p w14:paraId="2B016598" w14:textId="77777777" w:rsidR="007273C8" w:rsidRPr="00F03917" w:rsidRDefault="007273C8" w:rsidP="000A1A25">
      <w:pPr>
        <w:pStyle w:val="PARTHEADING"/>
        <w:sectPr w:rsidR="007273C8" w:rsidRPr="00F03917" w:rsidSect="007E5AB2">
          <w:headerReference w:type="even" r:id="rId27"/>
          <w:headerReference w:type="default" r:id="rId28"/>
          <w:footerReference w:type="even" r:id="rId29"/>
          <w:footerReference w:type="default" r:id="rId30"/>
          <w:pgSz w:w="11907" w:h="16840" w:code="9"/>
          <w:pgMar w:top="1134" w:right="1701" w:bottom="1134" w:left="1701" w:header="283" w:footer="567" w:gutter="0"/>
          <w:cols w:space="720"/>
          <w:docGrid w:linePitch="326"/>
        </w:sectPr>
      </w:pPr>
    </w:p>
    <w:p w14:paraId="101D0E84" w14:textId="6399C5E5" w:rsidR="00B57283" w:rsidRPr="00F03917" w:rsidRDefault="00B57283" w:rsidP="000A1A25">
      <w:pPr>
        <w:pStyle w:val="PARTHEADING"/>
      </w:pPr>
      <w:bookmarkStart w:id="5" w:name="_Toc160096231"/>
      <w:r w:rsidRPr="00F03917">
        <w:lastRenderedPageBreak/>
        <w:t>Part A: What is happening?</w:t>
      </w:r>
      <w:bookmarkEnd w:id="5"/>
    </w:p>
    <w:p w14:paraId="0344FCAC" w14:textId="4A71D45F" w:rsidR="00B57283" w:rsidRPr="00F03917" w:rsidRDefault="00320FE5" w:rsidP="00B041B0">
      <w:pPr>
        <w:pStyle w:val="Heading1"/>
      </w:pPr>
      <w:bookmarkStart w:id="6" w:name="_Toc160096232"/>
      <w:r w:rsidRPr="00F03917">
        <w:t xml:space="preserve">Step </w:t>
      </w:r>
      <w:r w:rsidR="004A4681" w:rsidRPr="00F03917">
        <w:t>1</w:t>
      </w:r>
      <w:r w:rsidRPr="00F03917">
        <w:t xml:space="preserve">: </w:t>
      </w:r>
      <w:r w:rsidR="00B57283" w:rsidRPr="00F03917">
        <w:t>Set the c</w:t>
      </w:r>
      <w:bookmarkStart w:id="7" w:name="_1_Setting_the"/>
      <w:bookmarkStart w:id="8" w:name="_Toc466014381"/>
      <w:bookmarkEnd w:id="7"/>
      <w:r w:rsidR="00B57283" w:rsidRPr="00F03917">
        <w:t>ontext and prepare</w:t>
      </w:r>
      <w:bookmarkEnd w:id="6"/>
      <w:bookmarkEnd w:id="8"/>
    </w:p>
    <w:p w14:paraId="34983D56" w14:textId="11CB1831" w:rsidR="00B57283" w:rsidRPr="00F03917" w:rsidRDefault="00B57283" w:rsidP="00AA21F4">
      <w:pPr>
        <w:pStyle w:val="BodyText"/>
        <w:jc w:val="center"/>
        <w:rPr>
          <w:rFonts w:eastAsia="MS Mincho" w:cs="Arial"/>
        </w:rPr>
      </w:pPr>
      <w:r w:rsidRPr="00F03917">
        <w:rPr>
          <w:noProof/>
        </w:rPr>
        <w:drawing>
          <wp:inline distT="0" distB="0" distL="0" distR="0" wp14:anchorId="7AB7AB48" wp14:editId="6D8F3B08">
            <wp:extent cx="4680000" cy="44313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31" cstate="print">
                      <a:extLst>
                        <a:ext uri="{28A0092B-C50C-407E-A947-70E740481C1C}">
                          <a14:useLocalDpi xmlns:a14="http://schemas.microsoft.com/office/drawing/2010/main" val="0"/>
                        </a:ext>
                      </a:extLst>
                    </a:blip>
                    <a:srcRect l="-6521" t="-3518" r="-6521" b="-3518"/>
                    <a:stretch/>
                  </pic:blipFill>
                  <pic:spPr bwMode="auto">
                    <a:xfrm>
                      <a:off x="0" y="0"/>
                      <a:ext cx="4680000" cy="4431323"/>
                    </a:xfrm>
                    <a:prstGeom prst="rect">
                      <a:avLst/>
                    </a:prstGeom>
                    <a:ln>
                      <a:noFill/>
                    </a:ln>
                    <a:extLst>
                      <a:ext uri="{53640926-AAD7-44D8-BBD7-CCE9431645EC}">
                        <a14:shadowObscured xmlns:a14="http://schemas.microsoft.com/office/drawing/2010/main"/>
                      </a:ext>
                    </a:extLst>
                  </pic:spPr>
                </pic:pic>
              </a:graphicData>
            </a:graphic>
          </wp:inline>
        </w:drawing>
      </w:r>
    </w:p>
    <w:p w14:paraId="5B174618" w14:textId="2C63DEA5" w:rsidR="00B42CEC" w:rsidRPr="00F03917" w:rsidRDefault="00B42CEC" w:rsidP="00B765D7">
      <w:pPr>
        <w:pStyle w:val="Heading2"/>
        <w:numPr>
          <w:ilvl w:val="1"/>
          <w:numId w:val="17"/>
        </w:numPr>
      </w:pPr>
      <w:bookmarkStart w:id="9" w:name="_Toc160096233"/>
      <w:r w:rsidRPr="00F03917">
        <w:t>Role</w:t>
      </w:r>
      <w:r w:rsidR="00FB1904" w:rsidRPr="00F03917">
        <w:t>s</w:t>
      </w:r>
      <w:r w:rsidRPr="00F03917">
        <w:t xml:space="preserve"> </w:t>
      </w:r>
      <w:r w:rsidR="00B04BEA" w:rsidRPr="00F03917">
        <w:t>and responsibilities</w:t>
      </w:r>
      <w:bookmarkEnd w:id="9"/>
      <w:r w:rsidR="00B04BEA" w:rsidRPr="00F03917">
        <w:t xml:space="preserve"> </w:t>
      </w:r>
    </w:p>
    <w:p w14:paraId="4A1CFCCE" w14:textId="499AF1A8" w:rsidR="00763ECF" w:rsidRPr="00F03917" w:rsidRDefault="00734B10" w:rsidP="00B765D7">
      <w:pPr>
        <w:pStyle w:val="Heading3"/>
        <w:numPr>
          <w:ilvl w:val="2"/>
          <w:numId w:val="18"/>
        </w:numPr>
        <w:spacing w:before="240"/>
      </w:pPr>
      <w:r w:rsidRPr="00F03917">
        <w:t>U</w:t>
      </w:r>
      <w:r w:rsidR="00CB5C02" w:rsidRPr="00F03917">
        <w:t>sers</w:t>
      </w:r>
      <w:r w:rsidRPr="00F03917">
        <w:t xml:space="preserve"> of this guidance</w:t>
      </w:r>
    </w:p>
    <w:p w14:paraId="69FEF8A5" w14:textId="109CAA3C" w:rsidR="00FB1904" w:rsidRPr="00F03917" w:rsidRDefault="00FB1904" w:rsidP="0077443C">
      <w:pPr>
        <w:pStyle w:val="BodyText"/>
      </w:pPr>
      <w:r w:rsidRPr="00F03917">
        <w:t>This</w:t>
      </w:r>
      <w:r w:rsidRPr="00F03917" w:rsidDel="00C229B0">
        <w:t xml:space="preserve"> </w:t>
      </w:r>
      <w:r w:rsidRPr="00F03917">
        <w:t xml:space="preserve">is a technical document providing national guidance to local and central government, but also other </w:t>
      </w:r>
      <w:r w:rsidR="003A66BD" w:rsidRPr="00F03917">
        <w:t>users</w:t>
      </w:r>
      <w:r w:rsidRPr="00F03917">
        <w:t xml:space="preserve"> outside government. </w:t>
      </w:r>
      <w:r w:rsidR="74A93AD2" w:rsidRPr="00F03917">
        <w:t>It</w:t>
      </w:r>
      <w:r w:rsidRPr="00F03917">
        <w:t xml:space="preserve"> </w:t>
      </w:r>
      <w:r w:rsidR="08C090C9" w:rsidRPr="00F03917">
        <w:t xml:space="preserve">helps </w:t>
      </w:r>
      <w:r w:rsidRPr="00F03917">
        <w:t>local government to plan for and support coastal communities –</w:t>
      </w:r>
      <w:r w:rsidRPr="00F03917" w:rsidDel="00C93CF9">
        <w:t xml:space="preserve"> </w:t>
      </w:r>
      <w:r w:rsidRPr="00F03917">
        <w:t xml:space="preserve">and council assets and services – to </w:t>
      </w:r>
      <w:r w:rsidR="00971FBC" w:rsidRPr="00F03917">
        <w:t xml:space="preserve">manage </w:t>
      </w:r>
      <w:r w:rsidR="005B463B" w:rsidRPr="00F03917">
        <w:t>and adapt to</w:t>
      </w:r>
      <w:r w:rsidR="00971FBC" w:rsidRPr="00F03917">
        <w:t xml:space="preserve"> </w:t>
      </w:r>
      <w:r w:rsidRPr="00F03917">
        <w:t xml:space="preserve">the increasing coastal </w:t>
      </w:r>
      <w:r w:rsidRPr="00F03917">
        <w:rPr>
          <w:spacing w:val="-2"/>
        </w:rPr>
        <w:t xml:space="preserve">hazards and </w:t>
      </w:r>
      <w:r w:rsidR="005B463B" w:rsidRPr="00F03917">
        <w:rPr>
          <w:spacing w:val="-2"/>
        </w:rPr>
        <w:t xml:space="preserve">risks from </w:t>
      </w:r>
      <w:r w:rsidRPr="00F03917">
        <w:rPr>
          <w:spacing w:val="-2"/>
        </w:rPr>
        <w:t>climate change.</w:t>
      </w:r>
      <w:r w:rsidRPr="00F03917">
        <w:rPr>
          <w:spacing w:val="-2"/>
          <w:vertAlign w:val="superscript"/>
        </w:rPr>
        <w:footnoteReference w:id="5"/>
      </w:r>
      <w:r w:rsidR="00977ED4" w:rsidRPr="00F03917">
        <w:rPr>
          <w:spacing w:val="-2"/>
          <w:vertAlign w:val="superscript"/>
        </w:rPr>
        <w:t xml:space="preserve"> </w:t>
      </w:r>
      <w:r w:rsidRPr="00F03917">
        <w:rPr>
          <w:spacing w:val="-2"/>
        </w:rPr>
        <w:t>It</w:t>
      </w:r>
      <w:r w:rsidRPr="00F03917" w:rsidDel="00C229B0">
        <w:rPr>
          <w:spacing w:val="-2"/>
        </w:rPr>
        <w:t xml:space="preserve"> </w:t>
      </w:r>
      <w:r w:rsidRPr="00F03917">
        <w:rPr>
          <w:spacing w:val="-2"/>
        </w:rPr>
        <w:t xml:space="preserve">sets out </w:t>
      </w:r>
      <w:r w:rsidR="59E2455C" w:rsidRPr="00F03917">
        <w:rPr>
          <w:spacing w:val="-2"/>
        </w:rPr>
        <w:t xml:space="preserve">recommended </w:t>
      </w:r>
      <w:r w:rsidRPr="00F03917">
        <w:rPr>
          <w:spacing w:val="-2"/>
        </w:rPr>
        <w:t>best practice for infrastructure</w:t>
      </w:r>
      <w:r w:rsidRPr="00F03917">
        <w:t xml:space="preserve"> and new development in coastal areas. National agencies that operate locally, </w:t>
      </w:r>
      <w:r w:rsidR="0002364A" w:rsidRPr="00F03917">
        <w:t>can</w:t>
      </w:r>
      <w:r w:rsidRPr="00F03917">
        <w:t xml:space="preserve"> also use this guidance where their</w:t>
      </w:r>
      <w:r w:rsidR="003B4611" w:rsidRPr="00F03917">
        <w:t xml:space="preserve"> investment,</w:t>
      </w:r>
      <w:r w:rsidRPr="00F03917">
        <w:t xml:space="preserve"> assets </w:t>
      </w:r>
      <w:r w:rsidR="00484BAD" w:rsidRPr="00F03917">
        <w:t xml:space="preserve">and services </w:t>
      </w:r>
      <w:r w:rsidRPr="00F03917">
        <w:t>are in areas subject to coastal hazards</w:t>
      </w:r>
      <w:r w:rsidR="4AFB1801" w:rsidRPr="00F03917">
        <w:t>.</w:t>
      </w:r>
      <w:r w:rsidR="00934419" w:rsidRPr="00F03917">
        <w:t xml:space="preserve">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FB1904" w:rsidRPr="00F03917" w14:paraId="0D1C449A" w14:textId="77777777">
        <w:tc>
          <w:tcPr>
            <w:tcW w:w="8505" w:type="dxa"/>
            <w:shd w:val="clear" w:color="auto" w:fill="D5EBE8" w:themeFill="accent3"/>
          </w:tcPr>
          <w:p w14:paraId="7595C10F" w14:textId="02BE2C8B" w:rsidR="00FB1904" w:rsidRPr="00F03917" w:rsidRDefault="00FB1904">
            <w:pPr>
              <w:pStyle w:val="Boxtext"/>
              <w:spacing w:before="180" w:after="180"/>
            </w:pPr>
            <w:r w:rsidRPr="00F03917">
              <w:lastRenderedPageBreak/>
              <w:t xml:space="preserve">One of the enduring questions local government faces is how to </w:t>
            </w:r>
            <w:r w:rsidR="00FB7828" w:rsidRPr="00F03917">
              <w:t xml:space="preserve">continue to </w:t>
            </w:r>
            <w:r w:rsidRPr="00F03917">
              <w:t xml:space="preserve">achieve the aspirations and values of communities and iwi/hapū, while managing risk </w:t>
            </w:r>
            <w:r w:rsidR="4B84E118" w:rsidRPr="00F03917">
              <w:t>and</w:t>
            </w:r>
            <w:r w:rsidRPr="00F03917">
              <w:t xml:space="preserve"> adapting to the impacts of a changing climate and rising sea</w:t>
            </w:r>
            <w:r w:rsidR="16E19E04" w:rsidRPr="00F03917">
              <w:t xml:space="preserve"> </w:t>
            </w:r>
            <w:r w:rsidR="65BE69C0" w:rsidRPr="00F03917">
              <w:t>level</w:t>
            </w:r>
            <w:r w:rsidRPr="00F03917">
              <w:t xml:space="preserve">. </w:t>
            </w:r>
          </w:p>
        </w:tc>
      </w:tr>
    </w:tbl>
    <w:p w14:paraId="2ED48FD6" w14:textId="7099BE64" w:rsidR="00FB1904" w:rsidRPr="00F03917" w:rsidRDefault="6632D8A3" w:rsidP="007273C8">
      <w:pPr>
        <w:pStyle w:val="BodyText"/>
        <w:spacing w:before="240"/>
      </w:pPr>
      <w:r w:rsidRPr="00F03917">
        <w:t>T</w:t>
      </w:r>
      <w:r w:rsidR="42C44658" w:rsidRPr="00F03917">
        <w:t>his</w:t>
      </w:r>
      <w:r w:rsidR="0C7D8177" w:rsidRPr="00F03917">
        <w:t xml:space="preserve"> guidance </w:t>
      </w:r>
      <w:r w:rsidR="4466B1EA" w:rsidRPr="00F03917">
        <w:t>aims</w:t>
      </w:r>
      <w:r w:rsidR="0C7D8177" w:rsidRPr="00F03917">
        <w:t xml:space="preserve"> to strengthen the integration of coastal hazards and climate change considerations into land-use planning, resource management, </w:t>
      </w:r>
      <w:r w:rsidR="6E357ACC" w:rsidRPr="00F03917">
        <w:t xml:space="preserve">subdivision and </w:t>
      </w:r>
      <w:r w:rsidR="0C7D8177" w:rsidRPr="00F03917">
        <w:t xml:space="preserve">building consenting, asset and flood risk management, infrastructure planning. The guidance </w:t>
      </w:r>
      <w:r w:rsidR="1A133A65" w:rsidRPr="00F03917">
        <w:t>can</w:t>
      </w:r>
      <w:r w:rsidR="42C44658" w:rsidRPr="00F03917" w:rsidDel="1A133A65">
        <w:t xml:space="preserve"> </w:t>
      </w:r>
      <w:r w:rsidR="1A133A65" w:rsidRPr="00F03917">
        <w:t>be used by</w:t>
      </w:r>
      <w:r w:rsidR="0C7D8177" w:rsidRPr="00F03917">
        <w:t xml:space="preserve"> those who deal with these processes from outside local government: planners, engineers, lawyers, community engagement facilitators, policy analysts, scientists, insurers, lenders, and others in the finance sector. </w:t>
      </w:r>
    </w:p>
    <w:p w14:paraId="3BDB3A28" w14:textId="1CD7E81C" w:rsidR="00FB1904" w:rsidRPr="00F03917" w:rsidRDefault="0C7D8177" w:rsidP="00FB1904">
      <w:pPr>
        <w:pStyle w:val="BodyText"/>
      </w:pPr>
      <w:r w:rsidRPr="00F03917">
        <w:t>The guidance provide</w:t>
      </w:r>
      <w:r w:rsidR="7C9DE79A" w:rsidRPr="00F03917">
        <w:t>s</w:t>
      </w:r>
      <w:r w:rsidR="42C44658" w:rsidRPr="00F03917" w:rsidDel="4599AB52">
        <w:t xml:space="preserve"> </w:t>
      </w:r>
      <w:r w:rsidR="7CA5F5D0" w:rsidRPr="00F03917">
        <w:t>recommended</w:t>
      </w:r>
      <w:r w:rsidR="42C44658" w:rsidRPr="00F03917">
        <w:t xml:space="preserve"> tools to help councils</w:t>
      </w:r>
      <w:r w:rsidR="31ABE8BC" w:rsidRPr="00F03917">
        <w:t>, consultancies and</w:t>
      </w:r>
      <w:r w:rsidR="5AEE6DF8" w:rsidRPr="00F03917">
        <w:t xml:space="preserve"> central government agencies</w:t>
      </w:r>
      <w:r w:rsidR="42C44658" w:rsidRPr="00F03917">
        <w:t xml:space="preserve"> </w:t>
      </w:r>
      <w:r w:rsidR="68187DCC" w:rsidRPr="00F03917">
        <w:t>work</w:t>
      </w:r>
      <w:r w:rsidR="42C44658" w:rsidRPr="00F03917">
        <w:t xml:space="preserve"> with affected communities, iwi/hapū and stakeholders during </w:t>
      </w:r>
      <w:r w:rsidR="004C192D" w:rsidRPr="00F03917">
        <w:t>p</w:t>
      </w:r>
      <w:r w:rsidR="00F2784B" w:rsidRPr="00F03917">
        <w:t xml:space="preserve">reparation of </w:t>
      </w:r>
      <w:r w:rsidR="72E82576" w:rsidRPr="00F03917">
        <w:t xml:space="preserve">vulnerability and risk assessments, </w:t>
      </w:r>
      <w:r w:rsidR="00F2784B" w:rsidRPr="00F03917">
        <w:t xml:space="preserve">adaptive </w:t>
      </w:r>
      <w:r w:rsidR="42C44658" w:rsidRPr="00F03917">
        <w:t xml:space="preserve">planning and implementation processes. It sets out principles and approaches for this engagement </w:t>
      </w:r>
      <w:r w:rsidR="11924C8D" w:rsidRPr="00F03917">
        <w:t>for</w:t>
      </w:r>
      <w:r w:rsidR="18F4CD5A" w:rsidRPr="00F03917">
        <w:t xml:space="preserve"> </w:t>
      </w:r>
      <w:r w:rsidR="409E5045" w:rsidRPr="00F03917">
        <w:t>and</w:t>
      </w:r>
      <w:r w:rsidR="42C44658" w:rsidRPr="00F03917">
        <w:t xml:space="preserve"> working together throughout the decision-making process. It is complemented by guidance on the </w:t>
      </w:r>
      <w:r w:rsidR="00AA16EA" w:rsidRPr="00F03917">
        <w:t xml:space="preserve">New </w:t>
      </w:r>
      <w:r w:rsidR="009B43A3" w:rsidRPr="00F03917">
        <w:t>Z</w:t>
      </w:r>
      <w:r w:rsidR="00AA16EA" w:rsidRPr="00F03917">
        <w:t xml:space="preserve">ealand </w:t>
      </w:r>
      <w:r w:rsidR="00AA16EA" w:rsidRPr="00F03917">
        <w:rPr>
          <w:spacing w:val="-2"/>
        </w:rPr>
        <w:t>C</w:t>
      </w:r>
      <w:r w:rsidR="009B43A3" w:rsidRPr="00F03917">
        <w:rPr>
          <w:spacing w:val="-2"/>
        </w:rPr>
        <w:t xml:space="preserve">oastal Policy Statement </w:t>
      </w:r>
      <w:r w:rsidR="0095484E" w:rsidRPr="00F03917">
        <w:rPr>
          <w:spacing w:val="-2"/>
        </w:rPr>
        <w:t>(</w:t>
      </w:r>
      <w:r w:rsidR="42C44658" w:rsidRPr="00F03917">
        <w:rPr>
          <w:spacing w:val="-2"/>
        </w:rPr>
        <w:t>NZCPS</w:t>
      </w:r>
      <w:r w:rsidR="0095484E" w:rsidRPr="00F03917">
        <w:rPr>
          <w:spacing w:val="-2"/>
        </w:rPr>
        <w:t>)</w:t>
      </w:r>
      <w:r w:rsidR="42C44658" w:rsidRPr="00F03917">
        <w:rPr>
          <w:spacing w:val="-2"/>
        </w:rPr>
        <w:t xml:space="preserve"> </w:t>
      </w:r>
      <w:r w:rsidR="656E70DC" w:rsidRPr="00F03917">
        <w:rPr>
          <w:spacing w:val="-2"/>
        </w:rPr>
        <w:t>2010</w:t>
      </w:r>
      <w:r w:rsidR="42C44658" w:rsidRPr="00F03917">
        <w:rPr>
          <w:spacing w:val="-2"/>
        </w:rPr>
        <w:t xml:space="preserve"> on coastal hazards (DOC, 2017).</w:t>
      </w:r>
    </w:p>
    <w:p w14:paraId="366CC67E" w14:textId="36F08FA8" w:rsidR="00E428B9" w:rsidRPr="00F03917" w:rsidRDefault="00000000" w:rsidP="00FB1904">
      <w:pPr>
        <w:pStyle w:val="BodyText"/>
      </w:pPr>
      <w:hyperlink w:anchor="_Appendix_A:_Coastal" w:history="1">
        <w:r w:rsidR="00E428B9" w:rsidRPr="00F03917">
          <w:rPr>
            <w:rStyle w:val="Hyperlink"/>
          </w:rPr>
          <w:t>Appendix A</w:t>
        </w:r>
      </w:hyperlink>
      <w:r w:rsidR="00E428B9" w:rsidRPr="00F03917">
        <w:t xml:space="preserve"> provides </w:t>
      </w:r>
      <w:r w:rsidR="00632835" w:rsidRPr="00F03917">
        <w:t xml:space="preserve">case studies </w:t>
      </w:r>
      <w:r w:rsidR="006A65FD" w:rsidRPr="00F03917">
        <w:t>of coastal hazards management</w:t>
      </w:r>
      <w:r w:rsidR="009153C8" w:rsidRPr="00F03917">
        <w:t xml:space="preserve"> as examples of this guidance in practice</w:t>
      </w:r>
      <w:r w:rsidR="00623404" w:rsidRPr="00F03917">
        <w:t>.</w:t>
      </w:r>
    </w:p>
    <w:p w14:paraId="26E8F191" w14:textId="392B3856" w:rsidR="00B42CEC" w:rsidRPr="00F03917" w:rsidRDefault="00B42CEC" w:rsidP="00B765D7">
      <w:pPr>
        <w:pStyle w:val="Heading3"/>
        <w:numPr>
          <w:ilvl w:val="2"/>
          <w:numId w:val="18"/>
        </w:numPr>
        <w:spacing w:before="240"/>
      </w:pPr>
      <w:r w:rsidRPr="00F03917">
        <w:t>Legislative responsibilities</w:t>
      </w:r>
      <w:r w:rsidR="00976D6C" w:rsidRPr="00F03917">
        <w:t xml:space="preserve"> </w:t>
      </w:r>
    </w:p>
    <w:p w14:paraId="6E975554" w14:textId="6CBBB09B" w:rsidR="00B42CEC" w:rsidRPr="00F03917" w:rsidRDefault="08307C54" w:rsidP="00A079AB">
      <w:pPr>
        <w:pStyle w:val="BodyText"/>
      </w:pPr>
      <w:r w:rsidRPr="00F03917">
        <w:t>C</w:t>
      </w:r>
      <w:r w:rsidR="2764291C" w:rsidRPr="00F03917">
        <w:t>oastal adaptation initiatives will invariably cross territorial boundaries, especially for long</w:t>
      </w:r>
      <w:r w:rsidR="5271F1D0" w:rsidRPr="00F03917">
        <w:t>,</w:t>
      </w:r>
      <w:r w:rsidR="2764291C" w:rsidRPr="00F03917">
        <w:t xml:space="preserve"> contiguous coastlines</w:t>
      </w:r>
      <w:r w:rsidR="286A1F42" w:rsidRPr="00F03917">
        <w:t>,</w:t>
      </w:r>
      <w:r w:rsidR="2349CAD8" w:rsidRPr="00F03917">
        <w:t xml:space="preserve"> and </w:t>
      </w:r>
      <w:r w:rsidR="1A0A027F" w:rsidRPr="00F03917">
        <w:t>cross over</w:t>
      </w:r>
      <w:r w:rsidR="2349CAD8" w:rsidRPr="00F03917">
        <w:t xml:space="preserve"> the landward boundary of the coastal marine area (CMA)</w:t>
      </w:r>
      <w:r w:rsidR="2764291C" w:rsidRPr="00F03917">
        <w:t>. The</w:t>
      </w:r>
      <w:r w:rsidR="5F395C6F" w:rsidRPr="00F03917">
        <w:t xml:space="preserve"> Resource Management Act 199</w:t>
      </w:r>
      <w:r w:rsidR="35408545" w:rsidRPr="00F03917">
        <w:t>1</w:t>
      </w:r>
      <w:r w:rsidR="5F395C6F" w:rsidRPr="00F03917">
        <w:t xml:space="preserve"> (</w:t>
      </w:r>
      <w:r w:rsidR="2764291C" w:rsidRPr="00F03917">
        <w:t>RMA</w:t>
      </w:r>
      <w:r w:rsidR="5F395C6F" w:rsidRPr="00F03917">
        <w:t>)</w:t>
      </w:r>
      <w:r w:rsidR="2764291C" w:rsidRPr="00F03917">
        <w:t xml:space="preserve"> (s</w:t>
      </w:r>
      <w:r w:rsidR="37BD7502" w:rsidRPr="00F03917">
        <w:t xml:space="preserve">ection </w:t>
      </w:r>
      <w:r w:rsidR="2764291C" w:rsidRPr="00F03917">
        <w:t xml:space="preserve">30 and </w:t>
      </w:r>
      <w:r w:rsidR="590543ED" w:rsidRPr="00F03917">
        <w:t xml:space="preserve">section </w:t>
      </w:r>
      <w:r w:rsidR="2764291C" w:rsidRPr="00F03917">
        <w:t xml:space="preserve">31) states that </w:t>
      </w:r>
      <w:r w:rsidR="6F5498F1" w:rsidRPr="00F03917">
        <w:t>both</w:t>
      </w:r>
      <w:r w:rsidR="2764291C" w:rsidRPr="00F03917">
        <w:t xml:space="preserve"> regional councils and territorial authorities </w:t>
      </w:r>
      <w:r w:rsidR="1B8D3E13" w:rsidRPr="00F03917">
        <w:t>have functions related to the</w:t>
      </w:r>
      <w:r w:rsidR="2764291C" w:rsidRPr="00F03917">
        <w:t xml:space="preserve"> control </w:t>
      </w:r>
      <w:r w:rsidR="534CD20F" w:rsidRPr="00F03917">
        <w:t xml:space="preserve">of </w:t>
      </w:r>
      <w:r w:rsidR="2764291C" w:rsidRPr="00F03917">
        <w:t xml:space="preserve">the use of land to avoid or mitigate natural hazards. </w:t>
      </w:r>
    </w:p>
    <w:p w14:paraId="4A803EC6" w14:textId="3D720B20" w:rsidR="00B42CEC" w:rsidRPr="00F03917" w:rsidRDefault="00B42CEC" w:rsidP="00797159">
      <w:pPr>
        <w:pStyle w:val="BodyText"/>
      </w:pPr>
      <w:r w:rsidRPr="00F03917">
        <w:t>Given these split responsibilities</w:t>
      </w:r>
      <w:r w:rsidR="00046DCA" w:rsidRPr="00F03917">
        <w:t>,</w:t>
      </w:r>
      <w:r w:rsidR="00394584" w:rsidRPr="00F03917">
        <w:t xml:space="preserve"> the statutory context</w:t>
      </w:r>
      <w:r w:rsidRPr="00F03917">
        <w:t xml:space="preserve"> </w:t>
      </w:r>
      <w:r w:rsidR="00046DCA" w:rsidRPr="00F03917">
        <w:t>and cross</w:t>
      </w:r>
      <w:r w:rsidR="00842AD9" w:rsidRPr="00F03917">
        <w:t xml:space="preserve">-boundary nature of the issues, </w:t>
      </w:r>
      <w:r w:rsidRPr="00F03917">
        <w:t xml:space="preserve">local government </w:t>
      </w:r>
      <w:r w:rsidR="00573403" w:rsidRPr="00F03917">
        <w:t>is</w:t>
      </w:r>
      <w:r w:rsidR="00FE44B7" w:rsidRPr="00F03917">
        <w:t xml:space="preserve"> required to take an</w:t>
      </w:r>
      <w:r w:rsidRPr="00F03917">
        <w:t xml:space="preserve"> integrated approach to long-term development and adaptation in hazard-prone coastal areas</w:t>
      </w:r>
      <w:r w:rsidR="004A0DE6" w:rsidRPr="00F03917">
        <w:t xml:space="preserve"> and </w:t>
      </w:r>
      <w:r w:rsidR="135E6C1F" w:rsidRPr="00F03917">
        <w:t>is</w:t>
      </w:r>
      <w:r w:rsidR="004A0DE6" w:rsidRPr="00F03917">
        <w:t xml:space="preserve"> encouraged to have proactive discussions about partnering in adaptation responses</w:t>
      </w:r>
      <w:r w:rsidRPr="00F03917">
        <w:t xml:space="preserve"> </w:t>
      </w:r>
      <w:r w:rsidR="00172B91" w:rsidRPr="00F03917">
        <w:t xml:space="preserve">(see DOC </w:t>
      </w:r>
      <w:r w:rsidR="11D5DA63" w:rsidRPr="00F03917">
        <w:t>(</w:t>
      </w:r>
      <w:r w:rsidR="00172B91" w:rsidRPr="00F03917">
        <w:t>2017</w:t>
      </w:r>
      <w:r w:rsidR="55A71F22" w:rsidRPr="00F03917">
        <w:t>)</w:t>
      </w:r>
      <w:r w:rsidR="00172B91" w:rsidRPr="00F03917">
        <w:t xml:space="preserve"> for further guidance</w:t>
      </w:r>
      <w:r w:rsidR="008B0BFA" w:rsidRPr="00F03917">
        <w:t>).</w:t>
      </w:r>
      <w:r w:rsidR="00F423BD" w:rsidRPr="00F03917">
        <w:t xml:space="preserve"> The risk assessment processes and outcomes covered in this guidance will be useful for informing decisions in statutory planning processes regarding significant risk from natural hazards (identified as a matter of national importance in section 6 of the RMA).</w:t>
      </w:r>
      <w:r w:rsidR="00172B91" w:rsidRPr="00F03917">
        <w:t xml:space="preserve"> </w:t>
      </w:r>
    </w:p>
    <w:p w14:paraId="2B645FE0" w14:textId="01106D87" w:rsidR="001D2BD9" w:rsidRPr="00F03917" w:rsidRDefault="005F1FA1" w:rsidP="007273C8">
      <w:pPr>
        <w:pStyle w:val="BodyText"/>
      </w:pPr>
      <w:r w:rsidRPr="00F03917">
        <w:t xml:space="preserve">The </w:t>
      </w:r>
      <w:r w:rsidR="00BD141C" w:rsidRPr="00F03917">
        <w:t xml:space="preserve">information, </w:t>
      </w:r>
      <w:r w:rsidRPr="00F03917">
        <w:t>methodologies and approach</w:t>
      </w:r>
      <w:r w:rsidR="00BD141C" w:rsidRPr="00F03917">
        <w:t>es</w:t>
      </w:r>
      <w:r w:rsidRPr="00F03917">
        <w:t xml:space="preserve"> in this guidance </w:t>
      </w:r>
      <w:r w:rsidR="002B6B21" w:rsidRPr="00F03917">
        <w:t xml:space="preserve">represent </w:t>
      </w:r>
      <w:r w:rsidRPr="00F03917">
        <w:t xml:space="preserve">good </w:t>
      </w:r>
      <w:r w:rsidR="00FE6C96" w:rsidRPr="00F03917">
        <w:t xml:space="preserve">adaptive </w:t>
      </w:r>
      <w:r w:rsidRPr="00F03917">
        <w:t>practice.</w:t>
      </w:r>
      <w:r w:rsidR="00FE168F" w:rsidRPr="00F03917">
        <w:t xml:space="preserve"> This </w:t>
      </w:r>
      <w:r w:rsidR="00D869D3" w:rsidRPr="00F03917">
        <w:t>guidance</w:t>
      </w:r>
      <w:r w:rsidR="00676771" w:rsidRPr="00F03917">
        <w:t xml:space="preserve"> </w:t>
      </w:r>
      <w:r w:rsidR="0034108C" w:rsidRPr="00F03917">
        <w:t>will</w:t>
      </w:r>
      <w:r w:rsidR="00676771" w:rsidRPr="00F03917">
        <w:t xml:space="preserve"> </w:t>
      </w:r>
      <w:r w:rsidR="00672C0B" w:rsidRPr="00F03917">
        <w:t>remain</w:t>
      </w:r>
      <w:r w:rsidR="19B93E5A" w:rsidRPr="00F03917">
        <w:t xml:space="preserve"> relevant</w:t>
      </w:r>
      <w:r w:rsidR="463AC0CC" w:rsidRPr="00F03917">
        <w:t>,</w:t>
      </w:r>
      <w:r w:rsidR="00676771" w:rsidRPr="00F03917">
        <w:t xml:space="preserve"> regardless of </w:t>
      </w:r>
      <w:r w:rsidR="7CD01E23" w:rsidRPr="00F03917">
        <w:t xml:space="preserve">the </w:t>
      </w:r>
      <w:r w:rsidR="0037360D" w:rsidRPr="00F03917">
        <w:t>legislative framework</w:t>
      </w:r>
      <w:r w:rsidR="00F7153F" w:rsidRPr="00F03917">
        <w:t xml:space="preserve"> that it operates within</w:t>
      </w:r>
      <w:r w:rsidR="00BB488C" w:rsidRPr="00F03917">
        <w:t>.</w:t>
      </w:r>
    </w:p>
    <w:p w14:paraId="67B041D5" w14:textId="6AAEEE06" w:rsidR="00B42CEC" w:rsidRPr="00F03917" w:rsidRDefault="00000000" w:rsidP="007273C8">
      <w:pPr>
        <w:pStyle w:val="BodyText"/>
      </w:pPr>
      <w:hyperlink w:anchor="figure2" w:history="1">
        <w:r w:rsidR="00B42CEC" w:rsidRPr="00F03917">
          <w:rPr>
            <w:rStyle w:val="Hyperlink"/>
          </w:rPr>
          <w:t xml:space="preserve">Figure </w:t>
        </w:r>
        <w:r w:rsidR="00103F0D" w:rsidRPr="00F03917">
          <w:rPr>
            <w:rStyle w:val="Hyperlink"/>
          </w:rPr>
          <w:t>2</w:t>
        </w:r>
      </w:hyperlink>
      <w:r w:rsidR="00B42CEC" w:rsidRPr="00F03917">
        <w:t xml:space="preserve"> shows the </w:t>
      </w:r>
      <w:r w:rsidR="35B2ACAD" w:rsidRPr="00F03917">
        <w:t xml:space="preserve">main </w:t>
      </w:r>
      <w:r w:rsidR="00B42CEC" w:rsidRPr="00F03917">
        <w:t xml:space="preserve">legislation, plans, </w:t>
      </w:r>
      <w:r w:rsidR="00E32E02" w:rsidRPr="00F03917">
        <w:t>national policy</w:t>
      </w:r>
      <w:r w:rsidR="00B42CEC" w:rsidRPr="00F03917">
        <w:t xml:space="preserve"> statements and strategies for managing natural hazards </w:t>
      </w:r>
      <w:r w:rsidR="006648D7" w:rsidRPr="00F03917">
        <w:t xml:space="preserve">and climate change impacts </w:t>
      </w:r>
      <w:r w:rsidR="00B42CEC" w:rsidRPr="00F03917">
        <w:t xml:space="preserve">in </w:t>
      </w:r>
      <w:r w:rsidR="00D82264" w:rsidRPr="00F03917">
        <w:t>Aotearoa</w:t>
      </w:r>
      <w:r w:rsidR="00B42CEC" w:rsidRPr="00F03917">
        <w:t xml:space="preserve"> New Zealand. These </w:t>
      </w:r>
      <w:r w:rsidR="003D379E" w:rsidRPr="00F03917">
        <w:t>instruments</w:t>
      </w:r>
      <w:r w:rsidR="00B42CEC" w:rsidRPr="00F03917">
        <w:t xml:space="preserve"> stipulate </w:t>
      </w:r>
      <w:r w:rsidR="21B71420" w:rsidRPr="00F03917">
        <w:t>various</w:t>
      </w:r>
      <w:r w:rsidR="00B42CEC" w:rsidRPr="00F03917">
        <w:t xml:space="preserve"> responsibilities for national, regional, city and district agencies.</w:t>
      </w:r>
    </w:p>
    <w:p w14:paraId="6FDA7552" w14:textId="6B6E9519" w:rsidR="00B42CEC" w:rsidRPr="00F03917" w:rsidRDefault="0503E74D" w:rsidP="00C52920">
      <w:pPr>
        <w:pStyle w:val="Figureheading"/>
      </w:pPr>
      <w:bookmarkStart w:id="10" w:name="figure2"/>
      <w:bookmarkStart w:id="11" w:name="_Toc160098417"/>
      <w:bookmarkEnd w:id="10"/>
      <w:r w:rsidRPr="00F03917">
        <w:lastRenderedPageBreak/>
        <w:t xml:space="preserve">Figure 2: </w:t>
      </w:r>
      <w:r w:rsidR="006C38D5" w:rsidRPr="00F03917">
        <w:tab/>
      </w:r>
      <w:r w:rsidR="00B42CEC" w:rsidRPr="00F03917">
        <w:t xml:space="preserve">Relationship between </w:t>
      </w:r>
      <w:r w:rsidR="00ED4CB3" w:rsidRPr="00F03917">
        <w:t>key</w:t>
      </w:r>
      <w:r w:rsidR="00B42CEC" w:rsidRPr="00F03917">
        <w:t xml:space="preserve"> </w:t>
      </w:r>
      <w:r w:rsidR="000039EB" w:rsidRPr="00F03917">
        <w:t>instruments</w:t>
      </w:r>
      <w:r w:rsidR="00B42CEC" w:rsidRPr="00F03917">
        <w:t xml:space="preserve"> for managing natural hazards in </w:t>
      </w:r>
      <w:r w:rsidR="007125CA" w:rsidRPr="00F03917">
        <w:t>the</w:t>
      </w:r>
      <w:r w:rsidR="00B42CEC" w:rsidRPr="00F03917">
        <w:t xml:space="preserve"> </w:t>
      </w:r>
      <w:r w:rsidR="00601321" w:rsidRPr="00F03917">
        <w:t xml:space="preserve">Aotearoa </w:t>
      </w:r>
      <w:r w:rsidR="00B42CEC" w:rsidRPr="00F03917">
        <w:t>New</w:t>
      </w:r>
      <w:r w:rsidR="007273C8" w:rsidRPr="00F03917">
        <w:t> </w:t>
      </w:r>
      <w:r w:rsidR="00B42CEC" w:rsidRPr="00F03917">
        <w:t>Zealand</w:t>
      </w:r>
      <w:r w:rsidR="007125CA" w:rsidRPr="00F03917">
        <w:t xml:space="preserve"> coastal environment</w:t>
      </w:r>
      <w:bookmarkEnd w:id="11"/>
    </w:p>
    <w:p w14:paraId="2AD3CF0A" w14:textId="6413EF87" w:rsidR="00B42CEC" w:rsidRPr="00F03917" w:rsidRDefault="001E0045" w:rsidP="001E0045">
      <w:pPr>
        <w:pStyle w:val="BodyText"/>
      </w:pPr>
      <w:r w:rsidRPr="00F03917">
        <w:rPr>
          <w:noProof/>
        </w:rPr>
        <w:drawing>
          <wp:inline distT="0" distB="0" distL="0" distR="0" wp14:anchorId="4E23FE0E" wp14:editId="304F4ECF">
            <wp:extent cx="5400323" cy="4894579"/>
            <wp:effectExtent l="0" t="0" r="0" b="1905"/>
            <wp:docPr id="461461202" name="Picture 46146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461202" name="Picture 46146120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0323" cy="4894579"/>
                    </a:xfrm>
                    <a:prstGeom prst="rect">
                      <a:avLst/>
                    </a:prstGeom>
                  </pic:spPr>
                </pic:pic>
              </a:graphicData>
            </a:graphic>
          </wp:inline>
        </w:drawing>
      </w:r>
    </w:p>
    <w:p w14:paraId="6F4D56DB" w14:textId="77777777" w:rsidR="00D75860" w:rsidRPr="00F03917" w:rsidRDefault="00B42CEC" w:rsidP="00AB02FE">
      <w:pPr>
        <w:pStyle w:val="BodyText"/>
        <w:spacing w:before="240"/>
        <w:jc w:val="both"/>
      </w:pPr>
      <w:r w:rsidRPr="00F03917">
        <w:t xml:space="preserve">Table 1 outlines the </w:t>
      </w:r>
      <w:r w:rsidR="1968F2C3" w:rsidRPr="00F03917">
        <w:t>legislation and</w:t>
      </w:r>
      <w:r w:rsidRPr="00F03917">
        <w:t xml:space="preserve"> </w:t>
      </w:r>
      <w:r w:rsidR="21881D65" w:rsidRPr="00F03917">
        <w:t xml:space="preserve">main </w:t>
      </w:r>
      <w:r w:rsidRPr="00F03917">
        <w:t xml:space="preserve">policy instruments </w:t>
      </w:r>
      <w:r w:rsidR="00A72852" w:rsidRPr="00F03917">
        <w:t xml:space="preserve">used </w:t>
      </w:r>
      <w:r w:rsidRPr="00F03917">
        <w:t>for managing coastal hazards and the effects of climate change and SLR.</w:t>
      </w:r>
    </w:p>
    <w:p w14:paraId="5D574853" w14:textId="25B9C70D" w:rsidR="00D75860" w:rsidRPr="00F03917" w:rsidRDefault="00D75860" w:rsidP="007F2DAE"/>
    <w:p w14:paraId="7F8FC940" w14:textId="34122C82" w:rsidR="00D75860" w:rsidRPr="00F03917" w:rsidRDefault="00A20725" w:rsidP="006258D2">
      <w:pPr>
        <w:pStyle w:val="Tableheading"/>
      </w:pPr>
      <w:bookmarkStart w:id="12" w:name="_Toc160098395"/>
      <w:r w:rsidRPr="00F03917">
        <w:t xml:space="preserve">Overview of </w:t>
      </w:r>
      <w:r w:rsidR="3A71CFC1" w:rsidRPr="00F03917">
        <w:t xml:space="preserve">legislation and </w:t>
      </w:r>
      <w:r w:rsidRPr="00F03917">
        <w:t>policy instruments for managing coastal hazards and the effects of climate change</w:t>
      </w:r>
      <w:bookmarkEnd w:id="12"/>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2127"/>
        <w:gridCol w:w="6378"/>
      </w:tblGrid>
      <w:tr w:rsidR="00AB02FE" w:rsidRPr="00F03917" w14:paraId="34D314E0" w14:textId="77777777" w:rsidTr="00F455E4">
        <w:trPr>
          <w:cantSplit/>
          <w:trHeight w:val="300"/>
          <w:tblHeader/>
        </w:trPr>
        <w:tc>
          <w:tcPr>
            <w:tcW w:w="2127" w:type="dxa"/>
            <w:shd w:val="clear" w:color="auto" w:fill="1B556B" w:themeFill="text2"/>
            <w:vAlign w:val="bottom"/>
          </w:tcPr>
          <w:p w14:paraId="480AD1C2" w14:textId="09D7A73E" w:rsidR="006D2F10" w:rsidRPr="00F03917" w:rsidRDefault="006D2F10" w:rsidP="00AB02FE">
            <w:pPr>
              <w:pStyle w:val="TableTextbold"/>
              <w:rPr>
                <w:color w:val="FFFFFF" w:themeColor="background1"/>
              </w:rPr>
            </w:pPr>
            <w:r w:rsidRPr="00F03917">
              <w:rPr>
                <w:color w:val="FFFFFF" w:themeColor="background1"/>
              </w:rPr>
              <w:t xml:space="preserve">Policy </w:t>
            </w:r>
            <w:r w:rsidR="00902335" w:rsidRPr="00F03917">
              <w:rPr>
                <w:color w:val="FFFFFF" w:themeColor="background1"/>
              </w:rPr>
              <w:t>i</w:t>
            </w:r>
            <w:r w:rsidRPr="00F03917">
              <w:rPr>
                <w:color w:val="FFFFFF" w:themeColor="background1"/>
              </w:rPr>
              <w:t>nstrument</w:t>
            </w:r>
          </w:p>
        </w:tc>
        <w:tc>
          <w:tcPr>
            <w:tcW w:w="6378" w:type="dxa"/>
            <w:shd w:val="clear" w:color="auto" w:fill="1B556B" w:themeFill="text2"/>
            <w:vAlign w:val="bottom"/>
          </w:tcPr>
          <w:p w14:paraId="621DEC0C" w14:textId="37FCF42A" w:rsidR="006D2F10" w:rsidRPr="00F03917" w:rsidRDefault="004E070B" w:rsidP="00AB02FE">
            <w:pPr>
              <w:pStyle w:val="TableTextbold"/>
              <w:rPr>
                <w:color w:val="FFFFFF" w:themeColor="background1"/>
              </w:rPr>
            </w:pPr>
            <w:r w:rsidRPr="00F03917">
              <w:rPr>
                <w:color w:val="FFFFFF" w:themeColor="background1"/>
              </w:rPr>
              <w:t>Effects on coastal hazard management</w:t>
            </w:r>
          </w:p>
        </w:tc>
      </w:tr>
      <w:tr w:rsidR="006D2F10" w:rsidRPr="00F03917" w14:paraId="790E31D2" w14:textId="77777777" w:rsidTr="00F455E4">
        <w:trPr>
          <w:cantSplit/>
          <w:trHeight w:val="300"/>
        </w:trPr>
        <w:tc>
          <w:tcPr>
            <w:tcW w:w="2127" w:type="dxa"/>
          </w:tcPr>
          <w:p w14:paraId="20D4A314" w14:textId="65A4A50A" w:rsidR="006D2F10" w:rsidRPr="00F03917" w:rsidRDefault="00000000" w:rsidP="00AB02FE">
            <w:pPr>
              <w:pStyle w:val="TableText"/>
            </w:pPr>
            <w:hyperlink r:id="rId33" w:history="1">
              <w:r w:rsidR="004E070B" w:rsidRPr="00F03917">
                <w:rPr>
                  <w:rStyle w:val="Hyperlink"/>
                  <w:rFonts w:cstheme="minorBidi"/>
                </w:rPr>
                <w:t>R</w:t>
              </w:r>
              <w:r w:rsidR="004E070B" w:rsidRPr="00F03917">
                <w:rPr>
                  <w:rStyle w:val="Hyperlink"/>
                </w:rPr>
                <w:t>esource Management Act 1991</w:t>
              </w:r>
            </w:hyperlink>
            <w:r w:rsidR="00745095" w:rsidRPr="00F03917">
              <w:t xml:space="preserve"> (RMA)</w:t>
            </w:r>
          </w:p>
        </w:tc>
        <w:tc>
          <w:tcPr>
            <w:tcW w:w="6378" w:type="dxa"/>
          </w:tcPr>
          <w:p w14:paraId="199F89B3" w14:textId="502CB51A" w:rsidR="004E070B" w:rsidRPr="00F03917" w:rsidRDefault="251738A8" w:rsidP="00B26F0A">
            <w:pPr>
              <w:pStyle w:val="TableText"/>
              <w:spacing w:after="40"/>
            </w:pPr>
            <w:r w:rsidRPr="00F03917">
              <w:t xml:space="preserve">The RMA identifies the preservation of the natural character of the coastal environment and the management of significant risks from natural hazards as </w:t>
            </w:r>
            <w:r w:rsidR="7B97634B" w:rsidRPr="00F03917">
              <w:t>s</w:t>
            </w:r>
            <w:r w:rsidR="6688BB5A" w:rsidRPr="00F03917">
              <w:t xml:space="preserve">6 </w:t>
            </w:r>
            <w:r w:rsidRPr="00F03917">
              <w:t>matters of national importance. Section 7(i) states that particular regard must be given to the effects of climate change.</w:t>
            </w:r>
          </w:p>
          <w:p w14:paraId="54663DE6" w14:textId="096491CE" w:rsidR="001F77DA" w:rsidRPr="00F03917" w:rsidRDefault="131D37A6" w:rsidP="00B26F0A">
            <w:pPr>
              <w:pStyle w:val="TableText"/>
              <w:spacing w:after="40"/>
            </w:pPr>
            <w:r w:rsidRPr="00F03917">
              <w:t>T</w:t>
            </w:r>
            <w:r w:rsidR="251738A8" w:rsidRPr="00F03917">
              <w:t>he functions stipulated for regional and district councils require avoidance or mitigation of natural hazards, including coastal hazards. The RMA does not specify how to manage the risks from coastal hazards, other than through sustainable management (s5</w:t>
            </w:r>
            <w:r w:rsidR="003E7C73" w:rsidRPr="00F03917">
              <w:t xml:space="preserve"> </w:t>
            </w:r>
            <w:r w:rsidR="3422F609" w:rsidRPr="00F03917">
              <w:t xml:space="preserve">and </w:t>
            </w:r>
            <w:r w:rsidR="00A40125" w:rsidRPr="00F03917">
              <w:t>s</w:t>
            </w:r>
            <w:r w:rsidR="3422F609" w:rsidRPr="00F03917">
              <w:t>106</w:t>
            </w:r>
            <w:r w:rsidR="273D89A1" w:rsidRPr="00F03917">
              <w:t>)</w:t>
            </w:r>
            <w:r w:rsidR="2074E52D" w:rsidRPr="00F03917">
              <w:t>.</w:t>
            </w:r>
          </w:p>
          <w:p w14:paraId="1880F79B" w14:textId="6336C7FE" w:rsidR="006D2F10" w:rsidRPr="00F03917" w:rsidRDefault="3C31BC1B" w:rsidP="00AB02FE">
            <w:pPr>
              <w:pStyle w:val="TableText"/>
            </w:pPr>
            <w:r w:rsidRPr="00F03917">
              <w:t xml:space="preserve">Section </w:t>
            </w:r>
            <w:r w:rsidR="0239B8C5" w:rsidRPr="00F03917">
              <w:t xml:space="preserve">106 of </w:t>
            </w:r>
            <w:r w:rsidR="615EA544" w:rsidRPr="00F03917">
              <w:t>the</w:t>
            </w:r>
            <w:r w:rsidR="0239B8C5" w:rsidRPr="00F03917">
              <w:t xml:space="preserve"> RMA gives district councils the </w:t>
            </w:r>
            <w:r w:rsidR="67BAB390" w:rsidRPr="00F03917">
              <w:t>ability</w:t>
            </w:r>
            <w:r w:rsidR="0239B8C5" w:rsidRPr="00F03917">
              <w:t xml:space="preserve"> to refuse subdivision consent or apply special conditions where land is subject to significant risk from natural hazards regardless of a</w:t>
            </w:r>
            <w:r w:rsidR="28913014" w:rsidRPr="00F03917">
              <w:t xml:space="preserve"> district</w:t>
            </w:r>
            <w:r w:rsidR="0239B8C5" w:rsidRPr="00F03917">
              <w:t xml:space="preserve"> plan’s subdivision provisions.</w:t>
            </w:r>
            <w:r w:rsidR="6F5EFCFB" w:rsidRPr="00F03917">
              <w:t xml:space="preserve"> </w:t>
            </w:r>
            <w:r w:rsidR="32326178" w:rsidRPr="00F03917">
              <w:t>Section 35(5)(j) of the RMA</w:t>
            </w:r>
            <w:r w:rsidR="39B11C36" w:rsidRPr="00F03917">
              <w:t xml:space="preserve"> outlines the duty of local </w:t>
            </w:r>
            <w:r w:rsidR="1EACB270" w:rsidRPr="00F03917">
              <w:t>council</w:t>
            </w:r>
            <w:r w:rsidR="3F3C8559" w:rsidRPr="00F03917">
              <w:t>s</w:t>
            </w:r>
            <w:r w:rsidR="39B11C36" w:rsidRPr="00F03917">
              <w:t xml:space="preserve"> to keep records of natural hazards.</w:t>
            </w:r>
            <w:r w:rsidR="6F5EFCFB" w:rsidRPr="00F03917">
              <w:t xml:space="preserve"> </w:t>
            </w:r>
          </w:p>
        </w:tc>
      </w:tr>
      <w:tr w:rsidR="006D2F10" w:rsidRPr="00F03917" w14:paraId="7C862583" w14:textId="77777777" w:rsidTr="00F455E4">
        <w:trPr>
          <w:cantSplit/>
          <w:trHeight w:val="300"/>
        </w:trPr>
        <w:tc>
          <w:tcPr>
            <w:tcW w:w="2127" w:type="dxa"/>
          </w:tcPr>
          <w:p w14:paraId="309A3815" w14:textId="73431346" w:rsidR="006D2F10" w:rsidRPr="00F03917" w:rsidRDefault="00000000" w:rsidP="00AB02FE">
            <w:pPr>
              <w:pStyle w:val="TableText"/>
            </w:pPr>
            <w:hyperlink r:id="rId34" w:history="1">
              <w:r w:rsidR="005F13AC" w:rsidRPr="00F03917">
                <w:rPr>
                  <w:rStyle w:val="Hyperlink"/>
                  <w:rFonts w:cstheme="minorBidi"/>
                </w:rPr>
                <w:t>New Zealand Coastal Policy Statement 2010</w:t>
              </w:r>
            </w:hyperlink>
            <w:r w:rsidR="005F13AC" w:rsidRPr="00F03917">
              <w:t xml:space="preserve"> (NZCPS)</w:t>
            </w:r>
          </w:p>
        </w:tc>
        <w:tc>
          <w:tcPr>
            <w:tcW w:w="6378" w:type="dxa"/>
          </w:tcPr>
          <w:p w14:paraId="071045A6" w14:textId="3356BB08" w:rsidR="003963D3" w:rsidRPr="00F03917" w:rsidRDefault="5B67B551" w:rsidP="00F455E4">
            <w:pPr>
              <w:pStyle w:val="TableText"/>
              <w:spacing w:after="20"/>
            </w:pPr>
            <w:r w:rsidRPr="00F03917">
              <w:t xml:space="preserve">The purpose of the NZCPS is to state </w:t>
            </w:r>
            <w:r w:rsidR="65F7B3BB" w:rsidRPr="00F03917">
              <w:t xml:space="preserve">objectives and </w:t>
            </w:r>
            <w:r w:rsidRPr="00F03917">
              <w:t xml:space="preserve">policies in order to achieve the purpose of the RMA in relation to the coastal environment of </w:t>
            </w:r>
            <w:r w:rsidR="07D792C0" w:rsidRPr="00F03917">
              <w:t>Aotearoa</w:t>
            </w:r>
            <w:r w:rsidR="4F6F5A64" w:rsidRPr="00F03917">
              <w:t xml:space="preserve"> </w:t>
            </w:r>
            <w:r w:rsidRPr="00F03917">
              <w:t xml:space="preserve">New Zealand. </w:t>
            </w:r>
            <w:r w:rsidR="4C6E7CE0" w:rsidRPr="00F03917">
              <w:t>The</w:t>
            </w:r>
            <w:r w:rsidR="7640F02E" w:rsidRPr="00F03917">
              <w:t xml:space="preserve"> </w:t>
            </w:r>
            <w:r w:rsidR="7121F168" w:rsidRPr="00F03917">
              <w:t xml:space="preserve">NZCPS is the only compulsory </w:t>
            </w:r>
            <w:r w:rsidR="30F71206" w:rsidRPr="00F03917">
              <w:t>n</w:t>
            </w:r>
            <w:r w:rsidR="7946F0DB" w:rsidRPr="00F03917">
              <w:t xml:space="preserve">ational </w:t>
            </w:r>
            <w:r w:rsidR="30F71206" w:rsidRPr="00F03917">
              <w:t>p</w:t>
            </w:r>
            <w:r w:rsidR="7946F0DB" w:rsidRPr="00F03917">
              <w:t xml:space="preserve">olicy </w:t>
            </w:r>
            <w:r w:rsidR="30F71206" w:rsidRPr="00F03917">
              <w:t>s</w:t>
            </w:r>
            <w:r w:rsidR="7946F0DB" w:rsidRPr="00F03917">
              <w:t>tatement</w:t>
            </w:r>
            <w:r w:rsidR="7121F168" w:rsidRPr="00F03917">
              <w:t xml:space="preserve"> </w:t>
            </w:r>
            <w:r w:rsidR="6A318DA9" w:rsidRPr="00F03917">
              <w:t xml:space="preserve">under </w:t>
            </w:r>
            <w:r w:rsidR="7121F168" w:rsidRPr="00F03917">
              <w:t>the RMA</w:t>
            </w:r>
            <w:r w:rsidR="7E72DBDA" w:rsidRPr="00F03917">
              <w:t xml:space="preserve"> and there</w:t>
            </w:r>
            <w:r w:rsidR="6A318DA9" w:rsidRPr="00F03917">
              <w:t xml:space="preserve"> must be </w:t>
            </w:r>
            <w:r w:rsidR="7E72DBDA" w:rsidRPr="00F03917">
              <w:t>on</w:t>
            </w:r>
            <w:r w:rsidR="02DA2FBA" w:rsidRPr="00F03917">
              <w:t>e</w:t>
            </w:r>
            <w:r w:rsidR="12D1832A" w:rsidRPr="00F03917">
              <w:t xml:space="preserve"> at all times</w:t>
            </w:r>
            <w:r w:rsidR="4A813B91" w:rsidRPr="00F03917">
              <w:t xml:space="preserve"> (s</w:t>
            </w:r>
            <w:r w:rsidR="77A32F36" w:rsidRPr="00F03917">
              <w:t>57 of the RMA)</w:t>
            </w:r>
            <w:r w:rsidR="68702064" w:rsidRPr="00F03917">
              <w:t xml:space="preserve">. </w:t>
            </w:r>
          </w:p>
          <w:p w14:paraId="6BF1B62E" w14:textId="67C876CA" w:rsidR="003963D3" w:rsidRPr="00F03917" w:rsidRDefault="5B67B551" w:rsidP="00F455E4">
            <w:pPr>
              <w:pStyle w:val="TableText"/>
              <w:spacing w:after="20"/>
            </w:pPr>
            <w:r w:rsidRPr="00F03917">
              <w:t>Councils are required to give effect to the NZCPS in their policy statements</w:t>
            </w:r>
            <w:r w:rsidR="3FD15DA0" w:rsidRPr="00F03917">
              <w:t xml:space="preserve"> (</w:t>
            </w:r>
            <w:r w:rsidR="6DB7EBEC" w:rsidRPr="00F03917">
              <w:t>s62(3)),</w:t>
            </w:r>
            <w:r w:rsidR="3FD15DA0" w:rsidRPr="00F03917">
              <w:t xml:space="preserve"> </w:t>
            </w:r>
            <w:r w:rsidR="6DB7EBEC" w:rsidRPr="00F03917">
              <w:t xml:space="preserve">regional plans </w:t>
            </w:r>
            <w:r w:rsidR="3FD15DA0" w:rsidRPr="00F03917">
              <w:t>(s67(3)(b))</w:t>
            </w:r>
            <w:r w:rsidRPr="00F03917">
              <w:t xml:space="preserve"> and</w:t>
            </w:r>
            <w:r w:rsidR="3FD15DA0" w:rsidRPr="00F03917">
              <w:t xml:space="preserve"> district</w:t>
            </w:r>
            <w:r w:rsidRPr="00F03917">
              <w:t xml:space="preserve"> plans</w:t>
            </w:r>
            <w:r w:rsidR="3FD15DA0" w:rsidRPr="00F03917">
              <w:t xml:space="preserve"> (s75</w:t>
            </w:r>
            <w:r w:rsidR="5473D9B0" w:rsidRPr="00F03917">
              <w:t>(3)(b))</w:t>
            </w:r>
            <w:r w:rsidRPr="00F03917">
              <w:t>. They must also have regard to the NZCPS in resource consenting</w:t>
            </w:r>
            <w:r w:rsidR="5473D9B0" w:rsidRPr="00F03917">
              <w:t xml:space="preserve"> (s104(1)(b)(iv))</w:t>
            </w:r>
            <w:r w:rsidRPr="00F03917">
              <w:t xml:space="preserve"> and</w:t>
            </w:r>
            <w:r w:rsidR="5473D9B0" w:rsidRPr="00F03917">
              <w:t xml:space="preserve"> particular regard to it in respect of</w:t>
            </w:r>
            <w:r w:rsidRPr="00F03917">
              <w:t xml:space="preserve"> designations</w:t>
            </w:r>
            <w:r w:rsidR="662D9C17" w:rsidRPr="00F03917">
              <w:t xml:space="preserve"> </w:t>
            </w:r>
            <w:r w:rsidR="5473D9B0" w:rsidRPr="00F03917">
              <w:t>(</w:t>
            </w:r>
            <w:r w:rsidR="46140901" w:rsidRPr="00F03917">
              <w:t xml:space="preserve">s168A(3)(a)(ii) and </w:t>
            </w:r>
            <w:r w:rsidR="0044583F" w:rsidRPr="00F03917">
              <w:t>s</w:t>
            </w:r>
            <w:r w:rsidR="46140901" w:rsidRPr="00F03917">
              <w:t>171(1)(a(ii)).</w:t>
            </w:r>
          </w:p>
          <w:p w14:paraId="63F28B8C" w14:textId="6A631424" w:rsidR="00D10162" w:rsidRPr="00F03917" w:rsidRDefault="20F26BFF" w:rsidP="003963D3">
            <w:pPr>
              <w:pStyle w:val="TableText"/>
              <w:spacing w:after="40"/>
              <w:rPr>
                <w:szCs w:val="18"/>
              </w:rPr>
            </w:pPr>
            <w:r w:rsidRPr="00F03917">
              <w:t xml:space="preserve">One of the </w:t>
            </w:r>
            <w:r w:rsidR="039EB904" w:rsidRPr="00F03917">
              <w:t>goal</w:t>
            </w:r>
            <w:r w:rsidRPr="00F03917">
              <w:t>s</w:t>
            </w:r>
            <w:r w:rsidR="039EB904" w:rsidRPr="00F03917">
              <w:t xml:space="preserve"> is to manage coastal hazards and climate change risks to avoid increasing the risk of adverse effects. The risk from coastal hazards over at least 100</w:t>
            </w:r>
            <w:r w:rsidR="0044583F" w:rsidRPr="00F03917">
              <w:t> </w:t>
            </w:r>
            <w:r w:rsidR="039EB904" w:rsidRPr="00F03917">
              <w:t xml:space="preserve">years must </w:t>
            </w:r>
            <w:r w:rsidR="039EB904" w:rsidRPr="00F03917">
              <w:rPr>
                <w:szCs w:val="18"/>
              </w:rPr>
              <w:t>be identified.</w:t>
            </w:r>
            <w:r w:rsidR="00F01F82" w:rsidRPr="00F03917">
              <w:rPr>
                <w:rStyle w:val="FootnoteReference"/>
                <w:sz w:val="18"/>
                <w:szCs w:val="18"/>
              </w:rPr>
              <w:footnoteReference w:id="6"/>
            </w:r>
          </w:p>
          <w:p w14:paraId="71A4854C" w14:textId="1BB24DF5" w:rsidR="00E500A9" w:rsidRPr="00F03917" w:rsidRDefault="00D10162" w:rsidP="00F455E4">
            <w:pPr>
              <w:pStyle w:val="TableText"/>
              <w:spacing w:after="20"/>
            </w:pPr>
            <w:r w:rsidRPr="00F03917">
              <w:rPr>
                <w:rFonts w:cstheme="minorBidi"/>
              </w:rPr>
              <w:t xml:space="preserve">The NZCPS does not specify which climate change </w:t>
            </w:r>
            <w:r w:rsidR="008C0F1A" w:rsidRPr="00F03917">
              <w:rPr>
                <w:rFonts w:cstheme="minorBidi"/>
              </w:rPr>
              <w:t xml:space="preserve">scenario or </w:t>
            </w:r>
            <w:r w:rsidRPr="00F03917">
              <w:rPr>
                <w:rFonts w:cstheme="minorBidi"/>
              </w:rPr>
              <w:t xml:space="preserve">SLR </w:t>
            </w:r>
            <w:r w:rsidR="008C0F1A" w:rsidRPr="00F03917">
              <w:rPr>
                <w:rFonts w:cstheme="minorBidi"/>
              </w:rPr>
              <w:t xml:space="preserve">projections </w:t>
            </w:r>
            <w:r w:rsidRPr="00F03917">
              <w:rPr>
                <w:rFonts w:cstheme="minorBidi"/>
              </w:rPr>
              <w:t>to use, or the thresholds for applying different planning responses. However, it does require identification of areas “potentially affected”, “taking into account national guidance</w:t>
            </w:r>
            <w:r w:rsidR="00D344FE" w:rsidRPr="00F03917">
              <w:rPr>
                <w:rFonts w:cstheme="minorBidi"/>
                <w:vertAlign w:val="superscript"/>
              </w:rPr>
              <w:footnoteReference w:id="7"/>
            </w:r>
            <w:r w:rsidR="00977ED4" w:rsidRPr="00F03917">
              <w:t xml:space="preserve"> </w:t>
            </w:r>
            <w:r w:rsidRPr="00F03917">
              <w:rPr>
                <w:rFonts w:cstheme="minorBidi"/>
              </w:rPr>
              <w:t>and the best available information on the likely effects of climate change on the region or district” (Policy 24</w:t>
            </w:r>
            <w:r w:rsidR="005E568D" w:rsidRPr="00F03917">
              <w:rPr>
                <w:rFonts w:cstheme="minorBidi"/>
              </w:rPr>
              <w:t>, DOC, 2010</w:t>
            </w:r>
            <w:r w:rsidRPr="00F03917">
              <w:rPr>
                <w:rFonts w:cstheme="minorBidi"/>
              </w:rPr>
              <w:t>)</w:t>
            </w:r>
            <w:r w:rsidR="000F4E00" w:rsidRPr="00F03917">
              <w:rPr>
                <w:rFonts w:cstheme="minorBidi"/>
              </w:rPr>
              <w:t>.</w:t>
            </w:r>
            <w:r w:rsidR="005A2CD9" w:rsidRPr="00F03917">
              <w:t xml:space="preserve"> </w:t>
            </w:r>
          </w:p>
          <w:p w14:paraId="0EEF1E41" w14:textId="0083E9AB" w:rsidR="00B1703E" w:rsidRPr="00F03917" w:rsidRDefault="12CFF940" w:rsidP="00F455E4">
            <w:pPr>
              <w:pStyle w:val="TableText"/>
              <w:spacing w:after="20"/>
            </w:pPr>
            <w:r w:rsidRPr="00F03917">
              <w:t xml:space="preserve">The NZCPS includes </w:t>
            </w:r>
            <w:r w:rsidR="4AE677CD" w:rsidRPr="00F03917">
              <w:t>strong policy direction that requires the avoidance of certain adverse effects in the coastal environment</w:t>
            </w:r>
            <w:r w:rsidR="46E8E8C4" w:rsidRPr="00F03917">
              <w:t>,</w:t>
            </w:r>
            <w:r w:rsidR="4AE677CD" w:rsidRPr="00F03917">
              <w:t xml:space="preserve"> for example</w:t>
            </w:r>
            <w:r w:rsidR="3F6D1887" w:rsidRPr="00F03917">
              <w:t>,</w:t>
            </w:r>
            <w:r w:rsidR="4AE677CD" w:rsidRPr="00F03917">
              <w:t xml:space="preserve"> as may occur </w:t>
            </w:r>
            <w:r w:rsidR="6272AC41" w:rsidRPr="00F03917">
              <w:t xml:space="preserve">through </w:t>
            </w:r>
            <w:r w:rsidR="072D2971" w:rsidRPr="00F03917">
              <w:t>works proposed to mitigate coastal hazard ri</w:t>
            </w:r>
            <w:r w:rsidR="23499740" w:rsidRPr="00F03917">
              <w:t>s</w:t>
            </w:r>
            <w:r w:rsidR="072D2971" w:rsidRPr="00F03917">
              <w:t>k.</w:t>
            </w:r>
          </w:p>
          <w:p w14:paraId="27663B99" w14:textId="76F57E4C" w:rsidR="00B1703E" w:rsidRPr="00F03917" w:rsidRDefault="006A5CFC" w:rsidP="43E31E87">
            <w:pPr>
              <w:pStyle w:val="TableText"/>
              <w:rPr>
                <w:rFonts w:cstheme="minorBidi"/>
                <w:vertAlign w:val="superscript"/>
              </w:rPr>
            </w:pPr>
            <w:r w:rsidRPr="00F03917">
              <w:rPr>
                <w:spacing w:val="-2"/>
              </w:rPr>
              <w:t>The NZCPS also</w:t>
            </w:r>
            <w:r w:rsidR="001E269A" w:rsidRPr="00F03917">
              <w:rPr>
                <w:spacing w:val="-2"/>
              </w:rPr>
              <w:t xml:space="preserve"> </w:t>
            </w:r>
            <w:r w:rsidR="00562676" w:rsidRPr="00F03917">
              <w:rPr>
                <w:spacing w:val="-2"/>
              </w:rPr>
              <w:t>includes</w:t>
            </w:r>
            <w:r w:rsidR="000A7DD1" w:rsidRPr="00F03917">
              <w:rPr>
                <w:spacing w:val="-2"/>
              </w:rPr>
              <w:t xml:space="preserve"> </w:t>
            </w:r>
            <w:r w:rsidR="001E269A" w:rsidRPr="00F03917">
              <w:rPr>
                <w:spacing w:val="-2"/>
              </w:rPr>
              <w:t xml:space="preserve">strategies for </w:t>
            </w:r>
            <w:r w:rsidR="002876CC" w:rsidRPr="00F03917">
              <w:rPr>
                <w:spacing w:val="-2"/>
              </w:rPr>
              <w:t xml:space="preserve">assessing a range of options for reducing coastal hazard risk </w:t>
            </w:r>
            <w:r w:rsidR="00F150FB" w:rsidRPr="00F03917">
              <w:rPr>
                <w:spacing w:val="-2"/>
              </w:rPr>
              <w:t xml:space="preserve">to </w:t>
            </w:r>
            <w:r w:rsidR="001E269A" w:rsidRPr="00F03917">
              <w:rPr>
                <w:spacing w:val="-2"/>
              </w:rPr>
              <w:t xml:space="preserve">protect significant existing development </w:t>
            </w:r>
            <w:r w:rsidR="00BB40E4" w:rsidRPr="00F03917">
              <w:rPr>
                <w:spacing w:val="-2"/>
              </w:rPr>
              <w:t>(Policy 27</w:t>
            </w:r>
            <w:r w:rsidR="005E568D" w:rsidRPr="00F03917">
              <w:rPr>
                <w:spacing w:val="-2"/>
              </w:rPr>
              <w:t>, DOC,</w:t>
            </w:r>
            <w:r w:rsidR="0005276D" w:rsidRPr="00F03917">
              <w:rPr>
                <w:spacing w:val="-2"/>
              </w:rPr>
              <w:t xml:space="preserve"> 2010</w:t>
            </w:r>
            <w:r w:rsidR="00BB40E4" w:rsidRPr="00F03917">
              <w:t>)</w:t>
            </w:r>
            <w:r w:rsidR="00F54AB1" w:rsidRPr="00F03917">
              <w:t>.</w:t>
            </w:r>
          </w:p>
        </w:tc>
      </w:tr>
      <w:tr w:rsidR="006D2F10" w:rsidRPr="00F03917" w14:paraId="146E7A5A" w14:textId="77777777" w:rsidTr="00F455E4">
        <w:trPr>
          <w:cantSplit/>
          <w:trHeight w:val="300"/>
        </w:trPr>
        <w:tc>
          <w:tcPr>
            <w:tcW w:w="2127" w:type="dxa"/>
          </w:tcPr>
          <w:p w14:paraId="2E6A00CA" w14:textId="2A9D30E5" w:rsidR="006D2F10" w:rsidRPr="00F03917" w:rsidRDefault="00000000" w:rsidP="43E31E87">
            <w:pPr>
              <w:spacing w:before="60" w:after="60" w:line="240" w:lineRule="atLeast"/>
              <w:rPr>
                <w:rFonts w:ascii="Calibri" w:eastAsiaTheme="minorEastAsia" w:hAnsi="Calibri"/>
                <w:sz w:val="18"/>
                <w:szCs w:val="18"/>
              </w:rPr>
            </w:pPr>
            <w:hyperlink r:id="rId35" w:history="1">
              <w:r w:rsidR="3C9F35B7" w:rsidRPr="00F03917">
                <w:rPr>
                  <w:rStyle w:val="Hyperlink"/>
                  <w:rFonts w:ascii="Calibri" w:eastAsiaTheme="minorEastAsia" w:hAnsi="Calibri" w:cstheme="minorBidi"/>
                  <w:kern w:val="2"/>
                  <w:sz w:val="18"/>
                  <w:szCs w:val="18"/>
                  <w:lang w:eastAsia="en-US"/>
                  <w14:ligatures w14:val="standardContextual"/>
                </w:rPr>
                <w:t xml:space="preserve">Climate Change Response Act </w:t>
              </w:r>
              <w:r w:rsidR="3C9F35B7" w:rsidRPr="00F03917">
                <w:rPr>
                  <w:rStyle w:val="Hyperlink"/>
                  <w:rFonts w:ascii="Calibri" w:eastAsiaTheme="minorEastAsia" w:hAnsi="Calibri"/>
                  <w:sz w:val="18"/>
                  <w:szCs w:val="18"/>
                </w:rPr>
                <w:t>2002</w:t>
              </w:r>
            </w:hyperlink>
            <w:r w:rsidR="6393F9A9" w:rsidRPr="00F03917">
              <w:rPr>
                <w:rFonts w:ascii="Calibri" w:eastAsiaTheme="minorEastAsia" w:hAnsi="Calibri"/>
                <w:sz w:val="18"/>
                <w:szCs w:val="18"/>
              </w:rPr>
              <w:t xml:space="preserve"> (</w:t>
            </w:r>
            <w:r w:rsidR="2F2FEB6E" w:rsidRPr="00F03917">
              <w:rPr>
                <w:rFonts w:ascii="Calibri" w:eastAsiaTheme="minorEastAsia" w:hAnsi="Calibri"/>
                <w:sz w:val="18"/>
                <w:szCs w:val="18"/>
              </w:rPr>
              <w:t>CCRA</w:t>
            </w:r>
            <w:r w:rsidR="6393F9A9" w:rsidRPr="00F03917">
              <w:rPr>
                <w:rFonts w:ascii="Calibri" w:eastAsiaTheme="minorEastAsia" w:hAnsi="Calibri"/>
                <w:sz w:val="18"/>
                <w:szCs w:val="18"/>
              </w:rPr>
              <w:t>)</w:t>
            </w:r>
          </w:p>
        </w:tc>
        <w:tc>
          <w:tcPr>
            <w:tcW w:w="6378" w:type="dxa"/>
          </w:tcPr>
          <w:p w14:paraId="249FE9D1" w14:textId="083FE8FF" w:rsidR="00B01CCC" w:rsidRPr="00F03917" w:rsidRDefault="37952E45" w:rsidP="00F455E4">
            <w:pPr>
              <w:pStyle w:val="TableText"/>
              <w:spacing w:after="20"/>
            </w:pPr>
            <w:r w:rsidRPr="00F03917">
              <w:t xml:space="preserve">The </w:t>
            </w:r>
            <w:r w:rsidR="47A62F8F" w:rsidRPr="00F03917">
              <w:t xml:space="preserve">National Climate Change Risk Assessment </w:t>
            </w:r>
            <w:r w:rsidR="31D754D5" w:rsidRPr="00F03917">
              <w:t>(</w:t>
            </w:r>
            <w:r w:rsidR="3B142BB7" w:rsidRPr="00F03917">
              <w:t>NCCRA</w:t>
            </w:r>
            <w:r w:rsidR="31D754D5" w:rsidRPr="00F03917">
              <w:t>)</w:t>
            </w:r>
            <w:r w:rsidR="171BC95F" w:rsidRPr="00F03917">
              <w:t xml:space="preserve">, developed under </w:t>
            </w:r>
            <w:r w:rsidR="4ECF9C08" w:rsidRPr="00F03917">
              <w:t xml:space="preserve">s5ZP of </w:t>
            </w:r>
            <w:r w:rsidR="171BC95F" w:rsidRPr="00F03917">
              <w:t>the</w:t>
            </w:r>
            <w:r w:rsidR="00607AF4" w:rsidRPr="00F03917">
              <w:t> </w:t>
            </w:r>
            <w:r w:rsidR="171BC95F" w:rsidRPr="00F03917">
              <w:t>CCRA</w:t>
            </w:r>
            <w:r w:rsidR="0F85450E" w:rsidRPr="00F03917">
              <w:t>,</w:t>
            </w:r>
            <w:r w:rsidRPr="00F03917">
              <w:t xml:space="preserve"> sets out how coastal areas will be affected differentially across </w:t>
            </w:r>
            <w:r w:rsidR="2F230E3A" w:rsidRPr="00F03917">
              <w:t>Aotearoa New Zealand</w:t>
            </w:r>
            <w:r w:rsidRPr="00F03917">
              <w:t xml:space="preserve"> in the </w:t>
            </w:r>
            <w:r w:rsidR="2F230E3A" w:rsidRPr="00F03917">
              <w:t>M</w:t>
            </w:r>
            <w:r w:rsidR="4B664612" w:rsidRPr="00F03917">
              <w:t>ethod</w:t>
            </w:r>
            <w:r w:rsidR="2F230E3A" w:rsidRPr="00F03917">
              <w:t xml:space="preserve"> Report and the </w:t>
            </w:r>
            <w:r w:rsidRPr="00F03917">
              <w:t>Technical Report</w:t>
            </w:r>
            <w:r w:rsidR="3B142BB7" w:rsidRPr="00F03917">
              <w:t xml:space="preserve"> (MfE, 2020</w:t>
            </w:r>
            <w:r w:rsidR="00134426" w:rsidRPr="00F03917">
              <w:t>b</w:t>
            </w:r>
            <w:r w:rsidR="4BA0570F" w:rsidRPr="00F03917">
              <w:t>,</w:t>
            </w:r>
            <w:r w:rsidR="3B142BB7" w:rsidRPr="00F03917">
              <w:t xml:space="preserve"> 2020</w:t>
            </w:r>
            <w:r w:rsidR="00134426" w:rsidRPr="00F03917">
              <w:t>c</w:t>
            </w:r>
            <w:r w:rsidR="3B142BB7" w:rsidRPr="00F03917">
              <w:t>)</w:t>
            </w:r>
            <w:r w:rsidR="25257876" w:rsidRPr="00F03917">
              <w:t>.</w:t>
            </w:r>
          </w:p>
          <w:p w14:paraId="0666592B" w14:textId="1F7C9C69" w:rsidR="005F13AC" w:rsidRPr="00F03917" w:rsidRDefault="3C9F35B7" w:rsidP="00F455E4">
            <w:pPr>
              <w:pStyle w:val="TableText"/>
              <w:spacing w:after="20"/>
            </w:pPr>
            <w:r w:rsidRPr="00F03917">
              <w:t xml:space="preserve">The </w:t>
            </w:r>
            <w:r w:rsidR="180AC46B" w:rsidRPr="00F03917">
              <w:t>n</w:t>
            </w:r>
            <w:r w:rsidRPr="00F03917">
              <w:t xml:space="preserve">ational </w:t>
            </w:r>
            <w:r w:rsidR="37A81102" w:rsidRPr="00F03917">
              <w:t>a</w:t>
            </w:r>
            <w:r w:rsidRPr="00F03917">
              <w:t xml:space="preserve">daptation </w:t>
            </w:r>
            <w:r w:rsidR="078B229F" w:rsidRPr="00F03917">
              <w:t>p</w:t>
            </w:r>
            <w:r w:rsidRPr="00F03917">
              <w:t>lan (</w:t>
            </w:r>
            <w:r w:rsidR="79F5D085" w:rsidRPr="00F03917">
              <w:t>NAP)</w:t>
            </w:r>
            <w:r w:rsidRPr="00F03917">
              <w:t xml:space="preserve"> (</w:t>
            </w:r>
            <w:r w:rsidR="1D9D975E" w:rsidRPr="00F03917">
              <w:t xml:space="preserve">MfE, </w:t>
            </w:r>
            <w:r w:rsidRPr="00F03917">
              <w:t>2022</w:t>
            </w:r>
            <w:r w:rsidR="7816BEE0" w:rsidRPr="00F03917">
              <w:t>a</w:t>
            </w:r>
            <w:r w:rsidRPr="00F03917">
              <w:t>)</w:t>
            </w:r>
            <w:r w:rsidR="0F85450E" w:rsidRPr="00F03917">
              <w:t xml:space="preserve">, as part of responding </w:t>
            </w:r>
            <w:r w:rsidR="350FE246" w:rsidRPr="00F03917">
              <w:t>to the risks identified in the NCCRA</w:t>
            </w:r>
            <w:r w:rsidR="34C1EF96" w:rsidRPr="00F03917">
              <w:t xml:space="preserve"> developed under s5ZP of the CCRA</w:t>
            </w:r>
            <w:r w:rsidR="0CB9DE48" w:rsidRPr="00F03917">
              <w:t>,</w:t>
            </w:r>
            <w:r w:rsidR="7914193B" w:rsidRPr="00F03917">
              <w:t xml:space="preserve"> </w:t>
            </w:r>
            <w:r w:rsidRPr="00F03917">
              <w:t xml:space="preserve">gives more specific detail </w:t>
            </w:r>
            <w:r w:rsidR="54F716BB" w:rsidRPr="00F03917">
              <w:t xml:space="preserve">regarding management </w:t>
            </w:r>
            <w:r w:rsidR="00C477AF" w:rsidRPr="00F03917">
              <w:t>of coastal hazards than provided in</w:t>
            </w:r>
            <w:r w:rsidRPr="00F03917">
              <w:t xml:space="preserve"> the RMA and NZCPS. To identify and assess risk from coastal hazards and the effects of climate change, the NAP stipulates local government </w:t>
            </w:r>
            <w:r w:rsidR="5EFC0648" w:rsidRPr="00F03917">
              <w:t xml:space="preserve">should </w:t>
            </w:r>
            <w:r w:rsidR="4E68F835" w:rsidRPr="00F03917">
              <w:t>screen for hazards and risks in coastal areas using SSP5-8.5</w:t>
            </w:r>
            <w:r w:rsidR="6C85EB20" w:rsidRPr="00F03917">
              <w:t>,</w:t>
            </w:r>
            <w:r w:rsidR="4E68F835" w:rsidRPr="00F03917">
              <w:t xml:space="preserve"> </w:t>
            </w:r>
            <w:r w:rsidR="6BF940BD" w:rsidRPr="00F03917">
              <w:t>a</w:t>
            </w:r>
            <w:r w:rsidR="4E68F835" w:rsidRPr="00F03917">
              <w:t xml:space="preserve">nd </w:t>
            </w:r>
            <w:r w:rsidRPr="00F03917">
              <w:t>use at least two IPCC climate change scenarios (SSP</w:t>
            </w:r>
            <w:r w:rsidR="4DD95718" w:rsidRPr="00F03917">
              <w:t>2</w:t>
            </w:r>
            <w:r w:rsidRPr="00F03917">
              <w:t>-4.5 and SSP5</w:t>
            </w:r>
            <w:r w:rsidR="0085202F" w:rsidRPr="00F03917">
              <w:noBreakHyphen/>
            </w:r>
            <w:r w:rsidRPr="00F03917">
              <w:t>8.5) for detailed hazard and risk assessments</w:t>
            </w:r>
            <w:r w:rsidR="1EE9E691" w:rsidRPr="00F03917">
              <w:t>,</w:t>
            </w:r>
            <w:r w:rsidR="3D8E8653" w:rsidRPr="00F03917">
              <w:t xml:space="preserve"> adding the relevant rate of vertical land movement locally</w:t>
            </w:r>
            <w:r w:rsidR="003D56AE" w:rsidRPr="00F03917">
              <w:t>.</w:t>
            </w:r>
            <w:r w:rsidRPr="00F03917">
              <w:t xml:space="preserve"> (</w:t>
            </w:r>
            <w:r w:rsidR="00AB2D38" w:rsidRPr="00F03917">
              <w:t>In addition, t</w:t>
            </w:r>
            <w:r w:rsidR="00670431" w:rsidRPr="00F03917">
              <w:t>he NAP reco</w:t>
            </w:r>
            <w:r w:rsidR="00AB2D38" w:rsidRPr="00F03917">
              <w:t>mmends</w:t>
            </w:r>
            <w:r w:rsidRPr="00F03917">
              <w:t xml:space="preserve"> </w:t>
            </w:r>
            <w:r w:rsidR="00AB2D38" w:rsidRPr="00F03917">
              <w:t xml:space="preserve">councils should </w:t>
            </w:r>
            <w:r w:rsidRPr="00F03917">
              <w:t xml:space="preserve">stress-test plans, policies and strategies using </w:t>
            </w:r>
            <w:r w:rsidR="00D37EFC" w:rsidRPr="00F03917">
              <w:t>a</w:t>
            </w:r>
            <w:r w:rsidRPr="00F03917">
              <w:t xml:space="preserve"> range of scenarios</w:t>
            </w:r>
            <w:r w:rsidR="004A52C8" w:rsidRPr="00F03917">
              <w:t xml:space="preserve"> </w:t>
            </w:r>
            <w:r w:rsidR="000C6FC3" w:rsidRPr="00F03917">
              <w:t xml:space="preserve">as </w:t>
            </w:r>
            <w:r w:rsidR="004A52C8" w:rsidRPr="00F03917">
              <w:t>relevant to the circumstance</w:t>
            </w:r>
            <w:r w:rsidR="00CC4837" w:rsidRPr="00F03917">
              <w:t>s</w:t>
            </w:r>
            <w:r w:rsidR="003D56AE" w:rsidRPr="00F03917">
              <w:t>.</w:t>
            </w:r>
            <w:r w:rsidRPr="00F03917">
              <w:t>)</w:t>
            </w:r>
          </w:p>
          <w:p w14:paraId="33ACFFAE" w14:textId="21FB6BC7" w:rsidR="006D2F10" w:rsidRPr="00F03917" w:rsidRDefault="007821C9" w:rsidP="00921C79">
            <w:pPr>
              <w:pStyle w:val="TableText"/>
            </w:pPr>
            <w:r w:rsidRPr="00F03917">
              <w:rPr>
                <w:rFonts w:cstheme="minorBidi"/>
              </w:rPr>
              <w:t>Under the RMA, l</w:t>
            </w:r>
            <w:r w:rsidR="3C9F35B7" w:rsidRPr="00F03917">
              <w:rPr>
                <w:rFonts w:cstheme="minorBidi"/>
              </w:rPr>
              <w:t>ocal government must have regard to the NAP and the Emissions Reduction Plan (</w:t>
            </w:r>
            <w:r w:rsidR="3D9EAE8F" w:rsidRPr="00F03917">
              <w:rPr>
                <w:rFonts w:cstheme="minorBidi"/>
              </w:rPr>
              <w:t>MfE, 2022b</w:t>
            </w:r>
            <w:r w:rsidR="3C9F35B7" w:rsidRPr="00F03917">
              <w:rPr>
                <w:rFonts w:cstheme="minorBidi"/>
              </w:rPr>
              <w:t>) when preparing or changing regional policy statements</w:t>
            </w:r>
            <w:r w:rsidR="3701D11F" w:rsidRPr="00F03917">
              <w:rPr>
                <w:rFonts w:cstheme="minorBidi"/>
              </w:rPr>
              <w:t xml:space="preserve"> (s61</w:t>
            </w:r>
            <w:r w:rsidR="001E5A38" w:rsidRPr="00F03917">
              <w:rPr>
                <w:rFonts w:cstheme="minorBidi"/>
              </w:rPr>
              <w:t>(</w:t>
            </w:r>
            <w:r w:rsidR="007A4A5D" w:rsidRPr="00F03917">
              <w:rPr>
                <w:rFonts w:cstheme="minorBidi"/>
              </w:rPr>
              <w:t>2</w:t>
            </w:r>
            <w:r w:rsidR="001E5A38" w:rsidRPr="00F03917">
              <w:rPr>
                <w:rFonts w:cstheme="minorBidi"/>
              </w:rPr>
              <w:t>)(</w:t>
            </w:r>
            <w:r w:rsidR="007A4A5D" w:rsidRPr="00F03917">
              <w:rPr>
                <w:rFonts w:cstheme="minorBidi"/>
              </w:rPr>
              <w:t>e</w:t>
            </w:r>
            <w:r w:rsidR="001E5A38" w:rsidRPr="00F03917">
              <w:rPr>
                <w:rFonts w:cstheme="minorBidi"/>
              </w:rPr>
              <w:t>)</w:t>
            </w:r>
            <w:r w:rsidR="3701D11F" w:rsidRPr="00F03917">
              <w:rPr>
                <w:rFonts w:cstheme="minorBidi"/>
              </w:rPr>
              <w:t>)</w:t>
            </w:r>
            <w:r w:rsidR="3C9F35B7" w:rsidRPr="00F03917">
              <w:rPr>
                <w:rFonts w:cstheme="minorBidi"/>
              </w:rPr>
              <w:t>, regional plans</w:t>
            </w:r>
            <w:r w:rsidR="3701D11F" w:rsidRPr="00F03917">
              <w:rPr>
                <w:rFonts w:cstheme="minorBidi"/>
              </w:rPr>
              <w:t xml:space="preserve"> (</w:t>
            </w:r>
            <w:r w:rsidR="0938DAC4" w:rsidRPr="00F03917">
              <w:rPr>
                <w:rFonts w:cstheme="minorBidi"/>
              </w:rPr>
              <w:t>s66</w:t>
            </w:r>
            <w:r w:rsidR="001E5A38" w:rsidRPr="00F03917">
              <w:rPr>
                <w:rFonts w:cstheme="minorBidi"/>
              </w:rPr>
              <w:t>(2)(g)</w:t>
            </w:r>
            <w:r w:rsidR="0938DAC4" w:rsidRPr="00F03917">
              <w:rPr>
                <w:rFonts w:cstheme="minorBidi"/>
              </w:rPr>
              <w:t>)</w:t>
            </w:r>
            <w:r w:rsidR="3C9F35B7" w:rsidRPr="00F03917">
              <w:rPr>
                <w:rFonts w:cstheme="minorBidi"/>
              </w:rPr>
              <w:t xml:space="preserve"> and district plans</w:t>
            </w:r>
            <w:r w:rsidR="5991F312" w:rsidRPr="00F03917">
              <w:rPr>
                <w:rFonts w:cstheme="minorBidi"/>
              </w:rPr>
              <w:t xml:space="preserve"> </w:t>
            </w:r>
            <w:r w:rsidR="3CED47DE" w:rsidRPr="00F03917">
              <w:rPr>
                <w:rFonts w:cstheme="minorBidi"/>
              </w:rPr>
              <w:t>(s74</w:t>
            </w:r>
            <w:r w:rsidR="00B4613C" w:rsidRPr="00F03917">
              <w:rPr>
                <w:rFonts w:cstheme="minorBidi"/>
              </w:rPr>
              <w:t>(2)(e)</w:t>
            </w:r>
            <w:r w:rsidR="3CED47DE" w:rsidRPr="00F03917">
              <w:rPr>
                <w:rFonts w:cstheme="minorBidi"/>
              </w:rPr>
              <w:t>)</w:t>
            </w:r>
            <w:r w:rsidR="3C9F35B7" w:rsidRPr="00F03917">
              <w:rPr>
                <w:rFonts w:cstheme="minorBidi"/>
              </w:rPr>
              <w:t>. These provisions are mandatory considerations for RMA decision-makers, who retain discretion over how and whether to implement them when making a decision.</w:t>
            </w:r>
            <w:r w:rsidR="005F13AC" w:rsidRPr="00F03917">
              <w:rPr>
                <w:rFonts w:cstheme="minorBidi"/>
                <w:vertAlign w:val="superscript"/>
              </w:rPr>
              <w:footnoteReference w:id="8"/>
            </w:r>
          </w:p>
        </w:tc>
      </w:tr>
      <w:tr w:rsidR="006D2F10" w:rsidRPr="00F03917" w14:paraId="1F97E026" w14:textId="77777777" w:rsidTr="00F455E4">
        <w:trPr>
          <w:cantSplit/>
          <w:trHeight w:val="300"/>
        </w:trPr>
        <w:tc>
          <w:tcPr>
            <w:tcW w:w="2127" w:type="dxa"/>
          </w:tcPr>
          <w:p w14:paraId="6D588CE2" w14:textId="78FFC434" w:rsidR="006D2F10" w:rsidRPr="00F03917" w:rsidRDefault="00000000" w:rsidP="00F455E4">
            <w:pPr>
              <w:pStyle w:val="TableText"/>
            </w:pPr>
            <w:hyperlink r:id="rId36" w:history="1">
              <w:r w:rsidR="005F13AC" w:rsidRPr="00F03917">
                <w:rPr>
                  <w:rStyle w:val="Hyperlink"/>
                  <w:rFonts w:cstheme="minorBidi"/>
                </w:rPr>
                <w:t>National Planning Standards</w:t>
              </w:r>
            </w:hyperlink>
          </w:p>
        </w:tc>
        <w:tc>
          <w:tcPr>
            <w:tcW w:w="6378" w:type="dxa"/>
          </w:tcPr>
          <w:p w14:paraId="7921B129" w14:textId="55DCA8D5" w:rsidR="006D2F10" w:rsidRPr="00F03917" w:rsidRDefault="3C9F35B7" w:rsidP="002179BA">
            <w:pPr>
              <w:pStyle w:val="TableText"/>
            </w:pPr>
            <w:r w:rsidRPr="00F03917">
              <w:t xml:space="preserve">To achieve greater consistency in format and design of policy statements and plans, a set of national standards has been promulgated and timeframes set for the update of all plans. The standards stipulate hazard and risk chapters in </w:t>
            </w:r>
            <w:r w:rsidR="1736D866" w:rsidRPr="00F03917">
              <w:t>regional policy statements</w:t>
            </w:r>
            <w:r w:rsidRPr="00F03917">
              <w:t>, regional plans and district plans. They also contain definitions relevant to natural hazards management (such as ground level and ground water).</w:t>
            </w:r>
          </w:p>
        </w:tc>
      </w:tr>
      <w:tr w:rsidR="006D2F10" w:rsidRPr="00F03917" w14:paraId="726FA938" w14:textId="77777777" w:rsidTr="00F455E4">
        <w:trPr>
          <w:cantSplit/>
          <w:trHeight w:val="300"/>
        </w:trPr>
        <w:tc>
          <w:tcPr>
            <w:tcW w:w="2127" w:type="dxa"/>
          </w:tcPr>
          <w:p w14:paraId="207EE175" w14:textId="46E0709F" w:rsidR="006D2F10" w:rsidRPr="00F03917" w:rsidRDefault="00000000" w:rsidP="002179BA">
            <w:pPr>
              <w:pStyle w:val="TableText"/>
            </w:pPr>
            <w:hyperlink r:id="rId37" w:history="1">
              <w:r w:rsidR="005F13AC" w:rsidRPr="00F03917">
                <w:rPr>
                  <w:rStyle w:val="Hyperlink"/>
                  <w:rFonts w:cstheme="minorBidi"/>
                </w:rPr>
                <w:t xml:space="preserve">Local Government Act </w:t>
              </w:r>
              <w:r w:rsidR="005F13AC" w:rsidRPr="00F03917">
                <w:rPr>
                  <w:rStyle w:val="Hyperlink"/>
                </w:rPr>
                <w:t>2002</w:t>
              </w:r>
            </w:hyperlink>
            <w:r w:rsidR="004C3E64" w:rsidRPr="00F03917">
              <w:t xml:space="preserve"> (LGA)</w:t>
            </w:r>
          </w:p>
        </w:tc>
        <w:tc>
          <w:tcPr>
            <w:tcW w:w="6378" w:type="dxa"/>
          </w:tcPr>
          <w:p w14:paraId="3E9BFC34" w14:textId="6E4D1ADB" w:rsidR="006D2F10" w:rsidRPr="00F03917" w:rsidRDefault="3C9F35B7" w:rsidP="002179BA">
            <w:pPr>
              <w:pStyle w:val="TableText"/>
            </w:pPr>
            <w:r w:rsidRPr="00F03917">
              <w:t xml:space="preserve">Since the amendment </w:t>
            </w:r>
            <w:r w:rsidR="028BC6FF" w:rsidRPr="00F03917">
              <w:t xml:space="preserve">to the Act </w:t>
            </w:r>
            <w:r w:rsidRPr="00F03917">
              <w:t>in 2014, councils are required to prepare and adopt an infrastructure strategy as part of a long-term plan for a period of at least 30</w:t>
            </w:r>
            <w:r w:rsidR="2E7BDECB" w:rsidRPr="00F03917">
              <w:t> </w:t>
            </w:r>
            <w:r w:rsidRPr="00F03917">
              <w:t>years (s101B). Climate change effects in coastal areas could be taken into account in this infrastructure strategy, although potentially limited to significant hazards.</w:t>
            </w:r>
          </w:p>
        </w:tc>
      </w:tr>
      <w:tr w:rsidR="00F77417" w:rsidRPr="00F03917" w14:paraId="41D2A149" w14:textId="77777777" w:rsidTr="00F455E4">
        <w:trPr>
          <w:cantSplit/>
          <w:trHeight w:val="300"/>
        </w:trPr>
        <w:tc>
          <w:tcPr>
            <w:tcW w:w="2127" w:type="dxa"/>
          </w:tcPr>
          <w:p w14:paraId="1C3D132C" w14:textId="3DE4F7FE" w:rsidR="00F77417" w:rsidRPr="00F03917" w:rsidRDefault="00000000" w:rsidP="002179BA">
            <w:pPr>
              <w:pStyle w:val="TableText"/>
            </w:pPr>
            <w:hyperlink r:id="rId38" w:history="1">
              <w:r w:rsidR="2F97AB5C" w:rsidRPr="00F03917">
                <w:rPr>
                  <w:rStyle w:val="Hyperlink"/>
                  <w:rFonts w:cstheme="minorBidi"/>
                </w:rPr>
                <w:t xml:space="preserve">National Policy Statement on Urban Development </w:t>
              </w:r>
              <w:r w:rsidR="2F97AB5C" w:rsidRPr="00F03917">
                <w:rPr>
                  <w:rStyle w:val="Hyperlink"/>
                </w:rPr>
                <w:t>2020</w:t>
              </w:r>
            </w:hyperlink>
            <w:r w:rsidR="6393F9A9" w:rsidRPr="00F03917">
              <w:t xml:space="preserve"> (NPS-UD)</w:t>
            </w:r>
          </w:p>
        </w:tc>
        <w:tc>
          <w:tcPr>
            <w:tcW w:w="6378" w:type="dxa"/>
          </w:tcPr>
          <w:p w14:paraId="2186CD2A" w14:textId="4A1FFC3B" w:rsidR="00F77417" w:rsidRPr="00F03917" w:rsidRDefault="3FA0CD09" w:rsidP="00F455E4">
            <w:pPr>
              <w:pStyle w:val="TableText"/>
              <w:spacing w:after="20"/>
              <w:rPr>
                <w:rFonts w:asciiTheme="minorHAnsi" w:hAnsiTheme="minorHAnsi" w:cstheme="minorBidi"/>
                <w:color w:val="333333"/>
                <w:szCs w:val="18"/>
              </w:rPr>
            </w:pPr>
            <w:r w:rsidRPr="00F03917">
              <w:t>The NPS-UD requires councils to give effect to the objectives and policies of the NPS</w:t>
            </w:r>
            <w:r w:rsidR="007273C8" w:rsidRPr="00F03917">
              <w:noBreakHyphen/>
            </w:r>
            <w:r w:rsidRPr="00F03917">
              <w:t>UD</w:t>
            </w:r>
            <w:r w:rsidRPr="00F03917">
              <w:rPr>
                <w:rFonts w:asciiTheme="minorHAnsi" w:hAnsiTheme="minorHAnsi" w:cstheme="minorBidi"/>
              </w:rPr>
              <w:t xml:space="preserve">. </w:t>
            </w:r>
            <w:r w:rsidR="008E4166" w:rsidRPr="00F03917">
              <w:rPr>
                <w:rFonts w:asciiTheme="minorHAnsi" w:hAnsiTheme="minorHAnsi" w:cstheme="minorBidi"/>
                <w:szCs w:val="18"/>
              </w:rPr>
              <w:t>Objective 8</w:t>
            </w:r>
            <w:r w:rsidR="6D9E46AE" w:rsidRPr="00F03917">
              <w:rPr>
                <w:rFonts w:asciiTheme="minorHAnsi" w:hAnsiTheme="minorHAnsi" w:cstheme="minorBidi"/>
                <w:szCs w:val="18"/>
              </w:rPr>
              <w:t xml:space="preserve"> seeks that urban environments are resilient to the current and future effects of climate change </w:t>
            </w:r>
            <w:r w:rsidR="007346D2" w:rsidRPr="00F03917">
              <w:rPr>
                <w:rFonts w:asciiTheme="minorHAnsi" w:hAnsiTheme="minorHAnsi" w:cstheme="minorBidi"/>
                <w:szCs w:val="18"/>
              </w:rPr>
              <w:t xml:space="preserve">and </w:t>
            </w:r>
            <w:r w:rsidR="00094967" w:rsidRPr="00F03917">
              <w:rPr>
                <w:rFonts w:asciiTheme="minorHAnsi" w:hAnsiTheme="minorHAnsi" w:cstheme="minorBidi"/>
                <w:szCs w:val="18"/>
              </w:rPr>
              <w:t>P</w:t>
            </w:r>
            <w:r w:rsidR="007346D2" w:rsidRPr="00F03917">
              <w:rPr>
                <w:rFonts w:asciiTheme="minorHAnsi" w:hAnsiTheme="minorHAnsi" w:cstheme="minorBidi"/>
                <w:szCs w:val="18"/>
              </w:rPr>
              <w:t xml:space="preserve">olicy 1 identifies that such resilience is a component of </w:t>
            </w:r>
            <w:r w:rsidRPr="00F03917">
              <w:t>well-functioning urban environments</w:t>
            </w:r>
            <w:r w:rsidR="00094967" w:rsidRPr="00F03917">
              <w:t>.</w:t>
            </w:r>
          </w:p>
          <w:p w14:paraId="7460C3C8" w14:textId="34FC5BC0" w:rsidR="001317FB" w:rsidRPr="00F03917" w:rsidRDefault="3FA0CD09" w:rsidP="00F455E4">
            <w:pPr>
              <w:pStyle w:val="TableText"/>
              <w:spacing w:after="20"/>
            </w:pPr>
            <w:r w:rsidRPr="00F03917">
              <w:t xml:space="preserve">Tier 1 and </w:t>
            </w:r>
            <w:r w:rsidR="2BA1CB0F" w:rsidRPr="00F03917">
              <w:t xml:space="preserve">Tier </w:t>
            </w:r>
            <w:r w:rsidRPr="00F03917">
              <w:t xml:space="preserve">2 councils are required to prepare and adopt a FDS every 6 years and in time to inform the next </w:t>
            </w:r>
            <w:r w:rsidR="363487A2" w:rsidRPr="00F03917">
              <w:t>long-term plan</w:t>
            </w:r>
            <w:r w:rsidRPr="00F03917">
              <w:t xml:space="preserve">. FDS’s form the basis for integrated, strategic and long-term planning. An FDS helps local authorities set the high-level vision for accommodating urban growth over the </w:t>
            </w:r>
            <w:r w:rsidR="7AD545F9" w:rsidRPr="00F03917">
              <w:t>long</w:t>
            </w:r>
            <w:r w:rsidR="0BA62F64" w:rsidRPr="00F03917">
              <w:t xml:space="preserve"> </w:t>
            </w:r>
            <w:r w:rsidR="7AD545F9" w:rsidRPr="00F03917">
              <w:t>term and</w:t>
            </w:r>
            <w:r w:rsidRPr="00F03917">
              <w:t xml:space="preserve"> identifies strategic priorities to inform other development-related decisions.</w:t>
            </w:r>
            <w:r w:rsidR="5F9321E5" w:rsidRPr="00F03917">
              <w:t xml:space="preserve"> </w:t>
            </w:r>
            <w:r w:rsidR="7640568E" w:rsidRPr="00F03917">
              <w:t>A</w:t>
            </w:r>
            <w:r w:rsidR="5F9321E5" w:rsidRPr="00F03917">
              <w:t xml:space="preserve"> FDS must be informed by </w:t>
            </w:r>
            <w:r w:rsidR="425E9BBC" w:rsidRPr="00F03917">
              <w:t xml:space="preserve">every other </w:t>
            </w:r>
            <w:r w:rsidR="65A78C87" w:rsidRPr="00F03917">
              <w:t>n</w:t>
            </w:r>
            <w:r w:rsidR="425E9BBC" w:rsidRPr="00F03917">
              <w:t xml:space="preserve">ational </w:t>
            </w:r>
            <w:r w:rsidR="3A7439BC" w:rsidRPr="00F03917">
              <w:t>p</w:t>
            </w:r>
            <w:r w:rsidR="425E9BBC" w:rsidRPr="00F03917">
              <w:t xml:space="preserve">olicy </w:t>
            </w:r>
            <w:r w:rsidR="469F4825" w:rsidRPr="00F03917">
              <w:t>s</w:t>
            </w:r>
            <w:r w:rsidR="425E9BBC" w:rsidRPr="00F03917">
              <w:t xml:space="preserve">tatement under the </w:t>
            </w:r>
            <w:r w:rsidR="259572A3" w:rsidRPr="00F03917">
              <w:t>RM</w:t>
            </w:r>
            <w:r w:rsidR="425E9BBC" w:rsidRPr="00F03917">
              <w:t>A, including the NZCPS</w:t>
            </w:r>
            <w:r w:rsidR="00F31515" w:rsidRPr="00F03917">
              <w:t xml:space="preserve"> (</w:t>
            </w:r>
            <w:r w:rsidR="00A16F58" w:rsidRPr="00F03917">
              <w:t xml:space="preserve">section </w:t>
            </w:r>
            <w:r w:rsidR="00F31515" w:rsidRPr="00F03917">
              <w:t>3.14(1)(f))</w:t>
            </w:r>
            <w:r w:rsidR="1163B500" w:rsidRPr="00F03917">
              <w:t xml:space="preserve">. </w:t>
            </w:r>
          </w:p>
          <w:p w14:paraId="66B9C824" w14:textId="0C743C0E" w:rsidR="001317FB" w:rsidRPr="00F03917" w:rsidRDefault="0085437A" w:rsidP="00F455E4">
            <w:pPr>
              <w:pStyle w:val="TableText"/>
              <w:spacing w:after="20"/>
            </w:pPr>
            <w:r w:rsidRPr="00F03917">
              <w:t>Urban density requirements in Policy 3 for the largest urban centres (Tier 1) can only be modified to the extent necessary to accommodate a Qualifying Matter</w:t>
            </w:r>
            <w:r w:rsidR="001317FB" w:rsidRPr="00F03917">
              <w:t xml:space="preserve"> (</w:t>
            </w:r>
            <w:r w:rsidRPr="00F03917">
              <w:t>QM</w:t>
            </w:r>
            <w:r w:rsidR="001317FB" w:rsidRPr="00F03917">
              <w:t>)</w:t>
            </w:r>
            <w:r w:rsidRPr="00F03917">
              <w:t xml:space="preserve"> (Policy</w:t>
            </w:r>
            <w:r w:rsidR="000770FA" w:rsidRPr="00F03917">
              <w:t> </w:t>
            </w:r>
            <w:r w:rsidRPr="00F03917">
              <w:t>4 and section 3.32). One such QM is a matter required in order to give effect to</w:t>
            </w:r>
            <w:r w:rsidR="000770FA" w:rsidRPr="00F03917">
              <w:t> </w:t>
            </w:r>
            <w:r w:rsidRPr="00F03917">
              <w:t xml:space="preserve">any other </w:t>
            </w:r>
            <w:r w:rsidR="00D7575C" w:rsidRPr="00F03917">
              <w:t>NPS</w:t>
            </w:r>
            <w:r w:rsidRPr="00F03917">
              <w:t xml:space="preserve">, including the </w:t>
            </w:r>
            <w:r w:rsidR="00D7575C" w:rsidRPr="00F03917">
              <w:t>NZCPS</w:t>
            </w:r>
            <w:r w:rsidRPr="00F03917">
              <w:t>. However, a site-specific analysis is required to demonstrate where intensification needs to be compatible with the specific matter, and an evaluation report is required to justify why increased development is inappropriate (section 3.33).</w:t>
            </w:r>
          </w:p>
          <w:p w14:paraId="6E154A5C" w14:textId="43FF41D6" w:rsidR="00F77417" w:rsidRPr="00F03917" w:rsidRDefault="0085437A" w:rsidP="002179BA">
            <w:pPr>
              <w:pStyle w:val="TableText"/>
            </w:pPr>
            <w:r w:rsidRPr="00F03917">
              <w:t xml:space="preserve">Other QMs are matters of national importance under s6 of the RMA, including the management of significant risks from natural hazards, and the preservation of the natural character </w:t>
            </w:r>
            <w:r w:rsidR="2C0017D9" w:rsidRPr="00F03917">
              <w:rPr>
                <w:color w:val="000000" w:themeColor="text1"/>
              </w:rPr>
              <w:t>of the coastal environment</w:t>
            </w:r>
            <w:r w:rsidR="00904D63" w:rsidRPr="00F03917">
              <w:rPr>
                <w:color w:val="000000" w:themeColor="text1"/>
              </w:rPr>
              <w:t>,</w:t>
            </w:r>
            <w:r w:rsidR="00D7575C" w:rsidRPr="00F03917">
              <w:rPr>
                <w:color w:val="000000" w:themeColor="text1"/>
              </w:rPr>
              <w:t xml:space="preserve"> </w:t>
            </w:r>
            <w:r w:rsidR="2C0017D9" w:rsidRPr="00F03917">
              <w:rPr>
                <w:color w:val="000000" w:themeColor="text1"/>
              </w:rPr>
              <w:t xml:space="preserve">and </w:t>
            </w:r>
            <w:r w:rsidR="00592C3E" w:rsidRPr="00F03917">
              <w:rPr>
                <w:color w:val="000000" w:themeColor="text1"/>
              </w:rPr>
              <w:t>its protection</w:t>
            </w:r>
            <w:r w:rsidR="2C0017D9" w:rsidRPr="00F03917">
              <w:rPr>
                <w:color w:val="000000" w:themeColor="text1"/>
              </w:rPr>
              <w:t xml:space="preserve"> from inappropriate subdivision, use and development</w:t>
            </w:r>
            <w:r w:rsidR="232EF19D" w:rsidRPr="00F03917">
              <w:rPr>
                <w:color w:val="000000" w:themeColor="text1"/>
              </w:rPr>
              <w:t>.</w:t>
            </w:r>
            <w:r w:rsidR="1293B74E" w:rsidRPr="00F03917">
              <w:t xml:space="preserve"> </w:t>
            </w:r>
          </w:p>
        </w:tc>
      </w:tr>
      <w:tr w:rsidR="00826DD4" w:rsidRPr="00F03917" w14:paraId="3E2884C2" w14:textId="77777777" w:rsidTr="00F455E4">
        <w:trPr>
          <w:cantSplit/>
          <w:trHeight w:val="300"/>
        </w:trPr>
        <w:tc>
          <w:tcPr>
            <w:tcW w:w="2127" w:type="dxa"/>
          </w:tcPr>
          <w:p w14:paraId="696F43C7" w14:textId="22669AD9" w:rsidR="00826DD4" w:rsidRPr="00F03917" w:rsidRDefault="00000000" w:rsidP="002179BA">
            <w:pPr>
              <w:pStyle w:val="TableText"/>
            </w:pPr>
            <w:hyperlink r:id="rId39" w:history="1">
              <w:r w:rsidR="00826DD4" w:rsidRPr="00F03917">
                <w:rPr>
                  <w:rStyle w:val="Hyperlink"/>
                  <w:rFonts w:cstheme="minorBidi"/>
                </w:rPr>
                <w:t>Building Act 2004</w:t>
              </w:r>
            </w:hyperlink>
          </w:p>
        </w:tc>
        <w:tc>
          <w:tcPr>
            <w:tcW w:w="6378" w:type="dxa"/>
          </w:tcPr>
          <w:p w14:paraId="4DFC05FC" w14:textId="77777777" w:rsidR="001A4B48" w:rsidRPr="00F03917" w:rsidRDefault="00826DD4" w:rsidP="00F455E4">
            <w:pPr>
              <w:pStyle w:val="TableText"/>
              <w:spacing w:after="20"/>
            </w:pPr>
            <w:r w:rsidRPr="00F03917">
              <w:t xml:space="preserve">The Building Act requires </w:t>
            </w:r>
            <w:r w:rsidR="008E2154" w:rsidRPr="00F03917">
              <w:t>consideration of</w:t>
            </w:r>
            <w:r w:rsidRPr="00F03917">
              <w:t xml:space="preserve"> the effect of the building work on a natural hazard, and consider</w:t>
            </w:r>
            <w:r w:rsidR="00367E04" w:rsidRPr="00F03917">
              <w:t>ation of</w:t>
            </w:r>
            <w:r w:rsidRPr="00F03917">
              <w:t xml:space="preserve"> how </w:t>
            </w:r>
            <w:r w:rsidR="00367E04" w:rsidRPr="00F03917">
              <w:t>to</w:t>
            </w:r>
            <w:r w:rsidRPr="00F03917">
              <w:t xml:space="preserve"> protect the land, building and other property when undertaking building work on land subject to a natural hazard. In some cases, building work can still take place but there may a requirement for a notice to be placed on the record of title for the property so future owners are aware the land is subject to a natural hazard. When building on land that might be subject to a natural hazard</w:t>
            </w:r>
            <w:r w:rsidR="3A1546CE" w:rsidRPr="00F03917">
              <w:t>,</w:t>
            </w:r>
            <w:r w:rsidRPr="00F03917">
              <w:t xml:space="preserve"> you may need to consider both the requirements of the resource management system and the Building Act.</w:t>
            </w:r>
            <w:r w:rsidR="002436FA" w:rsidRPr="00F03917">
              <w:t xml:space="preserve"> </w:t>
            </w:r>
          </w:p>
          <w:p w14:paraId="6C88260C" w14:textId="1545A96E" w:rsidR="00826DD4" w:rsidRPr="00F03917" w:rsidRDefault="002436FA" w:rsidP="007273C8">
            <w:pPr>
              <w:pStyle w:val="TableText"/>
            </w:pPr>
            <w:r w:rsidRPr="00F03917">
              <w:t xml:space="preserve">The Natural Hazard Provisions </w:t>
            </w:r>
            <w:r w:rsidR="001A4B48" w:rsidRPr="00F03917">
              <w:t>g</w:t>
            </w:r>
            <w:r w:rsidRPr="00F03917">
              <w:t>uidance</w:t>
            </w:r>
            <w:r w:rsidR="00EB65D2" w:rsidRPr="00F03917">
              <w:t xml:space="preserve"> (MBIE, 2023)</w:t>
            </w:r>
            <w:r w:rsidR="00010AAF" w:rsidRPr="00F03917">
              <w:t>,</w:t>
            </w:r>
            <w:r w:rsidR="0084350A" w:rsidRPr="00F03917">
              <w:t xml:space="preserve"> which relates to sections in the Building Act,</w:t>
            </w:r>
            <w:r w:rsidR="00607AF4" w:rsidRPr="00F03917">
              <w:t> </w:t>
            </w:r>
            <w:r w:rsidR="00CF6B98" w:rsidRPr="00F03917">
              <w:t>includes</w:t>
            </w:r>
            <w:r w:rsidR="006C22C3" w:rsidRPr="00F03917">
              <w:t xml:space="preserve"> information on accounting for the impacts of climate change</w:t>
            </w:r>
            <w:r w:rsidR="0092503A" w:rsidRPr="00F03917">
              <w:t xml:space="preserve"> </w:t>
            </w:r>
            <w:r w:rsidR="0084350A" w:rsidRPr="00F03917">
              <w:t>such as</w:t>
            </w:r>
            <w:r w:rsidR="0092503A" w:rsidRPr="00F03917">
              <w:t xml:space="preserve"> sea</w:t>
            </w:r>
            <w:r w:rsidR="00607AF4" w:rsidRPr="00F03917">
              <w:noBreakHyphen/>
            </w:r>
            <w:r w:rsidR="0092503A" w:rsidRPr="00F03917">
              <w:t>level rise.</w:t>
            </w:r>
          </w:p>
        </w:tc>
      </w:tr>
      <w:tr w:rsidR="005F13AC" w:rsidRPr="00F03917" w14:paraId="65AFCD48" w14:textId="77777777" w:rsidTr="00F455E4">
        <w:trPr>
          <w:cantSplit/>
          <w:trHeight w:val="300"/>
        </w:trPr>
        <w:tc>
          <w:tcPr>
            <w:tcW w:w="2127" w:type="dxa"/>
          </w:tcPr>
          <w:p w14:paraId="15BAE7D0" w14:textId="0C67B6DE" w:rsidR="005F13AC" w:rsidRPr="00F03917" w:rsidRDefault="00000000" w:rsidP="002179BA">
            <w:pPr>
              <w:pStyle w:val="TableText"/>
            </w:pPr>
            <w:hyperlink r:id="rId40" w:history="1">
              <w:r w:rsidR="005F13AC" w:rsidRPr="00F03917">
                <w:rPr>
                  <w:rStyle w:val="Hyperlink"/>
                  <w:rFonts w:cstheme="minorBidi"/>
                </w:rPr>
                <w:t>Building Code</w:t>
              </w:r>
            </w:hyperlink>
          </w:p>
        </w:tc>
        <w:tc>
          <w:tcPr>
            <w:tcW w:w="6378" w:type="dxa"/>
          </w:tcPr>
          <w:p w14:paraId="3E5BE011" w14:textId="132F1412" w:rsidR="005F13AC" w:rsidRPr="00F03917" w:rsidRDefault="004720CE" w:rsidP="002179BA">
            <w:pPr>
              <w:pStyle w:val="TableText"/>
            </w:pPr>
            <w:r w:rsidRPr="00F03917">
              <w:rPr>
                <w:rFonts w:asciiTheme="minorHAnsi" w:hAnsiTheme="minorHAnsi" w:cstheme="minorBidi"/>
              </w:rPr>
              <w:t xml:space="preserve">The Building Code sets clear standards </w:t>
            </w:r>
            <w:r w:rsidR="00D402C7" w:rsidRPr="00F03917">
              <w:rPr>
                <w:rFonts w:asciiTheme="minorHAnsi" w:hAnsiTheme="minorHAnsi" w:cstheme="minorBidi"/>
              </w:rPr>
              <w:t xml:space="preserve">that </w:t>
            </w:r>
            <w:r w:rsidRPr="00F03917">
              <w:rPr>
                <w:rFonts w:asciiTheme="minorHAnsi" w:hAnsiTheme="minorHAnsi" w:cstheme="minorBidi"/>
              </w:rPr>
              <w:t xml:space="preserve">buildings </w:t>
            </w:r>
            <w:r w:rsidR="00D402C7" w:rsidRPr="00F03917">
              <w:rPr>
                <w:rFonts w:asciiTheme="minorHAnsi" w:hAnsiTheme="minorHAnsi" w:cstheme="minorBidi"/>
              </w:rPr>
              <w:t>must</w:t>
            </w:r>
            <w:r w:rsidRPr="00F03917">
              <w:rPr>
                <w:rFonts w:asciiTheme="minorHAnsi" w:hAnsiTheme="minorHAnsi" w:cstheme="minorBidi"/>
              </w:rPr>
              <w:t xml:space="preserve"> meet. When considering coastal hazards </w:t>
            </w:r>
            <w:r w:rsidR="00FC45AC" w:rsidRPr="00F03917">
              <w:rPr>
                <w:rFonts w:asciiTheme="minorHAnsi" w:hAnsiTheme="minorHAnsi" w:cstheme="minorBidi"/>
              </w:rPr>
              <w:t>management,</w:t>
            </w:r>
            <w:r w:rsidRPr="00F03917">
              <w:rPr>
                <w:rFonts w:asciiTheme="minorHAnsi" w:hAnsiTheme="minorHAnsi" w:cstheme="minorBidi"/>
              </w:rPr>
              <w:t xml:space="preserve"> the main Building Code clauses that relate to water ingress will be particularly relevant, these are E1 Surface water, E2 </w:t>
            </w:r>
            <w:r w:rsidR="6ADF8159" w:rsidRPr="00F03917">
              <w:rPr>
                <w:rFonts w:asciiTheme="minorHAnsi" w:hAnsiTheme="minorHAnsi" w:cstheme="minorBidi"/>
              </w:rPr>
              <w:t>E</w:t>
            </w:r>
            <w:r w:rsidR="10299FDA" w:rsidRPr="00F03917">
              <w:rPr>
                <w:rFonts w:asciiTheme="minorHAnsi" w:hAnsiTheme="minorHAnsi" w:cstheme="minorBidi"/>
              </w:rPr>
              <w:t>xternal</w:t>
            </w:r>
            <w:r w:rsidRPr="00F03917">
              <w:rPr>
                <w:rFonts w:asciiTheme="minorHAnsi" w:hAnsiTheme="minorHAnsi" w:cstheme="minorBidi"/>
              </w:rPr>
              <w:t xml:space="preserve"> moisture, E3 Internal moisture</w:t>
            </w:r>
            <w:r w:rsidR="41E5F7B0" w:rsidRPr="00F03917">
              <w:rPr>
                <w:rFonts w:asciiTheme="minorHAnsi" w:hAnsiTheme="minorHAnsi" w:cstheme="minorBidi"/>
              </w:rPr>
              <w:t>,</w:t>
            </w:r>
            <w:r w:rsidRPr="00F03917">
              <w:rPr>
                <w:rFonts w:asciiTheme="minorHAnsi" w:hAnsiTheme="minorHAnsi" w:cstheme="minorBidi"/>
              </w:rPr>
              <w:t xml:space="preserve"> B1 Structure and B2 Durability.</w:t>
            </w:r>
          </w:p>
        </w:tc>
      </w:tr>
      <w:tr w:rsidR="005F13AC" w:rsidRPr="00F03917" w14:paraId="1FF890A3" w14:textId="77777777" w:rsidTr="00F455E4">
        <w:trPr>
          <w:cantSplit/>
          <w:trHeight w:val="300"/>
        </w:trPr>
        <w:tc>
          <w:tcPr>
            <w:tcW w:w="2127" w:type="dxa"/>
          </w:tcPr>
          <w:p w14:paraId="4A859D59" w14:textId="3E03AC13" w:rsidR="005F13AC" w:rsidRPr="00F03917" w:rsidRDefault="00000000" w:rsidP="43E31E87">
            <w:pPr>
              <w:pStyle w:val="TableText"/>
              <w:rPr>
                <w:rStyle w:val="Hyperlink"/>
                <w:rFonts w:cstheme="minorBidi"/>
              </w:rPr>
            </w:pPr>
            <w:hyperlink r:id="rId41">
              <w:r w:rsidR="3C9F35B7" w:rsidRPr="00F03917">
                <w:rPr>
                  <w:rStyle w:val="Hyperlink"/>
                  <w:rFonts w:cstheme="minorBidi"/>
                </w:rPr>
                <w:t>New Zealand Standard for Land Development and Subdivision Infrastructure (NZS 4404:2010)</w:t>
              </w:r>
            </w:hyperlink>
          </w:p>
        </w:tc>
        <w:tc>
          <w:tcPr>
            <w:tcW w:w="6378" w:type="dxa"/>
          </w:tcPr>
          <w:p w14:paraId="02F22EC3" w14:textId="3D243688" w:rsidR="005F13AC" w:rsidRPr="00F03917" w:rsidRDefault="00373E36" w:rsidP="002179BA">
            <w:pPr>
              <w:pStyle w:val="TableText"/>
            </w:pPr>
            <w:r w:rsidRPr="00F03917">
              <w:t xml:space="preserve">The NZS 4404:2010 </w:t>
            </w:r>
            <w:r w:rsidR="00DB402D" w:rsidRPr="00F03917">
              <w:t xml:space="preserve">defines freeboard as </w:t>
            </w:r>
            <w:r w:rsidR="00D41CF7" w:rsidRPr="00F03917">
              <w:t>“</w:t>
            </w:r>
            <w:r w:rsidR="00DB402D" w:rsidRPr="00F03917">
              <w:t>…a provision for flood level design estimate imprecision, construction tolerances, and natural phenomena (such as waves, debris, aggradations, channel transition, and bend effects) not explicitly included in the calculations</w:t>
            </w:r>
            <w:r w:rsidR="00D41CF7" w:rsidRPr="00F03917">
              <w:t>”</w:t>
            </w:r>
            <w:r w:rsidR="00DB402D" w:rsidRPr="00F03917">
              <w:t xml:space="preserve"> (p 25).</w:t>
            </w:r>
            <w:r w:rsidR="00977ED4" w:rsidRPr="00F03917">
              <w:t xml:space="preserve"> </w:t>
            </w:r>
          </w:p>
        </w:tc>
      </w:tr>
      <w:tr w:rsidR="4CF67B3F" w:rsidRPr="00F03917" w14:paraId="336529BE" w14:textId="77777777" w:rsidTr="00F455E4">
        <w:trPr>
          <w:cantSplit/>
          <w:trHeight w:val="300"/>
        </w:trPr>
        <w:tc>
          <w:tcPr>
            <w:tcW w:w="2127" w:type="dxa"/>
          </w:tcPr>
          <w:p w14:paraId="4EBE1299" w14:textId="56EA6FDD" w:rsidR="4CF67B3F" w:rsidRPr="00F03917" w:rsidRDefault="00000000" w:rsidP="00D63EB7">
            <w:pPr>
              <w:pStyle w:val="TableText"/>
              <w:rPr>
                <w:rFonts w:cstheme="minorBidi"/>
              </w:rPr>
            </w:pPr>
            <w:hyperlink r:id="rId42" w:history="1">
              <w:r w:rsidR="00267377" w:rsidRPr="00F03917">
                <w:rPr>
                  <w:rStyle w:val="Hyperlink"/>
                  <w:rFonts w:cstheme="minorBidi"/>
                </w:rPr>
                <w:t>New Zealand Infrastructure Commission/</w:t>
              </w:r>
              <w:r w:rsidR="404FFC87" w:rsidRPr="00F03917">
                <w:rPr>
                  <w:rStyle w:val="Hyperlink"/>
                  <w:rFonts w:cstheme="minorBidi"/>
                </w:rPr>
                <w:t>Te Waihanga Act 2019</w:t>
              </w:r>
            </w:hyperlink>
          </w:p>
        </w:tc>
        <w:tc>
          <w:tcPr>
            <w:tcW w:w="6378" w:type="dxa"/>
          </w:tcPr>
          <w:p w14:paraId="6FCF28CB" w14:textId="06C4C8DE" w:rsidR="4CF67B3F" w:rsidRPr="00F03917" w:rsidRDefault="404FFC87" w:rsidP="00D63EB7">
            <w:pPr>
              <w:pStyle w:val="TableText"/>
            </w:pPr>
            <w:r w:rsidRPr="00F03917">
              <w:t xml:space="preserve">This </w:t>
            </w:r>
            <w:r w:rsidR="0079493C" w:rsidRPr="00F03917">
              <w:t>A</w:t>
            </w:r>
            <w:r w:rsidRPr="00F03917">
              <w:t>ct establishes a new Crown entity, the N</w:t>
            </w:r>
            <w:r w:rsidR="00751C2C" w:rsidRPr="00F03917">
              <w:t xml:space="preserve">ew </w:t>
            </w:r>
            <w:r w:rsidRPr="00F03917">
              <w:t>Z</w:t>
            </w:r>
            <w:r w:rsidR="00751C2C" w:rsidRPr="00F03917">
              <w:t>ealand</w:t>
            </w:r>
            <w:r w:rsidRPr="00F03917">
              <w:t xml:space="preserve"> Infrastructure Commission, </w:t>
            </w:r>
            <w:r w:rsidR="00252E3B" w:rsidRPr="00F03917">
              <w:t>to coordinate and develop infr</w:t>
            </w:r>
            <w:r w:rsidR="003E5613" w:rsidRPr="00F03917">
              <w:t>astructure that improves t</w:t>
            </w:r>
            <w:r w:rsidR="008D2562" w:rsidRPr="00F03917">
              <w:t>h</w:t>
            </w:r>
            <w:r w:rsidR="003E5613" w:rsidRPr="00F03917">
              <w:t xml:space="preserve">e wellbeing of New Zealanders. </w:t>
            </w:r>
            <w:r w:rsidR="008D2562" w:rsidRPr="00F03917">
              <w:t>The Commission</w:t>
            </w:r>
            <w:r w:rsidR="00AD4D20" w:rsidRPr="00F03917">
              <w:t xml:space="preserve"> must provide </w:t>
            </w:r>
            <w:r w:rsidR="00985F1A" w:rsidRPr="00F03917">
              <w:t>strategy reports to the responsible Minister that identif</w:t>
            </w:r>
            <w:r w:rsidR="00E37085" w:rsidRPr="00F03917">
              <w:t>y</w:t>
            </w:r>
            <w:r w:rsidR="00985F1A" w:rsidRPr="00F03917">
              <w:t xml:space="preserve"> how existing infrastructure can meet community expectations and priorities for infrastructure on a 30</w:t>
            </w:r>
            <w:r w:rsidR="00737420" w:rsidRPr="00F03917">
              <w:t>-</w:t>
            </w:r>
            <w:r w:rsidR="00985F1A" w:rsidRPr="00F03917">
              <w:t>year basis (s13). The Commission must consider long</w:t>
            </w:r>
            <w:r w:rsidR="00737420" w:rsidRPr="00F03917">
              <w:t>-</w:t>
            </w:r>
            <w:r w:rsidR="00985F1A" w:rsidRPr="00F03917">
              <w:t>term trends, including the mitigation of, and adapting to, the effects of climate change (s11(b)(iii)).</w:t>
            </w:r>
          </w:p>
        </w:tc>
      </w:tr>
      <w:tr w:rsidR="000F6635" w:rsidRPr="00F03917" w14:paraId="7BA27A31" w14:textId="77777777" w:rsidTr="00F455E4">
        <w:trPr>
          <w:cantSplit/>
          <w:trHeight w:val="300"/>
        </w:trPr>
        <w:tc>
          <w:tcPr>
            <w:tcW w:w="2127" w:type="dxa"/>
          </w:tcPr>
          <w:p w14:paraId="11B09BE3" w14:textId="77777777" w:rsidR="00737420" w:rsidRPr="00F03917" w:rsidRDefault="00000000" w:rsidP="002179BA">
            <w:pPr>
              <w:pStyle w:val="TableText"/>
              <w:rPr>
                <w:rFonts w:asciiTheme="minorHAnsi" w:hAnsiTheme="minorHAnsi" w:cstheme="minorBidi"/>
              </w:rPr>
            </w:pPr>
            <w:hyperlink r:id="rId43" w:history="1">
              <w:r w:rsidR="000F6635" w:rsidRPr="00F03917">
                <w:rPr>
                  <w:rStyle w:val="Hyperlink"/>
                  <w:rFonts w:asciiTheme="minorHAnsi" w:hAnsiTheme="minorHAnsi" w:cstheme="minorBidi"/>
                  <w:shd w:val="clear" w:color="auto" w:fill="FFFFFF"/>
                </w:rPr>
                <w:t>Marine and Coastal Area (Takutai Moana) Act 2011</w:t>
              </w:r>
            </w:hyperlink>
            <w:r w:rsidR="002168C4" w:rsidRPr="00F03917">
              <w:rPr>
                <w:rFonts w:asciiTheme="minorHAnsi" w:hAnsiTheme="minorHAnsi" w:cstheme="minorBidi"/>
              </w:rPr>
              <w:t xml:space="preserve"> </w:t>
            </w:r>
          </w:p>
          <w:p w14:paraId="57013012" w14:textId="4BF5043E" w:rsidR="00AB0A4A" w:rsidRPr="00F03917" w:rsidRDefault="002168C4" w:rsidP="002179BA">
            <w:pPr>
              <w:pStyle w:val="TableText"/>
              <w:rPr>
                <w:rFonts w:asciiTheme="minorHAnsi" w:hAnsiTheme="minorHAnsi" w:cstheme="minorHAnsi"/>
              </w:rPr>
            </w:pPr>
            <w:r w:rsidRPr="00F03917">
              <w:rPr>
                <w:rFonts w:asciiTheme="minorHAnsi" w:hAnsiTheme="minorHAnsi" w:cstheme="minorHAnsi"/>
              </w:rPr>
              <w:t xml:space="preserve">and </w:t>
            </w:r>
          </w:p>
          <w:p w14:paraId="349A75C9" w14:textId="1BD153C6" w:rsidR="000F6635" w:rsidRPr="00F03917" w:rsidRDefault="00000000" w:rsidP="002179BA">
            <w:pPr>
              <w:pStyle w:val="TableText"/>
              <w:rPr>
                <w:rFonts w:asciiTheme="minorHAnsi" w:hAnsiTheme="minorHAnsi" w:cstheme="minorHAnsi"/>
              </w:rPr>
            </w:pPr>
            <w:hyperlink r:id="rId44" w:history="1">
              <w:r w:rsidR="002168C4" w:rsidRPr="00F03917">
                <w:rPr>
                  <w:rStyle w:val="Hyperlink"/>
                  <w:rFonts w:asciiTheme="minorHAnsi" w:hAnsiTheme="minorHAnsi" w:cstheme="minorHAnsi"/>
                  <w:szCs w:val="18"/>
                  <w:shd w:val="clear" w:color="auto" w:fill="FFFFFF"/>
                </w:rPr>
                <w:t>Ngā Rohe Moana o Ngā Hapū o Ngāti Porou Act 2019</w:t>
              </w:r>
            </w:hyperlink>
          </w:p>
        </w:tc>
        <w:tc>
          <w:tcPr>
            <w:tcW w:w="6378" w:type="dxa"/>
          </w:tcPr>
          <w:p w14:paraId="2F2B1A6B" w14:textId="4BE41E27" w:rsidR="000F6635" w:rsidRPr="00F03917" w:rsidRDefault="00290455" w:rsidP="00F455E4">
            <w:pPr>
              <w:pStyle w:val="TableText"/>
              <w:spacing w:after="20"/>
            </w:pPr>
            <w:r w:rsidRPr="00F03917">
              <w:t xml:space="preserve">The </w:t>
            </w:r>
            <w:r w:rsidR="002168C4" w:rsidRPr="00F03917">
              <w:t>Takutai Moana</w:t>
            </w:r>
            <w:r w:rsidRPr="00F03917">
              <w:t xml:space="preserve"> Act supports</w:t>
            </w:r>
            <w:r w:rsidR="00CA03B6" w:rsidRPr="00F03917">
              <w:t xml:space="preserve"> the recognition of customary interests in the common marine and coastal areas.</w:t>
            </w:r>
            <w:r w:rsidR="00460F53" w:rsidRPr="00F03917">
              <w:t xml:space="preserve"> </w:t>
            </w:r>
            <w:r w:rsidR="00460F53" w:rsidRPr="00F03917">
              <w:rPr>
                <w:rFonts w:asciiTheme="minorHAnsi" w:hAnsiTheme="minorHAnsi"/>
              </w:rPr>
              <w:t>T</w:t>
            </w:r>
            <w:r w:rsidR="00460F53" w:rsidRPr="00F03917">
              <w:rPr>
                <w:rFonts w:asciiTheme="minorHAnsi" w:hAnsiTheme="minorHAnsi" w:cstheme="minorBidi"/>
                <w:szCs w:val="18"/>
              </w:rPr>
              <w:t xml:space="preserve">here may be </w:t>
            </w:r>
            <w:r w:rsidR="000F6635" w:rsidRPr="00F03917">
              <w:rPr>
                <w:rFonts w:asciiTheme="minorHAnsi" w:hAnsiTheme="minorHAnsi" w:cstheme="minorBidi"/>
                <w:szCs w:val="18"/>
              </w:rPr>
              <w:t xml:space="preserve">implications for </w:t>
            </w:r>
            <w:r w:rsidR="5DF5979C" w:rsidRPr="00F03917">
              <w:rPr>
                <w:rFonts w:asciiTheme="minorHAnsi" w:hAnsiTheme="minorHAnsi" w:cstheme="minorBidi"/>
                <w:szCs w:val="18"/>
              </w:rPr>
              <w:t>parties proposing</w:t>
            </w:r>
            <w:r w:rsidR="000F6635" w:rsidRPr="00F03917">
              <w:rPr>
                <w:rFonts w:asciiTheme="minorHAnsi" w:hAnsiTheme="minorHAnsi" w:cstheme="minorBidi"/>
                <w:szCs w:val="18"/>
              </w:rPr>
              <w:t xml:space="preserve"> works </w:t>
            </w:r>
            <w:r w:rsidR="5DF5979C" w:rsidRPr="00F03917">
              <w:rPr>
                <w:rFonts w:asciiTheme="minorHAnsi" w:hAnsiTheme="minorHAnsi" w:cstheme="minorBidi"/>
                <w:szCs w:val="18"/>
              </w:rPr>
              <w:t>that have</w:t>
            </w:r>
            <w:r w:rsidR="000F6635" w:rsidRPr="00F03917">
              <w:rPr>
                <w:rFonts w:asciiTheme="minorHAnsi" w:hAnsiTheme="minorHAnsi" w:cstheme="minorBidi"/>
                <w:szCs w:val="18"/>
              </w:rPr>
              <w:t xml:space="preserve"> the </w:t>
            </w:r>
            <w:r w:rsidR="5DF5979C" w:rsidRPr="00F03917">
              <w:rPr>
                <w:rFonts w:asciiTheme="minorHAnsi" w:hAnsiTheme="minorHAnsi" w:cstheme="minorBidi"/>
                <w:szCs w:val="18"/>
              </w:rPr>
              <w:t>potential to impact on</w:t>
            </w:r>
            <w:r w:rsidR="000F6635" w:rsidRPr="00F03917">
              <w:rPr>
                <w:rFonts w:asciiTheme="minorHAnsi" w:hAnsiTheme="minorHAnsi" w:cstheme="minorBidi"/>
                <w:szCs w:val="18"/>
              </w:rPr>
              <w:t xml:space="preserve"> customary</w:t>
            </w:r>
            <w:r w:rsidR="000C4248" w:rsidRPr="00F03917">
              <w:rPr>
                <w:rFonts w:asciiTheme="minorHAnsi" w:hAnsiTheme="minorHAnsi" w:cstheme="minorBidi"/>
                <w:szCs w:val="18"/>
              </w:rPr>
              <w:t xml:space="preserve"> marine</w:t>
            </w:r>
            <w:r w:rsidR="000F6635" w:rsidRPr="00F03917">
              <w:rPr>
                <w:rFonts w:asciiTheme="minorHAnsi" w:hAnsiTheme="minorHAnsi" w:cstheme="minorBidi"/>
                <w:szCs w:val="18"/>
              </w:rPr>
              <w:t xml:space="preserve"> title </w:t>
            </w:r>
            <w:r w:rsidR="5DF5979C" w:rsidRPr="00F03917">
              <w:rPr>
                <w:rFonts w:asciiTheme="minorHAnsi" w:hAnsiTheme="minorHAnsi" w:cstheme="minorBidi"/>
                <w:szCs w:val="18"/>
              </w:rPr>
              <w:t>holders or claimants.</w:t>
            </w:r>
            <w:r w:rsidR="3210B8AB" w:rsidRPr="00F03917">
              <w:rPr>
                <w:rFonts w:asciiTheme="minorHAnsi" w:hAnsiTheme="minorHAnsi" w:cstheme="minorBidi"/>
              </w:rPr>
              <w:t xml:space="preserve"> </w:t>
            </w:r>
          </w:p>
          <w:p w14:paraId="24A57C68" w14:textId="25D4FDB4" w:rsidR="00797BFF" w:rsidRPr="00F03917" w:rsidRDefault="00955B7C" w:rsidP="002179BA">
            <w:pPr>
              <w:pStyle w:val="TableText"/>
            </w:pPr>
            <w:r w:rsidRPr="00F03917">
              <w:t xml:space="preserve">The </w:t>
            </w:r>
            <w:r w:rsidR="00797BFF" w:rsidRPr="00F03917">
              <w:t xml:space="preserve">Ngā Rohe Moana </w:t>
            </w:r>
            <w:r w:rsidRPr="00F03917">
              <w:t xml:space="preserve">o Ngā Hapū o Ngāti Porou </w:t>
            </w:r>
            <w:r w:rsidR="00797BFF" w:rsidRPr="00F03917">
              <w:t>Act</w:t>
            </w:r>
            <w:r w:rsidRPr="00F03917">
              <w:t xml:space="preserve"> </w:t>
            </w:r>
            <w:r w:rsidR="00232064" w:rsidRPr="00F03917">
              <w:t>gives effect to the deed of agreement between ngā hapū o Ngāti Porou and the Crown</w:t>
            </w:r>
            <w:r w:rsidR="00DA625B" w:rsidRPr="00F03917">
              <w:t>. The Act also</w:t>
            </w:r>
            <w:r w:rsidR="00232064" w:rsidRPr="00F03917">
              <w:t xml:space="preserve"> con</w:t>
            </w:r>
            <w:r w:rsidR="008C1244" w:rsidRPr="00F03917">
              <w:t>tributes</w:t>
            </w:r>
            <w:r w:rsidR="00232064" w:rsidRPr="00F03917">
              <w:t xml:space="preserve"> to </w:t>
            </w:r>
            <w:r w:rsidR="008C1244" w:rsidRPr="00F03917">
              <w:t>the legal expression, protection and recognition of the continued exercise of mana by ngā hapū o Ngāti Porou</w:t>
            </w:r>
            <w:r w:rsidR="001A110F" w:rsidRPr="00F03917">
              <w:t xml:space="preserve"> </w:t>
            </w:r>
            <w:r w:rsidR="00117667" w:rsidRPr="00F03917">
              <w:t xml:space="preserve">in relation to </w:t>
            </w:r>
            <w:r w:rsidR="00BC1C89" w:rsidRPr="00F03917">
              <w:t xml:space="preserve">their </w:t>
            </w:r>
            <w:r w:rsidR="00117667" w:rsidRPr="00F03917">
              <w:t>ngā rohe moana</w:t>
            </w:r>
            <w:r w:rsidR="001A110F" w:rsidRPr="00F03917">
              <w:t xml:space="preserve"> (s3)</w:t>
            </w:r>
            <w:r w:rsidR="00820EA4" w:rsidRPr="00F03917">
              <w:t xml:space="preserve">, which </w:t>
            </w:r>
            <w:r w:rsidR="009F5DCB" w:rsidRPr="00F03917">
              <w:t xml:space="preserve">are areas </w:t>
            </w:r>
            <w:r w:rsidR="00DA625B" w:rsidRPr="00F03917">
              <w:t xml:space="preserve">identified in </w:t>
            </w:r>
            <w:r w:rsidR="00102E52" w:rsidRPr="00F03917">
              <w:t>S</w:t>
            </w:r>
            <w:r w:rsidR="00DA625B" w:rsidRPr="00F03917">
              <w:t>ch</w:t>
            </w:r>
            <w:r w:rsidR="005945DF" w:rsidRPr="00F03917">
              <w:t>edule</w:t>
            </w:r>
            <w:r w:rsidR="00DA625B" w:rsidRPr="00F03917">
              <w:t xml:space="preserve"> 2 and include coastal marine areas</w:t>
            </w:r>
            <w:r w:rsidR="008C1244" w:rsidRPr="00F03917">
              <w:t xml:space="preserve">. </w:t>
            </w:r>
          </w:p>
        </w:tc>
      </w:tr>
      <w:tr w:rsidR="00357C33" w:rsidRPr="00F03917" w14:paraId="56273F38" w14:textId="77777777" w:rsidTr="00F455E4">
        <w:trPr>
          <w:cantSplit/>
          <w:trHeight w:val="300"/>
        </w:trPr>
        <w:tc>
          <w:tcPr>
            <w:tcW w:w="2127" w:type="dxa"/>
          </w:tcPr>
          <w:p w14:paraId="727D6960" w14:textId="1E6FBF39" w:rsidR="00357C33" w:rsidRPr="00F03917" w:rsidRDefault="00357C33" w:rsidP="002179BA">
            <w:pPr>
              <w:pStyle w:val="TableText"/>
            </w:pPr>
            <w:r w:rsidRPr="00F03917">
              <w:t>Iwi Management Plans</w:t>
            </w:r>
            <w:r w:rsidR="00496B46" w:rsidRPr="00F03917">
              <w:t xml:space="preserve"> (I</w:t>
            </w:r>
            <w:r w:rsidR="001113EF" w:rsidRPr="00F03917">
              <w:t>M</w:t>
            </w:r>
            <w:r w:rsidR="00496B46" w:rsidRPr="00F03917">
              <w:t>Ps)</w:t>
            </w:r>
          </w:p>
        </w:tc>
        <w:tc>
          <w:tcPr>
            <w:tcW w:w="6378" w:type="dxa"/>
          </w:tcPr>
          <w:p w14:paraId="113083E0" w14:textId="5B899CEA" w:rsidR="00E713C6" w:rsidRPr="00F03917" w:rsidRDefault="008742A1" w:rsidP="00F455E4">
            <w:pPr>
              <w:pStyle w:val="TableText"/>
              <w:spacing w:after="20"/>
              <w:rPr>
                <w:rFonts w:asciiTheme="minorHAnsi" w:hAnsiTheme="minorHAnsi" w:cstheme="minorBidi"/>
                <w:color w:val="1B2228"/>
                <w:lang w:eastAsia="en-US"/>
              </w:rPr>
            </w:pPr>
            <w:r w:rsidRPr="00F03917">
              <w:rPr>
                <w:rFonts w:asciiTheme="minorHAnsi" w:hAnsiTheme="minorHAnsi" w:cstheme="minorBidi"/>
                <w:color w:val="1B2228"/>
                <w:lang w:eastAsia="en-US"/>
              </w:rPr>
              <w:t>IMPs</w:t>
            </w:r>
            <w:r w:rsidR="00A87A0A" w:rsidRPr="00F03917">
              <w:rPr>
                <w:rFonts w:asciiTheme="minorHAnsi" w:hAnsiTheme="minorHAnsi" w:cstheme="minorBidi"/>
                <w:color w:val="1B2228"/>
                <w:lang w:eastAsia="en-US"/>
              </w:rPr>
              <w:t xml:space="preserve"> are prepared </w:t>
            </w:r>
            <w:r w:rsidRPr="00F03917">
              <w:rPr>
                <w:rFonts w:asciiTheme="minorHAnsi" w:hAnsiTheme="minorHAnsi" w:cstheme="minorBidi"/>
                <w:color w:val="1B2228"/>
                <w:lang w:eastAsia="en-US"/>
              </w:rPr>
              <w:t xml:space="preserve">and approved </w:t>
            </w:r>
            <w:r w:rsidR="00A87A0A" w:rsidRPr="00F03917">
              <w:rPr>
                <w:rFonts w:asciiTheme="minorHAnsi" w:hAnsiTheme="minorHAnsi" w:cstheme="minorBidi"/>
                <w:color w:val="1B2228"/>
                <w:lang w:eastAsia="en-US"/>
              </w:rPr>
              <w:t>by iwi, iwi authority, rūnanga or hapū</w:t>
            </w:r>
            <w:r w:rsidRPr="00F03917">
              <w:rPr>
                <w:rFonts w:asciiTheme="minorHAnsi" w:hAnsiTheme="minorHAnsi" w:cstheme="minorBidi"/>
                <w:color w:val="1B2228"/>
                <w:lang w:eastAsia="en-US"/>
              </w:rPr>
              <w:t xml:space="preserve"> for resource management matters, including natural hazards. IMPs identify the issues of importance to iwi or hapū regarding the use of natural resources within their rohe and are underpinned by mātauranga Māori. These documents provide a </w:t>
            </w:r>
            <w:r w:rsidR="00A87A0A" w:rsidRPr="00F03917">
              <w:rPr>
                <w:rFonts w:asciiTheme="minorHAnsi" w:hAnsiTheme="minorHAnsi" w:cstheme="minorBidi"/>
                <w:color w:val="1B2228"/>
                <w:lang w:eastAsia="en-US"/>
              </w:rPr>
              <w:t>valuable strategic tool for natural hazard management</w:t>
            </w:r>
            <w:r w:rsidR="00F4048B" w:rsidRPr="00F03917">
              <w:rPr>
                <w:rFonts w:asciiTheme="minorHAnsi" w:hAnsiTheme="minorHAnsi" w:cstheme="minorBidi"/>
                <w:color w:val="1B2228"/>
                <w:lang w:eastAsia="en-US"/>
              </w:rPr>
              <w:t xml:space="preserve"> (Saunders, 2017)</w:t>
            </w:r>
            <w:r w:rsidRPr="00F03917">
              <w:rPr>
                <w:rFonts w:asciiTheme="minorHAnsi" w:hAnsiTheme="minorHAnsi" w:cstheme="minorBidi"/>
                <w:color w:val="1B2228"/>
                <w:lang w:eastAsia="en-US"/>
              </w:rPr>
              <w:t xml:space="preserve">. </w:t>
            </w:r>
          </w:p>
          <w:p w14:paraId="5040847B" w14:textId="69DB3AD7" w:rsidR="00357C33" w:rsidRPr="00F03917" w:rsidRDefault="00447229" w:rsidP="002179BA">
            <w:pPr>
              <w:pStyle w:val="TableText"/>
              <w:rPr>
                <w:rFonts w:asciiTheme="minorHAnsi" w:hAnsiTheme="minorHAnsi" w:cstheme="minorBidi"/>
                <w:kern w:val="2"/>
                <w:lang w:eastAsia="en-US"/>
                <w14:ligatures w14:val="standardContextual"/>
              </w:rPr>
            </w:pPr>
            <w:r w:rsidRPr="00F03917">
              <w:rPr>
                <w:rFonts w:asciiTheme="minorHAnsi" w:hAnsiTheme="minorHAnsi" w:cstheme="minorBidi"/>
                <w:color w:val="2E3436"/>
                <w:lang w:eastAsia="en-US"/>
              </w:rPr>
              <w:t>IMPs must be taken into account when preparing or changing regional policy statements (</w:t>
            </w:r>
            <w:r w:rsidR="00B42676" w:rsidRPr="00F03917">
              <w:rPr>
                <w:rFonts w:asciiTheme="minorHAnsi" w:hAnsiTheme="minorHAnsi" w:cstheme="minorBidi"/>
                <w:color w:val="2E3436"/>
                <w:lang w:eastAsia="en-US"/>
              </w:rPr>
              <w:t xml:space="preserve">RMA </w:t>
            </w:r>
            <w:r w:rsidRPr="00F03917">
              <w:rPr>
                <w:rFonts w:asciiTheme="minorHAnsi" w:hAnsiTheme="minorHAnsi" w:cstheme="minorBidi"/>
                <w:color w:val="2E3436"/>
                <w:lang w:eastAsia="en-US"/>
              </w:rPr>
              <w:t>(s61(2A)(a)) and regional (s66(2A)(a)) and district plans (s74(2A)</w:t>
            </w:r>
            <w:r w:rsidR="00B42676" w:rsidRPr="00F03917">
              <w:rPr>
                <w:rFonts w:asciiTheme="minorHAnsi" w:hAnsiTheme="minorHAnsi" w:cstheme="minorBidi"/>
                <w:color w:val="2E3436"/>
                <w:lang w:eastAsia="en-US"/>
              </w:rPr>
              <w:t>)</w:t>
            </w:r>
            <w:r w:rsidRPr="00F03917">
              <w:rPr>
                <w:rFonts w:asciiTheme="minorHAnsi" w:hAnsiTheme="minorHAnsi" w:cstheme="minorBidi"/>
                <w:color w:val="2E3436"/>
                <w:lang w:eastAsia="en-US"/>
              </w:rPr>
              <w:t>.</w:t>
            </w:r>
          </w:p>
        </w:tc>
      </w:tr>
    </w:tbl>
    <w:p w14:paraId="7E233303" w14:textId="5A71574A" w:rsidR="00D75860" w:rsidRPr="00F03917" w:rsidRDefault="002A73E6" w:rsidP="002179BA">
      <w:pPr>
        <w:pStyle w:val="BodyText"/>
        <w:spacing w:before="240"/>
      </w:pPr>
      <w:r w:rsidRPr="00F03917">
        <w:t xml:space="preserve">See </w:t>
      </w:r>
      <w:hyperlink w:anchor="_Appendix_B:_Relevant" w:history="1">
        <w:r w:rsidR="31A12351" w:rsidRPr="00F03917">
          <w:rPr>
            <w:rStyle w:val="Hyperlink"/>
          </w:rPr>
          <w:t>a</w:t>
        </w:r>
        <w:r w:rsidR="00BA4E5A" w:rsidRPr="00F03917">
          <w:rPr>
            <w:rStyle w:val="Hyperlink"/>
          </w:rPr>
          <w:t>ppendix B</w:t>
        </w:r>
      </w:hyperlink>
      <w:r w:rsidR="00BA4E5A" w:rsidRPr="00F03917">
        <w:rPr>
          <w:rStyle w:val="Hyperlink"/>
        </w:rPr>
        <w:t xml:space="preserve"> </w:t>
      </w:r>
      <w:r w:rsidRPr="00F03917">
        <w:t xml:space="preserve">for </w:t>
      </w:r>
      <w:r w:rsidR="004F7051" w:rsidRPr="00F03917">
        <w:t>relevant court cases</w:t>
      </w:r>
      <w:r w:rsidR="008947C2" w:rsidRPr="00F03917">
        <w:t>.</w:t>
      </w:r>
    </w:p>
    <w:p w14:paraId="37AF967C" w14:textId="24306F32" w:rsidR="00F51221" w:rsidRPr="00F03917" w:rsidRDefault="00F51221" w:rsidP="00F51221">
      <w:pPr>
        <w:pStyle w:val="Heading4"/>
      </w:pPr>
      <w:r w:rsidRPr="00F03917">
        <w:t>Principles for managing coastal hazards</w:t>
      </w:r>
      <w:r w:rsidR="00BF2623" w:rsidRPr="00F03917">
        <w:t xml:space="preserve"> under a changing climate</w:t>
      </w:r>
    </w:p>
    <w:p w14:paraId="6010285A" w14:textId="15E00B3C" w:rsidR="00F137EB" w:rsidRPr="00F03917" w:rsidRDefault="00F51221" w:rsidP="00F137EB">
      <w:pPr>
        <w:pStyle w:val="BodyText"/>
      </w:pPr>
      <w:r w:rsidRPr="00F03917">
        <w:t xml:space="preserve">Consider the principles that are set out in law, or that have evolved through good practice and case law (see table </w:t>
      </w:r>
      <w:r w:rsidR="00CB5EE1" w:rsidRPr="00F03917">
        <w:t>B</w:t>
      </w:r>
      <w:r w:rsidR="00F27403" w:rsidRPr="00F03917">
        <w:t>.1</w:t>
      </w:r>
      <w:r w:rsidRPr="00F03917">
        <w:t xml:space="preserve"> in </w:t>
      </w:r>
      <w:hyperlink w:anchor="_Appendix_B:_Relevant">
        <w:r w:rsidR="60538155" w:rsidRPr="00F03917">
          <w:rPr>
            <w:rStyle w:val="Hyperlink"/>
          </w:rPr>
          <w:t>a</w:t>
        </w:r>
        <w:r w:rsidR="65A3E0E9" w:rsidRPr="00F03917">
          <w:rPr>
            <w:rStyle w:val="Hyperlink"/>
          </w:rPr>
          <w:t>ppendix</w:t>
        </w:r>
        <w:r w:rsidR="542C936D" w:rsidRPr="00F03917">
          <w:rPr>
            <w:rStyle w:val="Hyperlink"/>
          </w:rPr>
          <w:t xml:space="preserve"> B</w:t>
        </w:r>
      </w:hyperlink>
      <w:r w:rsidRPr="00F03917">
        <w:t xml:space="preserve">), when commencing an adaptation planning process. A good adaptation planning process will reflect or account for these </w:t>
      </w:r>
      <w:r w:rsidR="16EFBBD2" w:rsidRPr="00F03917">
        <w:t>main</w:t>
      </w:r>
      <w:r w:rsidRPr="00F03917">
        <w:t xml:space="preserve"> principles (table 2).</w:t>
      </w:r>
    </w:p>
    <w:p w14:paraId="66182029" w14:textId="47A383D2" w:rsidR="00F51221" w:rsidRPr="00F03917" w:rsidRDefault="00F51221" w:rsidP="006258D2">
      <w:pPr>
        <w:pStyle w:val="Tableheading"/>
      </w:pPr>
      <w:bookmarkStart w:id="13" w:name="_Toc160098396"/>
      <w:r w:rsidRPr="00F03917">
        <w:t>Principles for managing coastal hazards</w:t>
      </w:r>
      <w:r w:rsidR="00D51B9C" w:rsidRPr="00F03917">
        <w:t xml:space="preserve"> under a changing climate</w:t>
      </w:r>
      <w:bookmarkEnd w:id="13"/>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2410"/>
        <w:gridCol w:w="6095"/>
      </w:tblGrid>
      <w:tr w:rsidR="00F51221" w:rsidRPr="00F03917" w14:paraId="0D85F951" w14:textId="77777777" w:rsidTr="007273C8">
        <w:trPr>
          <w:tblHeader/>
        </w:trPr>
        <w:tc>
          <w:tcPr>
            <w:tcW w:w="2410" w:type="dxa"/>
            <w:shd w:val="clear" w:color="auto" w:fill="1B556B" w:themeFill="text2"/>
            <w:vAlign w:val="bottom"/>
          </w:tcPr>
          <w:p w14:paraId="4696A0E8" w14:textId="77777777" w:rsidR="00F51221" w:rsidRPr="00F03917" w:rsidRDefault="00F51221">
            <w:pPr>
              <w:pStyle w:val="TableTextbold"/>
              <w:rPr>
                <w:color w:val="FFFFFF" w:themeColor="background1"/>
              </w:rPr>
            </w:pPr>
            <w:r w:rsidRPr="00F03917">
              <w:rPr>
                <w:color w:val="FFFFFF" w:themeColor="background1"/>
              </w:rPr>
              <w:t>Principle</w:t>
            </w:r>
          </w:p>
        </w:tc>
        <w:tc>
          <w:tcPr>
            <w:tcW w:w="6095" w:type="dxa"/>
            <w:shd w:val="clear" w:color="auto" w:fill="1B556B" w:themeFill="text2"/>
            <w:vAlign w:val="bottom"/>
          </w:tcPr>
          <w:p w14:paraId="1BA7C039" w14:textId="77777777" w:rsidR="00F51221" w:rsidRPr="00F03917" w:rsidRDefault="00F51221">
            <w:pPr>
              <w:pStyle w:val="TableTextbold"/>
              <w:rPr>
                <w:color w:val="FFFFFF" w:themeColor="background1"/>
              </w:rPr>
            </w:pPr>
            <w:r w:rsidRPr="00F03917">
              <w:rPr>
                <w:color w:val="FFFFFF" w:themeColor="background1"/>
              </w:rPr>
              <w:t>Description</w:t>
            </w:r>
          </w:p>
        </w:tc>
      </w:tr>
      <w:tr w:rsidR="00F51221" w:rsidRPr="00F03917" w14:paraId="26BC8D57" w14:textId="77777777" w:rsidTr="007273C8">
        <w:tc>
          <w:tcPr>
            <w:tcW w:w="2410" w:type="dxa"/>
          </w:tcPr>
          <w:p w14:paraId="67BA4B26" w14:textId="77777777" w:rsidR="00F51221" w:rsidRPr="00F03917" w:rsidRDefault="00F51221">
            <w:pPr>
              <w:pStyle w:val="TableText"/>
            </w:pPr>
            <w:r w:rsidRPr="00F03917">
              <w:t>Sustainability and resilience</w:t>
            </w:r>
          </w:p>
        </w:tc>
        <w:tc>
          <w:tcPr>
            <w:tcW w:w="6095" w:type="dxa"/>
          </w:tcPr>
          <w:p w14:paraId="70E1EFE1" w14:textId="5EDAA24E" w:rsidR="00F51221" w:rsidRPr="00F03917" w:rsidRDefault="00F51221">
            <w:pPr>
              <w:pStyle w:val="TableText"/>
              <w:rPr>
                <w:rFonts w:asciiTheme="minorHAnsi" w:hAnsiTheme="minorHAnsi" w:cstheme="minorBidi"/>
              </w:rPr>
            </w:pPr>
            <w:r w:rsidRPr="00F03917">
              <w:rPr>
                <w:rFonts w:asciiTheme="minorHAnsi" w:hAnsiTheme="minorHAnsi" w:cstheme="minorBidi"/>
              </w:rPr>
              <w:t xml:space="preserve">The </w:t>
            </w:r>
            <w:r w:rsidR="5D0A68CA" w:rsidRPr="00F03917">
              <w:rPr>
                <w:rFonts w:asciiTheme="minorHAnsi" w:hAnsiTheme="minorHAnsi" w:cstheme="minorBidi"/>
              </w:rPr>
              <w:t>Resource Management Act 1991 (</w:t>
            </w:r>
            <w:r w:rsidRPr="00F03917">
              <w:rPr>
                <w:rFonts w:asciiTheme="minorHAnsi" w:hAnsiTheme="minorHAnsi" w:cstheme="minorBidi"/>
              </w:rPr>
              <w:t>RMA</w:t>
            </w:r>
            <w:r w:rsidR="0125E13D" w:rsidRPr="00F03917">
              <w:rPr>
                <w:rFonts w:asciiTheme="minorHAnsi" w:hAnsiTheme="minorHAnsi" w:cstheme="minorBidi"/>
              </w:rPr>
              <w:t>)</w:t>
            </w:r>
            <w:r w:rsidRPr="00F03917">
              <w:rPr>
                <w:rFonts w:asciiTheme="minorHAnsi" w:hAnsiTheme="minorHAnsi" w:cstheme="minorBidi"/>
              </w:rPr>
              <w:t xml:space="preserve"> concept of sustainable management and the </w:t>
            </w:r>
            <w:r w:rsidR="285D6BFD" w:rsidRPr="00F03917">
              <w:rPr>
                <w:rFonts w:asciiTheme="minorHAnsi" w:hAnsiTheme="minorHAnsi" w:cstheme="minorBidi"/>
              </w:rPr>
              <w:t>Local Government Act 2002 (</w:t>
            </w:r>
            <w:r w:rsidRPr="00F03917">
              <w:rPr>
                <w:rFonts w:asciiTheme="minorHAnsi" w:hAnsiTheme="minorHAnsi" w:cstheme="minorBidi"/>
              </w:rPr>
              <w:t>LGA</w:t>
            </w:r>
            <w:r w:rsidR="72D0BF01" w:rsidRPr="00F03917">
              <w:rPr>
                <w:rFonts w:asciiTheme="minorHAnsi" w:hAnsiTheme="minorHAnsi" w:cstheme="minorBidi"/>
              </w:rPr>
              <w:t>)</w:t>
            </w:r>
            <w:r w:rsidRPr="00F03917">
              <w:rPr>
                <w:rFonts w:asciiTheme="minorHAnsi" w:hAnsiTheme="minorHAnsi" w:cstheme="minorBidi"/>
              </w:rPr>
              <w:t xml:space="preserve"> principle of sustainable development support the ability of communities to respond and adapt in a way that avoids or limits harm. Resilience is closely related to sustainability and is increasingly being enshrined in </w:t>
            </w:r>
            <w:r w:rsidR="2BB8B12B" w:rsidRPr="00F03917">
              <w:rPr>
                <w:rFonts w:asciiTheme="minorHAnsi" w:hAnsiTheme="minorHAnsi" w:cstheme="minorBidi"/>
              </w:rPr>
              <w:t xml:space="preserve">Aotearoa </w:t>
            </w:r>
            <w:r w:rsidRPr="00F03917">
              <w:rPr>
                <w:rFonts w:asciiTheme="minorHAnsi" w:hAnsiTheme="minorHAnsi" w:cstheme="minorBidi"/>
              </w:rPr>
              <w:t>New Zealand legislation.</w:t>
            </w:r>
          </w:p>
        </w:tc>
      </w:tr>
      <w:tr w:rsidR="00F51221" w:rsidRPr="00F03917" w14:paraId="0CDBAAB1" w14:textId="77777777" w:rsidTr="007273C8">
        <w:tc>
          <w:tcPr>
            <w:tcW w:w="2410" w:type="dxa"/>
          </w:tcPr>
          <w:p w14:paraId="2A870D29" w14:textId="70659E56" w:rsidR="00F51221" w:rsidRPr="00F03917" w:rsidRDefault="00793F4D">
            <w:pPr>
              <w:pStyle w:val="TableText"/>
            </w:pPr>
            <w:r w:rsidRPr="00F03917">
              <w:t>Meet the reasonably f</w:t>
            </w:r>
            <w:r w:rsidR="00F51221" w:rsidRPr="00F03917">
              <w:t>oreseeable needs of future generations</w:t>
            </w:r>
          </w:p>
        </w:tc>
        <w:tc>
          <w:tcPr>
            <w:tcW w:w="6095" w:type="dxa"/>
          </w:tcPr>
          <w:p w14:paraId="1A10AD79" w14:textId="69F5688E" w:rsidR="00F51221" w:rsidRPr="00F03917" w:rsidRDefault="00F51221">
            <w:pPr>
              <w:pStyle w:val="TableText"/>
            </w:pPr>
            <w:r w:rsidRPr="00F03917">
              <w:t xml:space="preserve">This RMA phrase </w:t>
            </w:r>
            <w:r w:rsidR="0003435C" w:rsidRPr="00F03917">
              <w:t xml:space="preserve">requires </w:t>
            </w:r>
            <w:r w:rsidR="0031393D" w:rsidRPr="00F03917">
              <w:t>conside</w:t>
            </w:r>
            <w:r w:rsidR="0003435C" w:rsidRPr="00F03917">
              <w:t>ration of</w:t>
            </w:r>
            <w:r w:rsidRPr="00F03917">
              <w:t xml:space="preserve"> the interests of future communities, and the direct and indirect </w:t>
            </w:r>
            <w:r w:rsidR="001A06F0" w:rsidRPr="00F03917">
              <w:t>impacts</w:t>
            </w:r>
            <w:r w:rsidRPr="00F03917">
              <w:t xml:space="preserve"> they may </w:t>
            </w:r>
            <w:r w:rsidR="00E543A7" w:rsidRPr="00F03917">
              <w:t xml:space="preserve">experience </w:t>
            </w:r>
            <w:r w:rsidRPr="00F03917">
              <w:t>from decisions made today. This principle applies even where the need for a response to climate change has not yet been identified.</w:t>
            </w:r>
            <w:r w:rsidR="00977ED4" w:rsidRPr="00F03917">
              <w:t xml:space="preserve"> </w:t>
            </w:r>
          </w:p>
        </w:tc>
      </w:tr>
      <w:tr w:rsidR="00F51221" w:rsidRPr="00F03917" w14:paraId="0B53B1A2" w14:textId="77777777" w:rsidTr="007273C8">
        <w:tc>
          <w:tcPr>
            <w:tcW w:w="2410" w:type="dxa"/>
          </w:tcPr>
          <w:p w14:paraId="622FF076" w14:textId="77777777" w:rsidR="00F51221" w:rsidRPr="00F03917" w:rsidRDefault="00F51221">
            <w:pPr>
              <w:pStyle w:val="TableText"/>
            </w:pPr>
            <w:r w:rsidRPr="00F03917">
              <w:t>Avoid, remedy or mitigate adverse effects</w:t>
            </w:r>
          </w:p>
        </w:tc>
        <w:tc>
          <w:tcPr>
            <w:tcW w:w="6095" w:type="dxa"/>
          </w:tcPr>
          <w:p w14:paraId="6428C67E" w14:textId="058B25E7" w:rsidR="00F51221" w:rsidRPr="00F03917" w:rsidRDefault="00F51221">
            <w:pPr>
              <w:pStyle w:val="TableText"/>
            </w:pPr>
            <w:r w:rsidRPr="00F03917">
              <w:t xml:space="preserve">Policy 25 of the </w:t>
            </w:r>
            <w:r w:rsidR="17D8BB38" w:rsidRPr="00F03917">
              <w:t>New Zealand Coastal Policy Statement 2010 (</w:t>
            </w:r>
            <w:r w:rsidRPr="00F03917">
              <w:t>NZCPS</w:t>
            </w:r>
            <w:r w:rsidR="15A4EEFA" w:rsidRPr="00F03917">
              <w:t>)</w:t>
            </w:r>
            <w:r w:rsidRPr="00F03917">
              <w:t xml:space="preserve"> refers to the risk of “social, environmental and economic harm” from coastal hazards and seeks to reduce, or at least avoid increasing, risks of harm and adverse effects.</w:t>
            </w:r>
          </w:p>
        </w:tc>
      </w:tr>
      <w:tr w:rsidR="00F51221" w:rsidRPr="00F03917" w14:paraId="0839F75C" w14:textId="77777777" w:rsidTr="007273C8">
        <w:tc>
          <w:tcPr>
            <w:tcW w:w="2410" w:type="dxa"/>
          </w:tcPr>
          <w:p w14:paraId="24D24FDF" w14:textId="77777777" w:rsidR="00F51221" w:rsidRPr="00F03917" w:rsidRDefault="00F51221">
            <w:pPr>
              <w:pStyle w:val="TableText"/>
            </w:pPr>
            <w:r w:rsidRPr="00F03917">
              <w:t>Precautionary principle</w:t>
            </w:r>
          </w:p>
        </w:tc>
        <w:tc>
          <w:tcPr>
            <w:tcW w:w="6095" w:type="dxa"/>
          </w:tcPr>
          <w:p w14:paraId="334EE472" w14:textId="33C6B946" w:rsidR="00F51221" w:rsidRPr="00F03917" w:rsidRDefault="00F51221" w:rsidP="00F455E4">
            <w:pPr>
              <w:pStyle w:val="TableText"/>
              <w:spacing w:after="0"/>
              <w:rPr>
                <w:szCs w:val="18"/>
              </w:rPr>
            </w:pPr>
            <w:r w:rsidRPr="00F03917">
              <w:rPr>
                <w:szCs w:val="18"/>
              </w:rPr>
              <w:t>This principle is applied at the planning response stage (steps 6</w:t>
            </w:r>
            <w:r w:rsidR="003712E0" w:rsidRPr="00F03917">
              <w:rPr>
                <w:szCs w:val="18"/>
              </w:rPr>
              <w:t xml:space="preserve"> to </w:t>
            </w:r>
            <w:r w:rsidRPr="00F03917">
              <w:rPr>
                <w:szCs w:val="18"/>
              </w:rPr>
              <w:t>8 of the decision cycle). It requires precaution for decisions where full information on effects is not available, particularly when effects are potentially significant or decisions are effectively irreversible.</w:t>
            </w:r>
          </w:p>
          <w:p w14:paraId="749EB95C" w14:textId="77777777" w:rsidR="00F51221" w:rsidRPr="00F03917" w:rsidRDefault="00F51221">
            <w:pPr>
              <w:pStyle w:val="TableText"/>
              <w:rPr>
                <w:szCs w:val="18"/>
              </w:rPr>
            </w:pPr>
            <w:r w:rsidRPr="00F03917">
              <w:rPr>
                <w:szCs w:val="18"/>
              </w:rPr>
              <w:t>A precautionary approach is also included as Policy 3 of the NZCPS.</w:t>
            </w:r>
          </w:p>
        </w:tc>
      </w:tr>
      <w:tr w:rsidR="00F51221" w:rsidRPr="00F03917" w14:paraId="48BEA4D7" w14:textId="77777777" w:rsidTr="007273C8">
        <w:tc>
          <w:tcPr>
            <w:tcW w:w="2410" w:type="dxa"/>
          </w:tcPr>
          <w:p w14:paraId="32D33E7E" w14:textId="16BA1252" w:rsidR="00F51221" w:rsidRPr="00F03917" w:rsidRDefault="00F51221">
            <w:pPr>
              <w:pStyle w:val="TableText"/>
            </w:pPr>
            <w:r w:rsidRPr="00F03917">
              <w:t>Stewardship/kaitiakitanga</w:t>
            </w:r>
          </w:p>
        </w:tc>
        <w:tc>
          <w:tcPr>
            <w:tcW w:w="6095" w:type="dxa"/>
          </w:tcPr>
          <w:p w14:paraId="6D1138D8" w14:textId="196736B2" w:rsidR="00F51221" w:rsidRPr="00F03917" w:rsidRDefault="0002795F">
            <w:pPr>
              <w:pStyle w:val="TableText"/>
            </w:pPr>
            <w:r w:rsidRPr="00F03917">
              <w:t>This is reflected i</w:t>
            </w:r>
            <w:r w:rsidR="00F51221" w:rsidRPr="00F03917">
              <w:t>n both the LGA and RMA, stewardship</w:t>
            </w:r>
            <w:r w:rsidR="36D6AE83" w:rsidRPr="00F03917">
              <w:t>,</w:t>
            </w:r>
            <w:r w:rsidR="00F51221" w:rsidRPr="00F03917">
              <w:t xml:space="preserve"> or kaitiakitanga</w:t>
            </w:r>
            <w:r w:rsidR="6E4678E6" w:rsidRPr="00F03917">
              <w:t>,</w:t>
            </w:r>
            <w:r w:rsidR="00F51221" w:rsidRPr="00F03917">
              <w:t xml:space="preserve"> forms the basis of sound planning decisions in the interests of the community, to avoid or minimise loss of environmental values or quality over time. Hapū/iwi assert their right to own, control and manage their ancestral lands and territories, waters and other resources.</w:t>
            </w:r>
          </w:p>
        </w:tc>
      </w:tr>
      <w:tr w:rsidR="00F51221" w:rsidRPr="00F03917" w14:paraId="3DB50698" w14:textId="77777777" w:rsidTr="007F2DAE">
        <w:trPr>
          <w:cantSplit/>
        </w:trPr>
        <w:tc>
          <w:tcPr>
            <w:tcW w:w="2410" w:type="dxa"/>
          </w:tcPr>
          <w:p w14:paraId="54C69502" w14:textId="77777777" w:rsidR="00F51221" w:rsidRPr="00F03917" w:rsidRDefault="00F51221">
            <w:pPr>
              <w:pStyle w:val="TableText"/>
            </w:pPr>
            <w:r w:rsidRPr="00F03917">
              <w:lastRenderedPageBreak/>
              <w:t>Community engagement</w:t>
            </w:r>
          </w:p>
        </w:tc>
        <w:tc>
          <w:tcPr>
            <w:tcW w:w="6095" w:type="dxa"/>
          </w:tcPr>
          <w:p w14:paraId="614F63D0" w14:textId="77777777" w:rsidR="00F51221" w:rsidRPr="00F03917" w:rsidRDefault="00F51221">
            <w:pPr>
              <w:pStyle w:val="TableText"/>
              <w:rPr>
                <w:szCs w:val="18"/>
              </w:rPr>
            </w:pPr>
            <w:r w:rsidRPr="00F03917">
              <w:rPr>
                <w:szCs w:val="18"/>
              </w:rPr>
              <w:t>Engagement with communities, iwi and affected people is at the heart of local government decision-making. For this to be effective, communities must have enough information to understand the range of scenarios and the increasing risks posed by climate change over time.</w:t>
            </w:r>
          </w:p>
        </w:tc>
      </w:tr>
      <w:tr w:rsidR="00F51221" w:rsidRPr="00F03917" w14:paraId="0D563D31" w14:textId="77777777" w:rsidTr="007273C8">
        <w:tc>
          <w:tcPr>
            <w:tcW w:w="2410" w:type="dxa"/>
          </w:tcPr>
          <w:p w14:paraId="64CABB80" w14:textId="77777777" w:rsidR="00F51221" w:rsidRPr="00F03917" w:rsidRDefault="00F51221">
            <w:pPr>
              <w:pStyle w:val="TableText"/>
            </w:pPr>
            <w:r w:rsidRPr="00F03917">
              <w:t>Proportionality</w:t>
            </w:r>
          </w:p>
        </w:tc>
        <w:tc>
          <w:tcPr>
            <w:tcW w:w="6095" w:type="dxa"/>
          </w:tcPr>
          <w:p w14:paraId="508805E0" w14:textId="445967FB" w:rsidR="00F51221" w:rsidRPr="00F03917" w:rsidRDefault="00F51221">
            <w:pPr>
              <w:pStyle w:val="TableText"/>
            </w:pPr>
            <w:r w:rsidRPr="00F03917">
              <w:t>Decisions affecting small areas and few people and requiring little sunk investment may reasonably consider climate change effects over a shorter timeframe. Decisions that result in large scale and/or permanent change</w:t>
            </w:r>
            <w:r w:rsidR="488EB0F6" w:rsidRPr="00F03917">
              <w:t xml:space="preserve">, </w:t>
            </w:r>
            <w:r w:rsidR="2D793589" w:rsidRPr="00F03917">
              <w:t xml:space="preserve">that </w:t>
            </w:r>
            <w:r w:rsidRPr="00F03917">
              <w:t>affect important places of value and require considerable sunk investment must consider long-term impacts.</w:t>
            </w:r>
          </w:p>
        </w:tc>
      </w:tr>
      <w:tr w:rsidR="00F51221" w:rsidRPr="00F03917" w14:paraId="581C734F" w14:textId="77777777" w:rsidTr="007273C8">
        <w:tc>
          <w:tcPr>
            <w:tcW w:w="2410" w:type="dxa"/>
          </w:tcPr>
          <w:p w14:paraId="407639F9" w14:textId="77777777" w:rsidR="00F51221" w:rsidRPr="00F03917" w:rsidRDefault="00F51221">
            <w:pPr>
              <w:pStyle w:val="TableText"/>
            </w:pPr>
            <w:r w:rsidRPr="00F03917">
              <w:t>Financial responsibility and disclosure</w:t>
            </w:r>
          </w:p>
        </w:tc>
        <w:tc>
          <w:tcPr>
            <w:tcW w:w="6095" w:type="dxa"/>
          </w:tcPr>
          <w:p w14:paraId="129ACFA4" w14:textId="38BAE1A0" w:rsidR="00F51221" w:rsidRPr="00F03917" w:rsidRDefault="00F51221">
            <w:pPr>
              <w:pStyle w:val="TableText"/>
            </w:pPr>
            <w:r w:rsidRPr="00F03917">
              <w:t xml:space="preserve">Local government is expected to act within normal codes of financial responsibility on behalf of the community. Local authorities are required to disclose hazard information </w:t>
            </w:r>
            <w:r w:rsidR="00127293" w:rsidRPr="00F03917">
              <w:t xml:space="preserve">on Land </w:t>
            </w:r>
            <w:r w:rsidR="003E01AF" w:rsidRPr="00F03917">
              <w:t>Information</w:t>
            </w:r>
            <w:r w:rsidR="00350C1E" w:rsidRPr="00F03917">
              <w:t xml:space="preserve"> Memo</w:t>
            </w:r>
            <w:r w:rsidR="000420FA" w:rsidRPr="00F03917">
              <w:t>randa</w:t>
            </w:r>
            <w:r w:rsidRPr="00F03917">
              <w:t xml:space="preserve"> (except where it is apparent from a district plan). </w:t>
            </w:r>
            <w:r w:rsidR="00233C55" w:rsidRPr="00F03917">
              <w:t>Local government must also provide information on governance in relation to the risks and processes, metrics and targets used to assess and manage the risk, if requested by the Climate Change Commission or the Minister of Climate Change under s5ZW of Climate Change Response Act 20</w:t>
            </w:r>
            <w:r w:rsidR="00993E2D" w:rsidRPr="00F03917">
              <w:t>02</w:t>
            </w:r>
            <w:r w:rsidR="11A69FE3" w:rsidRPr="00F03917">
              <w:t>.</w:t>
            </w:r>
          </w:p>
        </w:tc>
      </w:tr>
    </w:tbl>
    <w:p w14:paraId="25880EFF" w14:textId="7BF28216" w:rsidR="007F2C38" w:rsidRPr="00F03917" w:rsidRDefault="007F2C38" w:rsidP="007273C8">
      <w:pPr>
        <w:pStyle w:val="Heading3"/>
        <w:numPr>
          <w:ilvl w:val="2"/>
          <w:numId w:val="18"/>
        </w:numPr>
      </w:pPr>
      <w:bookmarkStart w:id="14" w:name="_Toc147921096"/>
      <w:r w:rsidRPr="00F03917">
        <w:t>Applying a te ao Māori lens</w:t>
      </w:r>
      <w:bookmarkEnd w:id="14"/>
    </w:p>
    <w:p w14:paraId="34B6375A" w14:textId="7BC3C728" w:rsidR="00D540C3" w:rsidRPr="00F03917" w:rsidRDefault="00B36FDE" w:rsidP="00F455E4">
      <w:pPr>
        <w:pStyle w:val="BodyText"/>
        <w:spacing w:before="100" w:after="100"/>
      </w:pPr>
      <w:r w:rsidRPr="00F03917">
        <w:t>Applying a te ao Māori lens and implementing Māori values</w:t>
      </w:r>
      <w:r w:rsidR="004B271D" w:rsidRPr="00F03917">
        <w:t xml:space="preserve"> </w:t>
      </w:r>
      <w:r w:rsidR="171DA90E" w:rsidRPr="00F03917">
        <w:t>are</w:t>
      </w:r>
      <w:r w:rsidR="004B271D" w:rsidRPr="00F03917">
        <w:t xml:space="preserve"> </w:t>
      </w:r>
      <w:r w:rsidR="104119A2" w:rsidRPr="00F03917">
        <w:t>essential</w:t>
      </w:r>
      <w:r w:rsidR="004B271D" w:rsidRPr="00F03917">
        <w:t xml:space="preserve"> to managing and adapting to the impacts of climate change for Aotearoa.</w:t>
      </w:r>
      <w:r w:rsidR="00EE4B3A" w:rsidRPr="00F03917">
        <w:t xml:space="preserve"> Upholding the principles of </w:t>
      </w:r>
      <w:r w:rsidR="5CB089CD" w:rsidRPr="00F03917">
        <w:t>t</w:t>
      </w:r>
      <w:r w:rsidR="7F10541D" w:rsidRPr="00F03917">
        <w:t>e</w:t>
      </w:r>
      <w:r w:rsidR="00EE4B3A" w:rsidRPr="00F03917">
        <w:t xml:space="preserve"> Tiriti o</w:t>
      </w:r>
      <w:r w:rsidR="007F01FE" w:rsidRPr="00F03917">
        <w:t> </w:t>
      </w:r>
      <w:r w:rsidR="00EE4B3A" w:rsidRPr="00F03917">
        <w:t>Waitangi</w:t>
      </w:r>
      <w:r w:rsidR="00F14511" w:rsidRPr="00F03917">
        <w:rPr>
          <w:rStyle w:val="FootnoteReference"/>
        </w:rPr>
        <w:footnoteReference w:id="9"/>
      </w:r>
      <w:r w:rsidR="00EE4B3A" w:rsidRPr="00F03917">
        <w:t xml:space="preserve"> is a central aspect of the long-term adaptation strategy</w:t>
      </w:r>
      <w:r w:rsidR="00FA0F4A" w:rsidRPr="00F03917">
        <w:t>,</w:t>
      </w:r>
      <w:r w:rsidR="00F14511" w:rsidRPr="00F03917">
        <w:t xml:space="preserve"> </w:t>
      </w:r>
      <w:r w:rsidR="000F54F5" w:rsidRPr="00F03917">
        <w:t xml:space="preserve">as </w:t>
      </w:r>
      <w:r w:rsidR="00F14511" w:rsidRPr="00F03917">
        <w:t>outlined in the national adaptation plan (MfE, 2022a).</w:t>
      </w:r>
      <w:r w:rsidR="00977ED4" w:rsidRPr="00F03917">
        <w:rPr>
          <w:rStyle w:val="FootnoteReference"/>
        </w:rPr>
        <w:t xml:space="preserve"> </w:t>
      </w:r>
      <w:r w:rsidR="00540A53" w:rsidRPr="00F03917">
        <w:t>Applying a te ao Māori lens</w:t>
      </w:r>
      <w:r w:rsidR="00EE4B3A" w:rsidRPr="00F03917">
        <w:t xml:space="preserve"> means developing adaptation responses in partnership with Māori, elevating te ao Māori and mātauranga Māori in the adaptation process and empowering Māori in adaptation planning for Māori by Māori.</w:t>
      </w:r>
      <w:r w:rsidR="007F2C38" w:rsidRPr="00F03917">
        <w:t xml:space="preserve"> </w:t>
      </w:r>
    </w:p>
    <w:p w14:paraId="220A828B" w14:textId="52877494" w:rsidR="00EF54A4" w:rsidRPr="00F03917" w:rsidRDefault="001B73F8" w:rsidP="00F455E4">
      <w:pPr>
        <w:pStyle w:val="BodyText"/>
        <w:spacing w:before="100" w:after="100"/>
      </w:pPr>
      <w:r w:rsidRPr="00F03917">
        <w:t xml:space="preserve">Mātauranga Māori represents a valuable record of </w:t>
      </w:r>
      <w:r w:rsidR="09F28949" w:rsidRPr="00F03917">
        <w:t xml:space="preserve">the </w:t>
      </w:r>
      <w:r w:rsidRPr="00F03917">
        <w:t xml:space="preserve">environment that is unique to Aotearoa and is integral to </w:t>
      </w:r>
      <w:r w:rsidR="43B52EB1" w:rsidRPr="00F03917">
        <w:t>the</w:t>
      </w:r>
      <w:r w:rsidR="5B7E07A5" w:rsidRPr="00F03917">
        <w:t xml:space="preserve"> </w:t>
      </w:r>
      <w:r w:rsidRPr="00F03917">
        <w:t>collective responsibility to ensure a flourishing environment for all citizens. The equitable use of both knowledge systems in Aotearoa is a</w:t>
      </w:r>
      <w:r w:rsidR="08906FBC" w:rsidRPr="00F03917">
        <w:t>n important</w:t>
      </w:r>
      <w:r w:rsidRPr="00F03917">
        <w:t xml:space="preserve"> aspect to building resilience</w:t>
      </w:r>
      <w:r w:rsidR="00AE43A6" w:rsidRPr="00F03917">
        <w:t>,</w:t>
      </w:r>
      <w:r w:rsidRPr="00F03917">
        <w:t xml:space="preserve"> environmental solutions</w:t>
      </w:r>
      <w:r w:rsidR="005A7B81" w:rsidRPr="00F03917">
        <w:t xml:space="preserve"> and empowering Māori</w:t>
      </w:r>
      <w:r w:rsidR="00AE43A6" w:rsidRPr="00F03917">
        <w:t>,</w:t>
      </w:r>
      <w:r w:rsidR="005A7B81" w:rsidRPr="00F03917">
        <w:t xml:space="preserve"> </w:t>
      </w:r>
      <w:r w:rsidR="008211D2" w:rsidRPr="00F03917">
        <w:t>for example, through</w:t>
      </w:r>
      <w:r w:rsidR="005A7B81" w:rsidRPr="00F03917">
        <w:t xml:space="preserve"> weaving </w:t>
      </w:r>
      <w:r w:rsidR="008211D2" w:rsidRPr="00F03917">
        <w:t>t</w:t>
      </w:r>
      <w:r w:rsidR="005A7B81" w:rsidRPr="00F03917">
        <w:t xml:space="preserve">e </w:t>
      </w:r>
      <w:r w:rsidR="008211D2" w:rsidRPr="00F03917">
        <w:t>a</w:t>
      </w:r>
      <w:r w:rsidR="005A7B81" w:rsidRPr="00F03917">
        <w:t>o</w:t>
      </w:r>
      <w:r w:rsidR="008211D2" w:rsidRPr="00F03917">
        <w:t xml:space="preserve"> Māori</w:t>
      </w:r>
      <w:r w:rsidR="005A7B81" w:rsidRPr="00F03917">
        <w:t xml:space="preserve"> perspectives and mātauranga with </w:t>
      </w:r>
      <w:r w:rsidR="00C72BBE" w:rsidRPr="00F03917">
        <w:t>W</w:t>
      </w:r>
      <w:r w:rsidR="005A7B81" w:rsidRPr="00F03917">
        <w:t>estern science in a community-</w:t>
      </w:r>
      <w:r w:rsidR="004529D2" w:rsidRPr="00F03917">
        <w:t xml:space="preserve"> </w:t>
      </w:r>
      <w:r w:rsidR="5846CDB6" w:rsidRPr="00F03917">
        <w:t>and</w:t>
      </w:r>
      <w:r w:rsidR="005A7B81" w:rsidRPr="00F03917">
        <w:t xml:space="preserve"> marae-based environment </w:t>
      </w:r>
      <w:r w:rsidR="008211D2" w:rsidRPr="00F03917">
        <w:t xml:space="preserve">and </w:t>
      </w:r>
      <w:r w:rsidR="005A7B81" w:rsidRPr="00F03917">
        <w:t>partnering in co-designed projects.</w:t>
      </w:r>
      <w:r w:rsidR="00B36FDE" w:rsidRPr="00F03917">
        <w:t xml:space="preserve"> </w:t>
      </w:r>
    </w:p>
    <w:p w14:paraId="6A5DA8B6" w14:textId="6AC79F6C" w:rsidR="007F2C38" w:rsidRPr="00F03917" w:rsidRDefault="00881918" w:rsidP="00F455E4">
      <w:pPr>
        <w:pStyle w:val="BodyText"/>
        <w:spacing w:before="100" w:after="100"/>
      </w:pPr>
      <w:r w:rsidRPr="00F03917">
        <w:t>A</w:t>
      </w:r>
      <w:r w:rsidR="0E2F6280" w:rsidRPr="00F03917">
        <w:t>pplying</w:t>
      </w:r>
      <w:r w:rsidR="007F2C38" w:rsidRPr="00F03917">
        <w:t xml:space="preserve"> a te ao Māori lens in </w:t>
      </w:r>
      <w:r w:rsidR="2F4B42EE" w:rsidRPr="00F03917">
        <w:t>the</w:t>
      </w:r>
      <w:r w:rsidR="007F2C38" w:rsidRPr="00F03917">
        <w:t xml:space="preserve"> response to climate change can yield innovative solutions to complex problems. Empowering Māori so they can carry out</w:t>
      </w:r>
      <w:r w:rsidR="007F01FE" w:rsidRPr="00F03917">
        <w:t> </w:t>
      </w:r>
      <w:r w:rsidR="007F2C38" w:rsidRPr="00F03917">
        <w:t xml:space="preserve">their role as kaitiaki (guardians) gives them autonomy over the management of natural resources. </w:t>
      </w:r>
      <w:r w:rsidR="00DF527A" w:rsidRPr="00F03917">
        <w:t>Being able to exercise kaitiakitanga is both an expression and affirmation of rangatiratanga (chieftainship) (Jackson et al, 2017). Without rangatiratanga and the ability to lead on environmental matters at place through te ao Māori values, concepts and practices, it</w:t>
      </w:r>
      <w:r w:rsidR="007F01FE" w:rsidRPr="00F03917">
        <w:t> </w:t>
      </w:r>
      <w:r w:rsidR="00DF527A" w:rsidRPr="00F03917">
        <w:t>would be difficult</w:t>
      </w:r>
      <w:r w:rsidR="36C2267A" w:rsidRPr="00F03917">
        <w:t>,</w:t>
      </w:r>
      <w:r w:rsidR="00DF527A" w:rsidRPr="00F03917">
        <w:t xml:space="preserve"> if not impossible</w:t>
      </w:r>
      <w:r w:rsidR="71EF7B51" w:rsidRPr="00F03917">
        <w:t>,</w:t>
      </w:r>
      <w:r w:rsidR="00DF527A" w:rsidRPr="00F03917">
        <w:t xml:space="preserve"> to practise kaitiakitanga (Blair, 2002 as cited in McAllister et al, 2023; Selby et al, 2010).</w:t>
      </w:r>
      <w:r w:rsidR="007F2C38" w:rsidRPr="00F03917">
        <w:t xml:space="preserve"> As land managers, owners, guardians and governors of significant natural resources, Māori can contribute invaluable knowledge, skills and experience to environmental decision-making (Harmsworth</w:t>
      </w:r>
      <w:r w:rsidR="00554278" w:rsidRPr="00F03917">
        <w:t xml:space="preserve"> </w:t>
      </w:r>
      <w:r w:rsidR="12A219C6" w:rsidRPr="00F03917">
        <w:t>and</w:t>
      </w:r>
      <w:r w:rsidR="00554278" w:rsidRPr="00F03917">
        <w:t xml:space="preserve"> Awatere</w:t>
      </w:r>
      <w:r w:rsidR="007F2C38" w:rsidRPr="00F03917">
        <w:t>, 2013).</w:t>
      </w:r>
      <w:r w:rsidR="00022992" w:rsidRPr="00F03917">
        <w:t xml:space="preserve"> Some practices, such as mahinga kai</w:t>
      </w:r>
      <w:r w:rsidR="22506995" w:rsidRPr="00F03917">
        <w:t>,</w:t>
      </w:r>
      <w:r w:rsidR="00022992" w:rsidRPr="00F03917">
        <w:t xml:space="preserve"> and connections to taonga species are related to geographical locations</w:t>
      </w:r>
      <w:r w:rsidR="00240AA1" w:rsidRPr="00F03917">
        <w:t xml:space="preserve"> such as the coast</w:t>
      </w:r>
      <w:r w:rsidR="00022992" w:rsidRPr="00F03917">
        <w:t>.</w:t>
      </w:r>
      <w:r w:rsidR="007F2C38" w:rsidRPr="00F03917">
        <w:t xml:space="preserve"> Mātauranga Māori</w:t>
      </w:r>
      <w:r w:rsidR="00A11F9C" w:rsidRPr="00F03917">
        <w:t>,</w:t>
      </w:r>
      <w:r w:rsidR="007F2C38" w:rsidRPr="00F03917">
        <w:t xml:space="preserve"> at a hapū and iwi level</w:t>
      </w:r>
      <w:r w:rsidR="00A11F9C" w:rsidRPr="00F03917">
        <w:t>,</w:t>
      </w:r>
      <w:r w:rsidR="007F2C38" w:rsidRPr="00F03917">
        <w:t xml:space="preserve"> will be critical to informing local and central government climate adaptation responses (MfE, 2022</w:t>
      </w:r>
      <w:r w:rsidR="00554278" w:rsidRPr="00F03917">
        <w:t>a</w:t>
      </w:r>
      <w:r w:rsidR="007F2C38" w:rsidRPr="00F03917">
        <w:t>).</w:t>
      </w:r>
    </w:p>
    <w:p w14:paraId="261E2E67" w14:textId="5F146053" w:rsidR="007F2C38" w:rsidRPr="00F03917" w:rsidRDefault="007F2C38" w:rsidP="00F455E4">
      <w:pPr>
        <w:pStyle w:val="BodyText"/>
        <w:spacing w:before="100" w:after="100"/>
      </w:pPr>
      <w:r w:rsidRPr="00F03917">
        <w:lastRenderedPageBreak/>
        <w:t xml:space="preserve">Māori as tangata whenua (people of the land) and kaitiaki of their ancestral and cultural landscapes are </w:t>
      </w:r>
      <w:r w:rsidR="009809CD" w:rsidRPr="00F03917">
        <w:t xml:space="preserve">disproportionally </w:t>
      </w:r>
      <w:r w:rsidR="002C48DA" w:rsidRPr="00F03917">
        <w:t>affected</w:t>
      </w:r>
      <w:r w:rsidRPr="00F03917">
        <w:t xml:space="preserve"> </w:t>
      </w:r>
      <w:r w:rsidR="2E52C040" w:rsidRPr="00F03917">
        <w:t>by</w:t>
      </w:r>
      <w:r w:rsidRPr="00F03917">
        <w:t xml:space="preserve"> climate </w:t>
      </w:r>
      <w:r w:rsidR="007B06AF" w:rsidRPr="00F03917">
        <w:t>change</w:t>
      </w:r>
      <w:r w:rsidR="008866E2" w:rsidRPr="00F03917">
        <w:t xml:space="preserve"> </w:t>
      </w:r>
      <w:r w:rsidRPr="00F03917">
        <w:t>impacts on the natural environment for social, economic, cultural and spiritual reasons. Certain whānau, hapū and iwi will be disproportionately affected, as will Māori interests, values, practices and wellbeing. The Ihirangi report</w:t>
      </w:r>
      <w:r w:rsidR="33BFA39C" w:rsidRPr="00F03917">
        <w:t xml:space="preserve"> (Ihirangi, 2021)</w:t>
      </w:r>
      <w:r w:rsidR="6BB0EB05" w:rsidRPr="00F03917">
        <w:t xml:space="preserve"> </w:t>
      </w:r>
      <w:r w:rsidRPr="00F03917">
        <w:rPr>
          <w:i/>
          <w:iCs/>
        </w:rPr>
        <w:t xml:space="preserve">Insight to </w:t>
      </w:r>
      <w:r w:rsidR="14E5AC44" w:rsidRPr="00F03917">
        <w:rPr>
          <w:i/>
          <w:iCs/>
        </w:rPr>
        <w:t>the</w:t>
      </w:r>
      <w:r w:rsidRPr="00F03917">
        <w:rPr>
          <w:i/>
          <w:iCs/>
        </w:rPr>
        <w:t xml:space="preserve"> rauora indigenous worldview framework for the national climate change adaptation plan</w:t>
      </w:r>
      <w:r w:rsidR="4A360474" w:rsidRPr="00F03917">
        <w:t>,</w:t>
      </w:r>
      <w:r w:rsidRPr="00F03917">
        <w:t xml:space="preserve"> outlines that</w:t>
      </w:r>
      <w:r w:rsidR="2F77AEE5" w:rsidRPr="00F03917">
        <w:t>,</w:t>
      </w:r>
      <w:r w:rsidRPr="00F03917">
        <w:t xml:space="preserve"> while variations</w:t>
      </w:r>
      <w:r w:rsidR="0B9BF814" w:rsidRPr="00F03917">
        <w:t xml:space="preserve"> exist</w:t>
      </w:r>
      <w:r w:rsidR="4F104086" w:rsidRPr="00F03917">
        <w:t xml:space="preserve"> between affected communities</w:t>
      </w:r>
      <w:r w:rsidRPr="00F03917">
        <w:t>, nationally, this</w:t>
      </w:r>
      <w:r w:rsidR="71B873A7" w:rsidRPr="00F03917">
        <w:t xml:space="preserve"> </w:t>
      </w:r>
      <w:r w:rsidR="5DFC3DB4" w:rsidRPr="00F03917">
        <w:t>e</w:t>
      </w:r>
      <w:r w:rsidR="71B873A7" w:rsidRPr="00F03917">
        <w:t>ffect</w:t>
      </w:r>
      <w:r w:rsidRPr="00F03917">
        <w:t xml:space="preserve"> is</w:t>
      </w:r>
      <w:r w:rsidR="7391EBC0" w:rsidRPr="00F03917">
        <w:t xml:space="preserve"> disproportionate</w:t>
      </w:r>
      <w:r w:rsidRPr="00F03917">
        <w:t xml:space="preserve"> because many Māori populations: </w:t>
      </w:r>
    </w:p>
    <w:p w14:paraId="6EE6E88D" w14:textId="1FBB9C44" w:rsidR="007F2C38" w:rsidRPr="00F03917" w:rsidRDefault="3AA352BD" w:rsidP="006A486F">
      <w:pPr>
        <w:pStyle w:val="BulletFIX"/>
      </w:pPr>
      <w:r w:rsidRPr="00F03917">
        <w:t xml:space="preserve">have </w:t>
      </w:r>
      <w:r w:rsidRPr="00F03917">
        <w:rPr>
          <w:b/>
        </w:rPr>
        <w:t>strong connections to the whenua</w:t>
      </w:r>
      <w:r w:rsidRPr="00F03917">
        <w:t xml:space="preserve"> in terms of sustenance, relationship and identity</w:t>
      </w:r>
    </w:p>
    <w:p w14:paraId="2B745FD6" w14:textId="77777777" w:rsidR="007F2C38" w:rsidRPr="00F03917" w:rsidRDefault="3AA352BD" w:rsidP="006A486F">
      <w:pPr>
        <w:pStyle w:val="BulletFIX"/>
      </w:pPr>
      <w:r w:rsidRPr="00F03917">
        <w:t>live close to the coast, or in isolated, often impoverished communities</w:t>
      </w:r>
    </w:p>
    <w:p w14:paraId="2A8D5CE6" w14:textId="389B3E2A" w:rsidR="007F2C38" w:rsidRPr="00F03917" w:rsidRDefault="3AA352BD" w:rsidP="006A486F">
      <w:pPr>
        <w:pStyle w:val="BulletFIX"/>
      </w:pPr>
      <w:r w:rsidRPr="00F03917">
        <w:t xml:space="preserve">have </w:t>
      </w:r>
      <w:r w:rsidR="26F71CEF" w:rsidRPr="00F03917">
        <w:rPr>
          <w:b/>
        </w:rPr>
        <w:t xml:space="preserve">less </w:t>
      </w:r>
      <w:r w:rsidRPr="00F03917">
        <w:rPr>
          <w:b/>
        </w:rPr>
        <w:t>access to data</w:t>
      </w:r>
      <w:r w:rsidRPr="00F03917">
        <w:t xml:space="preserve"> and information about climate change</w:t>
      </w:r>
    </w:p>
    <w:p w14:paraId="0C31BA53" w14:textId="2E071E0D" w:rsidR="007F2C38" w:rsidRPr="00F03917" w:rsidRDefault="3AA352BD" w:rsidP="006A486F">
      <w:pPr>
        <w:pStyle w:val="BulletFIX"/>
      </w:pPr>
      <w:r w:rsidRPr="00F03917">
        <w:t xml:space="preserve">have </w:t>
      </w:r>
      <w:r w:rsidRPr="00F03917">
        <w:rPr>
          <w:b/>
        </w:rPr>
        <w:t>poor existing physical infrastructure</w:t>
      </w:r>
      <w:r w:rsidRPr="00F03917">
        <w:t xml:space="preserve"> (roading, water, sewerage) within their territories </w:t>
      </w:r>
    </w:p>
    <w:p w14:paraId="6AC5C2AA" w14:textId="18A19CA0" w:rsidR="007F2C38" w:rsidRPr="00F03917" w:rsidRDefault="3AA352BD" w:rsidP="006A486F">
      <w:pPr>
        <w:pStyle w:val="BulletFIX"/>
      </w:pPr>
      <w:r w:rsidRPr="00F03917">
        <w:t xml:space="preserve">are </w:t>
      </w:r>
      <w:r w:rsidRPr="00F03917">
        <w:rPr>
          <w:b/>
        </w:rPr>
        <w:t>heavily invested in primary industries</w:t>
      </w:r>
      <w:r w:rsidRPr="00F03917">
        <w:t xml:space="preserve"> that will be highly </w:t>
      </w:r>
      <w:r w:rsidR="3DC17117" w:rsidRPr="00F03917">
        <w:t>affected</w:t>
      </w:r>
      <w:r w:rsidRPr="00F03917">
        <w:t xml:space="preserve"> by climate disruption or mitigation measures</w:t>
      </w:r>
    </w:p>
    <w:p w14:paraId="3FC9DCA8" w14:textId="7E603AFA" w:rsidR="007F2C38" w:rsidRPr="00F03917" w:rsidRDefault="3AA352BD" w:rsidP="006A486F">
      <w:pPr>
        <w:pStyle w:val="BulletFIX"/>
      </w:pPr>
      <w:r w:rsidRPr="00F03917">
        <w:t xml:space="preserve">already have a high volume of </w:t>
      </w:r>
      <w:r w:rsidRPr="00F03917">
        <w:rPr>
          <w:b/>
        </w:rPr>
        <w:t>inadequate housing</w:t>
      </w:r>
    </w:p>
    <w:p w14:paraId="3E22FE43" w14:textId="113BE964" w:rsidR="007F2C38" w:rsidRPr="00F03917" w:rsidRDefault="7986F862" w:rsidP="006A486F">
      <w:pPr>
        <w:pStyle w:val="BulletFIX"/>
      </w:pPr>
      <w:r w:rsidRPr="00F03917">
        <w:t>are</w:t>
      </w:r>
      <w:r w:rsidR="3AA352BD" w:rsidRPr="00F03917">
        <w:t xml:space="preserve"> </w:t>
      </w:r>
      <w:r w:rsidR="3AA352BD" w:rsidRPr="00F03917">
        <w:rPr>
          <w:b/>
        </w:rPr>
        <w:t>already</w:t>
      </w:r>
      <w:r w:rsidR="007F2C38" w:rsidRPr="00F03917" w:rsidDel="007F2C38">
        <w:rPr>
          <w:b/>
        </w:rPr>
        <w:t xml:space="preserve"> </w:t>
      </w:r>
      <w:r w:rsidR="3AA352BD" w:rsidRPr="00F03917">
        <w:rPr>
          <w:b/>
        </w:rPr>
        <w:t>experiencing environmental stress</w:t>
      </w:r>
      <w:r w:rsidR="3AA352BD" w:rsidRPr="00F03917">
        <w:t>, water source pollution, degradation, overallocation or diversion of water</w:t>
      </w:r>
    </w:p>
    <w:p w14:paraId="5F811306" w14:textId="38C0A1E3" w:rsidR="007F2C38" w:rsidRPr="00F03917" w:rsidRDefault="3AA352BD" w:rsidP="006A486F">
      <w:pPr>
        <w:pStyle w:val="BulletFIX"/>
      </w:pPr>
      <w:r w:rsidRPr="00F03917">
        <w:t xml:space="preserve">experience </w:t>
      </w:r>
      <w:r w:rsidRPr="00F03917">
        <w:rPr>
          <w:b/>
        </w:rPr>
        <w:t>engagement challenges</w:t>
      </w:r>
      <w:r w:rsidRPr="00F03917">
        <w:t xml:space="preserve"> from large pockets of </w:t>
      </w:r>
      <w:r w:rsidRPr="00F03917">
        <w:rPr>
          <w:b/>
        </w:rPr>
        <w:t>socially and culturally disconnected</w:t>
      </w:r>
      <w:r w:rsidRPr="00F03917">
        <w:t xml:space="preserve"> tribal citizens, as </w:t>
      </w:r>
      <w:r w:rsidRPr="00F03917">
        <w:rPr>
          <w:b/>
        </w:rPr>
        <w:t>urbanisation</w:t>
      </w:r>
      <w:r w:rsidRPr="00F03917">
        <w:t xml:space="preserve"> disperses the iwi</w:t>
      </w:r>
      <w:r w:rsidR="43EEAD2B" w:rsidRPr="00F03917">
        <w:t>/</w:t>
      </w:r>
      <w:r w:rsidR="39D0927C" w:rsidRPr="00F03917">
        <w:t>hapū</w:t>
      </w:r>
      <w:r w:rsidR="00187517" w:rsidRPr="00F03917">
        <w:t xml:space="preserve"> </w:t>
      </w:r>
      <w:r w:rsidR="39D0927C" w:rsidRPr="00F03917">
        <w:t>population</w:t>
      </w:r>
      <w:r w:rsidRPr="00F03917">
        <w:t>.</w:t>
      </w:r>
    </w:p>
    <w:p w14:paraId="0E78FBFD" w14:textId="28CC5EC8" w:rsidR="000F3A2C" w:rsidRPr="00F03917" w:rsidRDefault="000F3A2C" w:rsidP="00F455E4">
      <w:pPr>
        <w:pStyle w:val="BodyText"/>
        <w:spacing w:before="100" w:after="100"/>
      </w:pPr>
      <w:r w:rsidRPr="00F03917">
        <w:t>Sea</w:t>
      </w:r>
      <w:r w:rsidR="005E5088" w:rsidRPr="00F03917">
        <w:t>-</w:t>
      </w:r>
      <w:r w:rsidRPr="00F03917">
        <w:t>level rise presents a significant concern for hapori Māori (Māori communities), particularly those residing in coastal areas. Approximately 14 per cent of Māori households are in areas highly susceptible to coastal inundation due to projected sea</w:t>
      </w:r>
      <w:r w:rsidR="00662A9C" w:rsidRPr="00F03917">
        <w:t>-</w:t>
      </w:r>
      <w:r w:rsidRPr="00F03917">
        <w:t>level rise (Te Puni Kōkiri, 2023).</w:t>
      </w:r>
      <w:r w:rsidR="0078741C" w:rsidRPr="00F03917">
        <w:t xml:space="preserve"> These findings bring attention to the significance of acknowledging and effectively addressing the vulnerabilities and risks experienced by Māori households residing in coastal areas.</w:t>
      </w:r>
      <w:r w:rsidRPr="00F03917">
        <w:t xml:space="preserve"> </w:t>
      </w:r>
      <w:r w:rsidR="00B520B8" w:rsidRPr="00F03917">
        <w:t xml:space="preserve">In particular, it highlights </w:t>
      </w:r>
      <w:r w:rsidR="59C9A7C5" w:rsidRPr="00F03917">
        <w:t>that</w:t>
      </w:r>
      <w:r w:rsidR="643FAE57" w:rsidRPr="00F03917">
        <w:t xml:space="preserve"> </w:t>
      </w:r>
      <w:r w:rsidR="00B520B8" w:rsidRPr="00F03917">
        <w:t>the challenges are more pronounced for older Māori households, necessitating greater adaptability measures. It underscores the need for targeted strategies, well-planned interventions, and continuous assessments to safeguard the resilience and wellbeing of this group (Te Puni Kōkiri, 2023).</w:t>
      </w:r>
      <w:r w:rsidRPr="00F03917">
        <w:t xml:space="preserve"> </w:t>
      </w:r>
    </w:p>
    <w:p w14:paraId="71901557" w14:textId="1DE905FA" w:rsidR="00EB5082" w:rsidRPr="00F03917" w:rsidRDefault="00A11F9C" w:rsidP="00F455E4">
      <w:pPr>
        <w:pStyle w:val="BodyText"/>
        <w:spacing w:before="100" w:after="100"/>
        <w:rPr>
          <w:color w:val="221F20"/>
        </w:rPr>
      </w:pPr>
      <w:r w:rsidRPr="00F03917">
        <w:t>I</w:t>
      </w:r>
      <w:r w:rsidR="00EB5082" w:rsidRPr="00F03917">
        <w:t>ndigenous communities are often challenged with histories that complicate their climate change adaptation planning with authorities, such as</w:t>
      </w:r>
      <w:r w:rsidR="00EB5082" w:rsidRPr="00F03917">
        <w:rPr>
          <w:b/>
        </w:rPr>
        <w:t xml:space="preserve"> land alienation and access</w:t>
      </w:r>
      <w:r w:rsidR="0000020F" w:rsidRPr="00F03917">
        <w:rPr>
          <w:b/>
        </w:rPr>
        <w:t xml:space="preserve"> to land and resources</w:t>
      </w:r>
      <w:r w:rsidR="00EB5082" w:rsidRPr="00F03917">
        <w:t>. These vulnerabilities are affecting Māori who now live in or near vulnerable locations</w:t>
      </w:r>
      <w:r w:rsidR="453BE642" w:rsidRPr="00F03917">
        <w:t>,</w:t>
      </w:r>
      <w:r w:rsidR="006B1D6D" w:rsidRPr="00F03917">
        <w:t xml:space="preserve"> </w:t>
      </w:r>
      <w:r w:rsidR="00FC1E7E" w:rsidRPr="00F03917">
        <w:t xml:space="preserve">such as at the coast and </w:t>
      </w:r>
      <w:r w:rsidR="6D1F9DE4" w:rsidRPr="00F03917">
        <w:t xml:space="preserve">adjacent </w:t>
      </w:r>
      <w:r w:rsidR="00FC1E7E" w:rsidRPr="00F03917">
        <w:t xml:space="preserve">low-lying land </w:t>
      </w:r>
      <w:r w:rsidR="006B1D6D" w:rsidRPr="00F03917">
        <w:t>(MfE</w:t>
      </w:r>
      <w:r w:rsidR="00C40B26" w:rsidRPr="00F03917">
        <w:t xml:space="preserve"> </w:t>
      </w:r>
      <w:r w:rsidR="256E0909" w:rsidRPr="00F03917">
        <w:t>and</w:t>
      </w:r>
      <w:r w:rsidR="00C40B26" w:rsidRPr="00F03917">
        <w:t xml:space="preserve"> Stats NZ</w:t>
      </w:r>
      <w:r w:rsidR="006B1D6D" w:rsidRPr="00F03917">
        <w:t>, 2023)</w:t>
      </w:r>
      <w:r w:rsidR="0018002E" w:rsidRPr="00F03917">
        <w:t>.</w:t>
      </w:r>
    </w:p>
    <w:p w14:paraId="479623AF" w14:textId="4CD27BDE" w:rsidR="00442F12" w:rsidRPr="00F03917" w:rsidRDefault="00442F12" w:rsidP="00F455E4">
      <w:pPr>
        <w:pStyle w:val="BodyText"/>
        <w:spacing w:before="100" w:after="100"/>
        <w:rPr>
          <w:color w:val="221F20"/>
        </w:rPr>
      </w:pPr>
      <w:r w:rsidRPr="00F03917">
        <w:t>De</w:t>
      </w:r>
      <w:r w:rsidR="000A0D5B" w:rsidRPr="00F03917">
        <w:t xml:space="preserve">spite being disproportionately affected, many </w:t>
      </w:r>
      <w:r w:rsidRPr="00F03917">
        <w:t xml:space="preserve">Māori communities are already planning, implementing and leading climate initiatives at place. Māori communities led efforts for recovery responses in severe weather events </w:t>
      </w:r>
      <w:r w:rsidR="00306E13" w:rsidRPr="00F03917">
        <w:t xml:space="preserve">in 2023 </w:t>
      </w:r>
      <w:r w:rsidRPr="00F03917">
        <w:t>and are often seen as leaders for adaptation and recovery work at place.</w:t>
      </w:r>
      <w:r w:rsidR="002A625F" w:rsidRPr="00F03917">
        <w:t xml:space="preserve"> Examples of Māori-led</w:t>
      </w:r>
      <w:r w:rsidR="002F7DE4" w:rsidRPr="00F03917">
        <w:t xml:space="preserve"> climate action initiatives are </w:t>
      </w:r>
      <w:r w:rsidR="00D80E51" w:rsidRPr="00F03917">
        <w:t>outline</w:t>
      </w:r>
      <w:r w:rsidR="00737C37" w:rsidRPr="00F03917">
        <w:t xml:space="preserve">d in </w:t>
      </w:r>
      <w:r w:rsidR="00946ACD" w:rsidRPr="00F03917">
        <w:t xml:space="preserve">the Ministry’s </w:t>
      </w:r>
      <w:r w:rsidR="004C37FD" w:rsidRPr="00F03917">
        <w:rPr>
          <w:i/>
        </w:rPr>
        <w:t>Community-led retreat and adaptation funding</w:t>
      </w:r>
      <w:r w:rsidR="00946ACD" w:rsidRPr="00F03917">
        <w:rPr>
          <w:i/>
          <w:iCs/>
        </w:rPr>
        <w:t>: Issues and options</w:t>
      </w:r>
      <w:r w:rsidR="004C37FD" w:rsidRPr="00F03917">
        <w:t xml:space="preserve"> </w:t>
      </w:r>
      <w:r w:rsidR="00FA7CFB" w:rsidRPr="00F03917">
        <w:t>(</w:t>
      </w:r>
      <w:r w:rsidR="00D76552" w:rsidRPr="00F03917">
        <w:t xml:space="preserve">MfE, </w:t>
      </w:r>
      <w:r w:rsidR="00FA7CFB" w:rsidRPr="00F03917">
        <w:t>2023</w:t>
      </w:r>
      <w:r w:rsidR="004A49F3" w:rsidRPr="00F03917">
        <w:t>a</w:t>
      </w:r>
      <w:r w:rsidR="00FA7CFB" w:rsidRPr="00F03917">
        <w:t>).</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7F2C38" w:rsidRPr="00F03917" w14:paraId="18C1E760" w14:textId="77777777">
        <w:tc>
          <w:tcPr>
            <w:tcW w:w="8505" w:type="dxa"/>
            <w:shd w:val="clear" w:color="auto" w:fill="D5EBE8" w:themeFill="accent3"/>
          </w:tcPr>
          <w:p w14:paraId="75C3C057" w14:textId="2D9E7E19" w:rsidR="007F2C38" w:rsidRPr="00F03917" w:rsidRDefault="007F2C38">
            <w:pPr>
              <w:pStyle w:val="Boxheading"/>
              <w:spacing w:before="180"/>
            </w:pPr>
            <w:r w:rsidRPr="00F03917">
              <w:lastRenderedPageBreak/>
              <w:t xml:space="preserve">Rauora </w:t>
            </w:r>
            <w:r w:rsidR="005655BA" w:rsidRPr="00F03917">
              <w:t>F</w:t>
            </w:r>
            <w:r w:rsidRPr="00F03917">
              <w:t>ramework</w:t>
            </w:r>
          </w:p>
          <w:p w14:paraId="3D5C4B4F" w14:textId="49E33F31" w:rsidR="007F2C38" w:rsidRPr="00F03917" w:rsidRDefault="007F2C38">
            <w:pPr>
              <w:pStyle w:val="Boxtext"/>
              <w:spacing w:after="180"/>
            </w:pPr>
            <w:r w:rsidRPr="00F03917">
              <w:t xml:space="preserve">The Rauora </w:t>
            </w:r>
            <w:r w:rsidR="005655BA" w:rsidRPr="00F03917">
              <w:t>F</w:t>
            </w:r>
            <w:r w:rsidRPr="00F03917">
              <w:t>ramework aims to promote transformative strategies by providing mātauranga-centric guidance to both Māori communities and national climate change responses (Areta,</w:t>
            </w:r>
            <w:r w:rsidR="00831324" w:rsidRPr="00F03917">
              <w:t> </w:t>
            </w:r>
            <w:r w:rsidRPr="00F03917">
              <w:t>2023; Tapsell, 2022). It is an ambitious framework that advocates innovative climate</w:t>
            </w:r>
            <w:r w:rsidR="00831324" w:rsidRPr="00F03917">
              <w:t> </w:t>
            </w:r>
            <w:r w:rsidRPr="00F03917">
              <w:t xml:space="preserve">approaches through an </w:t>
            </w:r>
            <w:r w:rsidR="008E4DC5" w:rsidRPr="00F03917">
              <w:t>I</w:t>
            </w:r>
            <w:r w:rsidRPr="00F03917">
              <w:t>ndigenous lens (Ihirangi, 2021). The framework offers a comprehensive perspective on climate change from a Māori standpoint, guiding Māori in tackling climate challenges and contributing to the existing literature on Māori perspectives of</w:t>
            </w:r>
            <w:r w:rsidR="00831324" w:rsidRPr="00F03917">
              <w:t> </w:t>
            </w:r>
            <w:r w:rsidRPr="00F03917">
              <w:t>climate change (Areta, 2023).</w:t>
            </w:r>
            <w:r w:rsidR="00E02AD9" w:rsidRPr="00F03917" w:rsidDel="00E02AD9">
              <w:rPr>
                <w:bCs/>
              </w:rPr>
              <w:t xml:space="preserve"> </w:t>
            </w:r>
          </w:p>
        </w:tc>
      </w:tr>
    </w:tbl>
    <w:p w14:paraId="5C8D7323" w14:textId="798674A9" w:rsidR="008D59C4" w:rsidRPr="00F03917" w:rsidRDefault="00B57283" w:rsidP="00B765D7">
      <w:pPr>
        <w:pStyle w:val="Heading2"/>
        <w:numPr>
          <w:ilvl w:val="1"/>
          <w:numId w:val="17"/>
        </w:numPr>
      </w:pPr>
      <w:bookmarkStart w:id="15" w:name="_Toc160096234"/>
      <w:r w:rsidRPr="00F03917">
        <w:t>Set the context</w:t>
      </w:r>
      <w:r w:rsidR="00FC6117" w:rsidRPr="00F03917">
        <w:t xml:space="preserve"> and prepare</w:t>
      </w:r>
      <w:bookmarkStart w:id="16" w:name="_Toc456627111"/>
      <w:bookmarkStart w:id="17" w:name="_Toc466014382"/>
      <w:bookmarkEnd w:id="15"/>
    </w:p>
    <w:p w14:paraId="2E3A28E1" w14:textId="27E12334" w:rsidR="00B168AB" w:rsidRPr="00F03917" w:rsidRDefault="00B168AB" w:rsidP="00B765D7">
      <w:pPr>
        <w:pStyle w:val="Heading3"/>
        <w:numPr>
          <w:ilvl w:val="2"/>
          <w:numId w:val="20"/>
        </w:numPr>
        <w:spacing w:before="240"/>
      </w:pPr>
      <w:r w:rsidRPr="00F03917">
        <w:t>C</w:t>
      </w:r>
      <w:r w:rsidR="00231113" w:rsidRPr="00F03917">
        <w:t>oastal hazards and c</w:t>
      </w:r>
      <w:r w:rsidRPr="00F03917">
        <w:t xml:space="preserve">limate change </w:t>
      </w:r>
    </w:p>
    <w:p w14:paraId="33ED2958" w14:textId="7ECEF371" w:rsidR="004E4A36" w:rsidRPr="00F03917" w:rsidRDefault="008A607E" w:rsidP="00B86515">
      <w:pPr>
        <w:pStyle w:val="BodyText"/>
        <w:spacing w:after="100"/>
      </w:pPr>
      <w:r w:rsidRPr="00F03917">
        <w:t xml:space="preserve">Coastal </w:t>
      </w:r>
      <w:r w:rsidR="0002422D" w:rsidRPr="00F03917">
        <w:t>hazards</w:t>
      </w:r>
      <w:r w:rsidR="007251FE" w:rsidRPr="00F03917">
        <w:t xml:space="preserve"> have had both an historic and ongoing impact across coastal</w:t>
      </w:r>
      <w:r w:rsidR="00891CF8" w:rsidRPr="00F03917">
        <w:t xml:space="preserve"> Aotearoa</w:t>
      </w:r>
      <w:r w:rsidR="008A0DA9" w:rsidRPr="00F03917">
        <w:t xml:space="preserve"> irrespective of climate change and SLR. </w:t>
      </w:r>
      <w:r w:rsidR="0024175E" w:rsidRPr="00F03917">
        <w:t>However, c</w:t>
      </w:r>
      <w:r w:rsidR="008C1971" w:rsidRPr="00F03917">
        <w:t xml:space="preserve">limate change </w:t>
      </w:r>
      <w:r w:rsidR="00773144" w:rsidRPr="00F03917">
        <w:t xml:space="preserve">will </w:t>
      </w:r>
      <w:r w:rsidR="008C1971" w:rsidRPr="00F03917">
        <w:t>generat</w:t>
      </w:r>
      <w:r w:rsidR="00773144" w:rsidRPr="00F03917">
        <w:t>e</w:t>
      </w:r>
      <w:r w:rsidR="008C1971" w:rsidRPr="00F03917">
        <w:t xml:space="preserve"> increas</w:t>
      </w:r>
      <w:r w:rsidR="00773144" w:rsidRPr="00F03917">
        <w:t>ing</w:t>
      </w:r>
      <w:r w:rsidR="008C1971" w:rsidRPr="00F03917">
        <w:t xml:space="preserve"> risk across coastal Aotearoa, which will be ongoing for</w:t>
      </w:r>
      <w:r w:rsidR="00F71591" w:rsidRPr="00F03917">
        <w:t> </w:t>
      </w:r>
      <w:r w:rsidR="008C1971" w:rsidRPr="00F03917">
        <w:t>centuries due to SLR and other climate change effects</w:t>
      </w:r>
      <w:r w:rsidR="003039D7" w:rsidRPr="00F03917">
        <w:t xml:space="preserve"> (see </w:t>
      </w:r>
      <w:hyperlink w:anchor="_Supplements" w:history="1">
        <w:r w:rsidR="007B24AC" w:rsidRPr="00F03917">
          <w:rPr>
            <w:rStyle w:val="Hyperlink"/>
            <w:i/>
            <w:iCs/>
          </w:rPr>
          <w:t>Climate change, sea-level rise and coastal hazards science: Coastal hazards and climate change guidance – Supplement A</w:t>
        </w:r>
      </w:hyperlink>
      <w:r w:rsidR="00D27CE0" w:rsidRPr="00F03917">
        <w:t>).</w:t>
      </w:r>
      <w:r w:rsidR="008C1971" w:rsidRPr="00F03917">
        <w:t xml:space="preserve"> </w:t>
      </w:r>
    </w:p>
    <w:p w14:paraId="5AB3363B" w14:textId="4F5CBDE0" w:rsidR="00B57283" w:rsidRPr="00F03917" w:rsidRDefault="008C1971" w:rsidP="00B86515">
      <w:pPr>
        <w:pStyle w:val="BodyText"/>
        <w:spacing w:after="100"/>
        <w:rPr>
          <w:rFonts w:cs="Arial"/>
        </w:rPr>
      </w:pPr>
      <w:r w:rsidRPr="00F03917">
        <w:t xml:space="preserve">The term ‘hazard’ is used in this guidance to describe </w:t>
      </w:r>
      <w:r w:rsidR="004963ED" w:rsidRPr="00F03917">
        <w:t xml:space="preserve">one of </w:t>
      </w:r>
      <w:r w:rsidRPr="00F03917">
        <w:t xml:space="preserve">the </w:t>
      </w:r>
      <w:r w:rsidR="00AE78D1" w:rsidRPr="00F03917">
        <w:t>component</w:t>
      </w:r>
      <w:r w:rsidR="00B6719A" w:rsidRPr="00F03917">
        <w:t>s</w:t>
      </w:r>
      <w:r w:rsidR="00AE78D1" w:rsidRPr="00F03917">
        <w:t xml:space="preserve"> </w:t>
      </w:r>
      <w:r w:rsidRPr="00F03917">
        <w:t>that drives the accelerating risks arising from climate change</w:t>
      </w:r>
      <w:r w:rsidR="00B00113" w:rsidRPr="00F03917">
        <w:t xml:space="preserve"> along with the exposure</w:t>
      </w:r>
      <w:r w:rsidR="00C04D52" w:rsidRPr="00F03917">
        <w:t xml:space="preserve"> and vulnerability</w:t>
      </w:r>
      <w:r w:rsidR="00B00113" w:rsidRPr="00F03917">
        <w:t xml:space="preserve"> of people</w:t>
      </w:r>
      <w:r w:rsidR="763B9711" w:rsidRPr="00F03917">
        <w:t>,</w:t>
      </w:r>
      <w:r w:rsidR="00B00113" w:rsidRPr="00F03917">
        <w:t xml:space="preserve"> their assets and things they value</w:t>
      </w:r>
      <w:r w:rsidRPr="00F03917">
        <w:t>. The ‘hazard’ component of risk in a changing climate for coastal areas can be related to either:</w:t>
      </w:r>
    </w:p>
    <w:p w14:paraId="2834574B" w14:textId="7964A839" w:rsidR="00B57283" w:rsidRPr="00F03917" w:rsidRDefault="4C7D3033" w:rsidP="006A486F">
      <w:pPr>
        <w:pStyle w:val="BulletFIX"/>
      </w:pPr>
      <w:r w:rsidRPr="00F03917">
        <w:rPr>
          <w:i/>
        </w:rPr>
        <w:t>a worsening of hazard events</w:t>
      </w:r>
      <w:r w:rsidRPr="00F03917">
        <w:t xml:space="preserve"> (magnitude, </w:t>
      </w:r>
      <w:r w:rsidR="281D0E20" w:rsidRPr="00F03917">
        <w:t xml:space="preserve">increasing </w:t>
      </w:r>
      <w:r w:rsidRPr="00F03917">
        <w:t>frequency</w:t>
      </w:r>
      <w:r w:rsidR="2E88A166" w:rsidRPr="00F03917">
        <w:t xml:space="preserve">, </w:t>
      </w:r>
      <w:r w:rsidR="0B300CB5" w:rsidRPr="00F03917">
        <w:t>persisten</w:t>
      </w:r>
      <w:r w:rsidR="281D0E20" w:rsidRPr="00F03917">
        <w:t>t</w:t>
      </w:r>
      <w:r w:rsidR="0B300CB5" w:rsidRPr="00F03917">
        <w:t xml:space="preserve"> </w:t>
      </w:r>
      <w:r w:rsidR="2E88A166" w:rsidRPr="00F03917">
        <w:t xml:space="preserve">and compound or multiple contributors) </w:t>
      </w:r>
      <w:r w:rsidRPr="00F03917">
        <w:t>that are conventionally seen as a hazard (eg, more frequent coastal flooding or erosion), or</w:t>
      </w:r>
    </w:p>
    <w:p w14:paraId="6FADFAE4" w14:textId="5AB86633" w:rsidR="00B57283" w:rsidRPr="00F03917" w:rsidRDefault="00B57283" w:rsidP="006A486F">
      <w:pPr>
        <w:pStyle w:val="BulletFIX"/>
      </w:pPr>
      <w:r w:rsidRPr="00F03917">
        <w:rPr>
          <w:i/>
        </w:rPr>
        <w:t xml:space="preserve">a progressive change </w:t>
      </w:r>
      <w:r w:rsidR="00126993" w:rsidRPr="00F03917">
        <w:rPr>
          <w:i/>
        </w:rPr>
        <w:t xml:space="preserve">to the </w:t>
      </w:r>
      <w:r w:rsidR="004302E8" w:rsidRPr="00F03917">
        <w:rPr>
          <w:i/>
        </w:rPr>
        <w:t xml:space="preserve">coastal </w:t>
      </w:r>
      <w:r w:rsidR="00126993" w:rsidRPr="00F03917">
        <w:rPr>
          <w:i/>
        </w:rPr>
        <w:t>environment</w:t>
      </w:r>
      <w:r w:rsidR="79822BBB" w:rsidRPr="00F03917">
        <w:rPr>
          <w:i/>
          <w:iCs/>
        </w:rPr>
        <w:t>,</w:t>
      </w:r>
      <w:r w:rsidR="00161F67" w:rsidRPr="00F03917">
        <w:rPr>
          <w:rStyle w:val="FootnoteReference"/>
        </w:rPr>
        <w:footnoteReference w:id="10"/>
      </w:r>
      <w:r w:rsidR="00126993" w:rsidRPr="00F03917">
        <w:t xml:space="preserve"> caused by climate change</w:t>
      </w:r>
      <w:r w:rsidR="00126993" w:rsidRPr="00F03917" w:rsidDel="00B57283">
        <w:t xml:space="preserve"> </w:t>
      </w:r>
      <w:r w:rsidRPr="00F03917">
        <w:t xml:space="preserve">(eg, a rise in sea level, </w:t>
      </w:r>
      <w:r w:rsidR="00870AD9" w:rsidRPr="00F03917">
        <w:t>rise in estuary</w:t>
      </w:r>
      <w:r w:rsidR="2B3EBCFB" w:rsidRPr="00F03917">
        <w:t xml:space="preserve"> and</w:t>
      </w:r>
      <w:r w:rsidR="00870AD9" w:rsidRPr="00F03917">
        <w:t>/</w:t>
      </w:r>
      <w:r w:rsidR="0191A997" w:rsidRPr="00F03917">
        <w:t xml:space="preserve">or </w:t>
      </w:r>
      <w:r w:rsidR="00870AD9" w:rsidRPr="00F03917">
        <w:t xml:space="preserve">harbour temperatures and increased rainfall intensity) </w:t>
      </w:r>
      <w:r w:rsidR="00D67A20" w:rsidRPr="00F03917">
        <w:t>and </w:t>
      </w:r>
      <w:r w:rsidR="00870AD9" w:rsidRPr="00F03917">
        <w:t xml:space="preserve">related impacts from </w:t>
      </w:r>
      <w:r w:rsidRPr="00F03917">
        <w:t>groundwater</w:t>
      </w:r>
      <w:r w:rsidR="002146F8" w:rsidRPr="00F03917">
        <w:t xml:space="preserve"> rise and increasing salinity of lowland freshwater systems</w:t>
      </w:r>
      <w:r w:rsidRPr="00F03917">
        <w:t>,</w:t>
      </w:r>
      <w:r w:rsidRPr="00F03917" w:rsidDel="002146F8">
        <w:t xml:space="preserve"> </w:t>
      </w:r>
      <w:r w:rsidRPr="00F03917">
        <w:t>which will likely be irreversible for the foreseeable future.</w:t>
      </w:r>
    </w:p>
    <w:p w14:paraId="4A990993" w14:textId="77777777" w:rsidR="000F65C5" w:rsidRPr="00F03917" w:rsidRDefault="000F65C5" w:rsidP="007F01FE">
      <w:pPr>
        <w:pStyle w:val="BodyText"/>
      </w:pPr>
      <w:r w:rsidRPr="00F03917">
        <w:t>This guidance focuses on three types of coastal hazards that are exacerbated by climate change:</w:t>
      </w:r>
    </w:p>
    <w:p w14:paraId="6C113034" w14:textId="77777777" w:rsidR="000F65C5" w:rsidRPr="00F03917" w:rsidRDefault="000F65C5" w:rsidP="006A486F">
      <w:pPr>
        <w:pStyle w:val="BulletFIX"/>
      </w:pPr>
      <w:r w:rsidRPr="00F03917">
        <w:rPr>
          <w:b/>
          <w:bCs/>
        </w:rPr>
        <w:t>coastal erosion</w:t>
      </w:r>
      <w:r w:rsidRPr="00F03917">
        <w:rPr>
          <w:b/>
        </w:rPr>
        <w:t xml:space="preserve"> </w:t>
      </w:r>
      <w:r w:rsidRPr="00F03917">
        <w:rPr>
          <w:b/>
          <w:bCs/>
        </w:rPr>
        <w:t>and coastal instability</w:t>
      </w:r>
      <w:r w:rsidRPr="00F03917">
        <w:t xml:space="preserve"> caused by coastal processes, storms, SLR and changes in long-term sediment processes. </w:t>
      </w:r>
    </w:p>
    <w:p w14:paraId="6A7338FE" w14:textId="77777777" w:rsidR="000F65C5" w:rsidRPr="00F03917" w:rsidRDefault="000F65C5" w:rsidP="006A486F">
      <w:pPr>
        <w:pStyle w:val="BulletFIX"/>
      </w:pPr>
      <w:r w:rsidRPr="00F03917">
        <w:rPr>
          <w:b/>
          <w:bCs/>
        </w:rPr>
        <w:t>coastal flooding</w:t>
      </w:r>
      <w:r w:rsidRPr="00F03917">
        <w:t xml:space="preserve"> caused by storms and changed climatic conditions, or progressive inundation from high tides, all exacerbated by ongoing SLR. </w:t>
      </w:r>
    </w:p>
    <w:p w14:paraId="615E5D16" w14:textId="77777777" w:rsidR="000F65C5" w:rsidRPr="00F03917" w:rsidRDefault="000F65C5" w:rsidP="006A486F">
      <w:pPr>
        <w:pStyle w:val="BulletFIX"/>
      </w:pPr>
      <w:r w:rsidRPr="00F03917">
        <w:rPr>
          <w:b/>
          <w:bCs/>
        </w:rPr>
        <w:t>rising groundwater</w:t>
      </w:r>
      <w:r w:rsidRPr="00F03917">
        <w:t xml:space="preserve"> (including compound flood hazards) </w:t>
      </w:r>
      <w:r w:rsidRPr="00F03917">
        <w:rPr>
          <w:b/>
        </w:rPr>
        <w:t>and progressive salinisation</w:t>
      </w:r>
      <w:r w:rsidRPr="00F03917">
        <w:t xml:space="preserve"> in coastal areas and inland low-lying coastal plains. </w:t>
      </w:r>
    </w:p>
    <w:p w14:paraId="7C25F5A5" w14:textId="5EAA016F" w:rsidR="000F65C5" w:rsidRPr="00F03917" w:rsidRDefault="000F65C5" w:rsidP="007F01FE">
      <w:pPr>
        <w:pStyle w:val="BodyText"/>
      </w:pPr>
      <w:r w:rsidRPr="00F03917">
        <w:lastRenderedPageBreak/>
        <w:t>These hazards will generate cascading direct and indirect impacts on coastal systems and human wellbeing.</w:t>
      </w:r>
      <w:r w:rsidRPr="00F03917">
        <w:rPr>
          <w:vertAlign w:val="superscript"/>
        </w:rPr>
        <w:footnoteReference w:id="11"/>
      </w:r>
      <w:r w:rsidRPr="00F03917">
        <w:t xml:space="preserve"> However, unpacking how climate change will affect these hazards is complex </w:t>
      </w:r>
      <w:r w:rsidR="0D014790" w:rsidRPr="00F03917">
        <w:t>because</w:t>
      </w:r>
      <w:r w:rsidRPr="00F03917">
        <w:t xml:space="preserve"> current coastal erosion patterns may be more dominant or obscure the impact of</w:t>
      </w:r>
      <w:r w:rsidR="00814607" w:rsidRPr="00F03917">
        <w:t> </w:t>
      </w:r>
      <w:r w:rsidRPr="00F03917">
        <w:t>SLR for many decades to come</w:t>
      </w:r>
      <w:r w:rsidR="003663B5" w:rsidRPr="00F03917">
        <w:t xml:space="preserve"> (Dickson and Thompson, 2020)</w:t>
      </w:r>
      <w:r w:rsidRPr="00F03917">
        <w:t xml:space="preserve">. </w:t>
      </w:r>
    </w:p>
    <w:p w14:paraId="18BE963B" w14:textId="77777777" w:rsidR="00B57283" w:rsidRPr="00F03917" w:rsidRDefault="00000000" w:rsidP="007F01FE">
      <w:pPr>
        <w:pStyle w:val="BodyText"/>
      </w:pPr>
      <w:hyperlink r:id="rId45" w:history="1">
        <w:r w:rsidR="00B57283" w:rsidRPr="00F03917">
          <w:rPr>
            <w:rStyle w:val="BodyTextChar"/>
          </w:rPr>
          <w:t>Figure</w:t>
        </w:r>
        <w:r w:rsidR="00AE739B" w:rsidRPr="00F03917">
          <w:rPr>
            <w:rStyle w:val="BodyTextChar"/>
          </w:rPr>
          <w:t xml:space="preserve"> </w:t>
        </w:r>
        <w:r w:rsidR="00205E06" w:rsidRPr="00F03917">
          <w:rPr>
            <w:rStyle w:val="BodyTextChar"/>
          </w:rPr>
          <w:t>3</w:t>
        </w:r>
      </w:hyperlink>
      <w:r w:rsidR="00B57283" w:rsidRPr="00F03917">
        <w:rPr>
          <w:rStyle w:val="BodyTextChar"/>
        </w:rPr>
        <w:t xml:space="preserve"> summarises how climate change driven hazards (SLR and changes in storms, precipitation and surface temperatures) exacerbate extreme events </w:t>
      </w:r>
      <w:r w:rsidR="00E15C4A" w:rsidRPr="00F03917">
        <w:rPr>
          <w:rStyle w:val="BodyTextChar"/>
        </w:rPr>
        <w:t xml:space="preserve">and </w:t>
      </w:r>
      <w:r w:rsidR="00B57283" w:rsidRPr="00F03917">
        <w:rPr>
          <w:rStyle w:val="BodyTextChar"/>
        </w:rPr>
        <w:t xml:space="preserve">lead to </w:t>
      </w:r>
      <w:r w:rsidR="00102BD3" w:rsidRPr="00F03917">
        <w:rPr>
          <w:rStyle w:val="BodyTextChar"/>
        </w:rPr>
        <w:t xml:space="preserve">progressive </w:t>
      </w:r>
      <w:r w:rsidR="00182FA5" w:rsidRPr="00F03917">
        <w:rPr>
          <w:rStyle w:val="BodyTextChar"/>
        </w:rPr>
        <w:t xml:space="preserve">and permanent </w:t>
      </w:r>
      <w:r w:rsidR="00B57283" w:rsidRPr="00F03917">
        <w:rPr>
          <w:rStyle w:val="BodyTextChar"/>
        </w:rPr>
        <w:t>impacts on the coastal environment.</w:t>
      </w:r>
      <w:r w:rsidR="00B57283" w:rsidRPr="00F03917">
        <w:t xml:space="preserve"> </w:t>
      </w:r>
    </w:p>
    <w:p w14:paraId="6A52B7CC" w14:textId="003DFBB7" w:rsidR="00B57283" w:rsidRPr="00F03917" w:rsidRDefault="00205E06" w:rsidP="00C52920">
      <w:pPr>
        <w:pStyle w:val="Figureheading"/>
      </w:pPr>
      <w:bookmarkStart w:id="18" w:name="figure3"/>
      <w:bookmarkStart w:id="19" w:name="_Toc160098418"/>
      <w:bookmarkEnd w:id="18"/>
      <w:r w:rsidRPr="00F03917">
        <w:lastRenderedPageBreak/>
        <w:t xml:space="preserve">Figure 3: </w:t>
      </w:r>
      <w:r w:rsidR="006C38D5" w:rsidRPr="00F03917">
        <w:tab/>
      </w:r>
      <w:r w:rsidR="00B57283" w:rsidRPr="00F03917">
        <w:t>Climate</w:t>
      </w:r>
      <w:r w:rsidR="00A40B92" w:rsidRPr="00F03917">
        <w:t xml:space="preserve"> </w:t>
      </w:r>
      <w:r w:rsidR="00B57283" w:rsidRPr="00F03917">
        <w:t>change driven hazards that generate coastal impacts</w:t>
      </w:r>
      <w:bookmarkEnd w:id="19"/>
    </w:p>
    <w:p w14:paraId="0261F69D" w14:textId="77777777" w:rsidR="00B57283" w:rsidRPr="00F03917" w:rsidRDefault="00B57283" w:rsidP="00E94778">
      <w:pPr>
        <w:pStyle w:val="BodyText"/>
        <w:spacing w:before="80" w:after="80"/>
        <w:jc w:val="center"/>
      </w:pPr>
      <w:r w:rsidRPr="00F03917">
        <w:rPr>
          <w:noProof/>
        </w:rPr>
        <w:drawing>
          <wp:inline distT="0" distB="0" distL="0" distR="0" wp14:anchorId="04BECE1F" wp14:editId="4B186224">
            <wp:extent cx="5501908" cy="7138632"/>
            <wp:effectExtent l="0" t="0" r="0" b="5715"/>
            <wp:docPr id="1106608927" name="Picture 1106608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608927" name="Picture 1106608927"/>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501908" cy="7138632"/>
                    </a:xfrm>
                    <a:prstGeom prst="rect">
                      <a:avLst/>
                    </a:prstGeom>
                    <a:noFill/>
                    <a:ln>
                      <a:noFill/>
                    </a:ln>
                  </pic:spPr>
                </pic:pic>
              </a:graphicData>
            </a:graphic>
          </wp:inline>
        </w:drawing>
      </w:r>
    </w:p>
    <w:p w14:paraId="0AE5AEF7" w14:textId="45762D14" w:rsidR="007F01FE" w:rsidRPr="00F03917" w:rsidRDefault="005E3D6D" w:rsidP="00B86515">
      <w:pPr>
        <w:pStyle w:val="Source"/>
        <w:spacing w:before="60" w:after="60"/>
      </w:pPr>
      <w:bookmarkStart w:id="20" w:name="_Toc144147147"/>
      <w:bookmarkEnd w:id="16"/>
      <w:bookmarkEnd w:id="17"/>
      <w:r w:rsidRPr="00F03917">
        <w:t xml:space="preserve">Note: Tide range may change in estuaries, harbours and lowland tidal rivers if sedimentation is not able to keep up with RSLR. </w:t>
      </w:r>
    </w:p>
    <w:p w14:paraId="02CFBE85" w14:textId="2875F0CE" w:rsidR="00B57283" w:rsidRPr="00F03917" w:rsidRDefault="12C6333E" w:rsidP="00B86515">
      <w:pPr>
        <w:pStyle w:val="Source"/>
        <w:spacing w:before="60" w:after="60"/>
      </w:pPr>
      <w:r w:rsidRPr="00F03917">
        <w:t xml:space="preserve">Source: </w:t>
      </w:r>
      <w:r w:rsidR="00B57283" w:rsidRPr="00F03917">
        <w:t>Adapted from figure 13 of Bell et al (2001)</w:t>
      </w:r>
      <w:bookmarkEnd w:id="20"/>
    </w:p>
    <w:p w14:paraId="3A85E4B5" w14:textId="7648CF4F" w:rsidR="003A7F73" w:rsidRPr="00F03917" w:rsidRDefault="00B57283" w:rsidP="00A27416">
      <w:pPr>
        <w:pStyle w:val="BodyText"/>
        <w:keepLines/>
        <w:rPr>
          <w:rFonts w:cs="Calibri"/>
          <w:color w:val="000000" w:themeColor="text1"/>
        </w:rPr>
      </w:pPr>
      <w:r w:rsidRPr="00F03917">
        <w:lastRenderedPageBreak/>
        <w:t xml:space="preserve">Climate change and SLR will not introduce any new types of coastal hazards, but they </w:t>
      </w:r>
      <w:r w:rsidR="007E2626" w:rsidRPr="00F03917">
        <w:t>are changing</w:t>
      </w:r>
      <w:r w:rsidRPr="00F03917">
        <w:t xml:space="preserve"> the nature</w:t>
      </w:r>
      <w:r w:rsidR="00EA75BD" w:rsidRPr="00F03917">
        <w:t>, magnitude</w:t>
      </w:r>
      <w:r w:rsidR="00451A06" w:rsidRPr="00F03917">
        <w:t>, frequency</w:t>
      </w:r>
      <w:r w:rsidRPr="00F03917">
        <w:t xml:space="preserve"> and extent of the impact</w:t>
      </w:r>
      <w:r w:rsidR="008B12E7" w:rsidRPr="00F03917">
        <w:t>s.</w:t>
      </w:r>
      <w:r w:rsidRPr="00F03917">
        <w:t xml:space="preserve"> </w:t>
      </w:r>
      <w:r w:rsidR="3CB2A255" w:rsidRPr="00F03917">
        <w:t>Furthermore, SLR and</w:t>
      </w:r>
      <w:r w:rsidR="00A27416" w:rsidRPr="00F03917">
        <w:t> </w:t>
      </w:r>
      <w:r w:rsidR="3CB2A255" w:rsidRPr="00F03917">
        <w:t xml:space="preserve">more frequent extreme events will </w:t>
      </w:r>
      <w:r w:rsidR="50D34E44" w:rsidRPr="00F03917">
        <w:t xml:space="preserve">cause compounding consequences that occur simultaneously </w:t>
      </w:r>
      <w:r w:rsidR="00BA6FEA" w:rsidRPr="00F03917">
        <w:t xml:space="preserve">more often </w:t>
      </w:r>
      <w:r w:rsidR="50D34E44" w:rsidRPr="00F03917">
        <w:t>and across several locations</w:t>
      </w:r>
      <w:r w:rsidR="6DE51DC6" w:rsidRPr="00F03917">
        <w:t xml:space="preserve"> with cascading impacts</w:t>
      </w:r>
      <w:r w:rsidR="50D34E44" w:rsidRPr="00F03917">
        <w:t>.</w:t>
      </w:r>
      <w:r w:rsidR="3CB2A255" w:rsidRPr="00F03917">
        <w:t xml:space="preserve"> </w:t>
      </w:r>
      <w:r w:rsidR="004E7C48" w:rsidRPr="00F03917">
        <w:t xml:space="preserve">Additionally, </w:t>
      </w:r>
      <w:r w:rsidR="004E7C48" w:rsidRPr="00F03917">
        <w:rPr>
          <w:rFonts w:cs="Calibri"/>
          <w:color w:val="000000"/>
          <w:shd w:val="clear" w:color="auto" w:fill="FFFFFF"/>
        </w:rPr>
        <w:t xml:space="preserve">in relation to coastal erosion and groundwater rise, SLR effects may continue to be masked for some time by other historical and future changes in sediment and watershed runoff from both anthropogenic interventions (eg, land-use change, catchment hardening, coastal protection structures, dredging, pumping) and compound effects of climate change on rainfall, waves and sediment </w:t>
      </w:r>
      <w:r w:rsidR="331ED466" w:rsidRPr="00F03917">
        <w:rPr>
          <w:rFonts w:cs="Calibri"/>
          <w:color w:val="000000"/>
          <w:shd w:val="clear" w:color="auto" w:fill="FFFFFF"/>
        </w:rPr>
        <w:t>runoff.</w:t>
      </w:r>
    </w:p>
    <w:p w14:paraId="1343EA90" w14:textId="1958869C" w:rsidR="00A274F1" w:rsidRPr="00F03917" w:rsidRDefault="00FD5D39" w:rsidP="00A27416">
      <w:pPr>
        <w:pStyle w:val="BodyText"/>
        <w:rPr>
          <w:rFonts w:cs="Calibri"/>
        </w:rPr>
      </w:pPr>
      <w:r w:rsidRPr="00F03917">
        <w:t xml:space="preserve">The </w:t>
      </w:r>
      <w:r w:rsidR="00ED7544" w:rsidRPr="00F03917">
        <w:t>NCCRA</w:t>
      </w:r>
      <w:r w:rsidRPr="00F03917">
        <w:t xml:space="preserve"> (</w:t>
      </w:r>
      <w:r w:rsidR="006B6F6A" w:rsidRPr="00F03917">
        <w:t xml:space="preserve">MfE, </w:t>
      </w:r>
      <w:r w:rsidRPr="00F03917">
        <w:t>2020</w:t>
      </w:r>
      <w:r w:rsidR="00C56B76" w:rsidRPr="00F03917">
        <w:t>a</w:t>
      </w:r>
      <w:r w:rsidRPr="00F03917">
        <w:t xml:space="preserve">) </w:t>
      </w:r>
      <w:r w:rsidR="462AFB1F" w:rsidRPr="00F03917">
        <w:t>recognises the significance of</w:t>
      </w:r>
      <w:r w:rsidRPr="00F03917">
        <w:t xml:space="preserve"> possible cascading impacts</w:t>
      </w:r>
      <w:r w:rsidR="008031D0" w:rsidRPr="00F03917">
        <w:t xml:space="preserve"> (see </w:t>
      </w:r>
      <w:hyperlink w:anchor="figure16" w:history="1">
        <w:r w:rsidR="008031D0" w:rsidRPr="00F03917">
          <w:rPr>
            <w:rStyle w:val="Hyperlink"/>
          </w:rPr>
          <w:t>figure</w:t>
        </w:r>
        <w:r w:rsidR="7BBE95F4" w:rsidRPr="00F03917">
          <w:rPr>
            <w:rStyle w:val="Hyperlink"/>
          </w:rPr>
          <w:t> </w:t>
        </w:r>
        <w:r w:rsidR="7206B409" w:rsidRPr="00F03917">
          <w:rPr>
            <w:rStyle w:val="Hyperlink"/>
          </w:rPr>
          <w:t>1</w:t>
        </w:r>
        <w:r w:rsidR="387E4EC2" w:rsidRPr="00F03917">
          <w:rPr>
            <w:rStyle w:val="Hyperlink"/>
          </w:rPr>
          <w:t>5</w:t>
        </w:r>
      </w:hyperlink>
      <w:r w:rsidR="008031D0" w:rsidRPr="00F03917">
        <w:t xml:space="preserve"> in </w:t>
      </w:r>
      <w:hyperlink w:anchor="_Step_4:_Assess" w:history="1">
        <w:r w:rsidR="008031D0" w:rsidRPr="00F03917">
          <w:rPr>
            <w:rStyle w:val="Hyperlink"/>
          </w:rPr>
          <w:t>step 4</w:t>
        </w:r>
      </w:hyperlink>
      <w:r w:rsidR="008031D0" w:rsidRPr="00F03917">
        <w:t>)</w:t>
      </w:r>
      <w:r w:rsidRPr="00F03917">
        <w:t xml:space="preserve">, for example, the risk of coastal erosion will </w:t>
      </w:r>
      <w:r w:rsidR="6449DE2A" w:rsidRPr="00F03917">
        <w:t>affect</w:t>
      </w:r>
      <w:r w:rsidRPr="00F03917">
        <w:t xml:space="preserve"> multiple domains, including the natural and built environments, humans and the economy. </w:t>
      </w:r>
      <w:r w:rsidR="34A1C6A5" w:rsidRPr="00F03917">
        <w:t>Therefore, these hazards</w:t>
      </w:r>
      <w:r w:rsidR="00B57283" w:rsidRPr="00F03917">
        <w:t xml:space="preserve"> will increase the risks to coastal development and</w:t>
      </w:r>
      <w:r w:rsidR="00B26F0A" w:rsidRPr="00F03917">
        <w:t> </w:t>
      </w:r>
      <w:r w:rsidR="00B57283" w:rsidRPr="00F03917">
        <w:t>create risks not yet experienced in certain locations (eg, inland flooding).</w:t>
      </w:r>
      <w:r w:rsidR="002A4BEC" w:rsidRPr="00F03917">
        <w:t xml:space="preserve"> </w:t>
      </w:r>
      <w:r w:rsidR="00241378" w:rsidRPr="00F03917">
        <w:rPr>
          <w:rFonts w:cs="Calibri"/>
          <w:shd w:val="clear" w:color="auto" w:fill="FFFFFF"/>
        </w:rPr>
        <w:t>Coastal</w:t>
      </w:r>
      <w:r w:rsidR="00241378" w:rsidRPr="00F03917" w:rsidDel="00E6226B">
        <w:rPr>
          <w:rFonts w:cs="Calibri"/>
          <w:shd w:val="clear" w:color="auto" w:fill="FFFFFF"/>
        </w:rPr>
        <w:t xml:space="preserve"> </w:t>
      </w:r>
      <w:r w:rsidR="00E6226B" w:rsidRPr="00F03917">
        <w:rPr>
          <w:rFonts w:cs="Calibri"/>
        </w:rPr>
        <w:t>environments</w:t>
      </w:r>
      <w:r w:rsidR="00241378" w:rsidRPr="00F03917">
        <w:rPr>
          <w:rFonts w:cs="Calibri"/>
        </w:rPr>
        <w:t xml:space="preserve"> </w:t>
      </w:r>
      <w:r w:rsidR="00241378" w:rsidRPr="00F03917">
        <w:rPr>
          <w:rFonts w:cs="Calibri"/>
          <w:shd w:val="clear" w:color="auto" w:fill="FFFFFF"/>
        </w:rPr>
        <w:t>often experience hazards in other forms, particularly river flooding</w:t>
      </w:r>
      <w:r w:rsidR="4B549F2D" w:rsidRPr="00F03917">
        <w:rPr>
          <w:rFonts w:cs="Calibri"/>
          <w:shd w:val="clear" w:color="auto" w:fill="FFFFFF"/>
        </w:rPr>
        <w:t>,</w:t>
      </w:r>
      <w:r w:rsidR="00241378" w:rsidRPr="00F03917">
        <w:rPr>
          <w:rFonts w:cs="Calibri"/>
          <w:shd w:val="clear" w:color="auto" w:fill="FFFFFF"/>
        </w:rPr>
        <w:t xml:space="preserve"> which is compounded by tidal influence and SLR.</w:t>
      </w:r>
      <w:r w:rsidR="00DC34F1" w:rsidRPr="00F03917">
        <w:rPr>
          <w:rFonts w:cs="Calibri"/>
          <w:shd w:val="clear" w:color="auto" w:fill="FFFFFF"/>
        </w:rPr>
        <w:t xml:space="preserve"> </w:t>
      </w:r>
      <w:r w:rsidR="00D36B6E" w:rsidRPr="00F03917">
        <w:rPr>
          <w:rFonts w:cs="Calibri"/>
          <w:shd w:val="clear" w:color="auto" w:fill="FFFFFF"/>
        </w:rPr>
        <w:t>Local government need</w:t>
      </w:r>
      <w:r w:rsidR="00805975" w:rsidRPr="00F03917">
        <w:rPr>
          <w:rFonts w:cs="Calibri"/>
          <w:shd w:val="clear" w:color="auto" w:fill="FFFFFF"/>
        </w:rPr>
        <w:t>s</w:t>
      </w:r>
      <w:r w:rsidR="00D36B6E" w:rsidRPr="00F03917">
        <w:rPr>
          <w:rFonts w:cs="Calibri"/>
          <w:shd w:val="clear" w:color="auto" w:fill="FFFFFF"/>
        </w:rPr>
        <w:t xml:space="preserve"> to consider</w:t>
      </w:r>
      <w:r w:rsidR="00DC34F1" w:rsidRPr="00F03917">
        <w:rPr>
          <w:rFonts w:cs="Calibri"/>
          <w:shd w:val="clear" w:color="auto" w:fill="FFFFFF"/>
        </w:rPr>
        <w:t xml:space="preserve"> </w:t>
      </w:r>
      <w:r w:rsidR="00AA5F06" w:rsidRPr="00F03917">
        <w:rPr>
          <w:rFonts w:cs="Calibri"/>
          <w:shd w:val="clear" w:color="auto" w:fill="FFFFFF"/>
        </w:rPr>
        <w:t>multi-hazard assessments</w:t>
      </w:r>
      <w:r w:rsidR="00805975" w:rsidRPr="00F03917">
        <w:rPr>
          <w:rFonts w:cs="Calibri"/>
          <w:shd w:val="clear" w:color="auto" w:fill="FFFFFF"/>
        </w:rPr>
        <w:t xml:space="preserve"> in these si</w:t>
      </w:r>
      <w:r w:rsidR="2AB0B272" w:rsidRPr="00F03917">
        <w:rPr>
          <w:rFonts w:cs="Calibri"/>
          <w:shd w:val="clear" w:color="auto" w:fill="FFFFFF"/>
        </w:rPr>
        <w:t>tuations</w:t>
      </w:r>
      <w:r w:rsidR="00AA5F06" w:rsidRPr="00F03917">
        <w:rPr>
          <w:rFonts w:cs="Calibri"/>
        </w:rPr>
        <w:t>.</w:t>
      </w:r>
      <w:r w:rsidR="7469DB17" w:rsidRPr="00F03917">
        <w:rPr>
          <w:rFonts w:cs="Calibri"/>
        </w:rPr>
        <w:t xml:space="preserve"> </w:t>
      </w:r>
      <w:r w:rsidR="4E451CCC" w:rsidRPr="00F03917">
        <w:rPr>
          <w:rFonts w:cs="Calibri"/>
        </w:rPr>
        <w:t>Identifying cascading impacts can result in a more holistic understanding of the consequences of climate risk and will result in the design of adaptation responses that are flexible ye</w:t>
      </w:r>
      <w:r w:rsidR="2437139D" w:rsidRPr="00F03917">
        <w:rPr>
          <w:rFonts w:cs="Calibri"/>
        </w:rPr>
        <w:t>t robust under different future conditions (MfE, 2020</w:t>
      </w:r>
      <w:r w:rsidR="00C56B76" w:rsidRPr="00F03917">
        <w:rPr>
          <w:rFonts w:cs="Calibri"/>
        </w:rPr>
        <w:t>a</w:t>
      </w:r>
      <w:r w:rsidR="2437139D" w:rsidRPr="00F03917">
        <w:rPr>
          <w:rFonts w:cs="Calibri"/>
        </w:rPr>
        <w:t>).</w:t>
      </w:r>
    </w:p>
    <w:p w14:paraId="6BC1235D" w14:textId="4B061BC9" w:rsidR="008F4E62" w:rsidRPr="00F03917" w:rsidRDefault="008F4E62" w:rsidP="008F4E62">
      <w:pPr>
        <w:pStyle w:val="BodyText"/>
        <w:rPr>
          <w:rFonts w:cs="Calibri"/>
          <w:shd w:val="clear" w:color="auto" w:fill="FFFFFF"/>
        </w:rPr>
      </w:pPr>
      <w:r w:rsidRPr="00F03917">
        <w:t>Figure 4 shows the levels of coastal flood exposure in different regions of Aotearoa</w:t>
      </w:r>
      <w:r w:rsidR="7EE65B45" w:rsidRPr="00F03917">
        <w:t>.</w:t>
      </w:r>
      <w:r w:rsidRPr="00F03917">
        <w:t xml:space="preserve"> The highest building exposure is in Canterbury, Hawke’s Bay and Bay of Plenty. Waikato and Canterbury have the longest road network exposed.</w:t>
      </w:r>
    </w:p>
    <w:p w14:paraId="42B80D04" w14:textId="0FB0DCA0" w:rsidR="00A274F1" w:rsidRPr="00F03917" w:rsidRDefault="00ED4029" w:rsidP="00C52920">
      <w:pPr>
        <w:pStyle w:val="Figureheading"/>
      </w:pPr>
      <w:bookmarkStart w:id="21" w:name="_Toc160098419"/>
      <w:r w:rsidRPr="00F03917">
        <w:lastRenderedPageBreak/>
        <w:t xml:space="preserve">Figure 4: </w:t>
      </w:r>
      <w:r w:rsidR="006C38D5" w:rsidRPr="00F03917">
        <w:tab/>
      </w:r>
      <w:r w:rsidR="00A274F1" w:rsidRPr="00F03917">
        <w:t xml:space="preserve">Regional coastal flood risk exposure for a 1 per cent </w:t>
      </w:r>
      <w:r w:rsidR="42940A8E" w:rsidRPr="00F03917">
        <w:t>annual exceedance probability</w:t>
      </w:r>
      <w:r w:rsidR="00A274F1" w:rsidRPr="00F03917">
        <w:t xml:space="preserve"> event locally on top of a 1</w:t>
      </w:r>
      <w:r w:rsidR="60690AD0" w:rsidRPr="00F03917">
        <w:t xml:space="preserve"> </w:t>
      </w:r>
      <w:r w:rsidR="00A274F1" w:rsidRPr="00F03917">
        <w:t xml:space="preserve">metre </w:t>
      </w:r>
      <w:r w:rsidR="5B96E75E" w:rsidRPr="00F03917">
        <w:t>sea-level rise</w:t>
      </w:r>
      <w:bookmarkEnd w:id="21"/>
      <w:r w:rsidR="00A274F1" w:rsidRPr="00F03917">
        <w:t xml:space="preserve"> </w:t>
      </w:r>
    </w:p>
    <w:p w14:paraId="354192D7" w14:textId="245E27F4" w:rsidR="003C4CF9" w:rsidRPr="00F03917" w:rsidRDefault="00A274F1" w:rsidP="00B86515">
      <w:pPr>
        <w:pStyle w:val="BodyText"/>
        <w:spacing w:after="240"/>
      </w:pPr>
      <w:r w:rsidRPr="00F03917">
        <w:rPr>
          <w:noProof/>
        </w:rPr>
        <w:drawing>
          <wp:inline distT="0" distB="0" distL="0" distR="0" wp14:anchorId="4B2F8119" wp14:editId="6382E9C6">
            <wp:extent cx="5332572" cy="8037180"/>
            <wp:effectExtent l="0" t="0" r="0" b="0"/>
            <wp:docPr id="1925005335" name="Picture 1925005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005335" name="Picture 1925005335"/>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32572" cy="8037180"/>
                    </a:xfrm>
                    <a:prstGeom prst="rect">
                      <a:avLst/>
                    </a:prstGeom>
                    <a:ln>
                      <a:noFill/>
                    </a:ln>
                    <a:extLst>
                      <a:ext uri="{53640926-AAD7-44D8-BBD7-CCE9431645EC}">
                        <a14:shadowObscured xmlns:a14="http://schemas.microsoft.com/office/drawing/2010/main"/>
                      </a:ext>
                    </a:extLst>
                  </pic:spPr>
                </pic:pic>
              </a:graphicData>
            </a:graphic>
          </wp:inline>
        </w:drawing>
      </w:r>
    </w:p>
    <w:p w14:paraId="3DEAF6E3" w14:textId="662E0663" w:rsidR="006052C9" w:rsidRPr="00F03917" w:rsidRDefault="597DEC33" w:rsidP="00E826FF">
      <w:pPr>
        <w:pStyle w:val="Source"/>
        <w:spacing w:before="0"/>
      </w:pPr>
      <w:r w:rsidRPr="00F03917">
        <w:t xml:space="preserve">Note: </w:t>
      </w:r>
      <w:r w:rsidR="006052C9" w:rsidRPr="00F03917">
        <w:t xml:space="preserve">A 1 per cent </w:t>
      </w:r>
      <w:r w:rsidR="6F76F1E6" w:rsidRPr="00F03917">
        <w:t xml:space="preserve">annual exceedance probability </w:t>
      </w:r>
      <w:r w:rsidR="006052C9" w:rsidRPr="00F03917">
        <w:t>event has a 1 in 100 chance of occurring in any one year.</w:t>
      </w:r>
    </w:p>
    <w:p w14:paraId="67610368" w14:textId="72C087C6" w:rsidR="006052C9" w:rsidRPr="00F03917" w:rsidRDefault="1167D09F" w:rsidP="001D455D">
      <w:pPr>
        <w:pStyle w:val="Source"/>
        <w:spacing w:before="0"/>
      </w:pPr>
      <w:r w:rsidRPr="00F03917">
        <w:t>Source</w:t>
      </w:r>
      <w:r w:rsidR="006052C9" w:rsidRPr="00F03917">
        <w:t xml:space="preserve">: </w:t>
      </w:r>
      <w:r w:rsidR="659FFB86" w:rsidRPr="00F03917">
        <w:t xml:space="preserve">Bailey-Winiata (2021), </w:t>
      </w:r>
      <w:r w:rsidR="006052C9" w:rsidRPr="00F03917">
        <w:t>Paulik et al (2020</w:t>
      </w:r>
      <w:r w:rsidR="03580BDC" w:rsidRPr="00F03917">
        <w:t>, 2023</w:t>
      </w:r>
      <w:r w:rsidR="006052C9" w:rsidRPr="00F03917">
        <w:t>)</w:t>
      </w:r>
    </w:p>
    <w:p w14:paraId="25D298F0" w14:textId="49767542" w:rsidR="00B57283" w:rsidRPr="00F03917" w:rsidRDefault="006766E4" w:rsidP="00B765D7">
      <w:pPr>
        <w:pStyle w:val="Heading3"/>
        <w:numPr>
          <w:ilvl w:val="2"/>
          <w:numId w:val="20"/>
        </w:numPr>
      </w:pPr>
      <w:bookmarkStart w:id="22" w:name="_Toc456627112"/>
      <w:bookmarkStart w:id="23" w:name="_Toc466014383"/>
      <w:r w:rsidRPr="00F03917">
        <w:lastRenderedPageBreak/>
        <w:t>Coastal adaptation and m</w:t>
      </w:r>
      <w:r w:rsidR="00C760A0" w:rsidRPr="00F03917">
        <w:t>anaging</w:t>
      </w:r>
      <w:r w:rsidR="007B3589" w:rsidRPr="00F03917">
        <w:t xml:space="preserve"> </w:t>
      </w:r>
      <w:r w:rsidR="003100B4" w:rsidRPr="00F03917">
        <w:t xml:space="preserve">uncertainty </w:t>
      </w:r>
    </w:p>
    <w:p w14:paraId="5DE5445C" w14:textId="12FD3347" w:rsidR="003D3FC6" w:rsidRPr="00F03917" w:rsidRDefault="003D3FC6" w:rsidP="003D3FC6">
      <w:pPr>
        <w:pStyle w:val="BodyText"/>
      </w:pPr>
      <w:r w:rsidRPr="00F03917">
        <w:rPr>
          <w:rFonts w:eastAsia="MS Mincho" w:cs="Arial"/>
        </w:rPr>
        <w:t xml:space="preserve">Despite our increasing understanding of </w:t>
      </w:r>
      <w:r w:rsidR="00290846" w:rsidRPr="00F03917">
        <w:rPr>
          <w:rFonts w:eastAsia="MS Mincho" w:cs="Arial"/>
        </w:rPr>
        <w:t>E</w:t>
      </w:r>
      <w:r w:rsidRPr="00F03917">
        <w:rPr>
          <w:rFonts w:eastAsia="MS Mincho" w:cs="Arial"/>
        </w:rPr>
        <w:t>arth systems, the future remains inherently hard to predict</w:t>
      </w:r>
      <w:r w:rsidR="00D51877" w:rsidRPr="00F03917">
        <w:rPr>
          <w:rFonts w:eastAsia="MS Mincho" w:cs="Arial"/>
        </w:rPr>
        <w:t xml:space="preserve">, especially </w:t>
      </w:r>
      <w:r w:rsidR="13005A8D" w:rsidRPr="00F03917">
        <w:rPr>
          <w:rFonts w:eastAsia="MS Mincho" w:cs="Arial"/>
        </w:rPr>
        <w:t>because</w:t>
      </w:r>
      <w:r w:rsidR="00D51877" w:rsidRPr="00F03917">
        <w:rPr>
          <w:rFonts w:eastAsia="MS Mincho" w:cs="Arial"/>
        </w:rPr>
        <w:t xml:space="preserve"> </w:t>
      </w:r>
      <w:r w:rsidR="00D51877" w:rsidRPr="00F03917">
        <w:t>there is socio-political uncertainty about the rate of global emissions reduction.</w:t>
      </w:r>
      <w:r w:rsidRPr="00F03917">
        <w:t xml:space="preserve"> The responses of ocean and ice environments to climate change </w:t>
      </w:r>
      <w:r w:rsidR="00AD7052" w:rsidRPr="00F03917">
        <w:t xml:space="preserve">have long lag times, their effect is progressive and ongoing but </w:t>
      </w:r>
      <w:r w:rsidR="00243871" w:rsidRPr="00F03917">
        <w:t>t</w:t>
      </w:r>
      <w:r w:rsidR="00812138" w:rsidRPr="00F03917">
        <w:t xml:space="preserve">hey </w:t>
      </w:r>
      <w:r w:rsidR="00AD7052" w:rsidRPr="00F03917">
        <w:t xml:space="preserve">are accelerating, and surprises cannot be ruled out. </w:t>
      </w:r>
      <w:r w:rsidR="00EF2D25" w:rsidRPr="00F03917">
        <w:t xml:space="preserve">Some of these changes are already being observed. </w:t>
      </w:r>
      <w:r w:rsidR="009520D3" w:rsidRPr="00F03917">
        <w:t>Dealing with this uncertainty is central to this guidance.</w:t>
      </w:r>
    </w:p>
    <w:p w14:paraId="1FD63AE5" w14:textId="55A6A480" w:rsidR="003D3FC6" w:rsidRPr="00F03917" w:rsidRDefault="003D3FC6" w:rsidP="003D3FC6">
      <w:pPr>
        <w:pStyle w:val="BodyText"/>
        <w:spacing w:after="240"/>
      </w:pPr>
      <w:r w:rsidRPr="00F03917">
        <w:t>Regardless of emissions reductions, ongoing SLR is certain</w:t>
      </w:r>
      <w:r w:rsidR="00953FE9" w:rsidRPr="00F03917">
        <w:t xml:space="preserve"> </w:t>
      </w:r>
      <w:r w:rsidR="0004075F" w:rsidRPr="00F03917">
        <w:t xml:space="preserve">and </w:t>
      </w:r>
      <w:r w:rsidR="00B34230" w:rsidRPr="00F03917">
        <w:t xml:space="preserve">projections </w:t>
      </w:r>
      <w:r w:rsidR="009B3D16" w:rsidRPr="00F03917">
        <w:t>are a way</w:t>
      </w:r>
      <w:r w:rsidR="00953FE9" w:rsidRPr="00F03917">
        <w:t xml:space="preserve"> </w:t>
      </w:r>
      <w:r w:rsidR="00B34230" w:rsidRPr="00F03917">
        <w:t xml:space="preserve">to understand </w:t>
      </w:r>
      <w:r w:rsidR="009B3D16" w:rsidRPr="00F03917">
        <w:t>how</w:t>
      </w:r>
      <w:r w:rsidR="00E87633" w:rsidRPr="00F03917">
        <w:t xml:space="preserve"> different </w:t>
      </w:r>
      <w:r w:rsidR="009B3D16" w:rsidRPr="00F03917">
        <w:t xml:space="preserve">emissions </w:t>
      </w:r>
      <w:r w:rsidR="00E87633" w:rsidRPr="00F03917">
        <w:t xml:space="preserve">scenarios </w:t>
      </w:r>
      <w:r w:rsidR="009B3D16" w:rsidRPr="00F03917">
        <w:t xml:space="preserve">may impact </w:t>
      </w:r>
      <w:r w:rsidR="00C42142" w:rsidRPr="00F03917">
        <w:t>in</w:t>
      </w:r>
      <w:r w:rsidR="00E87633" w:rsidRPr="00F03917">
        <w:t xml:space="preserve"> future</w:t>
      </w:r>
      <w:r w:rsidR="00AA7691" w:rsidRPr="00F03917">
        <w:t>.</w:t>
      </w:r>
      <w:r w:rsidR="00493A32" w:rsidRPr="00F03917">
        <w:t xml:space="preserve"> </w:t>
      </w:r>
      <w:r w:rsidR="00C84E1A" w:rsidRPr="00F03917">
        <w:t>O</w:t>
      </w:r>
      <w:r w:rsidR="00D80E3B" w:rsidRPr="00F03917">
        <w:t>ut to</w:t>
      </w:r>
      <w:r w:rsidRPr="00F03917">
        <w:t xml:space="preserve"> 2050</w:t>
      </w:r>
      <w:r w:rsidR="000A0FE5" w:rsidRPr="00F03917">
        <w:t xml:space="preserve"> </w:t>
      </w:r>
      <w:r w:rsidR="00085DC8" w:rsidRPr="00F03917">
        <w:t>the</w:t>
      </w:r>
      <w:r w:rsidR="006A6D27" w:rsidRPr="00F03917">
        <w:t xml:space="preserve">re is a </w:t>
      </w:r>
      <w:r w:rsidR="00667FC0" w:rsidRPr="00F03917">
        <w:t>comparatively</w:t>
      </w:r>
      <w:r w:rsidR="00085DC8" w:rsidRPr="00F03917">
        <w:t xml:space="preserve"> narrow range of SLR of 0.2 </w:t>
      </w:r>
      <w:r w:rsidR="474FEC69" w:rsidRPr="00F03917">
        <w:t>m</w:t>
      </w:r>
      <w:r w:rsidR="0F3ACAFD" w:rsidRPr="00F03917">
        <w:t>etres</w:t>
      </w:r>
      <w:r w:rsidR="00085DC8" w:rsidRPr="00F03917">
        <w:t xml:space="preserve"> to 0.3</w:t>
      </w:r>
      <w:r w:rsidR="00024D9D" w:rsidRPr="00F03917">
        <w:t xml:space="preserve"> </w:t>
      </w:r>
      <w:r w:rsidR="745F6CD2" w:rsidRPr="00F03917">
        <w:t>m</w:t>
      </w:r>
      <w:r w:rsidR="322201EA" w:rsidRPr="00F03917">
        <w:t>etres</w:t>
      </w:r>
      <w:r w:rsidR="00143DB1" w:rsidRPr="00F03917">
        <w:t>, but this range increases when</w:t>
      </w:r>
      <w:r w:rsidR="00563917" w:rsidRPr="00F03917">
        <w:t> </w:t>
      </w:r>
      <w:r w:rsidR="00143DB1" w:rsidRPr="00F03917">
        <w:t>we look out to the end of the century</w:t>
      </w:r>
      <w:r w:rsidR="00D74765" w:rsidRPr="00F03917">
        <w:t xml:space="preserve"> to 0.4 metres to </w:t>
      </w:r>
      <w:r w:rsidR="00055382" w:rsidRPr="00F03917">
        <w:t>1.2</w:t>
      </w:r>
      <w:r w:rsidR="002B6059" w:rsidRPr="00F03917">
        <w:t xml:space="preserve"> </w:t>
      </w:r>
      <w:r w:rsidR="00055382" w:rsidRPr="00F03917">
        <w:t>metres</w:t>
      </w:r>
      <w:r w:rsidR="00011B92" w:rsidRPr="00F03917">
        <w:t xml:space="preserve"> </w:t>
      </w:r>
      <w:r w:rsidR="00B82D80" w:rsidRPr="00F03917">
        <w:t>an</w:t>
      </w:r>
      <w:r w:rsidR="005372B8" w:rsidRPr="00F03917">
        <w:t>d b</w:t>
      </w:r>
      <w:r w:rsidRPr="00F03917">
        <w:t xml:space="preserve">eyond, </w:t>
      </w:r>
      <w:r w:rsidR="00364583" w:rsidRPr="00F03917">
        <w:t xml:space="preserve">with </w:t>
      </w:r>
      <w:r w:rsidRPr="00F03917">
        <w:t>deep</w:t>
      </w:r>
      <w:r w:rsidR="00563917" w:rsidRPr="00F03917">
        <w:t> </w:t>
      </w:r>
      <w:r w:rsidRPr="00F03917">
        <w:t xml:space="preserve">uncertainty </w:t>
      </w:r>
      <w:r w:rsidR="00FA60EA" w:rsidRPr="00F03917">
        <w:t>on</w:t>
      </w:r>
      <w:r w:rsidRPr="00F03917">
        <w:t xml:space="preserve"> the rate, timing and </w:t>
      </w:r>
      <w:r w:rsidR="005372B8" w:rsidRPr="00F03917">
        <w:t>magnitude</w:t>
      </w:r>
      <w:r w:rsidRPr="00F03917">
        <w:t xml:space="preserve"> of SLR. </w:t>
      </w:r>
      <w:r w:rsidR="3B211DA5" w:rsidRPr="00F03917">
        <w:t>D</w:t>
      </w:r>
      <w:r w:rsidR="0DBDC120" w:rsidRPr="00F03917">
        <w:t>eep</w:t>
      </w:r>
      <w:r w:rsidRPr="00F03917">
        <w:t xml:space="preserve"> uncertainties </w:t>
      </w:r>
      <w:r w:rsidR="7849E958" w:rsidRPr="00F03917">
        <w:t>also exist</w:t>
      </w:r>
      <w:r w:rsidRPr="00F03917">
        <w:t xml:space="preserve"> about</w:t>
      </w:r>
      <w:r w:rsidR="00563917" w:rsidRPr="00F03917">
        <w:t> </w:t>
      </w:r>
      <w:r w:rsidRPr="00F03917">
        <w:t xml:space="preserve">the </w:t>
      </w:r>
      <w:r w:rsidR="00887ADC" w:rsidRPr="00F03917">
        <w:t xml:space="preserve">pace of </w:t>
      </w:r>
      <w:r w:rsidRPr="00F03917">
        <w:t xml:space="preserve">changes to bio-physical systems (eg, </w:t>
      </w:r>
      <w:r w:rsidR="006D162E" w:rsidRPr="00F03917">
        <w:t xml:space="preserve">impacts of </w:t>
      </w:r>
      <w:r w:rsidRPr="00F03917">
        <w:t>ocean heating and polar ice</w:t>
      </w:r>
      <w:r w:rsidR="00563917" w:rsidRPr="00F03917">
        <w:noBreakHyphen/>
      </w:r>
      <w:r w:rsidRPr="00F03917">
        <w:t>sheet</w:t>
      </w:r>
      <w:r w:rsidR="00E826FF" w:rsidRPr="00F03917">
        <w:t xml:space="preserve"> </w:t>
      </w:r>
      <w:r w:rsidRPr="00F03917">
        <w:t xml:space="preserve">instabilities), as well as future socio-economic change and its effect on mitigating global emissions.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3D3FC6" w:rsidRPr="00F03917" w14:paraId="650EE1D3" w14:textId="77777777" w:rsidTr="14246771">
        <w:tc>
          <w:tcPr>
            <w:tcW w:w="8505" w:type="dxa"/>
            <w:shd w:val="clear" w:color="auto" w:fill="D5EBE8" w:themeFill="accent3"/>
          </w:tcPr>
          <w:p w14:paraId="789E1EC2" w14:textId="2E9951A0" w:rsidR="003D3FC6" w:rsidRPr="00F03917" w:rsidRDefault="003D3FC6">
            <w:pPr>
              <w:pStyle w:val="Boxtext"/>
              <w:spacing w:before="240" w:after="240"/>
            </w:pPr>
            <w:r w:rsidRPr="00F03917">
              <w:t xml:space="preserve">Making decisions under uncertain conditions will always involve judgements based on the available knowledge and appraisal of a range of projections. Not acting in the face of </w:t>
            </w:r>
            <w:r w:rsidR="00AA5D78" w:rsidRPr="00F03917">
              <w:t xml:space="preserve">deepening </w:t>
            </w:r>
            <w:r w:rsidRPr="00F03917">
              <w:t>uncertainty also involves considerable risk. Instead, uncertainty needs to be accounted for by considering a </w:t>
            </w:r>
            <w:r w:rsidR="007E6067" w:rsidRPr="00F03917">
              <w:t>wide range</w:t>
            </w:r>
            <w:r w:rsidRPr="00F03917">
              <w:t xml:space="preserve"> of </w:t>
            </w:r>
            <w:r w:rsidR="00342653" w:rsidRPr="00F03917">
              <w:t xml:space="preserve">plausible </w:t>
            </w:r>
            <w:r w:rsidRPr="00F03917">
              <w:t>future conditions</w:t>
            </w:r>
            <w:r w:rsidR="00C22469" w:rsidRPr="00F03917">
              <w:t xml:space="preserve"> in developing a</w:t>
            </w:r>
            <w:r w:rsidR="001B3655" w:rsidRPr="00F03917">
              <w:t>n</w:t>
            </w:r>
            <w:r w:rsidR="00C22469" w:rsidRPr="00F03917">
              <w:t xml:space="preserve"> adaptive </w:t>
            </w:r>
            <w:r w:rsidR="00230451" w:rsidRPr="00F03917">
              <w:t>planning</w:t>
            </w:r>
            <w:r w:rsidR="00A0244C" w:rsidRPr="00F03917">
              <w:t xml:space="preserve"> </w:t>
            </w:r>
            <w:r w:rsidR="00A321BE" w:rsidRPr="00F03917">
              <w:t>strategy</w:t>
            </w:r>
            <w:r w:rsidRPr="00F03917">
              <w:t xml:space="preserve">. </w:t>
            </w:r>
          </w:p>
        </w:tc>
      </w:tr>
    </w:tbl>
    <w:p w14:paraId="654B0D29" w14:textId="3E2C08A0" w:rsidR="003D3FC6" w:rsidRPr="00F03917" w:rsidRDefault="00591303" w:rsidP="00563917">
      <w:pPr>
        <w:pStyle w:val="BodyText"/>
        <w:spacing w:before="240"/>
      </w:pPr>
      <w:r w:rsidRPr="00F03917">
        <w:t xml:space="preserve">Compounding and cascading coastal hazards introduce increased risks to coastal locations. </w:t>
      </w:r>
      <w:r w:rsidR="00600B67" w:rsidRPr="00F03917">
        <w:t>A</w:t>
      </w:r>
      <w:r w:rsidR="003637CD" w:rsidRPr="00F03917">
        <w:t>ssessments and mapping of coastal hazards can inform communities and iw</w:t>
      </w:r>
      <w:r w:rsidR="00CD1052" w:rsidRPr="00F03917">
        <w:t>i</w:t>
      </w:r>
      <w:r w:rsidR="01ED840F" w:rsidRPr="00F03917">
        <w:t>/</w:t>
      </w:r>
      <w:r w:rsidR="00CD1052" w:rsidRPr="00F03917">
        <w:t>hapū partners of the extent of those impacts and what values would be affected</w:t>
      </w:r>
      <w:r w:rsidR="00B325BB" w:rsidRPr="00F03917">
        <w:t xml:space="preserve">. </w:t>
      </w:r>
      <w:r w:rsidR="004A1D2E" w:rsidRPr="00F03917">
        <w:t xml:space="preserve">Following </w:t>
      </w:r>
      <w:r w:rsidR="262E80FD" w:rsidRPr="00F03917">
        <w:t>the</w:t>
      </w:r>
      <w:r w:rsidR="004A1D2E" w:rsidRPr="00F03917">
        <w:t xml:space="preserve"> initial </w:t>
      </w:r>
      <w:r w:rsidR="00850A0E" w:rsidRPr="00F03917">
        <w:t xml:space="preserve">steps in the </w:t>
      </w:r>
      <w:r w:rsidR="00A4608B" w:rsidRPr="00F03917">
        <w:t xml:space="preserve">10-step decision cycle, a risk assessment should be carried out and an associated </w:t>
      </w:r>
      <w:r w:rsidR="009C618C" w:rsidRPr="00F03917">
        <w:t>adaptive planning</w:t>
      </w:r>
      <w:r w:rsidR="00933C80" w:rsidRPr="00F03917">
        <w:t xml:space="preserve"> strategy</w:t>
      </w:r>
      <w:r w:rsidR="00A4608B" w:rsidRPr="00F03917">
        <w:t xml:space="preserve"> developed and implemented. </w:t>
      </w:r>
      <w:r w:rsidR="00E02F2D" w:rsidRPr="00F03917">
        <w:t xml:space="preserve">This may go beyond </w:t>
      </w:r>
      <w:r w:rsidR="000909AF" w:rsidRPr="00F03917">
        <w:t>standalone</w:t>
      </w:r>
      <w:r w:rsidR="00E02F2D" w:rsidRPr="00F03917">
        <w:t xml:space="preserve"> c</w:t>
      </w:r>
      <w:r w:rsidR="00A4608B" w:rsidRPr="00F03917">
        <w:t xml:space="preserve">limate change risk assessments </w:t>
      </w:r>
      <w:r w:rsidR="00FB33DB" w:rsidRPr="00F03917">
        <w:t xml:space="preserve">that </w:t>
      </w:r>
      <w:r w:rsidR="00A4608B" w:rsidRPr="00F03917">
        <w:t xml:space="preserve">are </w:t>
      </w:r>
      <w:r w:rsidR="007B1142" w:rsidRPr="00F03917">
        <w:t>being developed by councils</w:t>
      </w:r>
      <w:r w:rsidR="51627717" w:rsidRPr="00F03917">
        <w:t>,</w:t>
      </w:r>
      <w:r w:rsidR="00A32BC9" w:rsidRPr="00F03917">
        <w:t xml:space="preserve"> </w:t>
      </w:r>
      <w:r w:rsidR="000909AF" w:rsidRPr="00F03917">
        <w:t>with</w:t>
      </w:r>
      <w:r w:rsidR="64C2A285" w:rsidRPr="00F03917">
        <w:t xml:space="preserve"> </w:t>
      </w:r>
      <w:r w:rsidR="007B1142" w:rsidRPr="00F03917">
        <w:t xml:space="preserve">this guidance </w:t>
      </w:r>
      <w:r w:rsidR="42E9EDE7" w:rsidRPr="00F03917">
        <w:t>provid</w:t>
      </w:r>
      <w:r w:rsidR="000909AF" w:rsidRPr="00F03917">
        <w:t>ing</w:t>
      </w:r>
      <w:r w:rsidR="007B1142" w:rsidRPr="00F03917">
        <w:t xml:space="preserve"> best practice for </w:t>
      </w:r>
      <w:r w:rsidR="00BE5284" w:rsidRPr="00F03917">
        <w:t>coastal</w:t>
      </w:r>
      <w:r w:rsidR="007B1142" w:rsidRPr="00F03917">
        <w:t xml:space="preserve"> hazard assessments and engagement with communities, iwi/hapū</w:t>
      </w:r>
      <w:r w:rsidR="00082403" w:rsidRPr="00F03917">
        <w:t xml:space="preserve"> partners and stakeholder</w:t>
      </w:r>
      <w:r w:rsidR="00726198" w:rsidRPr="00F03917">
        <w:t>s</w:t>
      </w:r>
      <w:r w:rsidR="00F542FC" w:rsidRPr="00F03917">
        <w:t>.</w:t>
      </w:r>
      <w:r w:rsidR="10F7AC7A" w:rsidRPr="00F03917">
        <w:t xml:space="preserve"> </w:t>
      </w:r>
      <w:r w:rsidR="00F542FC" w:rsidRPr="00F03917">
        <w:t xml:space="preserve">This </w:t>
      </w:r>
      <w:r w:rsidR="000F3A1C" w:rsidRPr="00F03917">
        <w:t>assessment</w:t>
      </w:r>
      <w:r w:rsidR="00F542FC" w:rsidRPr="00F03917">
        <w:t xml:space="preserve"> should</w:t>
      </w:r>
      <w:r w:rsidR="0000604A" w:rsidRPr="00F03917">
        <w:t xml:space="preserve"> take </w:t>
      </w:r>
      <w:r w:rsidR="004A0B0B" w:rsidRPr="00F03917">
        <w:t>community and iwi/hap</w:t>
      </w:r>
      <w:r w:rsidR="004A0B0B" w:rsidRPr="00F03917">
        <w:rPr>
          <w:rFonts w:cs="Calibri"/>
        </w:rPr>
        <w:t>ū</w:t>
      </w:r>
      <w:r w:rsidR="004A0B0B" w:rsidRPr="00F03917">
        <w:t xml:space="preserve"> </w:t>
      </w:r>
      <w:r w:rsidR="0000604A" w:rsidRPr="00F03917">
        <w:t>values into</w:t>
      </w:r>
      <w:r w:rsidR="00F41B84" w:rsidRPr="00F03917">
        <w:t xml:space="preserve"> consider</w:t>
      </w:r>
      <w:r w:rsidR="6EBF516F" w:rsidRPr="00F03917">
        <w:t>ation</w:t>
      </w:r>
      <w:r w:rsidR="0000604A" w:rsidRPr="00F03917">
        <w:t>,</w:t>
      </w:r>
      <w:r w:rsidR="00F41B84" w:rsidRPr="00F03917">
        <w:t xml:space="preserve"> and then integrat</w:t>
      </w:r>
      <w:r w:rsidR="004D753B" w:rsidRPr="00F03917">
        <w:t xml:space="preserve">e vulnerability assessments with the risk assessments </w:t>
      </w:r>
      <w:r w:rsidR="00122A90" w:rsidRPr="00F03917">
        <w:t>into the</w:t>
      </w:r>
      <w:r w:rsidR="007740B1" w:rsidRPr="00F03917">
        <w:t xml:space="preserve"> </w:t>
      </w:r>
      <w:r w:rsidR="009C618C" w:rsidRPr="00F03917">
        <w:t>adaptive planning</w:t>
      </w:r>
      <w:r w:rsidR="00DA0731" w:rsidRPr="00F03917">
        <w:t xml:space="preserve"> strategy</w:t>
      </w:r>
      <w:r w:rsidR="004D753B" w:rsidRPr="00F03917">
        <w:t>.</w:t>
      </w:r>
    </w:p>
    <w:p w14:paraId="7D3A782E" w14:textId="0E1C001B" w:rsidR="009B6005" w:rsidRPr="00F03917" w:rsidRDefault="00C201AF" w:rsidP="009B6005">
      <w:pPr>
        <w:pStyle w:val="Heading4"/>
      </w:pPr>
      <w:r w:rsidRPr="00F03917">
        <w:t>R</w:t>
      </w:r>
      <w:r w:rsidR="009B6005" w:rsidRPr="00F03917">
        <w:t xml:space="preserve">isk-based approach </w:t>
      </w:r>
    </w:p>
    <w:p w14:paraId="6C03E045" w14:textId="2AB5C5C6" w:rsidR="009B6005" w:rsidRPr="00F03917" w:rsidRDefault="14DC7D36" w:rsidP="00563917">
      <w:pPr>
        <w:pStyle w:val="BodyText"/>
      </w:pPr>
      <w:r w:rsidRPr="00F03917">
        <w:t xml:space="preserve">The ISO international adaptation standards </w:t>
      </w:r>
      <w:r w:rsidR="7A8CBD4E" w:rsidRPr="00F03917">
        <w:t>(</w:t>
      </w:r>
      <w:hyperlink r:id="rId48" w:anchor="iso:std:iso:14090:ed-1:v1:en">
        <w:r w:rsidR="0B69D7A8" w:rsidRPr="00F03917">
          <w:rPr>
            <w:rStyle w:val="Hyperlink"/>
          </w:rPr>
          <w:t xml:space="preserve">ISO, </w:t>
        </w:r>
        <w:r w:rsidR="7A8CBD4E" w:rsidRPr="00F03917">
          <w:rPr>
            <w:rStyle w:val="Hyperlink"/>
          </w:rPr>
          <w:t>2019</w:t>
        </w:r>
      </w:hyperlink>
      <w:hyperlink r:id="rId49" w:anchor="iso:std:iso:ts:14092:ed-1:v1:en" w:history="1">
        <w:r w:rsidR="7A8CBD4E" w:rsidRPr="00F03917">
          <w:rPr>
            <w:rStyle w:val="Hyperlink"/>
          </w:rPr>
          <w:t>,</w:t>
        </w:r>
        <w:r w:rsidR="47E4385E" w:rsidRPr="00F03917">
          <w:rPr>
            <w:rStyle w:val="Hyperlink"/>
          </w:rPr>
          <w:t xml:space="preserve"> 2020</w:t>
        </w:r>
      </w:hyperlink>
      <w:hyperlink r:id="rId50" w:anchor="iso:std:iso:14091:ed-1:v1:en" w:history="1">
        <w:r w:rsidR="14196105" w:rsidRPr="00F03917">
          <w:rPr>
            <w:rStyle w:val="Hyperlink"/>
          </w:rPr>
          <w:t>,</w:t>
        </w:r>
        <w:r w:rsidR="47E4385E" w:rsidRPr="00F03917">
          <w:rPr>
            <w:rStyle w:val="Hyperlink"/>
          </w:rPr>
          <w:t xml:space="preserve"> 2021</w:t>
        </w:r>
      </w:hyperlink>
      <w:r w:rsidR="47E4385E" w:rsidRPr="00F03917">
        <w:t xml:space="preserve">) </w:t>
      </w:r>
      <w:r w:rsidR="009B6005" w:rsidRPr="00F03917">
        <w:t>set out a consistent, globally accepted framework for climate-related risk assessments and managing identified risks. The focus is on time-varying consequences (</w:t>
      </w:r>
      <w:r w:rsidR="009B6005" w:rsidRPr="00F03917">
        <w:rPr>
          <w:i/>
          <w:iCs/>
        </w:rPr>
        <w:t>exposure</w:t>
      </w:r>
      <w:r w:rsidR="009B6005" w:rsidRPr="00F03917">
        <w:t xml:space="preserve"> and </w:t>
      </w:r>
      <w:r w:rsidR="009B6005" w:rsidRPr="00F03917">
        <w:rPr>
          <w:i/>
          <w:iCs/>
        </w:rPr>
        <w:t>vulnerability</w:t>
      </w:r>
      <w:r w:rsidR="009B6005" w:rsidRPr="00F03917">
        <w:t xml:space="preserve">), depending on assessment of the climate-driven </w:t>
      </w:r>
      <w:r w:rsidR="009B6005" w:rsidRPr="00F03917">
        <w:rPr>
          <w:i/>
          <w:iCs/>
        </w:rPr>
        <w:t>hazards</w:t>
      </w:r>
      <w:r w:rsidR="009B6005" w:rsidRPr="00F03917">
        <w:t xml:space="preserve">. </w:t>
      </w:r>
    </w:p>
    <w:p w14:paraId="6BBF9639" w14:textId="4ECCF41C" w:rsidR="009B6005" w:rsidRPr="00F03917" w:rsidRDefault="009B6005" w:rsidP="00563917">
      <w:pPr>
        <w:pStyle w:val="BodyText"/>
      </w:pPr>
      <w:r w:rsidRPr="00F03917">
        <w:t>In practice, the focus should be on:</w:t>
      </w:r>
    </w:p>
    <w:p w14:paraId="2FF2FCEC" w14:textId="4E42EFDF" w:rsidR="009B6005" w:rsidRPr="00F03917" w:rsidRDefault="2D0003AB" w:rsidP="006A486F">
      <w:pPr>
        <w:pStyle w:val="BulletFIX"/>
      </w:pPr>
      <w:r w:rsidRPr="00F03917">
        <w:t>‘testing’</w:t>
      </w:r>
      <w:r w:rsidR="5E6D7C2B" w:rsidRPr="00F03917">
        <w:t xml:space="preserve"> adaptation</w:t>
      </w:r>
      <w:r w:rsidRPr="00F03917">
        <w:t xml:space="preserve"> responses to climate change against plausible future </w:t>
      </w:r>
      <w:r w:rsidR="006E69B1" w:rsidRPr="00F03917">
        <w:t xml:space="preserve">shared </w:t>
      </w:r>
      <w:r w:rsidR="6C1C4AA6" w:rsidRPr="00F03917">
        <w:t>socio-economic pathway (</w:t>
      </w:r>
      <w:r w:rsidR="0C8EC77B" w:rsidRPr="00F03917">
        <w:t>SSP</w:t>
      </w:r>
      <w:r w:rsidR="0FEB51F7" w:rsidRPr="00F03917">
        <w:t>)</w:t>
      </w:r>
      <w:r w:rsidR="0C8EC77B" w:rsidRPr="00F03917">
        <w:t xml:space="preserve"> </w:t>
      </w:r>
      <w:r w:rsidRPr="00F03917">
        <w:t>scenarios</w:t>
      </w:r>
      <w:r w:rsidR="0C8EC77B" w:rsidRPr="00F03917">
        <w:t xml:space="preserve"> and RSLR projections</w:t>
      </w:r>
      <w:r w:rsidRPr="00F03917">
        <w:t xml:space="preserve">, </w:t>
      </w:r>
      <w:r w:rsidR="62887CE1" w:rsidRPr="00F03917">
        <w:t>and the resulting</w:t>
      </w:r>
      <w:r w:rsidRPr="00F03917">
        <w:t xml:space="preserve"> coastal hazards and risks</w:t>
      </w:r>
      <w:r w:rsidR="60F06A6E" w:rsidRPr="00F03917">
        <w:t xml:space="preserve"> and progressive changes</w:t>
      </w:r>
      <w:r w:rsidR="00A37BE0" w:rsidRPr="00F03917">
        <w:t>, and then</w:t>
      </w:r>
    </w:p>
    <w:p w14:paraId="17DDB916" w14:textId="320CD4FD" w:rsidR="009B6005" w:rsidRPr="00F03917" w:rsidRDefault="2D0003AB" w:rsidP="006A486F">
      <w:pPr>
        <w:pStyle w:val="BulletFIX"/>
      </w:pPr>
      <w:r w:rsidRPr="00F03917">
        <w:t>evaluating and making decisions on pathways to reduce or avoid risk</w:t>
      </w:r>
    </w:p>
    <w:p w14:paraId="160A2ACA" w14:textId="387B5FAF" w:rsidR="009C7DD0" w:rsidRPr="00F03917" w:rsidRDefault="76ED4D24" w:rsidP="006A486F">
      <w:pPr>
        <w:pStyle w:val="BulletFIX"/>
      </w:pPr>
      <w:r w:rsidRPr="00F03917">
        <w:t>‘</w:t>
      </w:r>
      <w:r w:rsidR="5E6212DE" w:rsidRPr="00F03917">
        <w:t>s</w:t>
      </w:r>
      <w:r w:rsidR="246888EA" w:rsidRPr="00F03917">
        <w:t>tress-testing</w:t>
      </w:r>
      <w:r w:rsidRPr="00F03917">
        <w:t>’</w:t>
      </w:r>
      <w:r w:rsidR="246888EA" w:rsidRPr="00F03917">
        <w:t xml:space="preserve"> to anticipate the potential impact of surprises and unknowns, especially elements of place-based risks with high uncertainty from </w:t>
      </w:r>
      <w:r w:rsidR="4F4CE995" w:rsidRPr="00F03917">
        <w:t xml:space="preserve">compound hazards and </w:t>
      </w:r>
      <w:r w:rsidR="246888EA" w:rsidRPr="00F03917">
        <w:t>cascading impacts (Logan et al, 2023).</w:t>
      </w:r>
    </w:p>
    <w:p w14:paraId="7DAAD610" w14:textId="7DC1326B" w:rsidR="009B6005" w:rsidRPr="00F03917" w:rsidRDefault="009B6005" w:rsidP="003058E8">
      <w:pPr>
        <w:pStyle w:val="BodyText"/>
      </w:pPr>
      <w:r w:rsidRPr="00F03917">
        <w:lastRenderedPageBreak/>
        <w:t xml:space="preserve">Understanding changing risk over time </w:t>
      </w:r>
      <w:r w:rsidR="0082226B" w:rsidRPr="00F03917">
        <w:t xml:space="preserve">(see </w:t>
      </w:r>
      <w:r w:rsidR="069184FD" w:rsidRPr="00F03917">
        <w:t>f</w:t>
      </w:r>
      <w:r w:rsidR="0082226B" w:rsidRPr="00F03917">
        <w:t>igure 7)</w:t>
      </w:r>
      <w:r w:rsidRPr="00F03917">
        <w:t xml:space="preserve"> is central to adapting to climate</w:t>
      </w:r>
      <w:r w:rsidR="00DC3C68" w:rsidRPr="00F03917">
        <w:t xml:space="preserve"> </w:t>
      </w:r>
      <w:r w:rsidRPr="00F03917">
        <w:t xml:space="preserve">change related coastal hazards. Existing risks will continue to rise, and new compounding and cascading risks will emerge over a wider area. </w:t>
      </w:r>
    </w:p>
    <w:p w14:paraId="6251D8F0" w14:textId="756A0765" w:rsidR="00D07C1B" w:rsidRPr="00F03917" w:rsidRDefault="00D07C1B" w:rsidP="00D07C1B">
      <w:pPr>
        <w:pStyle w:val="BodyText"/>
      </w:pPr>
      <w:r w:rsidRPr="00F03917">
        <w:t>Improving the capacity to adapt will require a shift from a reactive to an anticipatory regime. The aftermath of natural hazard events can be an opportunity for adaptation</w:t>
      </w:r>
      <w:r w:rsidR="00F75472" w:rsidRPr="00F03917">
        <w:t>. However,</w:t>
      </w:r>
      <w:r w:rsidRPr="00F03917">
        <w:t xml:space="preserve"> </w:t>
      </w:r>
      <w:r w:rsidR="00C62F16" w:rsidRPr="00F03917">
        <w:t>this</w:t>
      </w:r>
      <w:r w:rsidR="003058E8" w:rsidRPr="00F03917">
        <w:t> </w:t>
      </w:r>
      <w:r w:rsidRPr="00F03917">
        <w:t>means the community will experience considerable damage first</w:t>
      </w:r>
      <w:r w:rsidR="00DE021B" w:rsidRPr="00F03917">
        <w:t xml:space="preserve">. </w:t>
      </w:r>
      <w:r w:rsidR="00E14907" w:rsidRPr="00F03917">
        <w:t>This</w:t>
      </w:r>
      <w:r w:rsidR="00EC51FE" w:rsidRPr="00F03917">
        <w:t xml:space="preserve"> could make it challenging to make </w:t>
      </w:r>
      <w:r w:rsidR="00C62F16" w:rsidRPr="00F03917">
        <w:t xml:space="preserve">adaptation decisions </w:t>
      </w:r>
      <w:r w:rsidR="008A3EE6" w:rsidRPr="00F03917">
        <w:t>with</w:t>
      </w:r>
      <w:r w:rsidR="00C62F16" w:rsidRPr="00F03917">
        <w:t xml:space="preserve"> long-term plann</w:t>
      </w:r>
      <w:r w:rsidR="00E96983" w:rsidRPr="00F03917">
        <w:t>ing horizons</w:t>
      </w:r>
      <w:r w:rsidR="00C62F16" w:rsidRPr="00F03917">
        <w:t xml:space="preserve"> that can anticipate consequences of extreme</w:t>
      </w:r>
      <w:r w:rsidR="002D329A" w:rsidRPr="00F03917">
        <w:t>s and progressive impacts</w:t>
      </w:r>
      <w:r w:rsidRPr="00F03917">
        <w:t>. Building adaptive capacity</w:t>
      </w:r>
      <w:r w:rsidR="00705D13" w:rsidRPr="00F03917">
        <w:rPr>
          <w:rStyle w:val="FootnoteReference"/>
        </w:rPr>
        <w:footnoteReference w:id="12"/>
      </w:r>
      <w:r w:rsidRPr="00F03917">
        <w:t xml:space="preserve"> </w:t>
      </w:r>
      <w:r w:rsidR="007E2492" w:rsidRPr="00F03917">
        <w:t xml:space="preserve">should </w:t>
      </w:r>
      <w:r w:rsidRPr="00F03917">
        <w:t>enable our communities to avoid or be</w:t>
      </w:r>
      <w:r w:rsidR="00B67A8F" w:rsidRPr="00F03917">
        <w:t>come</w:t>
      </w:r>
      <w:r w:rsidRPr="00F03917">
        <w:t xml:space="preserve"> </w:t>
      </w:r>
      <w:r w:rsidR="00E5703A" w:rsidRPr="00F03917">
        <w:t>more</w:t>
      </w:r>
      <w:r w:rsidRPr="00F03917">
        <w:t xml:space="preserve"> resilient to coastal risks. </w:t>
      </w:r>
    </w:p>
    <w:bookmarkEnd w:id="22"/>
    <w:bookmarkEnd w:id="23"/>
    <w:p w14:paraId="49FD614A" w14:textId="09D0DD13" w:rsidR="00B57283" w:rsidRPr="00F03917" w:rsidRDefault="00D264FE" w:rsidP="007B3589">
      <w:pPr>
        <w:pStyle w:val="Heading4"/>
      </w:pPr>
      <w:r w:rsidRPr="00F03917">
        <w:t xml:space="preserve">Adaptation </w:t>
      </w:r>
      <w:r w:rsidR="005B02EB" w:rsidRPr="00F03917">
        <w:t>for</w:t>
      </w:r>
      <w:r w:rsidRPr="00F03917">
        <w:t xml:space="preserve"> coastal</w:t>
      </w:r>
      <w:r w:rsidR="00E41D35" w:rsidRPr="00F03917">
        <w:t xml:space="preserve"> hazards</w:t>
      </w:r>
    </w:p>
    <w:p w14:paraId="59D86FBF" w14:textId="32B2ACBE" w:rsidR="00194D40" w:rsidRPr="00F03917" w:rsidRDefault="00194D40" w:rsidP="00C8730D">
      <w:pPr>
        <w:pStyle w:val="BodyText"/>
      </w:pPr>
      <w:r w:rsidRPr="00F03917">
        <w:t xml:space="preserve">In human systems, adaptation is the process of adjusting to </w:t>
      </w:r>
      <w:r w:rsidR="51EEE6D4" w:rsidRPr="00F03917">
        <w:t xml:space="preserve">the </w:t>
      </w:r>
      <w:r w:rsidRPr="00F03917">
        <w:t xml:space="preserve">actual or expected climate and its effects, </w:t>
      </w:r>
      <w:r w:rsidR="009D3AA8" w:rsidRPr="00F03917">
        <w:t>to</w:t>
      </w:r>
      <w:r w:rsidRPr="00F03917">
        <w:t xml:space="preserve"> moderate harm or exploit beneficial opportunities. It addresses a changing state </w:t>
      </w:r>
      <w:r w:rsidR="00722288" w:rsidRPr="00F03917">
        <w:t xml:space="preserve">in the climate and its impacts </w:t>
      </w:r>
      <w:r w:rsidRPr="00F03917">
        <w:t xml:space="preserve">that </w:t>
      </w:r>
      <w:r w:rsidR="00924AE2" w:rsidRPr="00F03917">
        <w:t>manifest in uncertain and</w:t>
      </w:r>
      <w:r w:rsidRPr="00F03917">
        <w:t xml:space="preserve"> dynamic </w:t>
      </w:r>
      <w:r w:rsidR="000A01FD" w:rsidRPr="00F03917">
        <w:t>ways and</w:t>
      </w:r>
      <w:r w:rsidRPr="00F03917">
        <w:t xml:space="preserve"> cannot be predicted over the long term. </w:t>
      </w:r>
    </w:p>
    <w:p w14:paraId="5F43D00C" w14:textId="0814DE64" w:rsidR="00194D40" w:rsidRPr="00F03917" w:rsidRDefault="009F4F96" w:rsidP="00C8730D">
      <w:pPr>
        <w:pStyle w:val="BodyText"/>
      </w:pPr>
      <w:r w:rsidRPr="00F03917">
        <w:t>S</w:t>
      </w:r>
      <w:r w:rsidR="00194D40" w:rsidRPr="00F03917">
        <w:t>ome types of change</w:t>
      </w:r>
      <w:r w:rsidRPr="00F03917">
        <w:t xml:space="preserve"> can be adapted to</w:t>
      </w:r>
      <w:r w:rsidR="00194D40" w:rsidRPr="00F03917">
        <w:t xml:space="preserve"> by making incremental adjustments to the way the coastal environment</w:t>
      </w:r>
      <w:r w:rsidR="00A2327D" w:rsidRPr="00F03917">
        <w:t xml:space="preserve"> is managed</w:t>
      </w:r>
      <w:r w:rsidR="00194D40" w:rsidRPr="00F03917">
        <w:t xml:space="preserve">. Other types of change may require completely new ways of doing things, including transformational social </w:t>
      </w:r>
      <w:r w:rsidR="000A01FD" w:rsidRPr="00F03917">
        <w:t xml:space="preserve">and physical </w:t>
      </w:r>
      <w:r w:rsidR="00194D40" w:rsidRPr="00F03917">
        <w:t>adjustments that change the fundamental attributes of natural and human systems (IPCC</w:t>
      </w:r>
      <w:r w:rsidR="502D1187" w:rsidRPr="00F03917">
        <w:t>,</w:t>
      </w:r>
      <w:r w:rsidR="00194D40" w:rsidRPr="00F03917">
        <w:t xml:space="preserve"> 2014a). </w:t>
      </w:r>
    </w:p>
    <w:p w14:paraId="73310EC5" w14:textId="005E05CB" w:rsidR="00B57283" w:rsidRPr="00F03917" w:rsidRDefault="00237273" w:rsidP="00C8730D">
      <w:pPr>
        <w:pStyle w:val="BodyText"/>
      </w:pPr>
      <w:r w:rsidRPr="00F03917">
        <w:t>In this context</w:t>
      </w:r>
      <w:r w:rsidR="005A1EFE" w:rsidRPr="00F03917">
        <w:t xml:space="preserve">, </w:t>
      </w:r>
      <w:r w:rsidRPr="00F03917">
        <w:t xml:space="preserve">it is important to consider </w:t>
      </w:r>
      <w:r w:rsidR="008D7CA7" w:rsidRPr="00F03917">
        <w:t xml:space="preserve">the potential for </w:t>
      </w:r>
      <w:r w:rsidRPr="00F03917">
        <w:t>maladaptation</w:t>
      </w:r>
      <w:r w:rsidR="00B64D1C" w:rsidRPr="00F03917">
        <w:t>. These are</w:t>
      </w:r>
      <w:r w:rsidRPr="00F03917">
        <w:t xml:space="preserve"> actions that may unintentionally lead to </w:t>
      </w:r>
      <w:r w:rsidR="40C7AE7C" w:rsidRPr="00F03917">
        <w:t xml:space="preserve">an </w:t>
      </w:r>
      <w:r w:rsidRPr="00F03917">
        <w:t>increased risk of adverse climate-related outcomes</w:t>
      </w:r>
      <w:r w:rsidR="00F659E4" w:rsidRPr="00F03917">
        <w:t xml:space="preserve"> through greater exposure</w:t>
      </w:r>
      <w:r w:rsidR="0093101A" w:rsidRPr="00F03917">
        <w:t xml:space="preserve"> when adaptation actions fail</w:t>
      </w:r>
      <w:r w:rsidR="601D6D00" w:rsidRPr="00F03917">
        <w:t>.</w:t>
      </w:r>
      <w:r w:rsidR="00F659E4" w:rsidRPr="00F03917">
        <w:t xml:space="preserve"> </w:t>
      </w:r>
      <w:r w:rsidR="343725C3" w:rsidRPr="00F03917">
        <w:t>A</w:t>
      </w:r>
      <w:r w:rsidR="7F0660E5" w:rsidRPr="00F03917">
        <w:t xml:space="preserve">n </w:t>
      </w:r>
      <w:r w:rsidR="00F659E4" w:rsidRPr="00F03917">
        <w:t xml:space="preserve">increase in residual risk </w:t>
      </w:r>
      <w:r w:rsidR="5CCA5308" w:rsidRPr="00F03917">
        <w:t>may also be</w:t>
      </w:r>
      <w:r w:rsidR="003058E8" w:rsidRPr="00F03917">
        <w:t> </w:t>
      </w:r>
      <w:r w:rsidRPr="00F03917" w:rsidDel="00F659E4">
        <w:t>created</w:t>
      </w:r>
      <w:r w:rsidRPr="00F03917">
        <w:t xml:space="preserve"> </w:t>
      </w:r>
      <w:r w:rsidR="00F659E4" w:rsidRPr="00F03917">
        <w:t>by shifting risk to others in space and time</w:t>
      </w:r>
      <w:r w:rsidR="008C1663" w:rsidRPr="00F03917">
        <w:t xml:space="preserve">, </w:t>
      </w:r>
      <w:r w:rsidR="00860C68" w:rsidRPr="00F03917">
        <w:t>increasing</w:t>
      </w:r>
      <w:r w:rsidRPr="00F03917">
        <w:t xml:space="preserve"> greenhouse gas emissions, increas</w:t>
      </w:r>
      <w:r w:rsidR="00B12BE4" w:rsidRPr="00F03917">
        <w:t>ing</w:t>
      </w:r>
      <w:r w:rsidRPr="00F03917">
        <w:t xml:space="preserve"> vulnerability to climate change and reduc</w:t>
      </w:r>
      <w:r w:rsidR="5213AC7A" w:rsidRPr="00F03917">
        <w:t>ed</w:t>
      </w:r>
      <w:r w:rsidRPr="00F03917">
        <w:t xml:space="preserve"> wel</w:t>
      </w:r>
      <w:r w:rsidR="006204D8" w:rsidRPr="00F03917">
        <w:t>lbeing</w:t>
      </w:r>
      <w:r w:rsidRPr="00F03917">
        <w:t>, now or in the future (</w:t>
      </w:r>
      <w:r w:rsidR="00AD4FC7" w:rsidRPr="00F03917">
        <w:t>MfE,</w:t>
      </w:r>
      <w:r w:rsidR="003058E8" w:rsidRPr="00F03917">
        <w:t> </w:t>
      </w:r>
      <w:r w:rsidRPr="00F03917">
        <w:t>2020</w:t>
      </w:r>
      <w:r w:rsidR="00AD4FC7" w:rsidRPr="00F03917">
        <w:t>a</w:t>
      </w:r>
      <w:r w:rsidRPr="00F03917">
        <w:t>).</w:t>
      </w:r>
    </w:p>
    <w:p w14:paraId="3CC3D920" w14:textId="07712075" w:rsidR="004B1581" w:rsidRPr="00F03917" w:rsidRDefault="00114A78" w:rsidP="00C8730D">
      <w:pPr>
        <w:pStyle w:val="BodyText"/>
      </w:pPr>
      <w:r w:rsidRPr="00F03917">
        <w:t xml:space="preserve">Although the appropriate location, form and design of new development </w:t>
      </w:r>
      <w:r w:rsidR="00C8228B" w:rsidRPr="00F03917">
        <w:t>in the right places</w:t>
      </w:r>
      <w:r w:rsidR="00F72625" w:rsidRPr="00F03917">
        <w:t xml:space="preserve"> can contribute to</w:t>
      </w:r>
      <w:r w:rsidRPr="00F03917">
        <w:t xml:space="preserve"> future-proof</w:t>
      </w:r>
      <w:r w:rsidR="008531ED" w:rsidRPr="00F03917">
        <w:t>ing</w:t>
      </w:r>
      <w:r w:rsidRPr="00F03917">
        <w:t xml:space="preserve"> our communities, many are already under threat from natural hazard events </w:t>
      </w:r>
      <w:r w:rsidR="000E08E8" w:rsidRPr="00F03917">
        <w:t>and coastal flooding from ongoing SLR</w:t>
      </w:r>
      <w:r w:rsidR="657EA5C5" w:rsidRPr="00F03917">
        <w:t>,</w:t>
      </w:r>
      <w:r w:rsidRPr="00F03917">
        <w:t xml:space="preserve"> which will increase over time. Successful adaptation to the impacts of natural hazards and climate change will be vital to the future health and wellbeing of our communities. </w:t>
      </w:r>
    </w:p>
    <w:p w14:paraId="0C2391A5" w14:textId="3375166B" w:rsidR="00F1675E" w:rsidRPr="00F03917" w:rsidRDefault="00114A78" w:rsidP="00F1675E">
      <w:pPr>
        <w:pStyle w:val="BodyText"/>
      </w:pPr>
      <w:r w:rsidRPr="00F03917">
        <w:t xml:space="preserve">In our existing places, people </w:t>
      </w:r>
      <w:r w:rsidR="004B1581" w:rsidRPr="00F03917">
        <w:t>and councils</w:t>
      </w:r>
      <w:r w:rsidRPr="00F03917">
        <w:t xml:space="preserve"> can work together to </w:t>
      </w:r>
      <w:r w:rsidR="0061179C" w:rsidRPr="00F03917">
        <w:t xml:space="preserve">avoid and </w:t>
      </w:r>
      <w:r w:rsidRPr="00F03917">
        <w:t xml:space="preserve">reduce risk through </w:t>
      </w:r>
      <w:r w:rsidR="007E23A8" w:rsidRPr="00F03917">
        <w:t xml:space="preserve">a range of </w:t>
      </w:r>
      <w:r w:rsidR="00EF14EA" w:rsidRPr="00F03917">
        <w:t>adaptation measures</w:t>
      </w:r>
      <w:r w:rsidR="004A432C" w:rsidRPr="00F03917">
        <w:t xml:space="preserve"> to help</w:t>
      </w:r>
      <w:r w:rsidRPr="00F03917">
        <w:t xml:space="preserve"> better prepare</w:t>
      </w:r>
      <w:r w:rsidR="007247E1" w:rsidRPr="00F03917">
        <w:t xml:space="preserve"> </w:t>
      </w:r>
      <w:r w:rsidR="00371C29" w:rsidRPr="00F03917">
        <w:t>f</w:t>
      </w:r>
      <w:r w:rsidR="007247E1" w:rsidRPr="00F03917">
        <w:t>or extreme, ongoing and progressive</w:t>
      </w:r>
      <w:r w:rsidRPr="00F03917">
        <w:t xml:space="preserve"> </w:t>
      </w:r>
      <w:r w:rsidR="00371C29" w:rsidRPr="00F03917">
        <w:t>climate change impacts.</w:t>
      </w:r>
      <w:r w:rsidR="00F1675E" w:rsidRPr="00F03917">
        <w:t xml:space="preserve"> </w:t>
      </w:r>
      <w:r w:rsidR="00EB2B13" w:rsidRPr="00F03917">
        <w:t>It is worth noting that a</w:t>
      </w:r>
      <w:r w:rsidR="00F1675E" w:rsidRPr="00F03917">
        <w:t>daptation in coastal situations</w:t>
      </w:r>
      <w:r w:rsidR="00F1675E" w:rsidRPr="00F03917" w:rsidDel="00EB2B13">
        <w:t xml:space="preserve"> </w:t>
      </w:r>
      <w:r w:rsidR="00F1675E" w:rsidRPr="00F03917">
        <w:t>differ</w:t>
      </w:r>
      <w:r w:rsidR="6E7C0CE8" w:rsidRPr="00F03917">
        <w:t>s</w:t>
      </w:r>
      <w:r w:rsidR="00F1675E" w:rsidRPr="00F03917">
        <w:t xml:space="preserve"> from adapti</w:t>
      </w:r>
      <w:r w:rsidR="00AD2AA7" w:rsidRPr="00F03917">
        <w:t>ve</w:t>
      </w:r>
      <w:r w:rsidR="00F1675E" w:rsidRPr="00F03917">
        <w:t xml:space="preserve"> </w:t>
      </w:r>
      <w:r w:rsidR="00AD2AA7" w:rsidRPr="00F03917">
        <w:t>management</w:t>
      </w:r>
      <w:r w:rsidR="009B0A21" w:rsidRPr="00F03917" w:rsidDel="00682DBB">
        <w:t>,</w:t>
      </w:r>
      <w:r w:rsidR="00AD2AA7" w:rsidRPr="00F03917">
        <w:t xml:space="preserve"> </w:t>
      </w:r>
      <w:r w:rsidR="001815E0" w:rsidRPr="00F03917">
        <w:t>a mech</w:t>
      </w:r>
      <w:r w:rsidR="002A7E25" w:rsidRPr="00F03917">
        <w:t xml:space="preserve">anism sometimes included in resource consent conditions, </w:t>
      </w:r>
      <w:r w:rsidR="00D45467" w:rsidRPr="00F03917">
        <w:t>where decisions can</w:t>
      </w:r>
      <w:r w:rsidR="00D300CA" w:rsidRPr="00F03917">
        <w:t xml:space="preserve"> </w:t>
      </w:r>
      <w:r w:rsidR="009B70F0" w:rsidRPr="00F03917">
        <w:t>become</w:t>
      </w:r>
      <w:r w:rsidR="00D45467" w:rsidRPr="00F03917">
        <w:t xml:space="preserve"> locked in until they fail. </w:t>
      </w:r>
      <w:r w:rsidR="00BB36E7" w:rsidRPr="00F03917">
        <w:t xml:space="preserve">Adaptive management </w:t>
      </w:r>
      <w:r w:rsidR="00AD2AA7" w:rsidRPr="00F03917">
        <w:t>is</w:t>
      </w:r>
      <w:r w:rsidR="00F1675E" w:rsidRPr="00F03917">
        <w:t xml:space="preserve"> typically applied</w:t>
      </w:r>
      <w:r w:rsidR="00536C73" w:rsidRPr="00F03917">
        <w:t> </w:t>
      </w:r>
      <w:r w:rsidR="00F1675E" w:rsidRPr="00F03917">
        <w:t>to ecosystems, water allocation and water quality</w:t>
      </w:r>
      <w:r w:rsidR="006C770E" w:rsidRPr="00F03917">
        <w:t>,</w:t>
      </w:r>
      <w:r w:rsidR="00CC592A" w:rsidRPr="00F03917">
        <w:t xml:space="preserve"> </w:t>
      </w:r>
      <w:r w:rsidR="00BB36E7" w:rsidRPr="00F03917">
        <w:t>and</w:t>
      </w:r>
      <w:r w:rsidR="00840711" w:rsidRPr="00F03917">
        <w:t xml:space="preserve"> can</w:t>
      </w:r>
      <w:r w:rsidR="00F1675E" w:rsidRPr="00F03917">
        <w:t xml:space="preserve"> </w:t>
      </w:r>
      <w:r w:rsidR="00906FDF" w:rsidRPr="00F03917">
        <w:t xml:space="preserve">have the potential to </w:t>
      </w:r>
      <w:r w:rsidR="00F1675E" w:rsidRPr="00F03917">
        <w:t>creat</w:t>
      </w:r>
      <w:r w:rsidR="0099513F" w:rsidRPr="00F03917">
        <w:t>e</w:t>
      </w:r>
      <w:r w:rsidR="00540EEA" w:rsidRPr="00F03917">
        <w:t xml:space="preserve"> </w:t>
      </w:r>
      <w:r w:rsidR="00F1675E" w:rsidRPr="00F03917">
        <w:t>avoidable outcomes without considering the dynamic and worsening outcomes from climate change.</w:t>
      </w:r>
      <w:r w:rsidR="00977ED4" w:rsidRPr="00F03917">
        <w:t xml:space="preserve"> </w:t>
      </w:r>
    </w:p>
    <w:p w14:paraId="0ED1162C" w14:textId="7F13E6A8" w:rsidR="00114A78" w:rsidRPr="00F03917" w:rsidRDefault="00F1675E" w:rsidP="00D3380E">
      <w:pPr>
        <w:pStyle w:val="BodyText"/>
        <w:keepLines/>
      </w:pPr>
      <w:r w:rsidRPr="00F03917">
        <w:lastRenderedPageBreak/>
        <w:t xml:space="preserve">Under </w:t>
      </w:r>
      <w:r w:rsidR="453F3F07" w:rsidRPr="00F03917">
        <w:t xml:space="preserve">the </w:t>
      </w:r>
      <w:r w:rsidRPr="00F03917">
        <w:t xml:space="preserve">conditions of a changing climate, </w:t>
      </w:r>
      <w:r w:rsidRPr="00F03917">
        <w:rPr>
          <w:i/>
        </w:rPr>
        <w:t xml:space="preserve">protect </w:t>
      </w:r>
      <w:r w:rsidRPr="00F03917">
        <w:rPr>
          <w:iCs/>
        </w:rPr>
        <w:t>and</w:t>
      </w:r>
      <w:r w:rsidRPr="00F03917">
        <w:t xml:space="preserve"> </w:t>
      </w:r>
      <w:r w:rsidRPr="00F03917">
        <w:rPr>
          <w:i/>
        </w:rPr>
        <w:t>accommodate</w:t>
      </w:r>
      <w:r w:rsidRPr="00F03917">
        <w:t xml:space="preserve"> adaptation measures are increasingly becoming transitory because of physical, economic, social and cultural limits. This means c</w:t>
      </w:r>
      <w:r w:rsidR="00114A78" w:rsidRPr="00F03917">
        <w:t xml:space="preserve">ouncils and communities should </w:t>
      </w:r>
      <w:r w:rsidR="009D305B" w:rsidRPr="00F03917">
        <w:t>not rule out the full range of adaptation options</w:t>
      </w:r>
      <w:r w:rsidR="007A2F87" w:rsidRPr="00F03917">
        <w:rPr>
          <w:rStyle w:val="FootnoteReference"/>
        </w:rPr>
        <w:footnoteReference w:id="13"/>
      </w:r>
      <w:r w:rsidR="009D305B" w:rsidRPr="00F03917">
        <w:t xml:space="preserve"> for areas under threat </w:t>
      </w:r>
      <w:r w:rsidR="00C534F7" w:rsidRPr="00F03917">
        <w:t>in recognition that the different op</w:t>
      </w:r>
      <w:r w:rsidR="6EB9070E" w:rsidRPr="00F03917">
        <w:t>tions</w:t>
      </w:r>
      <w:r w:rsidR="00C534F7" w:rsidRPr="00F03917">
        <w:t xml:space="preserve"> have limits to their effectiveness over time</w:t>
      </w:r>
      <w:r w:rsidR="00ED02E9" w:rsidRPr="00F03917">
        <w:t xml:space="preserve"> (MfE, 2022a).</w:t>
      </w:r>
      <w:r w:rsidR="00977ED4" w:rsidRPr="00F03917">
        <w:t xml:space="preserve"> </w:t>
      </w:r>
    </w:p>
    <w:p w14:paraId="5F08E2B1" w14:textId="25C1E66F" w:rsidR="008C7760" w:rsidRPr="00F03917" w:rsidRDefault="7DF4E233" w:rsidP="00C8730D">
      <w:pPr>
        <w:pStyle w:val="BodyText"/>
      </w:pPr>
      <w:r w:rsidRPr="00F03917">
        <w:t>Several</w:t>
      </w:r>
      <w:r w:rsidR="008C7760" w:rsidRPr="00F03917">
        <w:t xml:space="preserve"> </w:t>
      </w:r>
      <w:r w:rsidR="009767F6" w:rsidRPr="00F03917">
        <w:t xml:space="preserve">different types of adaptation </w:t>
      </w:r>
      <w:r w:rsidR="0054111C" w:rsidRPr="00F03917">
        <w:t xml:space="preserve">options </w:t>
      </w:r>
      <w:r w:rsidR="1E570DE6" w:rsidRPr="00F03917">
        <w:t xml:space="preserve">are </w:t>
      </w:r>
      <w:r w:rsidR="009767F6" w:rsidRPr="00F03917">
        <w:t>available</w:t>
      </w:r>
      <w:r w:rsidR="3D60ECFC" w:rsidRPr="00F03917">
        <w:t xml:space="preserve"> (</w:t>
      </w:r>
      <w:r w:rsidR="26E57798" w:rsidRPr="00F03917">
        <w:t xml:space="preserve">see </w:t>
      </w:r>
      <w:r w:rsidR="3D60ECFC" w:rsidRPr="00F03917">
        <w:t xml:space="preserve">figure </w:t>
      </w:r>
      <w:r w:rsidR="006B52A3" w:rsidRPr="00F03917">
        <w:t>5</w:t>
      </w:r>
      <w:r w:rsidR="0C699D3F" w:rsidRPr="00F03917">
        <w:t>)</w:t>
      </w:r>
      <w:r w:rsidR="04891C3C" w:rsidRPr="00F03917">
        <w:t>.</w:t>
      </w:r>
    </w:p>
    <w:p w14:paraId="7B223B29" w14:textId="67DFAAC9" w:rsidR="009767F6" w:rsidRPr="00F03917" w:rsidRDefault="002B4978" w:rsidP="006A486F">
      <w:pPr>
        <w:pStyle w:val="BulletFIX"/>
      </w:pPr>
      <w:r w:rsidRPr="00F03917">
        <w:rPr>
          <w:b/>
        </w:rPr>
        <w:t>Avoid</w:t>
      </w:r>
      <w:r w:rsidR="004E4B9B" w:rsidRPr="00F03917">
        <w:t xml:space="preserve">: </w:t>
      </w:r>
      <w:r w:rsidR="003302D1" w:rsidRPr="00F03917">
        <w:t>S</w:t>
      </w:r>
      <w:r w:rsidR="004E4B9B" w:rsidRPr="00F03917">
        <w:t>tops</w:t>
      </w:r>
      <w:r w:rsidR="004E4B9B" w:rsidRPr="00F03917" w:rsidDel="00604A54">
        <w:t xml:space="preserve"> </w:t>
      </w:r>
      <w:r w:rsidR="003F12FD" w:rsidRPr="00F03917">
        <w:t>people and assets</w:t>
      </w:r>
      <w:r w:rsidR="00604A54" w:rsidRPr="00F03917">
        <w:t xml:space="preserve"> being put</w:t>
      </w:r>
      <w:r w:rsidR="003F12FD" w:rsidRPr="00F03917">
        <w:t xml:space="preserve"> in </w:t>
      </w:r>
      <w:r w:rsidR="007920AF" w:rsidRPr="00F03917">
        <w:t>high</w:t>
      </w:r>
      <w:r w:rsidR="00CA49DF" w:rsidRPr="00F03917">
        <w:t>-</w:t>
      </w:r>
      <w:r w:rsidR="007920AF" w:rsidRPr="00F03917">
        <w:t>risk locations</w:t>
      </w:r>
      <w:r w:rsidR="003A6A2E" w:rsidRPr="00F03917">
        <w:t>.</w:t>
      </w:r>
      <w:r w:rsidR="003F12FD" w:rsidRPr="00F03917">
        <w:t xml:space="preserve"> </w:t>
      </w:r>
      <w:r w:rsidR="00DA4B29" w:rsidRPr="00F03917">
        <w:t>This</w:t>
      </w:r>
      <w:r w:rsidR="00544830" w:rsidRPr="00F03917">
        <w:t xml:space="preserve"> </w:t>
      </w:r>
      <w:r w:rsidR="003F12FD" w:rsidRPr="00F03917">
        <w:t>primarily us</w:t>
      </w:r>
      <w:r w:rsidR="00544830" w:rsidRPr="00F03917">
        <w:t>es</w:t>
      </w:r>
      <w:r w:rsidR="003F12FD" w:rsidRPr="00F03917">
        <w:t xml:space="preserve"> </w:t>
      </w:r>
      <w:r w:rsidR="002C1250" w:rsidRPr="00F03917">
        <w:t>land-use planning measures, spatial planning</w:t>
      </w:r>
      <w:r w:rsidR="003E7935" w:rsidRPr="00F03917">
        <w:t xml:space="preserve"> and adaptive management of assets and services. </w:t>
      </w:r>
    </w:p>
    <w:p w14:paraId="55A637E8" w14:textId="4EF929DC" w:rsidR="00732E2F" w:rsidRPr="00F03917" w:rsidRDefault="00732E2F" w:rsidP="006A486F">
      <w:pPr>
        <w:pStyle w:val="BulletFIX"/>
      </w:pPr>
      <w:r w:rsidRPr="00F03917">
        <w:rPr>
          <w:b/>
        </w:rPr>
        <w:t>Accommodate</w:t>
      </w:r>
      <w:r w:rsidRPr="00F03917">
        <w:t xml:space="preserve">: </w:t>
      </w:r>
      <w:r w:rsidR="00966745" w:rsidRPr="00F03917">
        <w:t xml:space="preserve">Stay in place and make changes to </w:t>
      </w:r>
      <w:r w:rsidR="00D836FB" w:rsidRPr="00F03917">
        <w:t xml:space="preserve">buildings and infrastructure to </w:t>
      </w:r>
      <w:r w:rsidR="00E05C31" w:rsidRPr="00F03917">
        <w:t>improve resilience</w:t>
      </w:r>
      <w:r w:rsidR="00425736" w:rsidRPr="00F03917">
        <w:t xml:space="preserve"> and work around the increasing risk</w:t>
      </w:r>
      <w:r w:rsidR="00E05C31" w:rsidRPr="00F03917">
        <w:t>.</w:t>
      </w:r>
      <w:r w:rsidR="005A2D3A" w:rsidRPr="00F03917">
        <w:t xml:space="preserve"> F</w:t>
      </w:r>
      <w:r w:rsidR="13AB1C14" w:rsidRPr="00F03917">
        <w:t>or example,</w:t>
      </w:r>
      <w:r w:rsidR="00C129C1" w:rsidRPr="00F03917">
        <w:t xml:space="preserve"> </w:t>
      </w:r>
      <w:r w:rsidR="3C3D39EC" w:rsidRPr="00F03917">
        <w:t>r</w:t>
      </w:r>
      <w:r w:rsidR="00C129C1" w:rsidRPr="00F03917">
        <w:t xml:space="preserve">aising floor </w:t>
      </w:r>
      <w:r w:rsidR="0067772C" w:rsidRPr="00F03917">
        <w:t xml:space="preserve">levels or roads, </w:t>
      </w:r>
      <w:r w:rsidR="7FF3E01B" w:rsidRPr="00F03917">
        <w:t xml:space="preserve">building </w:t>
      </w:r>
      <w:r w:rsidR="0067772C" w:rsidRPr="00F03917">
        <w:t xml:space="preserve">relocatable houses, setting minimum build levels, </w:t>
      </w:r>
      <w:r w:rsidR="00556396" w:rsidRPr="00F03917">
        <w:t xml:space="preserve">and </w:t>
      </w:r>
      <w:r w:rsidR="0067772C" w:rsidRPr="00F03917">
        <w:t xml:space="preserve">providing alternative </w:t>
      </w:r>
      <w:r w:rsidR="00F75359" w:rsidRPr="00F03917">
        <w:t>inundation flow paths</w:t>
      </w:r>
      <w:r w:rsidR="36ADBDD4" w:rsidRPr="00F03917">
        <w:t>.</w:t>
      </w:r>
      <w:r w:rsidR="31DA8AF5" w:rsidRPr="00F03917">
        <w:t xml:space="preserve"> </w:t>
      </w:r>
      <w:r w:rsidR="001C2BD1" w:rsidRPr="00F03917">
        <w:t>P</w:t>
      </w:r>
      <w:r w:rsidR="00E94525" w:rsidRPr="00F03917">
        <w:t xml:space="preserve">rovide room for beach or shoreline change processes and ponding of intertidal areas further inland. </w:t>
      </w:r>
    </w:p>
    <w:p w14:paraId="3AE68C93" w14:textId="43CD1449" w:rsidR="00921D9B" w:rsidRPr="00F03917" w:rsidRDefault="00FC6609" w:rsidP="006A486F">
      <w:pPr>
        <w:pStyle w:val="BulletFIX"/>
      </w:pPr>
      <w:r w:rsidRPr="00F03917">
        <w:rPr>
          <w:b/>
        </w:rPr>
        <w:t>Protect</w:t>
      </w:r>
      <w:r w:rsidRPr="00F03917">
        <w:t xml:space="preserve">: </w:t>
      </w:r>
      <w:r w:rsidR="004C28F1" w:rsidRPr="00F03917">
        <w:t>Stay in place and m</w:t>
      </w:r>
      <w:r w:rsidR="00460BAB" w:rsidRPr="00F03917">
        <w:t xml:space="preserve">anage the hazard by defending </w:t>
      </w:r>
      <w:r w:rsidR="00C5607C" w:rsidRPr="00F03917">
        <w:t>the shoreline</w:t>
      </w:r>
      <w:r w:rsidR="004C28F1" w:rsidRPr="00F03917">
        <w:t>.</w:t>
      </w:r>
      <w:r w:rsidR="35374A3C" w:rsidRPr="00F03917">
        <w:t xml:space="preserve"> </w:t>
      </w:r>
      <w:r w:rsidR="004C28F1" w:rsidRPr="00F03917">
        <w:t>F</w:t>
      </w:r>
      <w:r w:rsidR="35374A3C" w:rsidRPr="00F03917">
        <w:t>or example,</w:t>
      </w:r>
      <w:r w:rsidR="00C5607C" w:rsidRPr="00F03917">
        <w:t xml:space="preserve"> </w:t>
      </w:r>
      <w:r w:rsidR="7E96C24E" w:rsidRPr="00F03917">
        <w:t>m</w:t>
      </w:r>
      <w:r w:rsidR="00C5607C" w:rsidRPr="00F03917">
        <w:t>a</w:t>
      </w:r>
      <w:r w:rsidR="00576896" w:rsidRPr="00F03917">
        <w:t xml:space="preserve">intaining </w:t>
      </w:r>
      <w:r w:rsidR="00C23994" w:rsidRPr="00F03917">
        <w:t>or</w:t>
      </w:r>
      <w:r w:rsidR="00576896" w:rsidRPr="00F03917">
        <w:t xml:space="preserve"> enhancing natural buffers (dunes</w:t>
      </w:r>
      <w:r w:rsidR="0076103C" w:rsidRPr="00F03917">
        <w:t>, estuaries</w:t>
      </w:r>
      <w:r w:rsidR="1A6300F1" w:rsidRPr="00F03917">
        <w:t xml:space="preserve"> – see </w:t>
      </w:r>
      <w:hyperlink w:anchor="box12" w:history="1">
        <w:r w:rsidR="7EEB4DA8" w:rsidRPr="00F03917">
          <w:rPr>
            <w:rStyle w:val="Hyperlink"/>
          </w:rPr>
          <w:t>b</w:t>
        </w:r>
        <w:r w:rsidR="1A0D742F" w:rsidRPr="00F03917">
          <w:rPr>
            <w:rStyle w:val="Hyperlink"/>
          </w:rPr>
          <w:t>ox</w:t>
        </w:r>
        <w:r w:rsidR="1A6300F1" w:rsidRPr="00F03917">
          <w:rPr>
            <w:rStyle w:val="Hyperlink"/>
          </w:rPr>
          <w:t xml:space="preserve"> 1</w:t>
        </w:r>
        <w:r w:rsidR="000C34C2" w:rsidRPr="00F03917">
          <w:rPr>
            <w:rStyle w:val="Hyperlink"/>
          </w:rPr>
          <w:t>2</w:t>
        </w:r>
      </w:hyperlink>
      <w:r w:rsidR="00576896" w:rsidRPr="00F03917">
        <w:t>), hard structures (seawalls, rock revetments</w:t>
      </w:r>
      <w:r w:rsidR="0071169A" w:rsidRPr="00F03917">
        <w:rPr>
          <w:rStyle w:val="FootnoteReference"/>
        </w:rPr>
        <w:footnoteReference w:id="14"/>
      </w:r>
      <w:r w:rsidR="1A2DE413" w:rsidRPr="00F03917">
        <w:t>),</w:t>
      </w:r>
      <w:r w:rsidR="00576896" w:rsidRPr="00F03917">
        <w:t xml:space="preserve"> soft engineering (renourishment, geotextile, sand tubes), tidal gates, pumps, </w:t>
      </w:r>
      <w:r w:rsidR="3D66344F" w:rsidRPr="00F03917">
        <w:t xml:space="preserve">and </w:t>
      </w:r>
      <w:r w:rsidR="00576896" w:rsidRPr="00F03917">
        <w:t>planting vegetation to support land accretion</w:t>
      </w:r>
      <w:r w:rsidR="00BA5A69" w:rsidRPr="00F03917">
        <w:t xml:space="preserve">. </w:t>
      </w:r>
    </w:p>
    <w:p w14:paraId="09B00172" w14:textId="3200BA79" w:rsidR="002A5FC7" w:rsidRPr="00F03917" w:rsidRDefault="00102A53" w:rsidP="006A486F">
      <w:pPr>
        <w:pStyle w:val="BulletFIX"/>
      </w:pPr>
      <w:r w:rsidRPr="00F03917">
        <w:rPr>
          <w:b/>
        </w:rPr>
        <w:t>Retreat</w:t>
      </w:r>
      <w:r w:rsidRPr="00F03917">
        <w:t xml:space="preserve">: </w:t>
      </w:r>
      <w:r w:rsidR="00B62920" w:rsidRPr="00F03917">
        <w:t>P</w:t>
      </w:r>
      <w:r w:rsidRPr="00F03917">
        <w:t>ermanent removal or relocation of existing habitation (</w:t>
      </w:r>
      <w:r w:rsidR="007178C4" w:rsidRPr="00F03917">
        <w:t xml:space="preserve">people and </w:t>
      </w:r>
      <w:r w:rsidRPr="00F03917">
        <w:t>buildings)</w:t>
      </w:r>
      <w:r w:rsidR="00635809" w:rsidRPr="00F03917">
        <w:t>, assets and services from the coast in a planned</w:t>
      </w:r>
      <w:r w:rsidR="002A5FC7" w:rsidRPr="00F03917">
        <w:t xml:space="preserve">, staged and managed </w:t>
      </w:r>
      <w:r w:rsidR="00721D16" w:rsidRPr="00F03917">
        <w:t xml:space="preserve">approach </w:t>
      </w:r>
      <w:r w:rsidR="002A5FC7" w:rsidRPr="00F03917">
        <w:t>over time.</w:t>
      </w:r>
      <w:r w:rsidR="00181286" w:rsidRPr="00F03917">
        <w:t xml:space="preserve"> Also applies to ‘managed realignment’ by deliberate breaching or removal of causeways or flood banks to allow wetlands and marshes to migrate further inland (Allan et al, 2023).</w:t>
      </w:r>
    </w:p>
    <w:p w14:paraId="74815AEC" w14:textId="796A63A4" w:rsidR="00953DFC" w:rsidRPr="00F03917" w:rsidRDefault="002661AB" w:rsidP="00536C73">
      <w:pPr>
        <w:pStyle w:val="BodyText"/>
      </w:pPr>
      <w:r w:rsidRPr="00F03917">
        <w:t>Each type of adaptation</w:t>
      </w:r>
      <w:r w:rsidRPr="00F03917" w:rsidDel="00C86ECC">
        <w:t xml:space="preserve"> </w:t>
      </w:r>
      <w:r w:rsidRPr="00F03917">
        <w:t xml:space="preserve">option has different lifetimes and will have different performance limits. </w:t>
      </w:r>
      <w:r w:rsidR="00431FC2" w:rsidRPr="00F03917">
        <w:t>In general</w:t>
      </w:r>
      <w:r w:rsidR="00EE2934" w:rsidRPr="00F03917">
        <w:t>,</w:t>
      </w:r>
      <w:r w:rsidR="00431FC2" w:rsidRPr="00F03917">
        <w:t xml:space="preserve"> a</w:t>
      </w:r>
      <w:r w:rsidRPr="00F03917">
        <w:t>voidance strategies should be considered first in coastal settings, to ensure that protect and accommodate options do not become the default approach without consideration of the known ongoing and progressive risk from SLR and storm surge.</w:t>
      </w:r>
    </w:p>
    <w:p w14:paraId="03EC3ABC" w14:textId="5FF6CEDE" w:rsidR="002661AB" w:rsidRPr="00F03917" w:rsidRDefault="002661AB" w:rsidP="00536C73">
      <w:pPr>
        <w:pStyle w:val="BodyText"/>
      </w:pPr>
      <w:r w:rsidRPr="00F03917">
        <w:t xml:space="preserve">In practice, a </w:t>
      </w:r>
      <w:r w:rsidR="0026233D" w:rsidRPr="00F03917">
        <w:t xml:space="preserve">variety </w:t>
      </w:r>
      <w:r w:rsidRPr="00F03917">
        <w:t xml:space="preserve">of options </w:t>
      </w:r>
      <w:r w:rsidR="002521B6" w:rsidRPr="00F03917">
        <w:t>should</w:t>
      </w:r>
      <w:r w:rsidRPr="00F03917">
        <w:t xml:space="preserve"> be </w:t>
      </w:r>
      <w:r w:rsidR="002521B6" w:rsidRPr="00F03917">
        <w:t>considered</w:t>
      </w:r>
      <w:r w:rsidR="008D5FF2" w:rsidRPr="00F03917">
        <w:t>,</w:t>
      </w:r>
      <w:r w:rsidRPr="00F03917">
        <w:t xml:space="preserve"> </w:t>
      </w:r>
      <w:r w:rsidR="00F672B9" w:rsidRPr="00F03917">
        <w:t xml:space="preserve">and </w:t>
      </w:r>
      <w:r w:rsidR="00FC4AD9" w:rsidRPr="00F03917">
        <w:t xml:space="preserve">the </w:t>
      </w:r>
      <w:r w:rsidR="003D3EA1" w:rsidRPr="00F03917">
        <w:t>option</w:t>
      </w:r>
      <w:r w:rsidR="00372C25" w:rsidRPr="00F03917">
        <w:t xml:space="preserve"> </w:t>
      </w:r>
      <w:r w:rsidR="00F672B9" w:rsidRPr="00F03917">
        <w:t>chosen</w:t>
      </w:r>
      <w:r w:rsidRPr="00F03917">
        <w:t xml:space="preserve"> depending on the</w:t>
      </w:r>
      <w:r w:rsidR="00FA19D9" w:rsidRPr="00F03917">
        <w:t> </w:t>
      </w:r>
      <w:r w:rsidRPr="00F03917">
        <w:t>local circumstances</w:t>
      </w:r>
      <w:r w:rsidR="008138AE" w:rsidRPr="00F03917">
        <w:t>,</w:t>
      </w:r>
      <w:r w:rsidRPr="00F03917">
        <w:t xml:space="preserve"> </w:t>
      </w:r>
      <w:r w:rsidR="008138AE" w:rsidRPr="00F03917">
        <w:t>f</w:t>
      </w:r>
      <w:r w:rsidR="00D83614" w:rsidRPr="00F03917">
        <w:t>or example</w:t>
      </w:r>
      <w:r w:rsidR="00142314" w:rsidRPr="00F03917">
        <w:t>,</w:t>
      </w:r>
      <w:r w:rsidR="00D83614" w:rsidRPr="00F03917">
        <w:t xml:space="preserve"> in </w:t>
      </w:r>
      <w:r w:rsidR="007F7DB5" w:rsidRPr="00F03917">
        <w:t>areas of significant existing development</w:t>
      </w:r>
      <w:r w:rsidR="00312F42" w:rsidRPr="00F03917">
        <w:t>.</w:t>
      </w:r>
      <w:r w:rsidR="000E2511" w:rsidRPr="00F03917">
        <w:rPr>
          <w:rStyle w:val="FootnoteReference"/>
        </w:rPr>
        <w:footnoteReference w:id="15"/>
      </w:r>
      <w:r w:rsidRPr="00F03917">
        <w:t xml:space="preserve"> Only avoidance and retreat strategies provide permanent </w:t>
      </w:r>
      <w:r w:rsidR="002621AF" w:rsidRPr="00F03917">
        <w:t>reduction</w:t>
      </w:r>
      <w:r w:rsidRPr="00F03917">
        <w:t xml:space="preserve"> of risk. </w:t>
      </w:r>
    </w:p>
    <w:p w14:paraId="2201A44D" w14:textId="511867ED" w:rsidR="007A72CC" w:rsidRPr="00F03917" w:rsidRDefault="00ED4029" w:rsidP="00F4370D">
      <w:pPr>
        <w:pStyle w:val="Figureheading"/>
        <w:spacing w:after="80"/>
      </w:pPr>
      <w:bookmarkStart w:id="24" w:name="figure5"/>
      <w:bookmarkStart w:id="25" w:name="_Toc160098420"/>
      <w:r w:rsidRPr="00F03917">
        <w:t>Figure 5</w:t>
      </w:r>
      <w:bookmarkEnd w:id="24"/>
      <w:r w:rsidRPr="00F03917">
        <w:t xml:space="preserve">: </w:t>
      </w:r>
      <w:r w:rsidR="006C38D5" w:rsidRPr="00F03917">
        <w:tab/>
      </w:r>
      <w:r w:rsidR="0018610F" w:rsidRPr="00F03917">
        <w:t>T</w:t>
      </w:r>
      <w:r w:rsidR="007A72CC" w:rsidRPr="00F03917">
        <w:t>ypes of adaptation options and actions</w:t>
      </w:r>
      <w:bookmarkEnd w:id="25"/>
    </w:p>
    <w:p w14:paraId="7C7477F8" w14:textId="50D7245F" w:rsidR="00F23898" w:rsidRPr="00F03917" w:rsidRDefault="008120C0" w:rsidP="004B5D42">
      <w:pPr>
        <w:pStyle w:val="BodyText"/>
      </w:pPr>
      <w:bookmarkStart w:id="26" w:name="Slide_Number_2"/>
      <w:bookmarkEnd w:id="26"/>
      <w:r w:rsidRPr="00F03917">
        <w:rPr>
          <w:noProof/>
        </w:rPr>
        <w:drawing>
          <wp:inline distT="0" distB="0" distL="0" distR="0" wp14:anchorId="15FE4B2F" wp14:editId="58BB5BC3">
            <wp:extent cx="5300514" cy="1104037"/>
            <wp:effectExtent l="0" t="0" r="0" b="1270"/>
            <wp:docPr id="1365377187" name="Picture 136537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377187" name="Picture 1365377187"/>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5411768" cy="1127210"/>
                    </a:xfrm>
                    <a:prstGeom prst="rect">
                      <a:avLst/>
                    </a:prstGeom>
                    <a:ln>
                      <a:noFill/>
                    </a:ln>
                    <a:extLst>
                      <a:ext uri="{53640926-AAD7-44D8-BBD7-CCE9431645EC}">
                        <a14:shadowObscured xmlns:a14="http://schemas.microsoft.com/office/drawing/2010/main"/>
                      </a:ext>
                    </a:extLst>
                  </pic:spPr>
                </pic:pic>
              </a:graphicData>
            </a:graphic>
          </wp:inline>
        </w:drawing>
      </w:r>
    </w:p>
    <w:p w14:paraId="55DE877D" w14:textId="03679FB5" w:rsidR="002915E7" w:rsidRPr="00F03917" w:rsidRDefault="000E2B0C" w:rsidP="00CE4240">
      <w:pPr>
        <w:pStyle w:val="BodyText"/>
      </w:pPr>
      <w:r w:rsidRPr="00F03917">
        <w:t>A suite of d</w:t>
      </w:r>
      <w:r w:rsidR="005854F0" w:rsidRPr="00F03917">
        <w:t xml:space="preserve">ifferent options and actions </w:t>
      </w:r>
      <w:r w:rsidR="774D7061" w:rsidRPr="00F03917">
        <w:t xml:space="preserve">are </w:t>
      </w:r>
      <w:r w:rsidR="004854E8" w:rsidRPr="00F03917">
        <w:t>often necessary depending on the location and type of coastal geomorphology</w:t>
      </w:r>
      <w:r w:rsidR="00481E73" w:rsidRPr="00F03917">
        <w:t>,</w:t>
      </w:r>
      <w:r w:rsidR="002915E7" w:rsidRPr="00F03917">
        <w:t xml:space="preserve"> </w:t>
      </w:r>
      <w:r w:rsidR="00BD14A4" w:rsidRPr="00F03917">
        <w:t>and the</w:t>
      </w:r>
      <w:r w:rsidR="00E00A9B" w:rsidRPr="00F03917">
        <w:t xml:space="preserve"> combination of</w:t>
      </w:r>
      <w:r w:rsidR="002915E7" w:rsidRPr="00F03917">
        <w:t xml:space="preserve"> adaptation options </w:t>
      </w:r>
      <w:r w:rsidR="00E055B1" w:rsidRPr="00F03917">
        <w:t>used will</w:t>
      </w:r>
      <w:r w:rsidR="002915E7" w:rsidRPr="00F03917">
        <w:t xml:space="preserve"> change over time. The most appropriate adaptation options will be different for every community or project. A place-based and risk-based approach should </w:t>
      </w:r>
      <w:r w:rsidR="00BB4455" w:rsidRPr="00F03917">
        <w:t>help t</w:t>
      </w:r>
      <w:r w:rsidR="00297B7C" w:rsidRPr="00F03917">
        <w:t>o</w:t>
      </w:r>
      <w:r w:rsidR="002915E7" w:rsidRPr="00F03917">
        <w:t xml:space="preserve"> meet the specific needs and </w:t>
      </w:r>
      <w:r w:rsidR="002915E7" w:rsidRPr="00F03917">
        <w:lastRenderedPageBreak/>
        <w:t>circumstances of the community</w:t>
      </w:r>
      <w:r w:rsidR="00946932" w:rsidRPr="00F03917">
        <w:t xml:space="preserve"> and </w:t>
      </w:r>
      <w:r w:rsidR="006839EB" w:rsidRPr="00F03917">
        <w:t xml:space="preserve">the </w:t>
      </w:r>
      <w:r w:rsidR="00946932" w:rsidRPr="00F03917">
        <w:t>council</w:t>
      </w:r>
      <w:r w:rsidR="00636016" w:rsidRPr="00F03917">
        <w:t xml:space="preserve"> to ensure </w:t>
      </w:r>
      <w:r w:rsidR="00975412" w:rsidRPr="00F03917">
        <w:t xml:space="preserve">robust outcomes </w:t>
      </w:r>
      <w:r w:rsidR="009762A2" w:rsidRPr="00F03917">
        <w:t>are well</w:t>
      </w:r>
      <w:r w:rsidR="008500F2" w:rsidRPr="00F03917">
        <w:t xml:space="preserve"> </w:t>
      </w:r>
      <w:r w:rsidR="002C2024" w:rsidRPr="00F03917">
        <w:t xml:space="preserve">supported and understood by the community. </w:t>
      </w:r>
    </w:p>
    <w:p w14:paraId="2E67485A" w14:textId="4DD3F16F" w:rsidR="00B64F48" w:rsidRPr="00F03917" w:rsidRDefault="00B57283" w:rsidP="00F4370D">
      <w:pPr>
        <w:pStyle w:val="BodyText"/>
      </w:pPr>
      <w:r w:rsidRPr="00F03917">
        <w:t>Adaptation is now an integral part of climate change policy worldwide. The level of adaptation needed will</w:t>
      </w:r>
      <w:r w:rsidR="00E91681" w:rsidRPr="00F03917">
        <w:t xml:space="preserve"> be</w:t>
      </w:r>
      <w:r w:rsidRPr="00F03917">
        <w:t xml:space="preserve"> largely defined by the future development of the world’s economy, energy use, global land-use patterns, population growth and the resolve to swiftly reduce greenhouse gas emissions</w:t>
      </w:r>
      <w:r w:rsidR="008E0226" w:rsidRPr="00F03917">
        <w:t>. This is</w:t>
      </w:r>
      <w:r w:rsidR="00C51476" w:rsidRPr="00F03917">
        <w:t xml:space="preserve"> because these dictate the amount of additional warming we will experience</w:t>
      </w:r>
      <w:r w:rsidR="006926BF" w:rsidRPr="00F03917">
        <w:t>, as well as</w:t>
      </w:r>
      <w:r w:rsidR="00B64F48" w:rsidRPr="00F03917">
        <w:t xml:space="preserve"> </w:t>
      </w:r>
      <w:r w:rsidR="005C15F9" w:rsidRPr="00F03917">
        <w:t>t</w:t>
      </w:r>
      <w:r w:rsidR="00B64F48" w:rsidRPr="00F03917">
        <w:t xml:space="preserve">he rate of mass loss of the Antarctic ice sheet, </w:t>
      </w:r>
      <w:r w:rsidR="006522CF" w:rsidRPr="00F03917">
        <w:t>the supporting sea ice</w:t>
      </w:r>
      <w:r w:rsidR="001832F3" w:rsidRPr="00F03917">
        <w:t>,</w:t>
      </w:r>
      <w:r w:rsidR="006522CF" w:rsidRPr="00F03917">
        <w:t xml:space="preserve"> warming of the oceans</w:t>
      </w:r>
      <w:r w:rsidR="00474795" w:rsidRPr="00F03917">
        <w:t xml:space="preserve"> and incidence of extreme weather events</w:t>
      </w:r>
      <w:r w:rsidR="0DFA4B39" w:rsidRPr="00F03917">
        <w:t>.</w:t>
      </w:r>
      <w:r w:rsidR="00B64F48" w:rsidRPr="00F03917">
        <w:t xml:space="preserve"> </w:t>
      </w:r>
      <w:r w:rsidR="0068619F" w:rsidRPr="00F03917">
        <w:t>Furthermore</w:t>
      </w:r>
      <w:r w:rsidR="003901E6" w:rsidRPr="00F03917">
        <w:t>,</w:t>
      </w:r>
      <w:r w:rsidR="00B64F48" w:rsidRPr="00F03917">
        <w:t xml:space="preserve"> </w:t>
      </w:r>
      <w:r w:rsidR="6215C56B" w:rsidRPr="00F03917">
        <w:t>‘</w:t>
      </w:r>
      <w:r w:rsidR="00B64F48" w:rsidRPr="00F03917">
        <w:t>deep</w:t>
      </w:r>
      <w:r w:rsidR="403F44FB" w:rsidRPr="00F03917">
        <w:t>’</w:t>
      </w:r>
      <w:r w:rsidR="00B64F48" w:rsidRPr="00F03917">
        <w:t xml:space="preserve"> uncertainty exists through </w:t>
      </w:r>
      <w:r w:rsidR="699641EE" w:rsidRPr="00F03917">
        <w:t xml:space="preserve">the </w:t>
      </w:r>
      <w:r w:rsidR="00B64F48" w:rsidRPr="00F03917">
        <w:t xml:space="preserve">lack of scientific understanding of </w:t>
      </w:r>
      <w:r w:rsidR="000923B2" w:rsidRPr="00F03917">
        <w:t xml:space="preserve">the processes </w:t>
      </w:r>
      <w:r w:rsidR="6871A713" w:rsidRPr="00F03917">
        <w:t>that</w:t>
      </w:r>
      <w:r w:rsidR="000923B2" w:rsidRPr="00F03917">
        <w:t xml:space="preserve"> determine the rate</w:t>
      </w:r>
      <w:r w:rsidR="009E599B" w:rsidRPr="00F03917">
        <w:t xml:space="preserve"> of ice-sheet loss</w:t>
      </w:r>
      <w:r w:rsidR="00E83FA0" w:rsidRPr="00F03917">
        <w:t>.</w:t>
      </w:r>
      <w:r w:rsidR="00B64F48" w:rsidRPr="00F03917">
        <w:t> The biggest uncertainties in SL</w:t>
      </w:r>
      <w:r w:rsidR="00173CBD" w:rsidRPr="00F03917">
        <w:t>R</w:t>
      </w:r>
      <w:r w:rsidR="00B64F48" w:rsidRPr="00F03917">
        <w:t xml:space="preserve"> projections </w:t>
      </w:r>
      <w:r w:rsidR="0097721F" w:rsidRPr="00F03917">
        <w:t>relate</w:t>
      </w:r>
      <w:r w:rsidR="00B64F48" w:rsidRPr="00F03917">
        <w:t xml:space="preserve"> to</w:t>
      </w:r>
      <w:r w:rsidR="00D84CCA" w:rsidRPr="00F03917">
        <w:t>:</w:t>
      </w:r>
    </w:p>
    <w:p w14:paraId="443D395D" w14:textId="60555EC0" w:rsidR="00B64F48" w:rsidRPr="00F03917" w:rsidRDefault="199D1821" w:rsidP="006A486F">
      <w:pPr>
        <w:pStyle w:val="BulletFIX"/>
      </w:pPr>
      <w:r w:rsidRPr="00F03917">
        <w:t>t</w:t>
      </w:r>
      <w:r w:rsidR="4B286007" w:rsidRPr="00F03917">
        <w:t xml:space="preserve">he </w:t>
      </w:r>
      <w:r w:rsidR="6EBC80A9" w:rsidRPr="00F03917">
        <w:t>e</w:t>
      </w:r>
      <w:r w:rsidR="0C0A6905" w:rsidRPr="00F03917">
        <w:t>missions pathway</w:t>
      </w:r>
      <w:r w:rsidR="2EE273A9" w:rsidRPr="00F03917">
        <w:t xml:space="preserve"> that eventuates</w:t>
      </w:r>
    </w:p>
    <w:p w14:paraId="7BCE7C4C" w14:textId="0F1978CA" w:rsidR="00B64F48" w:rsidRPr="00F03917" w:rsidRDefault="0C0A6905" w:rsidP="006A486F">
      <w:pPr>
        <w:pStyle w:val="BulletFIX"/>
      </w:pPr>
      <w:r w:rsidRPr="00F03917">
        <w:t>polar ice</w:t>
      </w:r>
      <w:r w:rsidR="47EB689A" w:rsidRPr="00F03917">
        <w:t>-</w:t>
      </w:r>
      <w:r w:rsidRPr="00F03917">
        <w:t>sheet dynamics</w:t>
      </w:r>
      <w:r w:rsidR="14F556C1" w:rsidRPr="00F03917">
        <w:t xml:space="preserve"> and instabilities</w:t>
      </w:r>
      <w:r w:rsidR="005C1D67" w:rsidRPr="00F03917">
        <w:rPr>
          <w:rStyle w:val="FootnoteReference"/>
        </w:rPr>
        <w:footnoteReference w:id="16"/>
      </w:r>
    </w:p>
    <w:p w14:paraId="2D086035" w14:textId="274BB996" w:rsidR="003547E0" w:rsidRPr="00F03917" w:rsidRDefault="00257B96" w:rsidP="006A486F">
      <w:pPr>
        <w:pStyle w:val="BulletFIX"/>
      </w:pPr>
      <w:r w:rsidRPr="00F03917">
        <w:t>r</w:t>
      </w:r>
      <w:r w:rsidR="008504CE" w:rsidRPr="00F03917">
        <w:t xml:space="preserve">elative SLR </w:t>
      </w:r>
      <w:r w:rsidR="6EBC80A9" w:rsidRPr="00F03917">
        <w:t>v</w:t>
      </w:r>
      <w:r w:rsidR="0C0A6905" w:rsidRPr="00F03917">
        <w:t>ertical land movements</w:t>
      </w:r>
      <w:r w:rsidR="3CAC0E3F" w:rsidRPr="00F03917">
        <w:t xml:space="preserve"> (including earthquakes)</w:t>
      </w:r>
      <w:r w:rsidR="6EBC80A9" w:rsidRPr="00F03917">
        <w:t>.</w:t>
      </w:r>
      <w:r w:rsidR="33454B37" w:rsidRPr="00F03917">
        <w:t xml:space="preserve"> </w:t>
      </w:r>
    </w:p>
    <w:p w14:paraId="7BDAD871" w14:textId="2EDD9B47" w:rsidR="00D93CE2" w:rsidRPr="00F03917" w:rsidRDefault="4533BFF5" w:rsidP="00B64F48">
      <w:pPr>
        <w:pStyle w:val="BodyText"/>
        <w:spacing w:after="240"/>
      </w:pPr>
      <w:r w:rsidRPr="00F03917">
        <w:t>R</w:t>
      </w:r>
      <w:r w:rsidR="00C1456B" w:rsidRPr="00F03917">
        <w:t xml:space="preserve">egardless of what we do now, </w:t>
      </w:r>
      <w:r w:rsidR="26D038A6" w:rsidRPr="00F03917">
        <w:t>however</w:t>
      </w:r>
      <w:r w:rsidR="00C1456B" w:rsidRPr="00F03917">
        <w:t>, SLR will continue for at least several centuries</w:t>
      </w:r>
      <w:r w:rsidR="00215664" w:rsidRPr="00F03917">
        <w:t xml:space="preserve"> </w:t>
      </w:r>
      <w:r w:rsidR="00215664" w:rsidRPr="00F03917">
        <w:rPr>
          <w:rFonts w:cs="Calibri"/>
          <w:color w:val="000000"/>
          <w:bdr w:val="none" w:sz="0" w:space="0" w:color="auto" w:frame="1"/>
        </w:rPr>
        <w:t>(Fox</w:t>
      </w:r>
      <w:r w:rsidR="00C31D71" w:rsidRPr="00F03917">
        <w:rPr>
          <w:rFonts w:cs="Calibri"/>
          <w:color w:val="000000"/>
          <w:bdr w:val="none" w:sz="0" w:space="0" w:color="auto" w:frame="1"/>
        </w:rPr>
        <w:noBreakHyphen/>
      </w:r>
      <w:r w:rsidR="00215664" w:rsidRPr="00F03917">
        <w:rPr>
          <w:rFonts w:cs="Calibri"/>
          <w:color w:val="000000"/>
          <w:bdr w:val="none" w:sz="0" w:space="0" w:color="auto" w:frame="1"/>
        </w:rPr>
        <w:t>Kemper et al, 2021)</w:t>
      </w:r>
      <w:r w:rsidR="006F1FFF" w:rsidRPr="00F03917">
        <w:t xml:space="preserve">. </w:t>
      </w:r>
      <w:r w:rsidR="00241316" w:rsidRPr="00F03917">
        <w:t>While redu</w:t>
      </w:r>
      <w:r w:rsidR="00AA567B" w:rsidRPr="00F03917">
        <w:t>c</w:t>
      </w:r>
      <w:r w:rsidR="00241316" w:rsidRPr="00F03917">
        <w:t xml:space="preserve">ing emissions will slow down the rate </w:t>
      </w:r>
      <w:r w:rsidR="001F6A39" w:rsidRPr="00F03917">
        <w:t>and limit</w:t>
      </w:r>
      <w:r w:rsidR="00B53854" w:rsidRPr="00F03917">
        <w:t xml:space="preserve"> the amount</w:t>
      </w:r>
      <w:r w:rsidR="001F6A39" w:rsidRPr="00F03917">
        <w:t xml:space="preserve"> </w:t>
      </w:r>
      <w:r w:rsidR="00241316" w:rsidRPr="00F03917">
        <w:t xml:space="preserve">of </w:t>
      </w:r>
      <w:r w:rsidR="5592177D" w:rsidRPr="00F03917">
        <w:t>SLR</w:t>
      </w:r>
      <w:r w:rsidR="00241316" w:rsidRPr="00F03917">
        <w:t xml:space="preserve">, this will occur over long timeframes. </w:t>
      </w:r>
      <w:r w:rsidR="006F1FFF" w:rsidRPr="00F03917">
        <w:t xml:space="preserve">The scale, extent and impact of the increasing coastal risk will be unprecedented across </w:t>
      </w:r>
      <w:r w:rsidR="00991714" w:rsidRPr="00F03917">
        <w:t>Aotearoa</w:t>
      </w:r>
      <w:r w:rsidR="006F1FFF" w:rsidRPr="00F03917">
        <w:t xml:space="preserve"> </w:t>
      </w:r>
      <w:r w:rsidR="00D60473" w:rsidRPr="00F03917">
        <w:t>(</w:t>
      </w:r>
      <w:r w:rsidR="00A4619D" w:rsidRPr="00F03917">
        <w:t xml:space="preserve">see </w:t>
      </w:r>
      <w:r w:rsidR="381573C6" w:rsidRPr="00F03917">
        <w:t>b</w:t>
      </w:r>
      <w:r w:rsidR="00D60473" w:rsidRPr="00F03917">
        <w:t xml:space="preserve">ox </w:t>
      </w:r>
      <w:r w:rsidR="0074331A" w:rsidRPr="00F03917">
        <w:t>1</w:t>
      </w:r>
      <w:r w:rsidR="00D60473" w:rsidRPr="00F03917">
        <w:t>)</w:t>
      </w:r>
      <w:r w:rsidR="006F1FFF" w:rsidRPr="00F03917">
        <w:t>.</w:t>
      </w:r>
      <w:r w:rsidR="000359BB" w:rsidRPr="00F03917">
        <w:t xml:space="preserve"> </w:t>
      </w:r>
      <w:hyperlink w:anchor="figure6" w:history="1">
        <w:r w:rsidR="000359BB" w:rsidRPr="00F03917">
          <w:rPr>
            <w:rStyle w:val="Hyperlink"/>
          </w:rPr>
          <w:t xml:space="preserve">Figure </w:t>
        </w:r>
        <w:r w:rsidR="009960C7" w:rsidRPr="00F03917">
          <w:rPr>
            <w:rStyle w:val="Hyperlink"/>
          </w:rPr>
          <w:t>6</w:t>
        </w:r>
      </w:hyperlink>
      <w:r w:rsidR="49CFB5E2" w:rsidRPr="00F03917">
        <w:t xml:space="preserve"> </w:t>
      </w:r>
      <w:r w:rsidR="00D93CE2" w:rsidRPr="00F03917">
        <w:t>also shows</w:t>
      </w:r>
      <w:r w:rsidR="00F05CA9" w:rsidRPr="00F03917">
        <w:t> </w:t>
      </w:r>
      <w:r w:rsidR="00D93CE2" w:rsidRPr="00F03917">
        <w:t xml:space="preserve">an example of adaptation options in an evolving and shrinking adaptation </w:t>
      </w:r>
      <w:r w:rsidR="00053087" w:rsidRPr="00F03917">
        <w:t>space and</w:t>
      </w:r>
      <w:r w:rsidR="00F05CA9" w:rsidRPr="00F03917">
        <w:t> </w:t>
      </w:r>
      <w:r w:rsidR="00D93CE2" w:rsidRPr="00F03917">
        <w:t xml:space="preserve">demonstrates why we need to adapt. </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6FBFA" w:themeFill="accent3" w:themeFillTint="33"/>
        <w:tblLook w:val="04A0" w:firstRow="1" w:lastRow="0" w:firstColumn="1" w:lastColumn="0" w:noHBand="0" w:noVBand="1"/>
      </w:tblPr>
      <w:tblGrid>
        <w:gridCol w:w="8505"/>
      </w:tblGrid>
      <w:tr w:rsidR="00DC36CD" w:rsidRPr="00F03917" w14:paraId="21519031" w14:textId="77777777" w:rsidTr="00FA19D9">
        <w:trPr>
          <w:tblHeader/>
        </w:trPr>
        <w:tc>
          <w:tcPr>
            <w:tcW w:w="8505" w:type="dxa"/>
            <w:tcBorders>
              <w:top w:val="single" w:sz="4" w:space="0" w:color="1B556B" w:themeColor="text2"/>
              <w:left w:val="single" w:sz="4" w:space="0" w:color="1B556B" w:themeColor="text2"/>
              <w:bottom w:val="nil"/>
              <w:right w:val="single" w:sz="4" w:space="0" w:color="1B556B" w:themeColor="text2"/>
            </w:tcBorders>
            <w:shd w:val="clear" w:color="auto" w:fill="1B556B" w:themeFill="text2"/>
            <w:vAlign w:val="center"/>
          </w:tcPr>
          <w:p w14:paraId="0EDBCCEE" w14:textId="4F69659B" w:rsidR="00DC36CD" w:rsidRPr="00F03917" w:rsidDel="00D5390D" w:rsidRDefault="00DC36CD" w:rsidP="00DA4FD3">
            <w:pPr>
              <w:pStyle w:val="Casestudyheading"/>
            </w:pPr>
            <w:r w:rsidRPr="00F03917">
              <w:t xml:space="preserve">: </w:t>
            </w:r>
            <w:bookmarkStart w:id="27" w:name="box1"/>
            <w:r w:rsidR="5A668109" w:rsidRPr="00F03917">
              <w:t>COASTS</w:t>
            </w:r>
            <w:r w:rsidRPr="00F03917">
              <w:t xml:space="preserve"> </w:t>
            </w:r>
            <w:bookmarkEnd w:id="27"/>
            <w:r w:rsidRPr="00F03917">
              <w:t xml:space="preserve">POSE A SPECIAL CASE FOR ADAPTATION </w:t>
            </w:r>
          </w:p>
        </w:tc>
      </w:tr>
      <w:tr w:rsidR="00DC36CD" w:rsidRPr="00F03917" w14:paraId="376FF342" w14:textId="77777777" w:rsidTr="423ED7A5">
        <w:tc>
          <w:tcPr>
            <w:tcW w:w="8505" w:type="dxa"/>
            <w:tcBorders>
              <w:top w:val="nil"/>
              <w:left w:val="single" w:sz="4" w:space="0" w:color="D2DDE2"/>
              <w:bottom w:val="single" w:sz="4" w:space="0" w:color="D2DDE2"/>
              <w:right w:val="single" w:sz="4" w:space="0" w:color="D2DDE2"/>
            </w:tcBorders>
            <w:shd w:val="clear" w:color="auto" w:fill="D2DDE1" w:themeFill="background2"/>
          </w:tcPr>
          <w:p w14:paraId="51157773" w14:textId="42641D7D" w:rsidR="00DC36CD" w:rsidRPr="00F03917" w:rsidRDefault="65288979">
            <w:pPr>
              <w:pStyle w:val="Boxtext"/>
              <w:spacing w:after="0"/>
            </w:pPr>
            <w:r w:rsidRPr="00F03917">
              <w:t>Coast</w:t>
            </w:r>
            <w:r w:rsidR="4C8DCBC2" w:rsidRPr="00F03917">
              <w:t>al hazards</w:t>
            </w:r>
            <w:r w:rsidRPr="00F03917">
              <w:t xml:space="preserve"> </w:t>
            </w:r>
            <w:r w:rsidR="4D75552A" w:rsidRPr="00F03917">
              <w:t>pose a distinctive and severe adaptation challenge for decision</w:t>
            </w:r>
            <w:r w:rsidR="4266C3DD" w:rsidRPr="00F03917">
              <w:t>-</w:t>
            </w:r>
            <w:r w:rsidR="4D75552A" w:rsidRPr="00F03917">
              <w:t xml:space="preserve">making because </w:t>
            </w:r>
            <w:r w:rsidR="6DD6F185" w:rsidRPr="00F03917">
              <w:t>they</w:t>
            </w:r>
            <w:r w:rsidR="4AC4D71A" w:rsidRPr="00F03917">
              <w:t xml:space="preserve"> </w:t>
            </w:r>
            <w:r w:rsidR="008C618F" w:rsidRPr="00F03917">
              <w:t xml:space="preserve">deal </w:t>
            </w:r>
            <w:r w:rsidR="4D75552A" w:rsidRPr="00F03917">
              <w:t xml:space="preserve">with both progressive and ongoing </w:t>
            </w:r>
            <w:r w:rsidR="1BE6BEE2" w:rsidRPr="00F03917">
              <w:t>sea-level rise</w:t>
            </w:r>
            <w:r w:rsidR="4B20F17B" w:rsidRPr="00F03917">
              <w:t xml:space="preserve"> </w:t>
            </w:r>
            <w:r w:rsidR="1BE6BEE2" w:rsidRPr="00F03917">
              <w:t>(</w:t>
            </w:r>
            <w:r w:rsidR="22FE3679" w:rsidRPr="00F03917">
              <w:t>SLR</w:t>
            </w:r>
            <w:r w:rsidR="759A8B70" w:rsidRPr="00F03917">
              <w:t>)</w:t>
            </w:r>
            <w:r w:rsidR="07381147" w:rsidRPr="00F03917">
              <w:t>,</w:t>
            </w:r>
            <w:r w:rsidR="22FE3679" w:rsidRPr="00F03917">
              <w:t xml:space="preserve"> as well as </w:t>
            </w:r>
            <w:r w:rsidR="4D75552A" w:rsidRPr="00F03917">
              <w:t xml:space="preserve">increased frequency and magnitude of extreme events (IPCC, 2022). </w:t>
            </w:r>
            <w:r w:rsidR="005E05C7" w:rsidRPr="00F03917">
              <w:t>Coastal hazards are also exacerbated by other historical and future changes in sediment and watershed runoff from both anthropogenic interventions (eg</w:t>
            </w:r>
            <w:r w:rsidR="000170E2" w:rsidRPr="00F03917">
              <w:t>,</w:t>
            </w:r>
            <w:r w:rsidR="005E05C7" w:rsidRPr="00F03917">
              <w:t xml:space="preserve"> land</w:t>
            </w:r>
            <w:r w:rsidR="000170E2" w:rsidRPr="00F03917">
              <w:t>-</w:t>
            </w:r>
            <w:r w:rsidR="005E05C7" w:rsidRPr="00F03917">
              <w:t xml:space="preserve">use change, protection measures, dredging) and increasingly, the compound effects of climate change on non-SLR processes (eg, rainfall, waves and sediment runoff). </w:t>
            </w:r>
            <w:r w:rsidR="2D0F854D" w:rsidRPr="00F03917">
              <w:t>The</w:t>
            </w:r>
            <w:r w:rsidR="5D2449DB" w:rsidRPr="00F03917">
              <w:t>se hazards</w:t>
            </w:r>
            <w:r w:rsidR="4DC0839D" w:rsidRPr="00F03917">
              <w:t xml:space="preserve"> </w:t>
            </w:r>
            <w:r w:rsidR="2118DED7" w:rsidRPr="00F03917">
              <w:t>will</w:t>
            </w:r>
            <w:r w:rsidR="4D75552A" w:rsidRPr="00F03917">
              <w:t xml:space="preserve"> occur earlier where rates of relative SLR are </w:t>
            </w:r>
            <w:r w:rsidR="4D75552A" w:rsidRPr="00F03917">
              <w:rPr>
                <w:color w:val="1B556B" w:themeColor="text2"/>
                <w:szCs w:val="20"/>
              </w:rPr>
              <w:t>locally higher (land subsidence</w:t>
            </w:r>
            <w:r w:rsidR="009E7FB7" w:rsidRPr="00F03917">
              <w:rPr>
                <w:rStyle w:val="FootnoteReference"/>
                <w:color w:val="1B556B" w:themeColor="text2"/>
                <w:sz w:val="20"/>
                <w:szCs w:val="20"/>
              </w:rPr>
              <w:footnoteReference w:id="17"/>
            </w:r>
            <w:r w:rsidR="4AC4D71A" w:rsidRPr="00F03917">
              <w:rPr>
                <w:color w:val="1B556B" w:themeColor="text2"/>
                <w:szCs w:val="20"/>
              </w:rPr>
              <w:t>)</w:t>
            </w:r>
            <w:r w:rsidR="4F8CB5E6" w:rsidRPr="00F03917">
              <w:rPr>
                <w:color w:val="1B556B" w:themeColor="text2"/>
                <w:szCs w:val="20"/>
              </w:rPr>
              <w:t>,</w:t>
            </w:r>
            <w:r w:rsidR="4D75552A" w:rsidRPr="00F03917">
              <w:rPr>
                <w:color w:val="1B556B" w:themeColor="text2"/>
                <w:szCs w:val="20"/>
              </w:rPr>
              <w:t xml:space="preserve"> a</w:t>
            </w:r>
            <w:r w:rsidR="4D75552A" w:rsidRPr="00F03917">
              <w:t>nd will reach higher levels if low</w:t>
            </w:r>
            <w:r w:rsidR="7EC46289" w:rsidRPr="00F03917">
              <w:t xml:space="preserve"> </w:t>
            </w:r>
            <w:r w:rsidR="4D75552A" w:rsidRPr="00F03917">
              <w:t>likelihood, high</w:t>
            </w:r>
            <w:r w:rsidR="586D4DDA" w:rsidRPr="00F03917">
              <w:t>-</w:t>
            </w:r>
            <w:r w:rsidR="4D75552A" w:rsidRPr="00F03917">
              <w:t xml:space="preserve">impact outcomes associated with collapsing ice sheets occur. </w:t>
            </w:r>
          </w:p>
          <w:p w14:paraId="6F4F94A1" w14:textId="4F0542E0" w:rsidR="00326692" w:rsidRPr="00F03917" w:rsidRDefault="00DC36CD" w:rsidP="008B6217">
            <w:pPr>
              <w:pStyle w:val="Boxtext"/>
              <w:rPr>
                <w:rFonts w:eastAsia="Times New Roman"/>
              </w:rPr>
            </w:pPr>
            <w:r w:rsidRPr="00F03917">
              <w:t>Making decisions about responses to progressive climate change impacts differs from decisions made regarding many other issues. These differences relate primarily to the irreversibility of </w:t>
            </w:r>
            <w:r w:rsidR="6084524B" w:rsidRPr="00F03917">
              <w:t>SLR</w:t>
            </w:r>
            <w:r w:rsidRPr="00F03917">
              <w:t xml:space="preserve"> and the rate, </w:t>
            </w:r>
            <w:r w:rsidR="110B4586" w:rsidRPr="00F03917">
              <w:t>magnitude</w:t>
            </w:r>
            <w:r w:rsidRPr="00F03917">
              <w:t xml:space="preserve"> and scope of ongoing impacts. </w:t>
            </w:r>
            <w:r w:rsidR="5A668109" w:rsidRPr="00F03917">
              <w:t xml:space="preserve">These </w:t>
            </w:r>
            <w:r w:rsidR="080254DF" w:rsidRPr="00F03917">
              <w:t xml:space="preserve">differences </w:t>
            </w:r>
            <w:r w:rsidR="5A668109" w:rsidRPr="00F03917">
              <w:t>will</w:t>
            </w:r>
            <w:r w:rsidRPr="00F03917">
              <w:t xml:space="preserve"> also vary regionally and locally in Aotearoa New Zealand, creating unequal impacts on communities (</w:t>
            </w:r>
            <w:r w:rsidR="00B423ED" w:rsidRPr="00F03917">
              <w:t>LGNZ</w:t>
            </w:r>
            <w:r w:rsidRPr="00F03917">
              <w:t xml:space="preserve">, 2016b). </w:t>
            </w:r>
            <w:r w:rsidR="3E84F048" w:rsidRPr="00F03917">
              <w:t>I</w:t>
            </w:r>
            <w:r w:rsidR="2118DED7" w:rsidRPr="00F03917">
              <w:rPr>
                <w:rFonts w:eastAsia="Times New Roman"/>
              </w:rPr>
              <w:t>f</w:t>
            </w:r>
            <w:r w:rsidRPr="00F03917">
              <w:rPr>
                <w:rFonts w:eastAsia="Times New Roman"/>
              </w:rPr>
              <w:t xml:space="preserve"> the risk is </w:t>
            </w:r>
            <w:r w:rsidRPr="00F03917">
              <w:rPr>
                <w:rFonts w:eastAsia="Times New Roman"/>
                <w:b/>
                <w:bCs/>
              </w:rPr>
              <w:t>underestimated</w:t>
            </w:r>
            <w:r w:rsidR="311CFD07" w:rsidRPr="00F03917">
              <w:rPr>
                <w:rFonts w:eastAsia="Times New Roman"/>
              </w:rPr>
              <w:t>,</w:t>
            </w:r>
            <w:r w:rsidRPr="00F03917">
              <w:rPr>
                <w:rFonts w:eastAsia="Times New Roman"/>
                <w:b/>
                <w:bCs/>
              </w:rPr>
              <w:t xml:space="preserve"> </w:t>
            </w:r>
            <w:r w:rsidRPr="00F03917">
              <w:rPr>
                <w:rFonts w:eastAsia="Times New Roman"/>
              </w:rPr>
              <w:t xml:space="preserve">the consequences will be severe with lasting social, cultural and economic effects. </w:t>
            </w:r>
            <w:r w:rsidR="633D4D15" w:rsidRPr="00F03917">
              <w:rPr>
                <w:rFonts w:eastAsia="Times New Roman"/>
              </w:rPr>
              <w:t>I</w:t>
            </w:r>
            <w:r w:rsidR="2118DED7" w:rsidRPr="00F03917">
              <w:rPr>
                <w:rFonts w:eastAsia="Times New Roman"/>
              </w:rPr>
              <w:t>f</w:t>
            </w:r>
            <w:r w:rsidRPr="00F03917">
              <w:rPr>
                <w:rFonts w:eastAsia="Times New Roman"/>
              </w:rPr>
              <w:t xml:space="preserve"> the risk is </w:t>
            </w:r>
            <w:r w:rsidRPr="00F03917">
              <w:rPr>
                <w:rFonts w:eastAsia="Times New Roman"/>
                <w:b/>
                <w:bCs/>
              </w:rPr>
              <w:t>overestimated</w:t>
            </w:r>
            <w:r w:rsidRPr="00F03917">
              <w:rPr>
                <w:rFonts w:eastAsia="Times New Roman"/>
              </w:rPr>
              <w:t xml:space="preserve"> for a specific timeframe</w:t>
            </w:r>
            <w:r w:rsidR="00134D7B" w:rsidRPr="00F03917">
              <w:rPr>
                <w:rFonts w:eastAsia="Times New Roman"/>
              </w:rPr>
              <w:t>,</w:t>
            </w:r>
            <w:r w:rsidRPr="00F03917">
              <w:rPr>
                <w:rFonts w:eastAsia="Times New Roman"/>
              </w:rPr>
              <w:t xml:space="preserve"> using </w:t>
            </w:r>
            <w:r w:rsidR="00BF3C82" w:rsidRPr="00F03917">
              <w:rPr>
                <w:rFonts w:eastAsia="Times New Roman"/>
              </w:rPr>
              <w:t xml:space="preserve">relative sea-level </w:t>
            </w:r>
            <w:r w:rsidR="6913C124" w:rsidRPr="00F03917">
              <w:rPr>
                <w:rFonts w:eastAsia="Times New Roman"/>
              </w:rPr>
              <w:t>rise</w:t>
            </w:r>
            <w:r w:rsidR="00972374" w:rsidRPr="00F03917">
              <w:rPr>
                <w:rFonts w:eastAsia="Times New Roman"/>
              </w:rPr>
              <w:t xml:space="preserve"> projections based on higher</w:t>
            </w:r>
            <w:r w:rsidR="00C240A1" w:rsidRPr="00F03917">
              <w:rPr>
                <w:rFonts w:eastAsia="Times New Roman"/>
              </w:rPr>
              <w:t xml:space="preserve"> emission</w:t>
            </w:r>
            <w:r w:rsidRPr="00F03917">
              <w:rPr>
                <w:rFonts w:eastAsia="Times New Roman"/>
              </w:rPr>
              <w:t xml:space="preserve"> scenarios, th</w:t>
            </w:r>
            <w:r w:rsidR="004B56D4" w:rsidRPr="00F03917">
              <w:rPr>
                <w:rFonts w:eastAsia="Times New Roman"/>
              </w:rPr>
              <w:t>is</w:t>
            </w:r>
            <w:r w:rsidRPr="00F03917">
              <w:rPr>
                <w:rFonts w:eastAsia="Times New Roman"/>
              </w:rPr>
              <w:t xml:space="preserve"> will be temporary</w:t>
            </w:r>
            <w:r w:rsidR="00250047" w:rsidRPr="00F03917">
              <w:rPr>
                <w:rFonts w:eastAsia="Times New Roman"/>
              </w:rPr>
              <w:t xml:space="preserve"> (decade to multi-decadal </w:t>
            </w:r>
            <w:r w:rsidR="004A47CB" w:rsidRPr="00F03917">
              <w:rPr>
                <w:rFonts w:eastAsia="Times New Roman"/>
              </w:rPr>
              <w:t>timescales</w:t>
            </w:r>
            <w:r w:rsidR="00453685" w:rsidRPr="00F03917">
              <w:rPr>
                <w:rFonts w:eastAsia="Times New Roman"/>
              </w:rPr>
              <w:t>)</w:t>
            </w:r>
            <w:r w:rsidR="00BF5899" w:rsidRPr="00F03917">
              <w:rPr>
                <w:rFonts w:eastAsia="Times New Roman"/>
              </w:rPr>
              <w:t>.</w:t>
            </w:r>
            <w:r w:rsidRPr="00F03917">
              <w:rPr>
                <w:rFonts w:eastAsia="Times New Roman"/>
              </w:rPr>
              <w:t xml:space="preserve"> </w:t>
            </w:r>
            <w:r w:rsidR="1D25CE64" w:rsidRPr="00F03917">
              <w:rPr>
                <w:rFonts w:eastAsia="Times New Roman"/>
              </w:rPr>
              <w:t xml:space="preserve">This is </w:t>
            </w:r>
            <w:r w:rsidRPr="00F03917">
              <w:rPr>
                <w:rFonts w:eastAsia="Times New Roman"/>
              </w:rPr>
              <w:t>because sea level will continue to rise</w:t>
            </w:r>
            <w:r w:rsidR="39D5245E" w:rsidRPr="00F03917">
              <w:rPr>
                <w:rFonts w:eastAsia="Times New Roman"/>
              </w:rPr>
              <w:t>, even as emissions are reduced,</w:t>
            </w:r>
            <w:r w:rsidRPr="00F03917">
              <w:rPr>
                <w:rFonts w:eastAsia="Times New Roman"/>
              </w:rPr>
              <w:t xml:space="preserve"> and it is only a matter of time before the adaptation threshold is reached for those exposed to the </w:t>
            </w:r>
            <w:r w:rsidR="2118DED7" w:rsidRPr="00F03917">
              <w:rPr>
                <w:rFonts w:eastAsia="Times New Roman"/>
              </w:rPr>
              <w:t>risk</w:t>
            </w:r>
            <w:r w:rsidR="4A806A5F" w:rsidRPr="00F03917">
              <w:rPr>
                <w:rFonts w:eastAsia="Times New Roman"/>
              </w:rPr>
              <w:t xml:space="preserve">. </w:t>
            </w:r>
            <w:r w:rsidR="008C6B4C" w:rsidRPr="00F03917">
              <w:rPr>
                <w:rFonts w:eastAsia="Times New Roman"/>
              </w:rPr>
              <w:t>While overestimation places</w:t>
            </w:r>
            <w:r w:rsidR="002A69C3" w:rsidRPr="00F03917">
              <w:rPr>
                <w:rFonts w:eastAsia="Times New Roman"/>
              </w:rPr>
              <w:t xml:space="preserve"> costs </w:t>
            </w:r>
            <w:r w:rsidR="008C6B4C" w:rsidRPr="00F03917">
              <w:rPr>
                <w:rFonts w:eastAsia="Times New Roman"/>
              </w:rPr>
              <w:t>today, the observed and increasing climate change impacts mean both</w:t>
            </w:r>
            <w:r w:rsidR="002A69C3" w:rsidRPr="00F03917">
              <w:rPr>
                <w:rFonts w:eastAsia="Times New Roman"/>
              </w:rPr>
              <w:t xml:space="preserve"> current </w:t>
            </w:r>
            <w:r w:rsidR="008C6B4C" w:rsidRPr="00F03917">
              <w:rPr>
                <w:rFonts w:eastAsia="Times New Roman"/>
              </w:rPr>
              <w:t>and future generations are</w:t>
            </w:r>
            <w:r w:rsidR="009476B7" w:rsidRPr="00F03917">
              <w:rPr>
                <w:rFonts w:eastAsia="Times New Roman"/>
              </w:rPr>
              <w:t>,</w:t>
            </w:r>
            <w:r w:rsidR="008C6B4C" w:rsidRPr="00F03917">
              <w:rPr>
                <w:rFonts w:eastAsia="Times New Roman"/>
              </w:rPr>
              <w:t xml:space="preserve"> and will be</w:t>
            </w:r>
            <w:r w:rsidR="009476B7" w:rsidRPr="00F03917">
              <w:rPr>
                <w:rFonts w:eastAsia="Times New Roman"/>
              </w:rPr>
              <w:t>,</w:t>
            </w:r>
            <w:r w:rsidR="008C6B4C" w:rsidRPr="00F03917">
              <w:rPr>
                <w:rFonts w:eastAsia="Times New Roman"/>
              </w:rPr>
              <w:t xml:space="preserve"> </w:t>
            </w:r>
            <w:r w:rsidR="002A69C3" w:rsidRPr="00F03917">
              <w:rPr>
                <w:rFonts w:eastAsia="Times New Roman"/>
              </w:rPr>
              <w:t xml:space="preserve">paying </w:t>
            </w:r>
            <w:r w:rsidR="008C6B4C" w:rsidRPr="00F03917">
              <w:rPr>
                <w:rFonts w:eastAsia="Times New Roman"/>
              </w:rPr>
              <w:t>the costs.</w:t>
            </w:r>
            <w:r w:rsidR="006922A6" w:rsidRPr="00F03917">
              <w:rPr>
                <w:rFonts w:eastAsia="Times New Roman"/>
              </w:rPr>
              <w:t xml:space="preserve"> </w:t>
            </w:r>
            <w:r w:rsidR="00D16DBB" w:rsidRPr="00F03917">
              <w:rPr>
                <w:rFonts w:eastAsia="Times New Roman"/>
              </w:rPr>
              <w:t>It</w:t>
            </w:r>
            <w:r w:rsidR="00C74F9C" w:rsidRPr="00F03917">
              <w:rPr>
                <w:rFonts w:eastAsia="Times New Roman"/>
              </w:rPr>
              <w:t xml:space="preserve"> is also important to consider how the costs and risks experienced by future generations may be affected by decisions taken today. </w:t>
            </w:r>
          </w:p>
          <w:p w14:paraId="725B1576" w14:textId="66C00368" w:rsidR="00EA2BFE" w:rsidRPr="00F03917" w:rsidRDefault="00C74F9C" w:rsidP="0047692B">
            <w:pPr>
              <w:pStyle w:val="Boxtext"/>
              <w:spacing w:after="0"/>
            </w:pPr>
            <w:r w:rsidRPr="00F03917">
              <w:lastRenderedPageBreak/>
              <w:t xml:space="preserve">Decisions that avoid or reduce exposure to future risks can minimise intergenerational risk transfers (which may manifest in the form of increased local authority rates, higher premiums or withdrawal of insurance). </w:t>
            </w:r>
            <w:r w:rsidR="00EA2BFE" w:rsidRPr="00F03917">
              <w:t>Ignoring the</w:t>
            </w:r>
            <w:r w:rsidR="00C60095" w:rsidRPr="00F03917">
              <w:t>se</w:t>
            </w:r>
            <w:r w:rsidR="00237185" w:rsidRPr="00F03917">
              <w:t xml:space="preserve"> considerations</w:t>
            </w:r>
            <w:r w:rsidR="00EA2BFE" w:rsidRPr="00F03917">
              <w:t xml:space="preserve"> is likely to create new</w:t>
            </w:r>
            <w:r w:rsidR="00A0562B" w:rsidRPr="00F03917">
              <w:t xml:space="preserve"> or intensify existing</w:t>
            </w:r>
            <w:r w:rsidR="00EA2BFE" w:rsidRPr="00F03917">
              <w:t xml:space="preserve"> inequalities and shift the burden to the welfare state and taxpayers (Handmer, 2008</w:t>
            </w:r>
            <w:r w:rsidR="35329E22" w:rsidRPr="00F03917">
              <w:t>).</w:t>
            </w:r>
            <w:r w:rsidR="00EA2BFE" w:rsidRPr="00F03917">
              <w:t xml:space="preserve"> </w:t>
            </w:r>
          </w:p>
          <w:p w14:paraId="38612983" w14:textId="61F61BD5" w:rsidR="00DC36CD" w:rsidRPr="00F03917" w:rsidRDefault="00DC36CD">
            <w:pPr>
              <w:pStyle w:val="Boxtext"/>
              <w:spacing w:after="0"/>
            </w:pPr>
            <w:r w:rsidRPr="00F03917">
              <w:t>There is already committed SLR</w:t>
            </w:r>
            <w:r w:rsidR="1AE07F53" w:rsidRPr="00F03917">
              <w:t>,</w:t>
            </w:r>
            <w:r w:rsidRPr="00F03917">
              <w:t xml:space="preserve"> </w:t>
            </w:r>
            <w:r w:rsidR="00796C22" w:rsidRPr="00F03917">
              <w:t xml:space="preserve">due to </w:t>
            </w:r>
            <w:r w:rsidR="003D7EAA" w:rsidRPr="00F03917">
              <w:t>heat stored in</w:t>
            </w:r>
            <w:r w:rsidR="00796C22" w:rsidRPr="00F03917">
              <w:t xml:space="preserve"> </w:t>
            </w:r>
            <w:r w:rsidRPr="00F03917">
              <w:t>the oceans</w:t>
            </w:r>
            <w:r w:rsidR="003D7EAA" w:rsidRPr="00F03917">
              <w:t xml:space="preserve"> and </w:t>
            </w:r>
            <w:r w:rsidR="7527CF97" w:rsidRPr="00F03917">
              <w:t xml:space="preserve">future </w:t>
            </w:r>
            <w:r w:rsidR="003D7EAA" w:rsidRPr="00F03917">
              <w:t xml:space="preserve">ice </w:t>
            </w:r>
            <w:r w:rsidR="17933542" w:rsidRPr="00F03917">
              <w:t>sheet</w:t>
            </w:r>
            <w:r w:rsidR="591E49F1" w:rsidRPr="00F03917">
              <w:t xml:space="preserve"> response</w:t>
            </w:r>
            <w:r w:rsidR="78BCA5F5" w:rsidRPr="00F03917">
              <w:t xml:space="preserve"> </w:t>
            </w:r>
            <w:r w:rsidR="24578B7E" w:rsidRPr="00F03917">
              <w:t>to</w:t>
            </w:r>
            <w:r w:rsidR="78BCA5F5" w:rsidRPr="00F03917">
              <w:t xml:space="preserve"> </w:t>
            </w:r>
            <w:r w:rsidR="3C89C50A" w:rsidRPr="00F03917">
              <w:t>historic</w:t>
            </w:r>
            <w:r w:rsidRPr="00F03917">
              <w:t xml:space="preserve"> greenhouse gas emissions</w:t>
            </w:r>
            <w:r w:rsidR="31DCC3CB" w:rsidRPr="00F03917">
              <w:t>.</w:t>
            </w:r>
            <w:r w:rsidRPr="00F03917">
              <w:t xml:space="preserve"> Impacts are being observed now </w:t>
            </w:r>
            <w:r w:rsidR="004D259E" w:rsidRPr="00F03917">
              <w:t>from past emissions</w:t>
            </w:r>
            <w:r w:rsidR="15BBC9CE" w:rsidRPr="00F03917">
              <w:t>,</w:t>
            </w:r>
            <w:r w:rsidRPr="00F03917">
              <w:t xml:space="preserve"> and near-term risks are projected to emerge well before 2050 (</w:t>
            </w:r>
            <w:r w:rsidR="006F1C45" w:rsidRPr="00F03917">
              <w:t>Levy</w:t>
            </w:r>
            <w:r w:rsidRPr="00F03917">
              <w:t xml:space="preserve"> et al, </w:t>
            </w:r>
            <w:r w:rsidR="006F1C45" w:rsidRPr="00F03917">
              <w:t xml:space="preserve">2023; </w:t>
            </w:r>
            <w:r w:rsidRPr="00F03917">
              <w:t xml:space="preserve">Stephens et al, 2018). The ability to adapt to current coastal impacts, to cope with ongoing and increasing coastal risks, and to curtail acceleration of </w:t>
            </w:r>
            <w:r w:rsidR="34E2D14B" w:rsidRPr="00F03917">
              <w:t>SLR</w:t>
            </w:r>
            <w:r w:rsidRPr="00F03917">
              <w:t xml:space="preserve"> beyond 2050 depends on near-term and ongoing mitigation and adaptation actions. But there are limits to adaptation in the face of progressive SLR</w:t>
            </w:r>
            <w:r w:rsidR="65E820D0" w:rsidRPr="00F03917">
              <w:t>,</w:t>
            </w:r>
            <w:r w:rsidRPr="00F03917">
              <w:t xml:space="preserve"> </w:t>
            </w:r>
            <w:r w:rsidRPr="00F03917" w:rsidDel="00DC36CD">
              <w:t>which</w:t>
            </w:r>
            <w:r w:rsidR="37FE3909" w:rsidRPr="00F03917">
              <w:t>,</w:t>
            </w:r>
            <w:r w:rsidRPr="00F03917">
              <w:t xml:space="preserve"> over time, will be existential for many ecosystems and human systems. </w:t>
            </w:r>
          </w:p>
          <w:p w14:paraId="22A54C7E" w14:textId="6EE25D21" w:rsidR="007F5966" w:rsidRPr="00F03917" w:rsidRDefault="007F5966" w:rsidP="00BB200B">
            <w:pPr>
              <w:pStyle w:val="Boxtext"/>
              <w:spacing w:after="0"/>
              <w:rPr>
                <w:b/>
                <w:bCs/>
              </w:rPr>
            </w:pPr>
            <w:r w:rsidRPr="00F03917">
              <w:rPr>
                <w:b/>
                <w:bCs/>
              </w:rPr>
              <w:t>Limits to adaptation</w:t>
            </w:r>
          </w:p>
          <w:p w14:paraId="0282483B" w14:textId="74C358C0" w:rsidR="00DC36CD" w:rsidRPr="00F03917" w:rsidRDefault="00DC36CD" w:rsidP="008B6217">
            <w:pPr>
              <w:pStyle w:val="Boxtext"/>
              <w:spacing w:before="80" w:after="0"/>
            </w:pPr>
            <w:r w:rsidRPr="00F03917">
              <w:t>As protection becomes unaffordable and the limits to accommodation become obvious, planned relocation</w:t>
            </w:r>
            <w:r w:rsidR="60F9653F" w:rsidRPr="00F03917">
              <w:t xml:space="preserve"> and </w:t>
            </w:r>
            <w:r w:rsidRPr="00F03917">
              <w:t xml:space="preserve">retreat may become the only way to </w:t>
            </w:r>
            <w:r w:rsidR="002279C3" w:rsidRPr="00F03917">
              <w:t>address</w:t>
            </w:r>
            <w:r w:rsidRPr="00F03917">
              <w:t xml:space="preserve"> the impacts of inevitable flooding in low-lying coastal areas. This makes SLR a particular challenge for adaptation. </w:t>
            </w:r>
            <w:hyperlink w:anchor="figure6">
              <w:r w:rsidRPr="00F03917">
                <w:rPr>
                  <w:rStyle w:val="Hyperlink"/>
                </w:rPr>
                <w:t>Figure 6</w:t>
              </w:r>
            </w:hyperlink>
            <w:r w:rsidRPr="00F03917">
              <w:t xml:space="preserve"> demonstrates this as an evolving and shrinking adaptation space as the sea rises.</w:t>
            </w:r>
            <w:r w:rsidR="000645B2" w:rsidRPr="00F03917">
              <w:t xml:space="preserve"> </w:t>
            </w:r>
            <w:r w:rsidR="00B07789" w:rsidRPr="00F03917">
              <w:t>The risks associated with m</w:t>
            </w:r>
            <w:r w:rsidR="000645B2" w:rsidRPr="00F03917">
              <w:t>aladaptation</w:t>
            </w:r>
            <w:r w:rsidR="00BE368C" w:rsidRPr="00F03917">
              <w:t xml:space="preserve"> should also </w:t>
            </w:r>
            <w:r w:rsidR="00E018C1" w:rsidRPr="00F03917">
              <w:t>be considered.</w:t>
            </w:r>
          </w:p>
          <w:p w14:paraId="5B19B767" w14:textId="59385B85" w:rsidR="00DC36CD" w:rsidRPr="00F03917" w:rsidRDefault="2118DED7">
            <w:pPr>
              <w:pStyle w:val="Boxtext"/>
              <w:spacing w:after="0"/>
            </w:pPr>
            <w:r w:rsidRPr="00F03917">
              <w:t xml:space="preserve">Adaptation </w:t>
            </w:r>
            <w:r w:rsidR="5FC566A4" w:rsidRPr="00F03917">
              <w:t xml:space="preserve">options </w:t>
            </w:r>
            <w:r w:rsidRPr="00F03917">
              <w:t>that ha</w:t>
            </w:r>
            <w:r w:rsidR="73DE97B0" w:rsidRPr="00F03917">
              <w:t>ve</w:t>
            </w:r>
            <w:r w:rsidR="00DC36CD" w:rsidRPr="00F03917">
              <w:t xml:space="preserve"> a limited life </w:t>
            </w:r>
            <w:r w:rsidR="00647E51" w:rsidRPr="00F03917">
              <w:t>can potentially</w:t>
            </w:r>
            <w:r w:rsidR="00DC36CD" w:rsidRPr="00F03917">
              <w:t xml:space="preserve"> lead to lock-in of </w:t>
            </w:r>
            <w:r w:rsidR="001B4E12" w:rsidRPr="00F03917">
              <w:t>people and their communities</w:t>
            </w:r>
            <w:r w:rsidR="00B42034" w:rsidRPr="00F03917">
              <w:t xml:space="preserve"> and</w:t>
            </w:r>
            <w:r w:rsidR="00DC36CD" w:rsidRPr="00F03917">
              <w:t xml:space="preserve"> </w:t>
            </w:r>
            <w:r w:rsidR="00931FE1" w:rsidRPr="00F03917">
              <w:t>‘</w:t>
            </w:r>
            <w:r w:rsidRPr="00F03917">
              <w:t>permanent</w:t>
            </w:r>
            <w:r w:rsidR="655AB194" w:rsidRPr="00F03917">
              <w:t>’</w:t>
            </w:r>
            <w:r w:rsidR="00DC36CD" w:rsidRPr="00F03917">
              <w:t xml:space="preserve"> buildings and infrastructure, making it harder to change policy and measures as the sea advances. Temporary adaptation options like seawalls, filling land or raising buildings above flood levels may buy time if they can be implemented quickly, but they </w:t>
            </w:r>
            <w:r w:rsidR="00B41638" w:rsidRPr="00F03917">
              <w:t xml:space="preserve">can </w:t>
            </w:r>
            <w:r w:rsidR="00DC36CD" w:rsidRPr="00F03917">
              <w:t xml:space="preserve">entrench development </w:t>
            </w:r>
            <w:r w:rsidR="004C6F58" w:rsidRPr="00F03917">
              <w:t xml:space="preserve">and limit access to communities, </w:t>
            </w:r>
            <w:r w:rsidR="00DC36CD" w:rsidRPr="00F03917">
              <w:t xml:space="preserve">making it harder to transition to </w:t>
            </w:r>
            <w:r w:rsidR="00451E71" w:rsidRPr="00F03917">
              <w:t xml:space="preserve">options like </w:t>
            </w:r>
            <w:r w:rsidR="00DC36CD" w:rsidRPr="00F03917">
              <w:t>managed retreat</w:t>
            </w:r>
            <w:r w:rsidR="00EB17AD" w:rsidRPr="00F03917">
              <w:t>,</w:t>
            </w:r>
            <w:r w:rsidR="00DC36CD" w:rsidRPr="00F03917">
              <w:t xml:space="preserve"> while </w:t>
            </w:r>
            <w:r w:rsidR="00A47081" w:rsidRPr="00F03917">
              <w:t>also</w:t>
            </w:r>
            <w:r w:rsidR="00DC36CD" w:rsidRPr="00F03917">
              <w:t xml:space="preserve"> increasing ongoing adjustment costs. </w:t>
            </w:r>
            <w:r w:rsidR="34750621" w:rsidRPr="00F03917">
              <w:t xml:space="preserve">Planning </w:t>
            </w:r>
            <w:r w:rsidR="46219815" w:rsidRPr="00F03917">
              <w:t>methods</w:t>
            </w:r>
            <w:r w:rsidR="001763AA" w:rsidRPr="00F03917">
              <w:t xml:space="preserve"> to </w:t>
            </w:r>
            <w:r w:rsidR="00750205" w:rsidRPr="00F03917">
              <w:t xml:space="preserve">mitigate the risk of </w:t>
            </w:r>
            <w:r w:rsidR="00364C44" w:rsidRPr="00F03917">
              <w:t>lock-in and limited life to adaptation measure</w:t>
            </w:r>
            <w:r w:rsidR="0018311F" w:rsidRPr="00F03917">
              <w:t xml:space="preserve">s </w:t>
            </w:r>
            <w:r w:rsidR="001276DD" w:rsidRPr="00F03917">
              <w:t xml:space="preserve">should be </w:t>
            </w:r>
            <w:r w:rsidR="00CB1F90" w:rsidRPr="00F03917">
              <w:t xml:space="preserve">developed and implemented as part of an </w:t>
            </w:r>
            <w:r w:rsidR="00CB1F90" w:rsidRPr="00F03917" w:rsidDel="004668A3">
              <w:t xml:space="preserve">adaptive </w:t>
            </w:r>
            <w:r w:rsidR="00D74956" w:rsidRPr="00F03917">
              <w:t>planning</w:t>
            </w:r>
            <w:r w:rsidR="00682B45" w:rsidRPr="00F03917">
              <w:t xml:space="preserve"> strategy</w:t>
            </w:r>
            <w:r w:rsidR="0E977393" w:rsidRPr="00F03917">
              <w:t>.</w:t>
            </w:r>
            <w:r w:rsidR="00DC36CD" w:rsidRPr="00F03917">
              <w:t xml:space="preserve"> Responses are more effective if combined and/or sequenced, planned well ahead, aligned with sociocultural values and development priorities, and underpinned by inclusive community engagement processes (IPCC</w:t>
            </w:r>
            <w:r w:rsidR="006C703E" w:rsidRPr="00F03917">
              <w:t>,</w:t>
            </w:r>
            <w:r w:rsidR="00DC36CD" w:rsidRPr="00F03917">
              <w:t xml:space="preserve"> 2022). </w:t>
            </w:r>
          </w:p>
          <w:p w14:paraId="049DDE90" w14:textId="77777777" w:rsidR="00DC36CD" w:rsidRPr="00F03917" w:rsidRDefault="00DC36CD">
            <w:pPr>
              <w:pStyle w:val="Boxtext"/>
              <w:spacing w:after="240"/>
            </w:pPr>
            <w:r w:rsidRPr="00F03917">
              <w:t>Considering both short- and long-term adaptation needs, including beyond 2100, can reduce adverse consequences and inequitable losses and damages to vulnerable people and communities.</w:t>
            </w:r>
          </w:p>
        </w:tc>
      </w:tr>
    </w:tbl>
    <w:p w14:paraId="4DD1BD59" w14:textId="020B3CC9" w:rsidR="006052C9" w:rsidRPr="00F03917" w:rsidRDefault="00ED4029" w:rsidP="00C52920">
      <w:pPr>
        <w:pStyle w:val="Figureheading"/>
      </w:pPr>
      <w:bookmarkStart w:id="28" w:name="figure6"/>
      <w:bookmarkStart w:id="29" w:name="_Toc160098421"/>
      <w:r w:rsidRPr="00F03917">
        <w:lastRenderedPageBreak/>
        <w:t>Figure 6</w:t>
      </w:r>
      <w:bookmarkEnd w:id="28"/>
      <w:r w:rsidRPr="00F03917">
        <w:t xml:space="preserve">: </w:t>
      </w:r>
      <w:r w:rsidR="005A4DFF" w:rsidRPr="00F03917">
        <w:tab/>
      </w:r>
      <w:r w:rsidR="42A54FD0" w:rsidRPr="00F03917">
        <w:t>E</w:t>
      </w:r>
      <w:r w:rsidR="006052C9" w:rsidRPr="00F03917">
        <w:t>volving and shrinking solution space to address sea</w:t>
      </w:r>
      <w:r w:rsidR="00E32EA9" w:rsidRPr="00F03917">
        <w:t>-</w:t>
      </w:r>
      <w:r w:rsidR="006052C9" w:rsidRPr="00F03917">
        <w:t>level rise</w:t>
      </w:r>
      <w:bookmarkEnd w:id="29"/>
    </w:p>
    <w:p w14:paraId="0259CD30" w14:textId="77777777" w:rsidR="006052C9" w:rsidRPr="00F03917" w:rsidRDefault="006052C9" w:rsidP="002C2E7A">
      <w:pPr>
        <w:pStyle w:val="BodyText"/>
      </w:pPr>
      <w:r w:rsidRPr="00F03917">
        <w:rPr>
          <w:noProof/>
        </w:rPr>
        <w:drawing>
          <wp:inline distT="0" distB="0" distL="0" distR="0" wp14:anchorId="132AD006" wp14:editId="4D76D980">
            <wp:extent cx="5386810" cy="4209691"/>
            <wp:effectExtent l="0" t="0" r="1270" b="0"/>
            <wp:docPr id="621659889" name="Picture 621659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659889" name="Picture 621659889"/>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5386810" cy="4209691"/>
                    </a:xfrm>
                    <a:prstGeom prst="rect">
                      <a:avLst/>
                    </a:prstGeom>
                    <a:noFill/>
                    <a:ln>
                      <a:noFill/>
                    </a:ln>
                  </pic:spPr>
                </pic:pic>
              </a:graphicData>
            </a:graphic>
          </wp:inline>
        </w:drawing>
      </w:r>
    </w:p>
    <w:p w14:paraId="4A215359" w14:textId="0556B513" w:rsidR="006052C9" w:rsidRPr="00F03917" w:rsidRDefault="006052C9" w:rsidP="00BB200B">
      <w:pPr>
        <w:pStyle w:val="Source"/>
        <w:spacing w:after="0"/>
        <w:rPr>
          <w:b/>
        </w:rPr>
      </w:pPr>
      <w:r w:rsidRPr="00F03917">
        <w:t xml:space="preserve">An illustrative example of adaptation options in an evolving and shrinking adaptation space. Different drivers and hard and soft limits shape this space. The figure highlights: 1) a narrowing of the adaptation space as a whole and, 2) a change in the ratio between the three adaptation strategies, with retreat becoming dominant. This will apply differently for different coastal types due to local contexts. </w:t>
      </w:r>
    </w:p>
    <w:p w14:paraId="0720A370" w14:textId="1A84692F" w:rsidR="006052C9" w:rsidRPr="00F03917" w:rsidRDefault="006052C9" w:rsidP="004D33B4">
      <w:pPr>
        <w:pStyle w:val="Source"/>
      </w:pPr>
      <w:r w:rsidRPr="00F03917">
        <w:t xml:space="preserve">Source: </w:t>
      </w:r>
      <w:r w:rsidR="000959E7" w:rsidRPr="00F03917">
        <w:t xml:space="preserve">Adapted </w:t>
      </w:r>
      <w:r w:rsidR="7BD34478" w:rsidRPr="00F03917">
        <w:t>from</w:t>
      </w:r>
      <w:r w:rsidRPr="00F03917">
        <w:t xml:space="preserve"> Haasnoot et al </w:t>
      </w:r>
      <w:r w:rsidR="7F8EA93F" w:rsidRPr="00F03917">
        <w:t>(</w:t>
      </w:r>
      <w:r w:rsidRPr="00F03917">
        <w:t>2021</w:t>
      </w:r>
      <w:r w:rsidR="4EDB9F34" w:rsidRPr="00F03917">
        <w:t>)</w:t>
      </w:r>
      <w:r w:rsidRPr="00F03917">
        <w:t xml:space="preserve"> </w:t>
      </w:r>
    </w:p>
    <w:p w14:paraId="1A9F6F9F" w14:textId="1370669B" w:rsidR="00B57283" w:rsidRPr="00F03917" w:rsidRDefault="000959E7" w:rsidP="007B3589">
      <w:pPr>
        <w:pStyle w:val="Heading5"/>
        <w:spacing w:before="200"/>
      </w:pPr>
      <w:r w:rsidRPr="00F03917">
        <w:t xml:space="preserve">Dynamic </w:t>
      </w:r>
      <w:r w:rsidR="7BD34478" w:rsidRPr="00F03917">
        <w:t>a</w:t>
      </w:r>
      <w:r w:rsidR="395E289F" w:rsidRPr="00F03917">
        <w:t>daptive</w:t>
      </w:r>
      <w:r w:rsidR="00B57283" w:rsidRPr="00F03917">
        <w:t xml:space="preserve"> pathways planning </w:t>
      </w:r>
    </w:p>
    <w:p w14:paraId="0EC063C2" w14:textId="51A3B06A" w:rsidR="00524C30" w:rsidRPr="00F03917" w:rsidRDefault="00B57283" w:rsidP="0075208B">
      <w:pPr>
        <w:pStyle w:val="BodyText"/>
        <w:spacing w:before="100" w:after="100"/>
      </w:pPr>
      <w:r w:rsidRPr="00F03917">
        <w:t>To help local government and communities make decisions when the magnitude and rate of</w:t>
      </w:r>
      <w:r w:rsidR="006C3813" w:rsidRPr="00F03917">
        <w:t> </w:t>
      </w:r>
      <w:r w:rsidRPr="00F03917">
        <w:t xml:space="preserve">SLR is uncertain, </w:t>
      </w:r>
      <w:r w:rsidR="00106684" w:rsidRPr="00F03917">
        <w:t xml:space="preserve">we recommend </w:t>
      </w:r>
      <w:r w:rsidRPr="00F03917">
        <w:t>us</w:t>
      </w:r>
      <w:r w:rsidR="003B4FE5" w:rsidRPr="00F03917">
        <w:t>ing</w:t>
      </w:r>
      <w:r w:rsidRPr="00F03917">
        <w:t xml:space="preserve"> </w:t>
      </w:r>
      <w:r w:rsidR="00A812F6" w:rsidRPr="00F03917">
        <w:t xml:space="preserve">the </w:t>
      </w:r>
      <w:r w:rsidR="00D14DE8" w:rsidRPr="00F03917">
        <w:t>‘</w:t>
      </w:r>
      <w:r w:rsidR="00A812F6" w:rsidRPr="00F03917">
        <w:t>dynamic</w:t>
      </w:r>
      <w:r w:rsidR="00850277" w:rsidRPr="00F03917">
        <w:t xml:space="preserve"> </w:t>
      </w:r>
      <w:r w:rsidR="00F60C47" w:rsidRPr="00F03917">
        <w:t>adapt</w:t>
      </w:r>
      <w:r w:rsidR="366D50D0" w:rsidRPr="00F03917">
        <w:t>ive</w:t>
      </w:r>
      <w:r w:rsidR="00F60C47" w:rsidRPr="00F03917">
        <w:t xml:space="preserve"> pathways </w:t>
      </w:r>
      <w:r w:rsidR="00A812F6" w:rsidRPr="00F03917">
        <w:t>planning</w:t>
      </w:r>
      <w:r w:rsidR="078C6DF6" w:rsidRPr="00F03917">
        <w:t>’</w:t>
      </w:r>
      <w:r w:rsidR="00A812F6" w:rsidRPr="00F03917">
        <w:t xml:space="preserve"> </w:t>
      </w:r>
      <w:r w:rsidR="00D14DE8" w:rsidRPr="00F03917">
        <w:t>(DAPP)</w:t>
      </w:r>
      <w:r w:rsidR="00A812F6" w:rsidRPr="00F03917">
        <w:t xml:space="preserve"> </w:t>
      </w:r>
      <w:r w:rsidR="5999FD22" w:rsidRPr="00F03917">
        <w:t xml:space="preserve">approach </w:t>
      </w:r>
      <w:r w:rsidR="21EE6022" w:rsidRPr="00F03917">
        <w:t>for</w:t>
      </w:r>
      <w:r w:rsidR="00A812F6" w:rsidRPr="00F03917">
        <w:t xml:space="preserve"> developing </w:t>
      </w:r>
      <w:r w:rsidR="009135A7" w:rsidRPr="00F03917">
        <w:t>adaptive planning strategie</w:t>
      </w:r>
      <w:r w:rsidR="00A812F6" w:rsidRPr="00F03917">
        <w:t>s</w:t>
      </w:r>
      <w:r w:rsidR="00854B9D" w:rsidRPr="00F03917">
        <w:t>.</w:t>
      </w:r>
      <w:r w:rsidR="00CD13CA" w:rsidRPr="00F03917">
        <w:t xml:space="preserve"> </w:t>
      </w:r>
      <w:r w:rsidR="00524C30" w:rsidRPr="00F03917">
        <w:t xml:space="preserve">This approach is anticipatory rather than reactive, and it can help avoid decisions that are inflexible and costly to change. </w:t>
      </w:r>
      <w:r w:rsidR="554F2341" w:rsidRPr="00F03917">
        <w:t xml:space="preserve">Further information on DAPP, and how to do this, can be found in </w:t>
      </w:r>
      <w:hyperlink w:anchor="_Identify_adaptation_options">
        <w:r w:rsidR="75937334" w:rsidRPr="00F03917">
          <w:rPr>
            <w:rStyle w:val="Hyperlink"/>
          </w:rPr>
          <w:t>step 5</w:t>
        </w:r>
      </w:hyperlink>
      <w:r w:rsidR="002223EB" w:rsidRPr="00F03917">
        <w:t>,</w:t>
      </w:r>
      <w:r w:rsidR="00502CB9" w:rsidRPr="00F03917">
        <w:t xml:space="preserve"> </w:t>
      </w:r>
      <w:hyperlink w:anchor="_Consider_options_and" w:history="1">
        <w:r w:rsidR="2E9E178C" w:rsidRPr="00F03917">
          <w:rPr>
            <w:rStyle w:val="Hyperlink"/>
          </w:rPr>
          <w:t>box 11</w:t>
        </w:r>
      </w:hyperlink>
      <w:r w:rsidR="002223EB" w:rsidRPr="00F03917">
        <w:t>,</w:t>
      </w:r>
      <w:r w:rsidR="0071290E" w:rsidRPr="00F03917">
        <w:t xml:space="preserve"> </w:t>
      </w:r>
      <w:hyperlink w:anchor="_Application__of">
        <w:r w:rsidR="7E6D78C1" w:rsidRPr="00F03917">
          <w:rPr>
            <w:rStyle w:val="Hyperlink"/>
          </w:rPr>
          <w:t>appendix A.9</w:t>
        </w:r>
      </w:hyperlink>
      <w:r w:rsidR="006809EB" w:rsidRPr="00F03917">
        <w:t xml:space="preserve"> </w:t>
      </w:r>
      <w:r w:rsidR="0071290E" w:rsidRPr="00F03917">
        <w:t xml:space="preserve">and </w:t>
      </w:r>
      <w:hyperlink w:anchor="_Appendix_D:_Dynamic">
        <w:r w:rsidR="753EF4BE" w:rsidRPr="00F03917">
          <w:rPr>
            <w:rStyle w:val="Hyperlink"/>
          </w:rPr>
          <w:t xml:space="preserve">appendix </w:t>
        </w:r>
        <w:r w:rsidR="2F0220F8" w:rsidRPr="00F03917">
          <w:rPr>
            <w:rStyle w:val="Hyperlink"/>
          </w:rPr>
          <w:t>C</w:t>
        </w:r>
      </w:hyperlink>
      <w:r w:rsidR="051EFFBF" w:rsidRPr="00F03917">
        <w:t>.</w:t>
      </w:r>
      <w:r w:rsidR="554F2341" w:rsidRPr="00F03917">
        <w:t xml:space="preserve"> </w:t>
      </w:r>
      <w:r w:rsidR="00524C30" w:rsidRPr="00F03917">
        <w:t xml:space="preserve">Monitoring the performance </w:t>
      </w:r>
      <w:r w:rsidR="00A52864" w:rsidRPr="00F03917">
        <w:t xml:space="preserve">of the adaptation </w:t>
      </w:r>
      <w:r w:rsidR="008D187C" w:rsidRPr="00F03917">
        <w:t xml:space="preserve">actions and </w:t>
      </w:r>
      <w:r w:rsidR="00A52864" w:rsidRPr="00F03917">
        <w:t>options as sea levels continue to rise</w:t>
      </w:r>
      <w:r w:rsidR="00146F96" w:rsidRPr="00F03917">
        <w:t xml:space="preserve"> enables the </w:t>
      </w:r>
      <w:r w:rsidR="003663F1" w:rsidRPr="00F03917">
        <w:t xml:space="preserve">implementation of </w:t>
      </w:r>
      <w:r w:rsidR="00AB52F7" w:rsidRPr="00F03917">
        <w:t>different combinations of actions and pathways as needed by the community, councils and infrastructure providers, and</w:t>
      </w:r>
      <w:r w:rsidR="00E25CCE" w:rsidRPr="00F03917">
        <w:t>,</w:t>
      </w:r>
      <w:r w:rsidR="00AB52F7" w:rsidRPr="00F03917">
        <w:t xml:space="preserve"> therefore, should start as soon as possible.</w:t>
      </w:r>
    </w:p>
    <w:p w14:paraId="535D671D" w14:textId="2D4B88BE" w:rsidR="00B57283" w:rsidRPr="00F03917" w:rsidRDefault="00854B9D" w:rsidP="00CE1815">
      <w:pPr>
        <w:pStyle w:val="BodyText"/>
        <w:keepLines/>
        <w:spacing w:before="100" w:after="100"/>
      </w:pPr>
      <w:r w:rsidRPr="00F03917">
        <w:lastRenderedPageBreak/>
        <w:t xml:space="preserve">Such </w:t>
      </w:r>
      <w:r w:rsidR="00B57283" w:rsidRPr="00F03917">
        <w:t xml:space="preserve">planning can </w:t>
      </w:r>
      <w:r w:rsidR="002139D2" w:rsidRPr="00F03917">
        <w:t>take the form of</w:t>
      </w:r>
      <w:r w:rsidR="00B57283" w:rsidRPr="00F03917">
        <w:t xml:space="preserve"> a series of interlinked </w:t>
      </w:r>
      <w:r w:rsidR="002139D2" w:rsidRPr="00F03917">
        <w:t xml:space="preserve">potential </w:t>
      </w:r>
      <w:r w:rsidR="00B57283" w:rsidRPr="00F03917">
        <w:t xml:space="preserve">pathways to meet </w:t>
      </w:r>
      <w:r w:rsidR="002139D2" w:rsidRPr="00F03917">
        <w:t xml:space="preserve">community </w:t>
      </w:r>
      <w:r w:rsidR="00C573FE" w:rsidRPr="00F03917">
        <w:t xml:space="preserve">and council </w:t>
      </w:r>
      <w:r w:rsidR="00B57283" w:rsidRPr="00F03917">
        <w:t xml:space="preserve">objectives (figure </w:t>
      </w:r>
      <w:r w:rsidR="00092C9F" w:rsidRPr="00F03917">
        <w:t>7</w:t>
      </w:r>
      <w:r w:rsidR="00B57283" w:rsidRPr="00F03917">
        <w:t xml:space="preserve">). The plan is monitored for </w:t>
      </w:r>
      <w:r w:rsidR="00B57283" w:rsidRPr="00F03917">
        <w:rPr>
          <w:b/>
        </w:rPr>
        <w:t>signals</w:t>
      </w:r>
      <w:r w:rsidR="00782C39" w:rsidRPr="00F03917">
        <w:rPr>
          <w:rStyle w:val="FootnoteReference"/>
        </w:rPr>
        <w:footnoteReference w:id="18"/>
      </w:r>
      <w:r w:rsidR="00B57283" w:rsidRPr="00F03917">
        <w:t xml:space="preserve"> that</w:t>
      </w:r>
      <w:r w:rsidR="00A524CF" w:rsidRPr="00F03917">
        <w:t xml:space="preserve"> </w:t>
      </w:r>
      <w:r w:rsidR="0082330F" w:rsidRPr="00F03917">
        <w:t>warn</w:t>
      </w:r>
      <w:r w:rsidR="00A524CF" w:rsidRPr="00F03917">
        <w:t xml:space="preserve"> a change is occurring</w:t>
      </w:r>
      <w:r w:rsidR="00C503C4" w:rsidRPr="00F03917">
        <w:t>.</w:t>
      </w:r>
      <w:r w:rsidR="00B57283" w:rsidRPr="00F03917">
        <w:t xml:space="preserve"> A predetermined </w:t>
      </w:r>
      <w:r w:rsidR="00B57283" w:rsidRPr="00F03917">
        <w:rPr>
          <w:b/>
        </w:rPr>
        <w:t>trigger</w:t>
      </w:r>
      <w:r w:rsidR="00D11832" w:rsidRPr="00F03917">
        <w:rPr>
          <w:rStyle w:val="FootnoteReference"/>
          <w:bCs/>
        </w:rPr>
        <w:footnoteReference w:id="19"/>
      </w:r>
      <w:r w:rsidR="00B57283" w:rsidRPr="00F03917">
        <w:t xml:space="preserve"> then indicates </w:t>
      </w:r>
      <w:r w:rsidR="00A35D85" w:rsidRPr="00F03917">
        <w:t>that the objectives may soon fail to be met</w:t>
      </w:r>
      <w:r w:rsidR="00187020" w:rsidRPr="00F03917">
        <w:t xml:space="preserve"> a</w:t>
      </w:r>
      <w:r w:rsidR="00E94BEC" w:rsidRPr="00F03917">
        <w:t xml:space="preserve">nd </w:t>
      </w:r>
      <w:r w:rsidR="00B57283" w:rsidRPr="00F03917">
        <w:t>need to be re</w:t>
      </w:r>
      <w:r w:rsidR="00D97918" w:rsidRPr="00F03917">
        <w:t>-</w:t>
      </w:r>
      <w:r w:rsidR="00B57283" w:rsidRPr="00F03917">
        <w:t>evaluated</w:t>
      </w:r>
      <w:r w:rsidR="004C0FF0" w:rsidRPr="00F03917">
        <w:t>.</w:t>
      </w:r>
      <w:r w:rsidR="00B57283" w:rsidRPr="00F03917">
        <w:t xml:space="preserve"> </w:t>
      </w:r>
      <w:r w:rsidR="004C0FF0" w:rsidRPr="00F03917">
        <w:t xml:space="preserve">A decision then needs to be made about whether </w:t>
      </w:r>
      <w:r w:rsidR="007C70E5" w:rsidRPr="00F03917">
        <w:t>a</w:t>
      </w:r>
      <w:r w:rsidR="00B57283" w:rsidRPr="00F03917">
        <w:t xml:space="preserve"> change in course is needed to continue to achieve the objectives</w:t>
      </w:r>
      <w:r w:rsidR="00B22003" w:rsidRPr="00F03917">
        <w:t xml:space="preserve"> and avoid reaching an </w:t>
      </w:r>
      <w:r w:rsidR="00B22003" w:rsidRPr="00F03917">
        <w:rPr>
          <w:b/>
          <w:bCs/>
        </w:rPr>
        <w:t>adaptation threshold</w:t>
      </w:r>
      <w:r w:rsidR="00B22003" w:rsidRPr="00F03917">
        <w:t>.</w:t>
      </w:r>
      <w:r w:rsidR="00F00FA1" w:rsidRPr="00F03917">
        <w:t xml:space="preserve"> The predetermined trigger </w:t>
      </w:r>
      <w:r w:rsidR="007F1FDC" w:rsidRPr="00F03917">
        <w:t xml:space="preserve">needs to be designed with sufficient time before the adaptation threshold for new adaptation measures </w:t>
      </w:r>
      <w:r w:rsidR="59FB8D76" w:rsidRPr="00F03917">
        <w:t>is</w:t>
      </w:r>
      <w:r w:rsidR="00A13BCD" w:rsidRPr="00F03917">
        <w:t xml:space="preserve"> implemented.</w:t>
      </w:r>
      <w:r w:rsidR="00F67878" w:rsidRPr="00F03917">
        <w:t xml:space="preserve"> Note that </w:t>
      </w:r>
      <w:r w:rsidR="009454FC" w:rsidRPr="00F03917">
        <w:t>while</w:t>
      </w:r>
      <w:r w:rsidR="00326692" w:rsidRPr="00F03917">
        <w:t> </w:t>
      </w:r>
      <w:r w:rsidR="00F67878" w:rsidRPr="00F03917">
        <w:t xml:space="preserve">figure </w:t>
      </w:r>
      <w:r w:rsidR="007C6F3F" w:rsidRPr="00F03917">
        <w:t>7 includes ‘</w:t>
      </w:r>
      <w:r w:rsidR="00446935" w:rsidRPr="00F03917">
        <w:t>a</w:t>
      </w:r>
      <w:r w:rsidR="007C6F3F" w:rsidRPr="00F03917">
        <w:t xml:space="preserve">dvance’ as an adaptation </w:t>
      </w:r>
      <w:r w:rsidR="00332018" w:rsidRPr="00F03917">
        <w:t xml:space="preserve">option </w:t>
      </w:r>
      <w:r w:rsidR="00A43BDE" w:rsidRPr="00F03917">
        <w:t>this is</w:t>
      </w:r>
      <w:r w:rsidR="00E04642" w:rsidRPr="00F03917">
        <w:t xml:space="preserve"> drawn from</w:t>
      </w:r>
      <w:r w:rsidR="00BE7EB2" w:rsidRPr="00F03917">
        <w:t xml:space="preserve"> an</w:t>
      </w:r>
      <w:r w:rsidR="00E04642" w:rsidRPr="00F03917">
        <w:t xml:space="preserve"> international </w:t>
      </w:r>
      <w:r w:rsidR="00BE7EB2" w:rsidRPr="00F03917">
        <w:t>example</w:t>
      </w:r>
      <w:r w:rsidR="004E2C0F" w:rsidRPr="00F03917">
        <w:t xml:space="preserve">. Advance </w:t>
      </w:r>
      <w:r w:rsidR="002F3DFD" w:rsidRPr="00F03917">
        <w:t xml:space="preserve">should be </w:t>
      </w:r>
      <w:r w:rsidR="002B00A1" w:rsidRPr="00F03917">
        <w:t>rarely</w:t>
      </w:r>
      <w:r w:rsidR="002F3DFD" w:rsidRPr="00F03917">
        <w:t xml:space="preserve"> considered</w:t>
      </w:r>
      <w:r w:rsidR="00A43BDE" w:rsidRPr="00F03917">
        <w:t xml:space="preserve"> </w:t>
      </w:r>
      <w:r w:rsidR="004E2C0F" w:rsidRPr="00F03917">
        <w:t>an adaptation option</w:t>
      </w:r>
      <w:r w:rsidR="00F0405A" w:rsidRPr="00F03917">
        <w:t xml:space="preserve"> </w:t>
      </w:r>
      <w:r w:rsidR="00332018" w:rsidRPr="00F03917">
        <w:t>in</w:t>
      </w:r>
      <w:r w:rsidR="00F0405A" w:rsidRPr="00F03917">
        <w:t xml:space="preserve"> the </w:t>
      </w:r>
      <w:r w:rsidR="00446935" w:rsidRPr="00F03917">
        <w:t xml:space="preserve">Aotearoa </w:t>
      </w:r>
      <w:r w:rsidR="00F0405A" w:rsidRPr="00F03917">
        <w:t xml:space="preserve">context </w:t>
      </w:r>
      <w:r w:rsidR="003F08E3" w:rsidRPr="00F03917">
        <w:t>(reserved for infrastructure and ports)</w:t>
      </w:r>
      <w:r w:rsidR="00F0405A" w:rsidRPr="00F03917">
        <w:t xml:space="preserve"> </w:t>
      </w:r>
      <w:r w:rsidR="00741B66" w:rsidRPr="00F03917">
        <w:t>because</w:t>
      </w:r>
      <w:r w:rsidR="00F0405A" w:rsidRPr="00F03917">
        <w:t xml:space="preserve"> </w:t>
      </w:r>
      <w:r w:rsidR="00397BC5" w:rsidRPr="00F03917">
        <w:t xml:space="preserve">reclamation </w:t>
      </w:r>
      <w:r w:rsidR="00A25AFA" w:rsidRPr="00F03917">
        <w:t xml:space="preserve">is </w:t>
      </w:r>
      <w:r w:rsidR="00AE7823" w:rsidRPr="00F03917">
        <w:t xml:space="preserve">a </w:t>
      </w:r>
      <w:r w:rsidR="00A25AFA" w:rsidRPr="00F03917">
        <w:t xml:space="preserve">discouraged </w:t>
      </w:r>
      <w:r w:rsidR="00AE7823" w:rsidRPr="00F03917">
        <w:t xml:space="preserve">activity </w:t>
      </w:r>
      <w:r w:rsidR="00221AF8" w:rsidRPr="00F03917">
        <w:t>under</w:t>
      </w:r>
      <w:r w:rsidR="00A25AFA" w:rsidRPr="00F03917">
        <w:t xml:space="preserve"> </w:t>
      </w:r>
      <w:r w:rsidR="00221AF8" w:rsidRPr="00F03917">
        <w:t xml:space="preserve">Policy 10 </w:t>
      </w:r>
      <w:r w:rsidR="00184E28" w:rsidRPr="00F03917">
        <w:t>of</w:t>
      </w:r>
      <w:r w:rsidR="00221AF8" w:rsidRPr="00F03917">
        <w:t xml:space="preserve"> the NZCPS</w:t>
      </w:r>
      <w:r w:rsidR="00741B66" w:rsidRPr="00F03917">
        <w:t xml:space="preserve"> (DOC, 2010)</w:t>
      </w:r>
      <w:r w:rsidR="00221AF8" w:rsidRPr="00F03917">
        <w:t>.</w:t>
      </w:r>
    </w:p>
    <w:p w14:paraId="30D144FC" w14:textId="5C8ACDDC" w:rsidR="008268BD" w:rsidRPr="00F03917" w:rsidRDefault="7AAE68E9" w:rsidP="00C52920">
      <w:pPr>
        <w:pStyle w:val="Figureheading"/>
      </w:pPr>
      <w:bookmarkStart w:id="30" w:name="_Toc160098422"/>
      <w:r w:rsidRPr="00F03917">
        <w:t xml:space="preserve">Figure </w:t>
      </w:r>
      <w:r w:rsidR="067567E4" w:rsidRPr="00F03917">
        <w:t>7</w:t>
      </w:r>
      <w:r w:rsidRPr="00F03917">
        <w:t xml:space="preserve">: </w:t>
      </w:r>
      <w:r w:rsidR="005A4DFF" w:rsidRPr="00F03917">
        <w:tab/>
      </w:r>
      <w:r w:rsidR="00B852A4" w:rsidRPr="00F03917">
        <w:t xml:space="preserve">Generic adaptation pathways for coastal cities and settlements to </w:t>
      </w:r>
      <w:r w:rsidR="4F787B4E" w:rsidRPr="00F03917">
        <w:t>sea</w:t>
      </w:r>
      <w:r w:rsidR="00A12B83" w:rsidRPr="00F03917">
        <w:noBreakHyphen/>
      </w:r>
      <w:r w:rsidR="4F787B4E" w:rsidRPr="00F03917">
        <w:t>level</w:t>
      </w:r>
      <w:r w:rsidR="00A12B83" w:rsidRPr="00F03917">
        <w:t> </w:t>
      </w:r>
      <w:r w:rsidR="4F787B4E" w:rsidRPr="00F03917">
        <w:t>rise</w:t>
      </w:r>
      <w:bookmarkEnd w:id="30"/>
    </w:p>
    <w:p w14:paraId="67504732" w14:textId="2BBBAE80" w:rsidR="008268BD" w:rsidRPr="00F03917" w:rsidRDefault="007A1B17" w:rsidP="00837293">
      <w:pPr>
        <w:pStyle w:val="BodyText"/>
      </w:pPr>
      <w:r w:rsidRPr="00F03917">
        <w:rPr>
          <w:noProof/>
        </w:rPr>
        <w:drawing>
          <wp:inline distT="0" distB="0" distL="0" distR="0" wp14:anchorId="0552D71F" wp14:editId="6A6A01E4">
            <wp:extent cx="5406887" cy="1967715"/>
            <wp:effectExtent l="0" t="0" r="3810" b="0"/>
            <wp:docPr id="436243640" name="Picture 43624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243640" name="Picture 436243640"/>
                    <pic:cNvPicPr/>
                  </pic:nvPicPr>
                  <pic:blipFill rotWithShape="1">
                    <a:blip r:embed="rId53" cstate="print">
                      <a:extLst>
                        <a:ext uri="{28A0092B-C50C-407E-A947-70E740481C1C}">
                          <a14:useLocalDpi xmlns:a14="http://schemas.microsoft.com/office/drawing/2010/main" val="0"/>
                        </a:ext>
                      </a:extLst>
                    </a:blip>
                    <a:srcRect r="-73"/>
                    <a:stretch/>
                  </pic:blipFill>
                  <pic:spPr bwMode="auto">
                    <a:xfrm>
                      <a:off x="0" y="0"/>
                      <a:ext cx="5432200" cy="1976927"/>
                    </a:xfrm>
                    <a:prstGeom prst="rect">
                      <a:avLst/>
                    </a:prstGeom>
                    <a:ln>
                      <a:noFill/>
                    </a:ln>
                    <a:extLst>
                      <a:ext uri="{53640926-AAD7-44D8-BBD7-CCE9431645EC}">
                        <a14:shadowObscured xmlns:a14="http://schemas.microsoft.com/office/drawing/2010/main"/>
                      </a:ext>
                    </a:extLst>
                  </pic:spPr>
                </pic:pic>
              </a:graphicData>
            </a:graphic>
          </wp:inline>
        </w:drawing>
      </w:r>
    </w:p>
    <w:p w14:paraId="4D4D4CA9" w14:textId="77777777" w:rsidR="00E03D61" w:rsidRPr="00F03917" w:rsidRDefault="00375A4D" w:rsidP="00E03D61">
      <w:pPr>
        <w:pStyle w:val="Source"/>
        <w:spacing w:after="0"/>
        <w:ind w:left="340" w:hanging="340"/>
      </w:pPr>
      <w:bookmarkStart w:id="31" w:name="_Appendix_C:_IPCC"/>
      <w:bookmarkStart w:id="32" w:name="6.4_Discussion"/>
      <w:bookmarkStart w:id="33" w:name="_bookmark3"/>
      <w:bookmarkStart w:id="34" w:name="_bookmark4"/>
      <w:bookmarkEnd w:id="31"/>
      <w:bookmarkEnd w:id="32"/>
      <w:bookmarkEnd w:id="33"/>
      <w:bookmarkEnd w:id="34"/>
      <w:r w:rsidRPr="00F03917">
        <w:t xml:space="preserve">1. </w:t>
      </w:r>
      <w:r w:rsidR="00E03D61" w:rsidRPr="00F03917">
        <w:tab/>
      </w:r>
      <w:r w:rsidRPr="00F03917">
        <w:t xml:space="preserve">Successful pilot, lack of development space </w:t>
      </w:r>
      <w:r w:rsidR="00601783" w:rsidRPr="00F03917">
        <w:t>triggers advance, or protect due to lack of support, time or finance.</w:t>
      </w:r>
    </w:p>
    <w:p w14:paraId="6F53F6E8" w14:textId="77777777" w:rsidR="00E03D61" w:rsidRPr="00F03917" w:rsidRDefault="00601783" w:rsidP="0060115B">
      <w:pPr>
        <w:pStyle w:val="Source"/>
        <w:spacing w:before="40" w:after="0"/>
        <w:ind w:left="340" w:hanging="340"/>
      </w:pPr>
      <w:r w:rsidRPr="00F03917">
        <w:t xml:space="preserve">2. </w:t>
      </w:r>
      <w:r w:rsidR="00E03D61" w:rsidRPr="00F03917">
        <w:tab/>
      </w:r>
      <w:r w:rsidRPr="00F03917">
        <w:t>Preference for nature-based solutions.</w:t>
      </w:r>
    </w:p>
    <w:p w14:paraId="79D5A084" w14:textId="1A682718" w:rsidR="00E03D61" w:rsidRPr="00F03917" w:rsidRDefault="00601783" w:rsidP="0060115B">
      <w:pPr>
        <w:pStyle w:val="Source"/>
        <w:spacing w:before="40" w:after="0"/>
        <w:ind w:left="340" w:hanging="340"/>
      </w:pPr>
      <w:r w:rsidRPr="00F03917">
        <w:t xml:space="preserve">3. </w:t>
      </w:r>
      <w:r w:rsidR="00E03D61" w:rsidRPr="00F03917">
        <w:tab/>
      </w:r>
      <w:r w:rsidRPr="00F03917">
        <w:t>Unaffordable, salinisation, pumping limit, lack of support.</w:t>
      </w:r>
    </w:p>
    <w:p w14:paraId="295669A3" w14:textId="77777777" w:rsidR="00E03D61" w:rsidRPr="00F03917" w:rsidRDefault="00601783" w:rsidP="0060115B">
      <w:pPr>
        <w:pStyle w:val="Source"/>
        <w:spacing w:before="40" w:after="0"/>
        <w:ind w:left="340" w:hanging="340"/>
      </w:pPr>
      <w:r w:rsidRPr="00F03917">
        <w:t xml:space="preserve">4. </w:t>
      </w:r>
      <w:r w:rsidR="00E03D61" w:rsidRPr="00F03917">
        <w:tab/>
      </w:r>
      <w:r w:rsidRPr="00F03917">
        <w:t xml:space="preserve">Unaffordable, pumping limit, </w:t>
      </w:r>
      <w:r w:rsidR="003669DF" w:rsidRPr="00F03917">
        <w:t>lack of time, support, knowledge, material.</w:t>
      </w:r>
    </w:p>
    <w:p w14:paraId="613212EF" w14:textId="77777777" w:rsidR="00E03D61" w:rsidRPr="00F03917" w:rsidRDefault="003669DF" w:rsidP="0060115B">
      <w:pPr>
        <w:pStyle w:val="Source"/>
        <w:spacing w:before="40" w:after="0"/>
        <w:ind w:left="340" w:hanging="340"/>
      </w:pPr>
      <w:r w:rsidRPr="00F03917">
        <w:t xml:space="preserve">5. </w:t>
      </w:r>
      <w:r w:rsidR="00E03D61" w:rsidRPr="00F03917">
        <w:tab/>
      </w:r>
      <w:r w:rsidRPr="00F03917">
        <w:t>Warming, limited space, human pressures, frequent flooding require additional measures.</w:t>
      </w:r>
    </w:p>
    <w:p w14:paraId="595E1AE2" w14:textId="77777777" w:rsidR="00E03D61" w:rsidRPr="00F03917" w:rsidRDefault="003669DF" w:rsidP="0060115B">
      <w:pPr>
        <w:pStyle w:val="Source"/>
        <w:spacing w:before="40" w:after="0"/>
        <w:ind w:left="340" w:hanging="340"/>
      </w:pPr>
      <w:r w:rsidRPr="00F03917">
        <w:t xml:space="preserve">6. </w:t>
      </w:r>
      <w:r w:rsidR="00E03D61" w:rsidRPr="00F03917">
        <w:tab/>
      </w:r>
      <w:r w:rsidR="002205B5" w:rsidRPr="00F03917">
        <w:t>Hybrid strategy.</w:t>
      </w:r>
    </w:p>
    <w:p w14:paraId="5D7F7FA5" w14:textId="77777777" w:rsidR="00E03D61" w:rsidRPr="00F03917" w:rsidRDefault="002205B5" w:rsidP="0060115B">
      <w:pPr>
        <w:pStyle w:val="Source"/>
        <w:spacing w:before="40" w:after="0"/>
        <w:ind w:left="340" w:hanging="340"/>
      </w:pPr>
      <w:r w:rsidRPr="00F03917">
        <w:t xml:space="preserve">7. </w:t>
      </w:r>
      <w:r w:rsidR="00E03D61" w:rsidRPr="00F03917">
        <w:tab/>
      </w:r>
      <w:r w:rsidRPr="00F03917">
        <w:t>Frequent flooding, flooding creates access problems.</w:t>
      </w:r>
    </w:p>
    <w:p w14:paraId="2851EB09" w14:textId="77777777" w:rsidR="00E03D61" w:rsidRPr="00F03917" w:rsidRDefault="002205B5" w:rsidP="0060115B">
      <w:pPr>
        <w:pStyle w:val="Source"/>
        <w:spacing w:before="40" w:after="0"/>
        <w:ind w:left="340" w:hanging="340"/>
      </w:pPr>
      <w:r w:rsidRPr="00F03917">
        <w:t xml:space="preserve">8. </w:t>
      </w:r>
      <w:r w:rsidR="00E03D61" w:rsidRPr="00F03917">
        <w:tab/>
      </w:r>
      <w:r w:rsidR="00F25367" w:rsidRPr="00F03917">
        <w:t>Warming, limited space, human pressures, frequent flooding.</w:t>
      </w:r>
    </w:p>
    <w:p w14:paraId="7536B3AD" w14:textId="77777777" w:rsidR="00E03D61" w:rsidRPr="00F03917" w:rsidRDefault="00F25367" w:rsidP="0060115B">
      <w:pPr>
        <w:pStyle w:val="Source"/>
        <w:spacing w:before="40" w:after="0"/>
        <w:ind w:left="340" w:hanging="340"/>
      </w:pPr>
      <w:r w:rsidRPr="00F03917">
        <w:t xml:space="preserve">9. </w:t>
      </w:r>
      <w:r w:rsidR="00E03D61" w:rsidRPr="00F03917">
        <w:tab/>
      </w:r>
      <w:r w:rsidR="009F5930" w:rsidRPr="00F03917">
        <w:t>Unaffordable, salinisation, pumping limit, lack of support.</w:t>
      </w:r>
    </w:p>
    <w:p w14:paraId="0D48A25D" w14:textId="77777777" w:rsidR="00E03D61" w:rsidRPr="00F03917" w:rsidRDefault="009F5930" w:rsidP="0060115B">
      <w:pPr>
        <w:pStyle w:val="Source"/>
        <w:spacing w:before="40" w:after="0"/>
        <w:ind w:left="340" w:hanging="340"/>
      </w:pPr>
      <w:r w:rsidRPr="00F03917">
        <w:t xml:space="preserve">10. </w:t>
      </w:r>
      <w:r w:rsidR="00E03D61" w:rsidRPr="00F03917">
        <w:tab/>
      </w:r>
      <w:r w:rsidRPr="00F03917">
        <w:t>Long lead time to align with social goals and ensure just outcomes.</w:t>
      </w:r>
    </w:p>
    <w:p w14:paraId="5EB2460F" w14:textId="551593CF" w:rsidR="00654B97" w:rsidRPr="00F03917" w:rsidRDefault="009F5930" w:rsidP="0060115B">
      <w:pPr>
        <w:pStyle w:val="Source"/>
        <w:spacing w:before="40" w:after="0"/>
        <w:ind w:left="340" w:hanging="340"/>
      </w:pPr>
      <w:r w:rsidRPr="00F03917">
        <w:t xml:space="preserve">11. </w:t>
      </w:r>
      <w:r w:rsidR="00E03D61" w:rsidRPr="00F03917">
        <w:tab/>
      </w:r>
      <w:r w:rsidRPr="00F03917">
        <w:t>Lack of acceptance and equit</w:t>
      </w:r>
      <w:r w:rsidR="002E7A7F" w:rsidRPr="00F03917">
        <w:t>y triggers shift.</w:t>
      </w:r>
    </w:p>
    <w:p w14:paraId="6356CDE4" w14:textId="3DBCD770" w:rsidR="00654B97" w:rsidRPr="00F03917" w:rsidRDefault="7A3C8994" w:rsidP="00654B97">
      <w:pPr>
        <w:pStyle w:val="Source"/>
      </w:pPr>
      <w:r w:rsidRPr="00F03917">
        <w:t xml:space="preserve">Source: </w:t>
      </w:r>
      <w:r w:rsidR="00B852A4" w:rsidRPr="00F03917">
        <w:t xml:space="preserve">IPCC </w:t>
      </w:r>
      <w:r w:rsidR="00123004" w:rsidRPr="00F03917">
        <w:t xml:space="preserve">AR6 WGII </w:t>
      </w:r>
      <w:r w:rsidR="00324597" w:rsidRPr="00F03917">
        <w:t>Cross-Chapter Paper 2: Cities and Settlements by the Sea (</w:t>
      </w:r>
      <w:r w:rsidR="00F95068" w:rsidRPr="00F03917">
        <w:t>Glavovic et al</w:t>
      </w:r>
      <w:r w:rsidR="00C131CC" w:rsidRPr="00F03917">
        <w:t xml:space="preserve">, </w:t>
      </w:r>
      <w:r w:rsidR="00925BB1" w:rsidRPr="00F03917">
        <w:t xml:space="preserve">2022, </w:t>
      </w:r>
      <w:r w:rsidR="00324597" w:rsidRPr="00F03917">
        <w:t xml:space="preserve">figure </w:t>
      </w:r>
      <w:r w:rsidR="008E4A61" w:rsidRPr="00F03917">
        <w:t>CCP2</w:t>
      </w:r>
      <w:r w:rsidR="00654B97" w:rsidRPr="00F03917">
        <w:t>.4a)</w:t>
      </w:r>
    </w:p>
    <w:p w14:paraId="057F4B56" w14:textId="3477FAF7" w:rsidR="001045B3" w:rsidRPr="00F03917" w:rsidRDefault="00F11104" w:rsidP="0060115B">
      <w:pPr>
        <w:pStyle w:val="Heading3"/>
        <w:numPr>
          <w:ilvl w:val="2"/>
          <w:numId w:val="20"/>
        </w:numPr>
        <w:tabs>
          <w:tab w:val="clear" w:pos="851"/>
        </w:tabs>
        <w:spacing w:line="360" w:lineRule="atLeast"/>
        <w:ind w:left="851" w:hanging="851"/>
      </w:pPr>
      <w:r w:rsidRPr="00F03917">
        <w:lastRenderedPageBreak/>
        <w:t>Preparatory tasks</w:t>
      </w:r>
      <w:r w:rsidR="00932F8E" w:rsidRPr="00F03917">
        <w:t xml:space="preserve"> for developing a coastal adaptive planning strategy</w:t>
      </w:r>
    </w:p>
    <w:p w14:paraId="67B0DCEB" w14:textId="384A2149" w:rsidR="00B57283" w:rsidRPr="00F03917" w:rsidRDefault="00250066" w:rsidP="0060115B">
      <w:pPr>
        <w:pStyle w:val="BodyText"/>
      </w:pPr>
      <w:r w:rsidRPr="00F03917">
        <w:t>Table</w:t>
      </w:r>
      <w:r w:rsidR="00B57283" w:rsidRPr="00F03917">
        <w:t xml:space="preserve"> </w:t>
      </w:r>
      <w:r w:rsidR="007E1DA8" w:rsidRPr="00F03917">
        <w:t>3</w:t>
      </w:r>
      <w:r w:rsidR="00B57283" w:rsidRPr="00F03917">
        <w:t xml:space="preserve"> summarises the </w:t>
      </w:r>
      <w:r w:rsidR="510A0303" w:rsidRPr="00F03917">
        <w:t>main</w:t>
      </w:r>
      <w:r w:rsidR="00B57283" w:rsidRPr="00F03917">
        <w:t xml:space="preserve"> preparatory tasks for developing </w:t>
      </w:r>
      <w:r w:rsidR="009331F6" w:rsidRPr="00F03917">
        <w:t xml:space="preserve">an </w:t>
      </w:r>
      <w:r w:rsidR="00B57283" w:rsidRPr="00F03917">
        <w:t>adapti</w:t>
      </w:r>
      <w:r w:rsidR="009331F6" w:rsidRPr="00F03917">
        <w:t>ve</w:t>
      </w:r>
      <w:r w:rsidR="00B57283" w:rsidRPr="00F03917">
        <w:t xml:space="preserve"> </w:t>
      </w:r>
      <w:r w:rsidR="00B65B23" w:rsidRPr="00F03917">
        <w:t>planning strategy</w:t>
      </w:r>
      <w:r w:rsidR="00B57283" w:rsidRPr="00F03917">
        <w:t xml:space="preserve"> for coastal hazards and the effects of climate change. </w:t>
      </w:r>
    </w:p>
    <w:p w14:paraId="3DA669C8" w14:textId="649390DC" w:rsidR="00251CF3" w:rsidRPr="00F03917" w:rsidRDefault="00251CF3" w:rsidP="006258D2">
      <w:pPr>
        <w:pStyle w:val="Tableheading"/>
      </w:pPr>
      <w:bookmarkStart w:id="35" w:name="_Toc160098397"/>
      <w:r w:rsidRPr="00F03917">
        <w:t>Preparatory tasks for developing a</w:t>
      </w:r>
      <w:r w:rsidR="00BA5112" w:rsidRPr="00F03917">
        <w:t xml:space="preserve"> </w:t>
      </w:r>
      <w:r w:rsidR="00FB04E3" w:rsidRPr="00F03917">
        <w:t>dynamic adaptive pathways planning (</w:t>
      </w:r>
      <w:r w:rsidR="008C4BDB" w:rsidRPr="00F03917">
        <w:t>DAPP</w:t>
      </w:r>
      <w:r w:rsidR="00FB04E3" w:rsidRPr="00F03917">
        <w:t>)</w:t>
      </w:r>
      <w:r w:rsidR="00B0115D" w:rsidRPr="00F03917">
        <w:t xml:space="preserve"> strategy</w:t>
      </w:r>
      <w:bookmarkEnd w:id="35"/>
    </w:p>
    <w:tbl>
      <w:tblPr>
        <w:tblStyle w:val="TableGrid"/>
        <w:tblW w:w="8505" w:type="dxa"/>
        <w:tblBorders>
          <w:top w:val="single" w:sz="2" w:space="0" w:color="1B556B" w:themeColor="text2"/>
          <w:left w:val="none" w:sz="0" w:space="0" w:color="auto"/>
          <w:bottom w:val="single" w:sz="2" w:space="0" w:color="1B556B" w:themeColor="text2"/>
          <w:right w:val="none" w:sz="0" w:space="0" w:color="auto"/>
          <w:insideH w:val="single" w:sz="2" w:space="0" w:color="1B556B" w:themeColor="text2"/>
          <w:insideV w:val="single" w:sz="2" w:space="0" w:color="1B556B" w:themeColor="text2"/>
        </w:tblBorders>
        <w:tblCellMar>
          <w:left w:w="85" w:type="dxa"/>
          <w:right w:w="85" w:type="dxa"/>
        </w:tblCellMar>
        <w:tblLook w:val="04A0" w:firstRow="1" w:lastRow="0" w:firstColumn="1" w:lastColumn="0" w:noHBand="0" w:noVBand="1"/>
      </w:tblPr>
      <w:tblGrid>
        <w:gridCol w:w="2694"/>
        <w:gridCol w:w="5811"/>
      </w:tblGrid>
      <w:tr w:rsidR="0066351B" w:rsidRPr="00F03917" w14:paraId="291CD488" w14:textId="77777777" w:rsidTr="00FB5999">
        <w:trPr>
          <w:tblHeader/>
        </w:trPr>
        <w:tc>
          <w:tcPr>
            <w:tcW w:w="2694" w:type="dxa"/>
            <w:shd w:val="clear" w:color="auto" w:fill="1B556B" w:themeFill="text2"/>
          </w:tcPr>
          <w:p w14:paraId="76D6E690" w14:textId="154B75F2" w:rsidR="00251CF3" w:rsidRPr="00F03917" w:rsidRDefault="00250066" w:rsidP="006C3813">
            <w:pPr>
              <w:pStyle w:val="TableTextbold"/>
              <w:spacing w:before="40" w:after="40"/>
              <w:rPr>
                <w:color w:val="FFFFFF" w:themeColor="background1"/>
              </w:rPr>
            </w:pPr>
            <w:r w:rsidRPr="00F03917">
              <w:rPr>
                <w:color w:val="FFFFFF" w:themeColor="background1"/>
              </w:rPr>
              <w:t>Tasks</w:t>
            </w:r>
          </w:p>
        </w:tc>
        <w:tc>
          <w:tcPr>
            <w:tcW w:w="5811" w:type="dxa"/>
            <w:shd w:val="clear" w:color="auto" w:fill="1B556B" w:themeFill="text2"/>
          </w:tcPr>
          <w:p w14:paraId="2D5821FE" w14:textId="453A13E3" w:rsidR="00251CF3" w:rsidRPr="00F03917" w:rsidRDefault="006D5D5F" w:rsidP="006C3813">
            <w:pPr>
              <w:pStyle w:val="TableTextbold"/>
              <w:spacing w:before="40" w:after="40"/>
              <w:rPr>
                <w:color w:val="FFFFFF" w:themeColor="background1"/>
              </w:rPr>
            </w:pPr>
            <w:r w:rsidRPr="00F03917">
              <w:rPr>
                <w:color w:val="FFFFFF" w:themeColor="background1"/>
              </w:rPr>
              <w:t>Description</w:t>
            </w:r>
          </w:p>
        </w:tc>
      </w:tr>
      <w:tr w:rsidR="00251CF3" w:rsidRPr="00F03917" w14:paraId="5F45B4E1" w14:textId="77777777" w:rsidTr="00FB5999">
        <w:tc>
          <w:tcPr>
            <w:tcW w:w="2694" w:type="dxa"/>
          </w:tcPr>
          <w:p w14:paraId="52123547" w14:textId="7EDD7572" w:rsidR="00251CF3" w:rsidRPr="00F03917" w:rsidRDefault="00250066" w:rsidP="006C3813">
            <w:pPr>
              <w:pStyle w:val="TableText"/>
              <w:spacing w:before="40" w:after="40"/>
            </w:pPr>
            <w:r w:rsidRPr="00F03917">
              <w:t xml:space="preserve">Establish a multi-disciplinary team and agree on the best way to work together. </w:t>
            </w:r>
          </w:p>
        </w:tc>
        <w:tc>
          <w:tcPr>
            <w:tcW w:w="5811" w:type="dxa"/>
          </w:tcPr>
          <w:p w14:paraId="567F1E8B" w14:textId="01807282" w:rsidR="00F85AC1" w:rsidRPr="00F03917" w:rsidRDefault="0075772F" w:rsidP="006C3813">
            <w:pPr>
              <w:pStyle w:val="TableText"/>
              <w:spacing w:before="40" w:after="40"/>
            </w:pPr>
            <w:r w:rsidRPr="00F03917">
              <w:t xml:space="preserve">Establish an early and preliminary mandate for the </w:t>
            </w:r>
            <w:r w:rsidR="00167F8D" w:rsidRPr="00F03917">
              <w:t>adaptive planning strategy</w:t>
            </w:r>
            <w:r w:rsidR="009E6111" w:rsidRPr="00F03917">
              <w:t>.</w:t>
            </w:r>
          </w:p>
          <w:p w14:paraId="1F92D6C3" w14:textId="374C0C8D" w:rsidR="00251CF3" w:rsidRPr="00F03917" w:rsidRDefault="0470C6C4" w:rsidP="006C3813">
            <w:pPr>
              <w:pStyle w:val="TableText"/>
              <w:spacing w:before="40" w:after="40"/>
            </w:pPr>
            <w:r w:rsidRPr="00F03917">
              <w:t xml:space="preserve">Decide on </w:t>
            </w:r>
            <w:r w:rsidR="4109C100" w:rsidRPr="00F03917">
              <w:t>pro</w:t>
            </w:r>
            <w:r w:rsidR="19E24948" w:rsidRPr="00F03917">
              <w:t xml:space="preserve">ject management, </w:t>
            </w:r>
            <w:r w:rsidR="21E05D7E" w:rsidRPr="00F03917">
              <w:t xml:space="preserve">preliminary resourcing and </w:t>
            </w:r>
            <w:r w:rsidRPr="00F03917">
              <w:t xml:space="preserve">governance arrangements in the preparation stage, before you begin </w:t>
            </w:r>
            <w:r w:rsidR="008C4BDB" w:rsidRPr="00F03917">
              <w:t>DAPP</w:t>
            </w:r>
            <w:r w:rsidRPr="00F03917">
              <w:t>.</w:t>
            </w:r>
          </w:p>
        </w:tc>
      </w:tr>
      <w:tr w:rsidR="00251CF3" w:rsidRPr="00F03917" w14:paraId="1D6403C6" w14:textId="77777777" w:rsidTr="00FB5999">
        <w:tc>
          <w:tcPr>
            <w:tcW w:w="2694" w:type="dxa"/>
          </w:tcPr>
          <w:p w14:paraId="103904DE" w14:textId="5E6B8FFE" w:rsidR="00251CF3" w:rsidRPr="00F03917" w:rsidRDefault="00250066" w:rsidP="006C3813">
            <w:pPr>
              <w:pStyle w:val="TableText"/>
              <w:spacing w:before="40" w:after="40"/>
            </w:pPr>
            <w:r w:rsidRPr="00F03917">
              <w:t xml:space="preserve">Establish the </w:t>
            </w:r>
            <w:r w:rsidR="00916C65" w:rsidRPr="00F03917">
              <w:t>scope</w:t>
            </w:r>
            <w:r w:rsidR="00B80EAC" w:rsidRPr="00F03917">
              <w:t xml:space="preserve">, </w:t>
            </w:r>
            <w:r w:rsidRPr="00F03917">
              <w:t>context and objectives.</w:t>
            </w:r>
          </w:p>
        </w:tc>
        <w:tc>
          <w:tcPr>
            <w:tcW w:w="5811" w:type="dxa"/>
          </w:tcPr>
          <w:p w14:paraId="1AA1660D" w14:textId="1C27A94F" w:rsidR="00250066" w:rsidRPr="00F03917" w:rsidRDefault="00250066" w:rsidP="006C3813">
            <w:pPr>
              <w:pStyle w:val="TableText"/>
              <w:spacing w:before="40" w:after="40"/>
            </w:pPr>
            <w:r w:rsidRPr="00F03917">
              <w:t xml:space="preserve">Identify the scope of </w:t>
            </w:r>
            <w:r w:rsidR="1D10B98D" w:rsidRPr="00F03917">
              <w:t xml:space="preserve">relevant </w:t>
            </w:r>
            <w:r w:rsidRPr="00F03917">
              <w:t>coastal hazards</w:t>
            </w:r>
            <w:r w:rsidR="0CD9FCB3" w:rsidRPr="00F03917">
              <w:t xml:space="preserve"> that will be included in the </w:t>
            </w:r>
            <w:r w:rsidR="00167F8D" w:rsidRPr="00F03917">
              <w:t>adaptive planning</w:t>
            </w:r>
            <w:r w:rsidR="00D37063" w:rsidRPr="00F03917">
              <w:t xml:space="preserve"> strategy</w:t>
            </w:r>
            <w:r w:rsidRPr="00F03917">
              <w:t xml:space="preserve"> </w:t>
            </w:r>
            <w:r w:rsidR="4B45EB72" w:rsidRPr="00F03917">
              <w:t>and objectives for the project</w:t>
            </w:r>
            <w:r w:rsidR="4757EBA1" w:rsidRPr="00F03917">
              <w:t xml:space="preserve"> </w:t>
            </w:r>
            <w:r w:rsidRPr="00F03917">
              <w:t>(eg,</w:t>
            </w:r>
            <w:r w:rsidR="535D02CA" w:rsidRPr="00F03917">
              <w:t xml:space="preserve"> all coastal hazards</w:t>
            </w:r>
            <w:r w:rsidR="7BB197A8" w:rsidRPr="00F03917">
              <w:t>,</w:t>
            </w:r>
            <w:r w:rsidR="535D02CA" w:rsidRPr="00F03917">
              <w:t xml:space="preserve"> or </w:t>
            </w:r>
            <w:r w:rsidR="586BEB53" w:rsidRPr="00F03917">
              <w:t>only some</w:t>
            </w:r>
            <w:r w:rsidR="6CCFAD69" w:rsidRPr="00F03917">
              <w:t>,</w:t>
            </w:r>
            <w:r w:rsidR="005582F2" w:rsidRPr="00F03917">
              <w:t xml:space="preserve"> for all o</w:t>
            </w:r>
            <w:r w:rsidR="7F261FDA" w:rsidRPr="00F03917">
              <w:t xml:space="preserve">r some of the </w:t>
            </w:r>
            <w:r w:rsidR="26147FF8" w:rsidRPr="00F03917">
              <w:t>areas at risk</w:t>
            </w:r>
            <w:r w:rsidR="5477B029" w:rsidRPr="00F03917">
              <w:t>, scale, extent</w:t>
            </w:r>
            <w:r w:rsidR="586BEB53" w:rsidRPr="00F03917">
              <w:t>)</w:t>
            </w:r>
            <w:r w:rsidR="4839AE6B" w:rsidRPr="00F03917">
              <w:t>.</w:t>
            </w:r>
            <w:r w:rsidR="01E3A366" w:rsidRPr="00F03917">
              <w:t xml:space="preserve"> Th</w:t>
            </w:r>
            <w:r w:rsidR="232BF4D3" w:rsidRPr="00F03917">
              <w:t>e scope may be informed by the</w:t>
            </w:r>
            <w:r w:rsidRPr="00F03917">
              <w:t xml:space="preserve"> extent of low-lying coastal areas, areas of potential groundwater rise and drainage effects, previous hazard events and reports, and multiple hazards.</w:t>
            </w:r>
            <w:r w:rsidR="7F675D50" w:rsidRPr="00F03917">
              <w:t xml:space="preserve"> </w:t>
            </w:r>
          </w:p>
          <w:p w14:paraId="767C660D" w14:textId="3C33A8DB" w:rsidR="00251CF3" w:rsidRPr="00F03917" w:rsidRDefault="00250066" w:rsidP="006C3813">
            <w:pPr>
              <w:pStyle w:val="TableText"/>
              <w:spacing w:before="40" w:after="40"/>
            </w:pPr>
            <w:r w:rsidRPr="00F03917">
              <w:t xml:space="preserve">Collect available, relevant information (eg, </w:t>
            </w:r>
            <w:r w:rsidR="6376C83A" w:rsidRPr="00F03917">
              <w:t xml:space="preserve">hazard </w:t>
            </w:r>
            <w:r w:rsidR="642DB1D0" w:rsidRPr="00F03917">
              <w:t xml:space="preserve">data, </w:t>
            </w:r>
            <w:r w:rsidRPr="00F03917">
              <w:t>demographics, social and environmental processes, monitoring data, relevant plans and policies, iwi management plans, topographic data and aerial imagery).</w:t>
            </w:r>
          </w:p>
        </w:tc>
      </w:tr>
      <w:tr w:rsidR="004B683B" w:rsidRPr="00F03917" w14:paraId="2A2438AD" w14:textId="77777777" w:rsidTr="00FB5999">
        <w:tc>
          <w:tcPr>
            <w:tcW w:w="2694" w:type="dxa"/>
          </w:tcPr>
          <w:p w14:paraId="29B1702E" w14:textId="72654D29" w:rsidR="004B683B" w:rsidRPr="00F03917" w:rsidRDefault="004B683B" w:rsidP="006C3813">
            <w:pPr>
              <w:pStyle w:val="TableText"/>
              <w:spacing w:before="40" w:after="40"/>
            </w:pPr>
            <w:r w:rsidRPr="00F03917">
              <w:t>Agree how your team will engage with iwi/hapū</w:t>
            </w:r>
            <w:r w:rsidR="00102289" w:rsidRPr="00F03917">
              <w:t>.</w:t>
            </w:r>
          </w:p>
        </w:tc>
        <w:tc>
          <w:tcPr>
            <w:tcW w:w="5811" w:type="dxa"/>
          </w:tcPr>
          <w:p w14:paraId="17296569" w14:textId="7829BA17" w:rsidR="004B683B" w:rsidRPr="00F03917" w:rsidRDefault="004B683B" w:rsidP="006C3813">
            <w:pPr>
              <w:pStyle w:val="TableText"/>
              <w:spacing w:before="40" w:after="40"/>
            </w:pPr>
            <w:r w:rsidRPr="00F03917">
              <w:t xml:space="preserve">Partner with mana whenua early to weave in te ao Māori perspectives. Engage from the beginning with mana whenua and other communities for transparency and to build trust. </w:t>
            </w:r>
          </w:p>
        </w:tc>
      </w:tr>
      <w:tr w:rsidR="00251CF3" w:rsidRPr="00F03917" w14:paraId="1786821A" w14:textId="77777777" w:rsidTr="00FB5999">
        <w:tc>
          <w:tcPr>
            <w:tcW w:w="2694" w:type="dxa"/>
          </w:tcPr>
          <w:p w14:paraId="20F190EF" w14:textId="0A56C5CB" w:rsidR="00251CF3" w:rsidRPr="00F03917" w:rsidRDefault="00250066" w:rsidP="006C3813">
            <w:pPr>
              <w:pStyle w:val="TableText"/>
              <w:spacing w:before="40" w:after="40"/>
            </w:pPr>
            <w:r w:rsidRPr="00F03917">
              <w:t>Agree how your team will engage with the community and stakeholders.</w:t>
            </w:r>
          </w:p>
        </w:tc>
        <w:tc>
          <w:tcPr>
            <w:tcW w:w="5811" w:type="dxa"/>
          </w:tcPr>
          <w:p w14:paraId="1BB2B140" w14:textId="12003AF5" w:rsidR="00250066" w:rsidRPr="00F03917" w:rsidRDefault="00250066" w:rsidP="006C3813">
            <w:pPr>
              <w:pStyle w:val="TableText"/>
              <w:spacing w:before="40" w:after="40"/>
            </w:pPr>
            <w:r w:rsidRPr="00F03917">
              <w:t xml:space="preserve">Decide who you will engage with and how you will engage with them. Engage </w:t>
            </w:r>
            <w:r w:rsidR="009F44C1" w:rsidRPr="00F03917">
              <w:t xml:space="preserve">early </w:t>
            </w:r>
            <w:r w:rsidRPr="00F03917">
              <w:t>with the wider community for best results.</w:t>
            </w:r>
            <w:r w:rsidR="003B65AD" w:rsidRPr="00F03917">
              <w:t xml:space="preserve"> This may </w:t>
            </w:r>
            <w:r w:rsidR="005A77B3" w:rsidRPr="00F03917">
              <w:t xml:space="preserve">inform the scope and objectives of the </w:t>
            </w:r>
            <w:r w:rsidR="0060338D" w:rsidRPr="00F03917">
              <w:t>project.</w:t>
            </w:r>
          </w:p>
          <w:p w14:paraId="7CE1249C" w14:textId="5A5C94F1" w:rsidR="00250066" w:rsidRPr="00F03917" w:rsidRDefault="00250066" w:rsidP="006C3813">
            <w:pPr>
              <w:pStyle w:val="TableText"/>
              <w:spacing w:before="40" w:after="40"/>
            </w:pPr>
            <w:r w:rsidRPr="00F03917">
              <w:t xml:space="preserve">Provide a space for </w:t>
            </w:r>
            <w:r w:rsidR="007C4B02" w:rsidRPr="00F03917">
              <w:t xml:space="preserve">open and </w:t>
            </w:r>
            <w:r w:rsidR="00EF4B70" w:rsidRPr="00F03917">
              <w:t>confidential</w:t>
            </w:r>
            <w:r w:rsidR="00876041" w:rsidRPr="00F03917">
              <w:t xml:space="preserve"> </w:t>
            </w:r>
            <w:r w:rsidRPr="00F03917">
              <w:t>deliberation to understand the practical issues of creating resilience.</w:t>
            </w:r>
          </w:p>
          <w:p w14:paraId="26A4B37D" w14:textId="2ADA1B27" w:rsidR="00251CF3" w:rsidRPr="00F03917" w:rsidRDefault="00250066" w:rsidP="006C3813">
            <w:pPr>
              <w:pStyle w:val="TableText"/>
              <w:spacing w:before="40" w:after="40"/>
            </w:pPr>
            <w:r w:rsidRPr="00F03917">
              <w:t>Seek out local knowledge, experiences and observed changes, mātauranga Māori, and what people value about the area.</w:t>
            </w:r>
          </w:p>
        </w:tc>
      </w:tr>
      <w:tr w:rsidR="00251CF3" w:rsidRPr="00F03917" w14:paraId="3F96F216" w14:textId="77777777" w:rsidTr="00FB5999">
        <w:tc>
          <w:tcPr>
            <w:tcW w:w="2694" w:type="dxa"/>
          </w:tcPr>
          <w:p w14:paraId="1E39E20F" w14:textId="771EB733" w:rsidR="00251CF3" w:rsidRPr="00F03917" w:rsidRDefault="00250066" w:rsidP="006C3813">
            <w:pPr>
              <w:pStyle w:val="TableText"/>
              <w:spacing w:before="40" w:after="40"/>
            </w:pPr>
            <w:r w:rsidRPr="00F03917">
              <w:t>Agree on the approach and mobilise resources.</w:t>
            </w:r>
          </w:p>
        </w:tc>
        <w:tc>
          <w:tcPr>
            <w:tcW w:w="5811" w:type="dxa"/>
          </w:tcPr>
          <w:p w14:paraId="2A76CF0D" w14:textId="1D1A9F03" w:rsidR="00250066" w:rsidRPr="00F03917" w:rsidRDefault="00250066" w:rsidP="006C3813">
            <w:pPr>
              <w:pStyle w:val="TableText"/>
              <w:spacing w:before="40" w:after="40"/>
            </w:pPr>
            <w:r w:rsidRPr="00F03917">
              <w:t xml:space="preserve">From the contextual information, decide on the overall approach for </w:t>
            </w:r>
            <w:r w:rsidR="00C35BBA" w:rsidRPr="00F03917">
              <w:t xml:space="preserve">the </w:t>
            </w:r>
            <w:r w:rsidR="007873D5" w:rsidRPr="00F03917">
              <w:t>DAPP</w:t>
            </w:r>
            <w:r w:rsidRPr="00F03917">
              <w:t xml:space="preserve">; hazard, risk and vulnerability assessments; and the adaptive framework. </w:t>
            </w:r>
          </w:p>
          <w:p w14:paraId="2AF1E7BC" w14:textId="78C61ECD" w:rsidR="00250066" w:rsidRPr="00F03917" w:rsidRDefault="00250066" w:rsidP="006C3813">
            <w:pPr>
              <w:pStyle w:val="TableText"/>
              <w:spacing w:before="40" w:after="40"/>
            </w:pPr>
            <w:r w:rsidRPr="00F03917">
              <w:t xml:space="preserve">Develop a case for the project within and among council partners, </w:t>
            </w:r>
            <w:r w:rsidR="6A9607F8" w:rsidRPr="00F03917">
              <w:t>confirm mandate and secure funding.</w:t>
            </w:r>
          </w:p>
          <w:p w14:paraId="2DA21F49" w14:textId="64D43460" w:rsidR="00251CF3" w:rsidRPr="00F03917" w:rsidRDefault="00250066" w:rsidP="006C3813">
            <w:pPr>
              <w:pStyle w:val="TableText"/>
              <w:spacing w:before="40" w:after="40"/>
            </w:pPr>
            <w:r w:rsidRPr="00F03917">
              <w:t>Develop a work programme.</w:t>
            </w:r>
          </w:p>
        </w:tc>
      </w:tr>
    </w:tbl>
    <w:p w14:paraId="76441291" w14:textId="6B4849BB" w:rsidR="00251CF3" w:rsidRPr="00F03917" w:rsidRDefault="0487040C" w:rsidP="006D1E06">
      <w:pPr>
        <w:pStyle w:val="Source"/>
        <w:spacing w:after="0"/>
      </w:pPr>
      <w:r w:rsidRPr="00F03917">
        <w:t xml:space="preserve">Source: </w:t>
      </w:r>
      <w:r w:rsidR="00250066" w:rsidRPr="00F03917">
        <w:t>Adapted from Glavovic</w:t>
      </w:r>
      <w:r w:rsidR="4EBCEFB0" w:rsidRPr="00F03917">
        <w:t xml:space="preserve"> </w:t>
      </w:r>
      <w:r w:rsidR="60AA2183" w:rsidRPr="00F03917">
        <w:t>(</w:t>
      </w:r>
      <w:r w:rsidR="00250066" w:rsidRPr="00F03917">
        <w:t>2021</w:t>
      </w:r>
      <w:r w:rsidR="13A674C8" w:rsidRPr="00F03917">
        <w:t>)</w:t>
      </w:r>
    </w:p>
    <w:p w14:paraId="43217EE2" w14:textId="3A82481D" w:rsidR="00451DB8" w:rsidRPr="00F03917" w:rsidRDefault="00A60505" w:rsidP="0066351B">
      <w:pPr>
        <w:pStyle w:val="Heading4"/>
      </w:pPr>
      <w:bookmarkStart w:id="36" w:name="_2_Role_of"/>
      <w:bookmarkStart w:id="37" w:name="_Ref454315230"/>
      <w:bookmarkStart w:id="38" w:name="_Toc466014387"/>
      <w:bookmarkEnd w:id="36"/>
      <w:r w:rsidRPr="00F03917">
        <w:t>Building a team</w:t>
      </w:r>
    </w:p>
    <w:p w14:paraId="2F3C883A" w14:textId="13730972" w:rsidR="00A56194" w:rsidRPr="00F03917" w:rsidRDefault="00A56194" w:rsidP="006C3813">
      <w:pPr>
        <w:pStyle w:val="BodyText"/>
        <w:spacing w:before="100" w:after="100"/>
      </w:pPr>
      <w:r w:rsidRPr="00F03917">
        <w:rPr>
          <w:spacing w:val="-2"/>
        </w:rPr>
        <w:t>A multi-disciplinary team will be necessary to implement the 10-step decision cycle. A wide set</w:t>
      </w:r>
      <w:r w:rsidR="0066351B" w:rsidRPr="00F03917">
        <w:t> </w:t>
      </w:r>
      <w:r w:rsidRPr="00F03917">
        <w:t xml:space="preserve">of expertise, skills, knowledge and information will be required </w:t>
      </w:r>
      <w:r w:rsidR="00AF0C03" w:rsidRPr="00F03917">
        <w:t>due to</w:t>
      </w:r>
      <w:r w:rsidRPr="00F03917">
        <w:t xml:space="preserve"> the pervasive nature of the impacts and implications within the community and across many local government functions and different sectors (eg, utilities, infrastructure, insurance, banking and so on</w:t>
      </w:r>
      <w:r w:rsidR="0B4A27E9" w:rsidRPr="00F03917">
        <w:t>,</w:t>
      </w:r>
      <w:r w:rsidR="00901EE4" w:rsidRPr="00F03917">
        <w:t xml:space="preserve"> </w:t>
      </w:r>
      <w:hyperlink w:anchor="table4" w:history="1">
        <w:r w:rsidR="00901EE4" w:rsidRPr="00F03917">
          <w:rPr>
            <w:rStyle w:val="Hyperlink"/>
          </w:rPr>
          <w:t>table</w:t>
        </w:r>
        <w:r w:rsidR="0066351B" w:rsidRPr="00F03917">
          <w:rPr>
            <w:rStyle w:val="Hyperlink"/>
          </w:rPr>
          <w:t> </w:t>
        </w:r>
        <w:r w:rsidR="00EC2AEA" w:rsidRPr="00F03917">
          <w:rPr>
            <w:rStyle w:val="Hyperlink"/>
          </w:rPr>
          <w:t>4</w:t>
        </w:r>
      </w:hyperlink>
      <w:r w:rsidRPr="00F03917">
        <w:t>).</w:t>
      </w:r>
    </w:p>
    <w:p w14:paraId="4042E5F2" w14:textId="3019235C" w:rsidR="00A56194" w:rsidRPr="00F03917" w:rsidRDefault="00875329" w:rsidP="006C3813">
      <w:pPr>
        <w:pStyle w:val="BodyText"/>
        <w:spacing w:before="100" w:after="100"/>
      </w:pPr>
      <w:r w:rsidRPr="00F03917">
        <w:t>Important</w:t>
      </w:r>
      <w:r w:rsidR="00A56194" w:rsidRPr="00F03917">
        <w:t xml:space="preserve"> consider</w:t>
      </w:r>
      <w:r w:rsidR="00A60C1D" w:rsidRPr="00F03917">
        <w:t>ations</w:t>
      </w:r>
      <w:r w:rsidR="6859C159" w:rsidRPr="00F03917">
        <w:t xml:space="preserve"> include</w:t>
      </w:r>
      <w:r w:rsidR="00A56194" w:rsidRPr="00F03917">
        <w:t>:</w:t>
      </w:r>
    </w:p>
    <w:p w14:paraId="617C5CB0" w14:textId="2E66A46A" w:rsidR="00A56194" w:rsidRPr="00F03917" w:rsidRDefault="7621C579" w:rsidP="006A486F">
      <w:pPr>
        <w:pStyle w:val="BulletFIX"/>
      </w:pPr>
      <w:r w:rsidRPr="00F03917">
        <w:t>t</w:t>
      </w:r>
      <w:r w:rsidR="25D68BEA" w:rsidRPr="00F03917">
        <w:t>he</w:t>
      </w:r>
      <w:r w:rsidR="4657C19F" w:rsidRPr="00F03917">
        <w:t xml:space="preserve"> sort of leadership, integration and relationship management and engagement (enabling) skills</w:t>
      </w:r>
      <w:r w:rsidR="56635A19" w:rsidRPr="00F03917">
        <w:t xml:space="preserve"> </w:t>
      </w:r>
      <w:r w:rsidR="25D68BEA" w:rsidRPr="00F03917">
        <w:t>required</w:t>
      </w:r>
    </w:p>
    <w:p w14:paraId="7AFCBBBA" w14:textId="329B0B8C" w:rsidR="00A56194" w:rsidRPr="00F03917" w:rsidRDefault="15A9144F" w:rsidP="006A486F">
      <w:pPr>
        <w:pStyle w:val="BulletFIX"/>
      </w:pPr>
      <w:r w:rsidRPr="00F03917">
        <w:t>n</w:t>
      </w:r>
      <w:r w:rsidR="03007687" w:rsidRPr="00F03917">
        <w:t>ecessary</w:t>
      </w:r>
      <w:r w:rsidR="4657C19F" w:rsidRPr="00F03917">
        <w:t xml:space="preserve"> core knowledge (eg, technical expertise, planning and policy, </w:t>
      </w:r>
      <w:r w:rsidR="363239E5" w:rsidRPr="00F03917">
        <w:t>infrast</w:t>
      </w:r>
      <w:r w:rsidR="6AC3A5FF" w:rsidRPr="00F03917">
        <w:t>ructure</w:t>
      </w:r>
      <w:r w:rsidR="58AAE6C5" w:rsidRPr="00F03917">
        <w:t xml:space="preserve">, </w:t>
      </w:r>
      <w:r w:rsidR="4657C19F" w:rsidRPr="00F03917">
        <w:t>iwi/hapū knowledge, social science techniques, engagement and possibly independent facilitation skills)</w:t>
      </w:r>
    </w:p>
    <w:p w14:paraId="4CBACF12" w14:textId="7C679B32" w:rsidR="00A56194" w:rsidRPr="00F03917" w:rsidRDefault="58BDACBB" w:rsidP="006A486F">
      <w:pPr>
        <w:pStyle w:val="BulletFIX"/>
      </w:pPr>
      <w:r w:rsidRPr="00F03917">
        <w:lastRenderedPageBreak/>
        <w:t>t</w:t>
      </w:r>
      <w:r w:rsidR="6982BBBE" w:rsidRPr="00F03917">
        <w:t>he</w:t>
      </w:r>
      <w:r w:rsidR="4657C19F" w:rsidRPr="00F03917">
        <w:t xml:space="preserve"> networks and linkages </w:t>
      </w:r>
      <w:r w:rsidR="43F127C7" w:rsidRPr="00F03917">
        <w:t xml:space="preserve">that </w:t>
      </w:r>
      <w:r w:rsidR="4657C19F" w:rsidRPr="00F03917">
        <w:t>can be drawn on or established to access skills and knowledge the team requires but does not possess</w:t>
      </w:r>
      <w:r w:rsidR="3EBCFDE2" w:rsidRPr="00F03917">
        <w:t xml:space="preserve"> </w:t>
      </w:r>
      <w:r w:rsidR="4E8797A4" w:rsidRPr="00F03917">
        <w:t xml:space="preserve">(eg, coastal biodiversity expertise or </w:t>
      </w:r>
      <w:r w:rsidR="6FDA1D9B" w:rsidRPr="00F03917">
        <w:t xml:space="preserve">coastal </w:t>
      </w:r>
      <w:r w:rsidR="07A1F759" w:rsidRPr="00F03917">
        <w:t>sedimentation</w:t>
      </w:r>
      <w:r w:rsidR="5130EC20" w:rsidRPr="00F03917">
        <w:t xml:space="preserve"> or </w:t>
      </w:r>
      <w:r w:rsidR="5CDD1085" w:rsidRPr="00F03917">
        <w:t>erosion</w:t>
      </w:r>
      <w:r w:rsidR="07A1F759" w:rsidRPr="00F03917">
        <w:t xml:space="preserve"> </w:t>
      </w:r>
      <w:r w:rsidR="48AD6FA7" w:rsidRPr="00F03917">
        <w:t>expertise</w:t>
      </w:r>
      <w:r w:rsidR="35FA8904" w:rsidRPr="00F03917">
        <w:t>)</w:t>
      </w:r>
      <w:r w:rsidR="786F7B5B" w:rsidRPr="00F03917">
        <w:t>.</w:t>
      </w:r>
    </w:p>
    <w:p w14:paraId="4AFD68B0" w14:textId="40523956" w:rsidR="00974259" w:rsidRPr="00F03917" w:rsidRDefault="00A43282" w:rsidP="006258D2">
      <w:pPr>
        <w:pStyle w:val="Tableheading"/>
      </w:pPr>
      <w:bookmarkStart w:id="39" w:name="table4"/>
      <w:bookmarkStart w:id="40" w:name="_Toc160098398"/>
      <w:bookmarkEnd w:id="39"/>
      <w:r w:rsidRPr="00F03917">
        <w:t>Skills, disciplines and knowledge sets to consider in an adaptation team</w:t>
      </w:r>
      <w:bookmarkEnd w:id="40"/>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2127"/>
        <w:gridCol w:w="6378"/>
      </w:tblGrid>
      <w:tr w:rsidR="00DE3935" w:rsidRPr="00F03917" w14:paraId="5655CB72" w14:textId="77777777" w:rsidTr="006D1E06">
        <w:trPr>
          <w:cantSplit/>
          <w:tblHeader/>
        </w:trPr>
        <w:tc>
          <w:tcPr>
            <w:tcW w:w="2127" w:type="dxa"/>
            <w:shd w:val="clear" w:color="auto" w:fill="1B556B" w:themeFill="text2"/>
          </w:tcPr>
          <w:p w14:paraId="4CBB983F" w14:textId="7887361A" w:rsidR="00974259" w:rsidRPr="00F03917" w:rsidRDefault="00AA2B9D" w:rsidP="006D1E06">
            <w:pPr>
              <w:pStyle w:val="TableTextbold"/>
              <w:spacing w:before="40" w:after="40"/>
              <w:rPr>
                <w:color w:val="FFFFFF" w:themeColor="background1"/>
              </w:rPr>
            </w:pPr>
            <w:r w:rsidRPr="00F03917">
              <w:rPr>
                <w:color w:val="FFFFFF" w:themeColor="background1"/>
              </w:rPr>
              <w:t>Considerations</w:t>
            </w:r>
          </w:p>
        </w:tc>
        <w:tc>
          <w:tcPr>
            <w:tcW w:w="6378" w:type="dxa"/>
            <w:shd w:val="clear" w:color="auto" w:fill="1B556B" w:themeFill="text2"/>
          </w:tcPr>
          <w:p w14:paraId="7DFC6258" w14:textId="3C5E5FA0" w:rsidR="00974259" w:rsidRPr="00F03917" w:rsidRDefault="00380576" w:rsidP="006D1E06">
            <w:pPr>
              <w:pStyle w:val="TableTextbold"/>
              <w:spacing w:before="40" w:after="40"/>
              <w:rPr>
                <w:color w:val="FFFFFF" w:themeColor="background1"/>
              </w:rPr>
            </w:pPr>
            <w:r w:rsidRPr="00F03917">
              <w:rPr>
                <w:color w:val="FFFFFF" w:themeColor="background1"/>
              </w:rPr>
              <w:t>Description</w:t>
            </w:r>
          </w:p>
        </w:tc>
      </w:tr>
      <w:tr w:rsidR="00974259" w:rsidRPr="00F03917" w14:paraId="336A0982" w14:textId="77777777" w:rsidTr="006D1E06">
        <w:trPr>
          <w:cantSplit/>
        </w:trPr>
        <w:tc>
          <w:tcPr>
            <w:tcW w:w="2127" w:type="dxa"/>
          </w:tcPr>
          <w:p w14:paraId="346AA975" w14:textId="37BA1211" w:rsidR="00974259" w:rsidRPr="00F03917" w:rsidRDefault="00D83AA7" w:rsidP="006D1E06">
            <w:pPr>
              <w:pStyle w:val="TableText"/>
              <w:spacing w:before="40" w:after="40"/>
            </w:pPr>
            <w:r w:rsidRPr="00F03917">
              <w:t>Enabling skills</w:t>
            </w:r>
          </w:p>
        </w:tc>
        <w:tc>
          <w:tcPr>
            <w:tcW w:w="6378" w:type="dxa"/>
          </w:tcPr>
          <w:p w14:paraId="14343F38" w14:textId="583F776D" w:rsidR="00974259" w:rsidRPr="00F03917" w:rsidRDefault="2ADB40A6" w:rsidP="006D1E06">
            <w:pPr>
              <w:pStyle w:val="TableText"/>
              <w:spacing w:before="40" w:after="40"/>
            </w:pPr>
            <w:r w:rsidRPr="00F03917">
              <w:t xml:space="preserve">Leadership, integration across portfolios, engaging with </w:t>
            </w:r>
            <w:r w:rsidR="0899EBC0" w:rsidRPr="00F03917">
              <w:t xml:space="preserve">the </w:t>
            </w:r>
            <w:r w:rsidRPr="00F03917">
              <w:t>public, strong iwi/hapū relationships and links.</w:t>
            </w:r>
          </w:p>
        </w:tc>
      </w:tr>
      <w:tr w:rsidR="00A43282" w:rsidRPr="00F03917" w14:paraId="68B0EA7F" w14:textId="77777777" w:rsidTr="006D1E06">
        <w:trPr>
          <w:cantSplit/>
        </w:trPr>
        <w:tc>
          <w:tcPr>
            <w:tcW w:w="2127" w:type="dxa"/>
          </w:tcPr>
          <w:p w14:paraId="04E276B3" w14:textId="0F753862" w:rsidR="00A43282" w:rsidRPr="00F03917" w:rsidRDefault="00D83AA7" w:rsidP="006D1E06">
            <w:pPr>
              <w:pStyle w:val="TableText"/>
              <w:spacing w:before="40" w:after="40"/>
            </w:pPr>
            <w:r w:rsidRPr="00F03917">
              <w:t>Knowledge sets</w:t>
            </w:r>
          </w:p>
        </w:tc>
        <w:tc>
          <w:tcPr>
            <w:tcW w:w="6378" w:type="dxa"/>
          </w:tcPr>
          <w:p w14:paraId="7EF06DCA" w14:textId="34EF789A" w:rsidR="00A43282" w:rsidRPr="00F03917" w:rsidRDefault="00D83AA7" w:rsidP="006D1E06">
            <w:pPr>
              <w:pStyle w:val="TableText"/>
              <w:spacing w:before="40" w:after="40"/>
            </w:pPr>
            <w:r w:rsidRPr="00F03917">
              <w:t xml:space="preserve">Coastal management, coastal hazards, planning and policy, civil defence and emergency management, legal, economics, community engagement, facilitation, iwi/hapū engagement protocols and/or representatives, </w:t>
            </w:r>
            <w:r w:rsidR="008E4DC5" w:rsidRPr="00F03917">
              <w:t>I</w:t>
            </w:r>
            <w:r w:rsidRPr="00F03917">
              <w:t>ndigenous knowledge like mātauranga Māori, biodiversity, roads and transport, asset management, reserves and parks, hydrology (includes groundwater), engineers, surveyors, adaptation specialists, science communicators, emergency response organisations, cross-organisational governance and monitoring expertise.</w:t>
            </w:r>
          </w:p>
        </w:tc>
      </w:tr>
      <w:tr w:rsidR="00A43282" w:rsidRPr="00F03917" w14:paraId="06945759" w14:textId="77777777" w:rsidTr="006D1E06">
        <w:trPr>
          <w:cantSplit/>
        </w:trPr>
        <w:tc>
          <w:tcPr>
            <w:tcW w:w="2127" w:type="dxa"/>
          </w:tcPr>
          <w:p w14:paraId="4FEF1CDF" w14:textId="21173E8A" w:rsidR="00A43282" w:rsidRPr="00F03917" w:rsidRDefault="006A52F8" w:rsidP="006D1E06">
            <w:pPr>
              <w:pStyle w:val="TableText"/>
              <w:spacing w:before="40" w:after="40"/>
            </w:pPr>
            <w:r w:rsidRPr="00F03917">
              <w:t>Access to networks and links</w:t>
            </w:r>
          </w:p>
        </w:tc>
        <w:tc>
          <w:tcPr>
            <w:tcW w:w="6378" w:type="dxa"/>
          </w:tcPr>
          <w:p w14:paraId="073AFE37" w14:textId="732480CE" w:rsidR="006A52F8" w:rsidRPr="00F03917" w:rsidRDefault="006A52F8" w:rsidP="006D1E06">
            <w:pPr>
              <w:pStyle w:val="TableText"/>
              <w:spacing w:before="40" w:after="40"/>
            </w:pPr>
            <w:r w:rsidRPr="00F03917">
              <w:t>Historical information, institutional knowledge.</w:t>
            </w:r>
          </w:p>
          <w:p w14:paraId="7D372B2A" w14:textId="36F126D1" w:rsidR="006A52F8" w:rsidRPr="00F03917" w:rsidRDefault="558B6B2D" w:rsidP="006D1E06">
            <w:pPr>
              <w:pStyle w:val="TableText"/>
              <w:spacing w:before="40" w:after="40"/>
            </w:pPr>
            <w:r w:rsidRPr="00F03917">
              <w:t xml:space="preserve">Access to networks and liaison with </w:t>
            </w:r>
            <w:r w:rsidR="19935D9C" w:rsidRPr="00F03917">
              <w:t>important</w:t>
            </w:r>
            <w:r w:rsidRPr="00F03917">
              <w:t xml:space="preserve"> businesses, industries, utility and infrastructure providers, other local authorities, iwi/hapū groups, local community representatives</w:t>
            </w:r>
            <w:r w:rsidR="52D0DC51" w:rsidRPr="00F03917">
              <w:t>, Insurance Council of New Zealand</w:t>
            </w:r>
            <w:r w:rsidR="0A1C55AA" w:rsidRPr="00F03917">
              <w:t xml:space="preserve">, Crown </w:t>
            </w:r>
            <w:r w:rsidR="7C3A2B64" w:rsidRPr="00F03917">
              <w:t>r</w:t>
            </w:r>
            <w:r w:rsidR="0A1C55AA" w:rsidRPr="00F03917">
              <w:t xml:space="preserve">esearch </w:t>
            </w:r>
            <w:r w:rsidR="2A0FD43C" w:rsidRPr="00F03917">
              <w:t>i</w:t>
            </w:r>
            <w:r w:rsidR="7D35F845" w:rsidRPr="00F03917">
              <w:t>nstitutes (eg</w:t>
            </w:r>
            <w:r w:rsidR="1DCBB176" w:rsidRPr="00F03917">
              <w:t>,</w:t>
            </w:r>
            <w:r w:rsidR="7D35F845" w:rsidRPr="00F03917">
              <w:t xml:space="preserve"> GNS</w:t>
            </w:r>
            <w:r w:rsidR="765898A9" w:rsidRPr="00F03917">
              <w:t xml:space="preserve"> Science</w:t>
            </w:r>
            <w:r w:rsidR="7D35F845" w:rsidRPr="00F03917">
              <w:t>,</w:t>
            </w:r>
            <w:r w:rsidR="32FED851" w:rsidRPr="00F03917">
              <w:t xml:space="preserve"> </w:t>
            </w:r>
            <w:r w:rsidR="561AD7F1" w:rsidRPr="00F03917">
              <w:t>National Institute of Water and Atmospheric Research</w:t>
            </w:r>
            <w:r w:rsidR="7D35F845" w:rsidRPr="00F03917">
              <w:t>, M</w:t>
            </w:r>
            <w:r w:rsidR="0CC42BFF" w:rsidRPr="00F03917">
              <w:t xml:space="preserve">anaaki </w:t>
            </w:r>
            <w:r w:rsidR="7D35F845" w:rsidRPr="00F03917">
              <w:t>W</w:t>
            </w:r>
            <w:r w:rsidR="0CC42BFF" w:rsidRPr="00F03917">
              <w:t>henua</w:t>
            </w:r>
            <w:r w:rsidR="21260A21" w:rsidRPr="00F03917">
              <w:t xml:space="preserve"> </w:t>
            </w:r>
            <w:r w:rsidR="21260A21" w:rsidRPr="00F03917">
              <w:rPr>
                <w:rFonts w:eastAsia="Calibri" w:cs="Calibri"/>
              </w:rPr>
              <w:t>–</w:t>
            </w:r>
            <w:r w:rsidR="21260A21" w:rsidRPr="00F03917">
              <w:t xml:space="preserve"> </w:t>
            </w:r>
            <w:r w:rsidR="7D35F845" w:rsidRPr="00F03917">
              <w:t>L</w:t>
            </w:r>
            <w:r w:rsidR="0B02FD0F" w:rsidRPr="00F03917">
              <w:t xml:space="preserve">andcare </w:t>
            </w:r>
            <w:r w:rsidR="112942A5" w:rsidRPr="00F03917">
              <w:t>R</w:t>
            </w:r>
            <w:r w:rsidR="0B02FD0F" w:rsidRPr="00F03917">
              <w:t>esearch</w:t>
            </w:r>
            <w:r w:rsidR="112942A5" w:rsidRPr="00F03917">
              <w:t xml:space="preserve">) </w:t>
            </w:r>
            <w:r w:rsidRPr="00F03917">
              <w:t>and private</w:t>
            </w:r>
            <w:r w:rsidR="78D69690" w:rsidRPr="00F03917">
              <w:t xml:space="preserve"> and </w:t>
            </w:r>
            <w:r w:rsidRPr="00F03917">
              <w:t>public property owners.</w:t>
            </w:r>
          </w:p>
          <w:p w14:paraId="23336AC9" w14:textId="47EF778E" w:rsidR="00A43282" w:rsidRPr="00F03917" w:rsidRDefault="0FBC29C9" w:rsidP="006D1E06">
            <w:pPr>
              <w:pStyle w:val="TableText"/>
              <w:spacing w:before="40" w:after="40"/>
            </w:pPr>
            <w:r w:rsidRPr="00F03917">
              <w:t>Important</w:t>
            </w:r>
            <w:r w:rsidR="6A25A014" w:rsidRPr="00F03917">
              <w:t xml:space="preserve"> individuals and groups who are strongly networked with the core team.</w:t>
            </w:r>
          </w:p>
        </w:tc>
      </w:tr>
      <w:tr w:rsidR="00974259" w:rsidRPr="00F03917" w14:paraId="1A30A653" w14:textId="77777777" w:rsidTr="006D1E06">
        <w:trPr>
          <w:cantSplit/>
        </w:trPr>
        <w:tc>
          <w:tcPr>
            <w:tcW w:w="2127" w:type="dxa"/>
          </w:tcPr>
          <w:p w14:paraId="05FB829E" w14:textId="67914396" w:rsidR="00974259" w:rsidRPr="00F03917" w:rsidRDefault="00225720" w:rsidP="006D1E06">
            <w:pPr>
              <w:pStyle w:val="TableText"/>
              <w:spacing w:before="40" w:after="40"/>
            </w:pPr>
            <w:r w:rsidRPr="00F03917">
              <w:t>T</w:t>
            </w:r>
            <w:r w:rsidR="6A25A014" w:rsidRPr="00F03917">
              <w:t>e Tiriti o Waitangi and te ao Māori</w:t>
            </w:r>
          </w:p>
        </w:tc>
        <w:tc>
          <w:tcPr>
            <w:tcW w:w="6378" w:type="dxa"/>
          </w:tcPr>
          <w:p w14:paraId="50990A65" w14:textId="48FA4058" w:rsidR="00974259" w:rsidRPr="00F03917" w:rsidRDefault="005B6100" w:rsidP="006D1E06">
            <w:pPr>
              <w:pStyle w:val="TableText"/>
              <w:spacing w:before="40" w:after="40"/>
            </w:pPr>
            <w:r w:rsidRPr="00F03917">
              <w:t xml:space="preserve">Working in partnership with </w:t>
            </w:r>
            <w:r w:rsidR="51FF2AB1" w:rsidRPr="00F03917">
              <w:t>and resourcing</w:t>
            </w:r>
            <w:r w:rsidRPr="00F03917">
              <w:t xml:space="preserve"> Māori, elevating te ao Māori and mātauranga Māori</w:t>
            </w:r>
            <w:r w:rsidR="2E83C099" w:rsidRPr="00F03917">
              <w:t>,</w:t>
            </w:r>
            <w:r w:rsidRPr="00F03917">
              <w:t xml:space="preserve"> and planning for Māori, by Māori is central to </w:t>
            </w:r>
            <w:r w:rsidR="702A8F6F" w:rsidRPr="00F03917">
              <w:t xml:space="preserve">the </w:t>
            </w:r>
            <w:r w:rsidRPr="00F03917">
              <w:t>countr</w:t>
            </w:r>
            <w:r w:rsidR="702A8F6F" w:rsidRPr="00F03917">
              <w:t>y’</w:t>
            </w:r>
            <w:r w:rsidRPr="00F03917">
              <w:t>s response to climate change</w:t>
            </w:r>
            <w:r w:rsidR="72CFBF0B" w:rsidRPr="00F03917">
              <w:t xml:space="preserve"> (</w:t>
            </w:r>
            <w:hyperlink r:id="rId54">
              <w:r w:rsidR="3C57E0CF" w:rsidRPr="00F03917">
                <w:rPr>
                  <w:rStyle w:val="Hyperlink"/>
                  <w:rFonts w:cstheme="minorBidi"/>
                  <w:i/>
                  <w:iCs/>
                </w:rPr>
                <w:t>Community-led retreat and ada</w:t>
              </w:r>
              <w:r w:rsidR="3C57E0CF" w:rsidRPr="00F03917">
                <w:rPr>
                  <w:rStyle w:val="Hyperlink"/>
                  <w:i/>
                  <w:iCs/>
                </w:rPr>
                <w:t>ptation funding: Issues and options</w:t>
              </w:r>
            </w:hyperlink>
            <w:r w:rsidR="3C57E0CF" w:rsidRPr="00F03917">
              <w:t xml:space="preserve"> (MfE, 2023</w:t>
            </w:r>
            <w:r w:rsidR="0072374A" w:rsidRPr="00F03917">
              <w:t>a</w:t>
            </w:r>
            <w:r w:rsidR="5B36A967" w:rsidRPr="00F03917">
              <w:t>)</w:t>
            </w:r>
            <w:r w:rsidR="3DE4A621" w:rsidRPr="00F03917">
              <w:t>)</w:t>
            </w:r>
            <w:r w:rsidR="15DAED4F" w:rsidRPr="00F03917">
              <w:t>.</w:t>
            </w:r>
          </w:p>
        </w:tc>
      </w:tr>
    </w:tbl>
    <w:p w14:paraId="1CA0D2B8" w14:textId="774C7C75" w:rsidR="005B6100" w:rsidRPr="00F03917" w:rsidRDefault="6B6F8718" w:rsidP="00DE3935">
      <w:pPr>
        <w:pStyle w:val="Source"/>
      </w:pPr>
      <w:r w:rsidRPr="00F03917">
        <w:t xml:space="preserve">Source: </w:t>
      </w:r>
      <w:r w:rsidR="005B6100" w:rsidRPr="00F03917">
        <w:t xml:space="preserve">Modified from the </w:t>
      </w:r>
      <w:r w:rsidR="005B6100" w:rsidRPr="00F03917">
        <w:rPr>
          <w:i/>
          <w:iCs/>
        </w:rPr>
        <w:t>Irish Local Authority Adaptation Strategy Development Guideline</w:t>
      </w:r>
      <w:r w:rsidR="005B6100" w:rsidRPr="00F03917">
        <w:t xml:space="preserve"> (Gray, 2016), </w:t>
      </w:r>
      <w:r w:rsidR="0057168E" w:rsidRPr="00F03917">
        <w:t>the</w:t>
      </w:r>
      <w:r w:rsidR="0057327A" w:rsidRPr="00F03917">
        <w:t> </w:t>
      </w:r>
      <w:r w:rsidR="0057168E" w:rsidRPr="00F03917">
        <w:t>Ministry for the Environment’s</w:t>
      </w:r>
      <w:r w:rsidR="005B6100" w:rsidRPr="00F03917">
        <w:t xml:space="preserve"> </w:t>
      </w:r>
      <w:r w:rsidR="0057168E" w:rsidRPr="00F03917">
        <w:t xml:space="preserve">first national adaptation plan </w:t>
      </w:r>
      <w:r w:rsidR="005B6100" w:rsidRPr="00F03917">
        <w:t>(MfE, 2022</w:t>
      </w:r>
      <w:r w:rsidR="00C63500" w:rsidRPr="00F03917">
        <w:t>a</w:t>
      </w:r>
      <w:r w:rsidR="005B6100" w:rsidRPr="00F03917">
        <w:t xml:space="preserve">) and </w:t>
      </w:r>
      <w:r w:rsidR="007A670C" w:rsidRPr="00F03917">
        <w:t>the</w:t>
      </w:r>
      <w:r w:rsidR="005B6100" w:rsidRPr="00F03917">
        <w:t xml:space="preserve"> Rauora Framework (Ihirangi,</w:t>
      </w:r>
      <w:r w:rsidR="0057327A" w:rsidRPr="00F03917">
        <w:t> </w:t>
      </w:r>
      <w:r w:rsidR="005B6100" w:rsidRPr="00F03917">
        <w:t>2021)</w:t>
      </w:r>
    </w:p>
    <w:p w14:paraId="2C5AE6B5" w14:textId="77777777" w:rsidR="006D1E06" w:rsidRPr="00F03917" w:rsidRDefault="006D1E06" w:rsidP="006D1E06">
      <w:pPr>
        <w:rPr>
          <w:lang w:eastAsia="en-NZ"/>
        </w:rPr>
      </w:pPr>
    </w:p>
    <w:bookmarkEnd w:id="37"/>
    <w:bookmarkEnd w:id="38"/>
    <w:p w14:paraId="16034286" w14:textId="77777777" w:rsidR="00A73B39" w:rsidRPr="00F03917" w:rsidRDefault="00A73B39" w:rsidP="006D1E06">
      <w:pPr>
        <w:rPr>
          <w:lang w:eastAsia="en-NZ"/>
        </w:rPr>
      </w:pPr>
    </w:p>
    <w:p w14:paraId="11359075" w14:textId="77777777" w:rsidR="00A73B39" w:rsidRPr="00F03917" w:rsidRDefault="00A73B39" w:rsidP="006D1E06">
      <w:pPr>
        <w:rPr>
          <w:lang w:eastAsia="en-NZ"/>
        </w:rPr>
      </w:pPr>
    </w:p>
    <w:p w14:paraId="56D9160A" w14:textId="3635157B" w:rsidR="00351C80" w:rsidRPr="00F03917" w:rsidRDefault="006D2432" w:rsidP="00415C24">
      <w:pPr>
        <w:pStyle w:val="BodyText"/>
      </w:pPr>
      <w:r w:rsidRPr="00F03917">
        <w:rPr>
          <w:noProof/>
        </w:rPr>
        <w:drawing>
          <wp:inline distT="0" distB="0" distL="0" distR="0" wp14:anchorId="4C429E58" wp14:editId="0642A7E5">
            <wp:extent cx="5486400" cy="2621915"/>
            <wp:effectExtent l="38100" t="0" r="38100" b="0"/>
            <wp:docPr id="1580906331" name="Diagram 15809063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3979105F" w14:textId="77777777" w:rsidR="006D1E06" w:rsidRPr="00F03917" w:rsidRDefault="006D1E06" w:rsidP="00415C24">
      <w:pPr>
        <w:pStyle w:val="BodyText"/>
        <w:spacing w:after="0"/>
      </w:pPr>
    </w:p>
    <w:p w14:paraId="3C9311E2" w14:textId="5B9C470D" w:rsidR="00351C80" w:rsidRPr="00F03917" w:rsidRDefault="00351C80" w:rsidP="00415C24">
      <w:pPr>
        <w:pStyle w:val="BodyText"/>
        <w:sectPr w:rsidR="00351C80" w:rsidRPr="00F03917" w:rsidSect="007E5AB2">
          <w:headerReference w:type="default" r:id="rId60"/>
          <w:footerReference w:type="default" r:id="rId61"/>
          <w:headerReference w:type="first" r:id="rId62"/>
          <w:footerReference w:type="first" r:id="rId63"/>
          <w:pgSz w:w="11907" w:h="16840" w:code="9"/>
          <w:pgMar w:top="1134" w:right="1701" w:bottom="1134" w:left="1701" w:header="567" w:footer="567" w:gutter="0"/>
          <w:cols w:space="720"/>
          <w:titlePg/>
          <w:docGrid w:linePitch="326"/>
        </w:sectPr>
      </w:pPr>
    </w:p>
    <w:p w14:paraId="7BA8F183" w14:textId="72521179" w:rsidR="00B57283" w:rsidRPr="00F03917" w:rsidRDefault="000E29F9" w:rsidP="009B7BDA">
      <w:pPr>
        <w:pStyle w:val="Heading1"/>
        <w:rPr>
          <w:rFonts w:eastAsia="MS Gothic"/>
        </w:rPr>
      </w:pPr>
      <w:bookmarkStart w:id="41" w:name="_Step_2:_Assess"/>
      <w:bookmarkStart w:id="42" w:name="_Toc466014407"/>
      <w:bookmarkStart w:id="43" w:name="_Toc160096235"/>
      <w:bookmarkEnd w:id="41"/>
      <w:r w:rsidRPr="00F03917">
        <w:rPr>
          <w:rFonts w:eastAsia="MS Gothic"/>
        </w:rPr>
        <w:lastRenderedPageBreak/>
        <w:t xml:space="preserve">Step </w:t>
      </w:r>
      <w:r w:rsidR="00EA512C" w:rsidRPr="00F03917">
        <w:rPr>
          <w:rFonts w:eastAsia="MS Gothic"/>
        </w:rPr>
        <w:t>2</w:t>
      </w:r>
      <w:r w:rsidRPr="00F03917">
        <w:rPr>
          <w:rFonts w:eastAsia="MS Gothic"/>
        </w:rPr>
        <w:t xml:space="preserve">: </w:t>
      </w:r>
      <w:r w:rsidR="00B57283" w:rsidRPr="00F03917">
        <w:rPr>
          <w:rFonts w:eastAsia="MS Gothic"/>
        </w:rPr>
        <w:t xml:space="preserve">Assess </w:t>
      </w:r>
      <w:r w:rsidR="2D57DB44" w:rsidRPr="00F03917">
        <w:rPr>
          <w:rFonts w:eastAsia="MS Gothic"/>
        </w:rPr>
        <w:t>sea-level rise</w:t>
      </w:r>
      <w:r w:rsidR="00B57283" w:rsidRPr="00F03917">
        <w:rPr>
          <w:rFonts w:eastAsia="MS Gothic"/>
        </w:rPr>
        <w:t xml:space="preserve"> and coastal hazards</w:t>
      </w:r>
      <w:bookmarkEnd w:id="42"/>
      <w:bookmarkEnd w:id="43"/>
    </w:p>
    <w:p w14:paraId="245B2C1C" w14:textId="48129834" w:rsidR="00B57283" w:rsidRPr="00F03917" w:rsidRDefault="00B57283" w:rsidP="007F2DAE">
      <w:pPr>
        <w:pStyle w:val="BodyText"/>
      </w:pPr>
      <w:r w:rsidRPr="00F03917">
        <w:t>This entire section has been substantially revised</w:t>
      </w:r>
      <w:r w:rsidR="246A423E" w:rsidRPr="00F03917">
        <w:t>,</w:t>
      </w:r>
      <w:r w:rsidRPr="00F03917">
        <w:t xml:space="preserve"> </w:t>
      </w:r>
      <w:r w:rsidR="0020699F" w:rsidRPr="00F03917">
        <w:t xml:space="preserve">compared </w:t>
      </w:r>
      <w:r w:rsidR="6FE0B07F" w:rsidRPr="00F03917">
        <w:t>with</w:t>
      </w:r>
      <w:r w:rsidR="0020699F" w:rsidRPr="00F03917">
        <w:t xml:space="preserve"> the 2017 guidance</w:t>
      </w:r>
      <w:r w:rsidR="2BD2D560" w:rsidRPr="00F03917">
        <w:t>,</w:t>
      </w:r>
      <w:r w:rsidRPr="00F03917">
        <w:t xml:space="preserve"> to incorporate the </w:t>
      </w:r>
      <w:r w:rsidR="0020699F" w:rsidRPr="00F03917">
        <w:t xml:space="preserve">updated </w:t>
      </w:r>
      <w:r w:rsidR="4542F7F6" w:rsidRPr="00F03917">
        <w:t>Intergovernmental Panel on Climate Change (</w:t>
      </w:r>
      <w:r w:rsidR="0020699F" w:rsidRPr="00F03917">
        <w:t>IPCC</w:t>
      </w:r>
      <w:r w:rsidR="02E28851" w:rsidRPr="00F03917">
        <w:t>)</w:t>
      </w:r>
      <w:r w:rsidR="0020699F" w:rsidRPr="00F03917">
        <w:t xml:space="preserve"> 2021</w:t>
      </w:r>
      <w:r w:rsidR="3A1650E1" w:rsidRPr="00F03917">
        <w:t xml:space="preserve"> sea-level rise</w:t>
      </w:r>
      <w:r w:rsidR="00600840" w:rsidRPr="00F03917">
        <w:t> </w:t>
      </w:r>
      <w:r w:rsidR="2FD945A6" w:rsidRPr="00F03917">
        <w:t>(</w:t>
      </w:r>
      <w:r w:rsidR="0020699F" w:rsidRPr="00F03917">
        <w:t>SLR</w:t>
      </w:r>
      <w:r w:rsidR="76449A5D" w:rsidRPr="00F03917">
        <w:t>)</w:t>
      </w:r>
      <w:r w:rsidR="0020699F" w:rsidRPr="00F03917">
        <w:t xml:space="preserve"> projections</w:t>
      </w:r>
      <w:r w:rsidRPr="00F03917">
        <w:t xml:space="preserve"> </w:t>
      </w:r>
      <w:r w:rsidR="00CE5AFA" w:rsidRPr="00F03917">
        <w:t>as set out in</w:t>
      </w:r>
      <w:r w:rsidRPr="00F03917">
        <w:t xml:space="preserve"> the </w:t>
      </w:r>
      <w:r w:rsidR="00DA6F18" w:rsidRPr="00F03917">
        <w:rPr>
          <w:i/>
          <w:iCs/>
        </w:rPr>
        <w:t>Interim</w:t>
      </w:r>
      <w:r w:rsidRPr="00F03917">
        <w:rPr>
          <w:i/>
          <w:iCs/>
        </w:rPr>
        <w:t xml:space="preserve"> guidance</w:t>
      </w:r>
      <w:r w:rsidR="00DA6F18" w:rsidRPr="00F03917">
        <w:rPr>
          <w:i/>
          <w:iCs/>
        </w:rPr>
        <w:t xml:space="preserve"> on the use of new </w:t>
      </w:r>
      <w:r w:rsidR="00FA62E2" w:rsidRPr="00F03917">
        <w:rPr>
          <w:i/>
          <w:iCs/>
        </w:rPr>
        <w:t>sea-level rise</w:t>
      </w:r>
      <w:r w:rsidR="00DA6F18" w:rsidRPr="00F03917">
        <w:rPr>
          <w:i/>
          <w:iCs/>
        </w:rPr>
        <w:t xml:space="preserve"> projections</w:t>
      </w:r>
      <w:r w:rsidR="00DA6F18" w:rsidRPr="00F03917">
        <w:t xml:space="preserve"> (</w:t>
      </w:r>
      <w:r w:rsidR="00C5265B" w:rsidRPr="00F03917">
        <w:t xml:space="preserve">MfE, </w:t>
      </w:r>
      <w:r w:rsidRPr="00F03917">
        <w:t>2022</w:t>
      </w:r>
      <w:r w:rsidR="00DA6F18" w:rsidRPr="00F03917">
        <w:t>)</w:t>
      </w:r>
      <w:r w:rsidR="00F445D4" w:rsidRPr="00F03917">
        <w:t>.</w:t>
      </w:r>
      <w:r w:rsidR="00A10DC0" w:rsidRPr="00F03917" w:rsidDel="00A10DC0">
        <w:rPr>
          <w:vertAlign w:val="superscript"/>
        </w:rPr>
        <w:t xml:space="preserve"> </w:t>
      </w:r>
      <w:r w:rsidR="00A10DC0" w:rsidRPr="00F03917">
        <w:t xml:space="preserve">This </w:t>
      </w:r>
      <w:r w:rsidR="00CE5AFA" w:rsidRPr="00F03917">
        <w:t>2024</w:t>
      </w:r>
      <w:r w:rsidR="00A10DC0" w:rsidRPr="00F03917">
        <w:t xml:space="preserve"> guidance is largely consistent with the </w:t>
      </w:r>
      <w:r w:rsidR="409EE235" w:rsidRPr="00F03917">
        <w:t>i</w:t>
      </w:r>
      <w:r w:rsidR="00A10DC0" w:rsidRPr="00F03917">
        <w:t>nterim guidance</w:t>
      </w:r>
      <w:r w:rsidR="00F445D4" w:rsidRPr="00F03917">
        <w:t>, and</w:t>
      </w:r>
      <w:r w:rsidR="00817E4E" w:rsidRPr="00F03917">
        <w:t>, regardless,</w:t>
      </w:r>
      <w:r w:rsidR="00F445D4" w:rsidRPr="00F03917">
        <w:t xml:space="preserve"> it</w:t>
      </w:r>
      <w:r w:rsidR="006B2567" w:rsidRPr="00F03917">
        <w:t xml:space="preserve"> i</w:t>
      </w:r>
      <w:r w:rsidR="00F445D4" w:rsidRPr="00F03917">
        <w:t xml:space="preserve">s critical local authorities follow the </w:t>
      </w:r>
      <w:r w:rsidR="2D7279A9" w:rsidRPr="00F03917">
        <w:t>n</w:t>
      </w:r>
      <w:r w:rsidR="3E79BB6E" w:rsidRPr="00F03917">
        <w:t xml:space="preserve">ational </w:t>
      </w:r>
      <w:r w:rsidR="25F8D4BF" w:rsidRPr="00F03917">
        <w:t>a</w:t>
      </w:r>
      <w:r w:rsidR="3E79BB6E" w:rsidRPr="00F03917">
        <w:t>dapt</w:t>
      </w:r>
      <w:r w:rsidR="002E24E3" w:rsidRPr="00F03917">
        <w:t>at</w:t>
      </w:r>
      <w:r w:rsidR="7F235CF0" w:rsidRPr="00F03917">
        <w:t xml:space="preserve">ion </w:t>
      </w:r>
      <w:r w:rsidR="7B03CD0F" w:rsidRPr="00F03917">
        <w:t>p</w:t>
      </w:r>
      <w:r w:rsidR="7F235CF0" w:rsidRPr="00F03917">
        <w:t>lan (</w:t>
      </w:r>
      <w:r w:rsidR="31C93207" w:rsidRPr="00F03917">
        <w:t>MfE, 2022a)</w:t>
      </w:r>
      <w:r w:rsidR="00F445D4" w:rsidRPr="00F03917">
        <w:t xml:space="preserve"> with regard to these issues</w:t>
      </w:r>
      <w:r w:rsidR="00A10DC0" w:rsidRPr="00F03917">
        <w:t xml:space="preserve">. </w:t>
      </w:r>
    </w:p>
    <w:p w14:paraId="56BDAD21" w14:textId="1C0BB07D" w:rsidR="00320670" w:rsidRPr="00F03917" w:rsidRDefault="00320670" w:rsidP="00286F00">
      <w:pPr>
        <w:pStyle w:val="BodyText"/>
      </w:pPr>
      <w:bookmarkStart w:id="44" w:name="_Toc466014409"/>
      <w:r w:rsidRPr="00F03917">
        <w:t xml:space="preserve">This section recommends new </w:t>
      </w:r>
      <w:r w:rsidR="0071423C" w:rsidRPr="00F03917">
        <w:t>relative sea-level rise (</w:t>
      </w:r>
      <w:r w:rsidR="00D94509" w:rsidRPr="00F03917">
        <w:t>R</w:t>
      </w:r>
      <w:r w:rsidRPr="00F03917">
        <w:t>SLR</w:t>
      </w:r>
      <w:r w:rsidR="0071423C" w:rsidRPr="00F03917">
        <w:t>)</w:t>
      </w:r>
      <w:r w:rsidRPr="00F03917">
        <w:t xml:space="preserve"> projections out to 2150</w:t>
      </w:r>
      <w:r w:rsidR="00B9242D" w:rsidRPr="00F03917">
        <w:t xml:space="preserve">, which are available from the </w:t>
      </w:r>
      <w:hyperlink r:id="rId64">
        <w:r w:rsidR="00B9242D" w:rsidRPr="00F03917">
          <w:rPr>
            <w:rStyle w:val="Hyperlink"/>
          </w:rPr>
          <w:t>NZ</w:t>
        </w:r>
        <w:r w:rsidR="00600840" w:rsidRPr="00F03917">
          <w:rPr>
            <w:rStyle w:val="Hyperlink"/>
          </w:rPr>
          <w:t> </w:t>
        </w:r>
        <w:r w:rsidR="00B9242D" w:rsidRPr="00F03917">
          <w:rPr>
            <w:rStyle w:val="Hyperlink"/>
          </w:rPr>
          <w:t>SeaRise platform</w:t>
        </w:r>
      </w:hyperlink>
      <w:r w:rsidR="009F326F" w:rsidRPr="00F03917">
        <w:t xml:space="preserve"> with and without </w:t>
      </w:r>
      <w:r w:rsidR="0524313D" w:rsidRPr="00F03917">
        <w:t>v</w:t>
      </w:r>
      <w:r w:rsidR="257ED67A" w:rsidRPr="00F03917">
        <w:t>ertical land movement (</w:t>
      </w:r>
      <w:r w:rsidR="009F326F" w:rsidRPr="00F03917">
        <w:t>VLM</w:t>
      </w:r>
      <w:r w:rsidR="7B764509" w:rsidRPr="00F03917">
        <w:t>)</w:t>
      </w:r>
      <w:r w:rsidR="009F326F" w:rsidRPr="00F03917">
        <w:t xml:space="preserve"> rates. The projections cover a range of </w:t>
      </w:r>
      <w:r w:rsidR="00764F6B" w:rsidRPr="00F03917">
        <w:t xml:space="preserve">plausible </w:t>
      </w:r>
      <w:r w:rsidR="009F326F" w:rsidRPr="00F03917">
        <w:t>future trajectories of the rise of mean sea level (MSL) for Aotearoa New Zealand.</w:t>
      </w:r>
      <w:r w:rsidR="00601FBF" w:rsidRPr="00F03917">
        <w:t xml:space="preserve"> </w:t>
      </w:r>
      <w:r w:rsidR="009F326F" w:rsidRPr="00F03917">
        <w:t xml:space="preserve">These RSLR projections </w:t>
      </w:r>
      <w:r w:rsidR="00376AF3" w:rsidRPr="00F03917">
        <w:t>o</w:t>
      </w:r>
      <w:r w:rsidR="00D85D0E" w:rsidRPr="00F03917">
        <w:t>r</w:t>
      </w:r>
      <w:r w:rsidR="00376AF3" w:rsidRPr="00F03917" w:rsidDel="00DC1186">
        <w:t xml:space="preserve"> </w:t>
      </w:r>
      <w:r w:rsidR="00376AF3" w:rsidRPr="00F03917">
        <w:t>increments</w:t>
      </w:r>
      <w:r w:rsidR="00D348D3" w:rsidRPr="00F03917">
        <w:rPr>
          <w:rStyle w:val="FootnoteReference"/>
        </w:rPr>
        <w:footnoteReference w:id="20"/>
      </w:r>
      <w:r w:rsidR="00376AF3" w:rsidRPr="00F03917">
        <w:t xml:space="preserve"> of </w:t>
      </w:r>
      <w:r w:rsidR="00D85D0E" w:rsidRPr="00F03917">
        <w:t>R</w:t>
      </w:r>
      <w:r w:rsidR="00376AF3" w:rsidRPr="00F03917">
        <w:t>SLR heights (eg</w:t>
      </w:r>
      <w:r w:rsidR="1EE532B3" w:rsidRPr="00F03917">
        <w:t>,</w:t>
      </w:r>
      <w:r w:rsidR="00376AF3" w:rsidRPr="00F03917">
        <w:t xml:space="preserve"> 0.1 </w:t>
      </w:r>
      <w:r w:rsidR="15804839" w:rsidRPr="00F03917">
        <w:t>m</w:t>
      </w:r>
      <w:r w:rsidR="7F6023AB" w:rsidRPr="00F03917">
        <w:t>etre</w:t>
      </w:r>
      <w:r w:rsidR="15804839" w:rsidRPr="00F03917">
        <w:t xml:space="preserve"> </w:t>
      </w:r>
      <w:r w:rsidR="00376AF3" w:rsidRPr="00F03917">
        <w:t>or 0.2 m</w:t>
      </w:r>
      <w:r w:rsidR="64F90D57" w:rsidRPr="00F03917">
        <w:t>etres</w:t>
      </w:r>
      <w:r w:rsidR="00376AF3" w:rsidRPr="00F03917">
        <w:t>) are use</w:t>
      </w:r>
      <w:r w:rsidR="00E50A50" w:rsidRPr="00F03917">
        <w:t xml:space="preserve">d as input </w:t>
      </w:r>
      <w:r w:rsidR="00452030" w:rsidRPr="00F03917">
        <w:t>in</w:t>
      </w:r>
      <w:r w:rsidR="00E50A50" w:rsidRPr="00F03917">
        <w:t>to hazard and risk assessment</w:t>
      </w:r>
      <w:r w:rsidR="00286F00" w:rsidRPr="00F03917">
        <w:t xml:space="preserve">s (step 2 and </w:t>
      </w:r>
      <w:hyperlink w:anchor="_Step_4:_Assess" w:history="1">
        <w:r w:rsidR="00286F00" w:rsidRPr="00F03917">
          <w:rPr>
            <w:rStyle w:val="Hyperlink"/>
          </w:rPr>
          <w:t>step 4</w:t>
        </w:r>
      </w:hyperlink>
      <w:r w:rsidR="00286F00" w:rsidRPr="00F03917">
        <w:t>) and inform the development of dynamic adaptive pathways (</w:t>
      </w:r>
      <w:hyperlink w:anchor="_Step_5:_Identify" w:history="1">
        <w:r w:rsidR="00286F00" w:rsidRPr="00F03917">
          <w:rPr>
            <w:rStyle w:val="Hyperlink"/>
          </w:rPr>
          <w:t>step 5</w:t>
        </w:r>
      </w:hyperlink>
      <w:r w:rsidR="00286F00" w:rsidRPr="00F03917">
        <w:t xml:space="preserve"> and </w:t>
      </w:r>
      <w:hyperlink w:anchor="_Step_6:_Evaluate" w:history="1">
        <w:r w:rsidR="00286F00" w:rsidRPr="00F03917">
          <w:rPr>
            <w:rStyle w:val="Hyperlink"/>
          </w:rPr>
          <w:t>step 6</w:t>
        </w:r>
      </w:hyperlink>
      <w:r w:rsidR="00286F00" w:rsidRPr="00F03917">
        <w:t xml:space="preserve">) that enable timely adaptation to the range of </w:t>
      </w:r>
      <w:r w:rsidR="00764F6B" w:rsidRPr="00F03917">
        <w:t xml:space="preserve">plausible </w:t>
      </w:r>
      <w:r w:rsidR="00286F00" w:rsidRPr="00F03917">
        <w:t>futures.</w:t>
      </w:r>
    </w:p>
    <w:p w14:paraId="5AD272A0" w14:textId="33001C81" w:rsidR="00286F00" w:rsidRPr="00F03917" w:rsidRDefault="000E3CD6" w:rsidP="00286F00">
      <w:pPr>
        <w:pStyle w:val="BodyText"/>
      </w:pPr>
      <w:r w:rsidRPr="00F03917">
        <w:rPr>
          <w:noProof/>
        </w:rPr>
        <w:drawing>
          <wp:anchor distT="0" distB="0" distL="114300" distR="114300" simplePos="0" relativeHeight="251657728" behindDoc="1" locked="0" layoutInCell="1" allowOverlap="1" wp14:anchorId="68A23760" wp14:editId="05BD6275">
            <wp:simplePos x="0" y="0"/>
            <wp:positionH relativeFrom="column">
              <wp:posOffset>260985</wp:posOffset>
            </wp:positionH>
            <wp:positionV relativeFrom="paragraph">
              <wp:posOffset>4208705</wp:posOffset>
            </wp:positionV>
            <wp:extent cx="4434840" cy="4175125"/>
            <wp:effectExtent l="0" t="0" r="0"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65" cstate="print">
                      <a:extLst>
                        <a:ext uri="{28A0092B-C50C-407E-A947-70E740481C1C}">
                          <a14:useLocalDpi xmlns:a14="http://schemas.microsoft.com/office/drawing/2010/main" val="0"/>
                        </a:ext>
                      </a:extLst>
                    </a:blip>
                    <a:srcRect l="-3721" t="-263" r="-3400" b="-585"/>
                    <a:stretch/>
                  </pic:blipFill>
                  <pic:spPr bwMode="auto">
                    <a:xfrm>
                      <a:off x="0" y="0"/>
                      <a:ext cx="4434840" cy="4175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6F00" w:rsidRPr="00F03917">
        <w:t>Until a</w:t>
      </w:r>
      <w:r w:rsidR="00F611EF" w:rsidRPr="00F03917">
        <w:t>n</w:t>
      </w:r>
      <w:r w:rsidR="00286F00" w:rsidRPr="00F03917">
        <w:t xml:space="preserve"> </w:t>
      </w:r>
      <w:r w:rsidR="00BF1839" w:rsidRPr="00F03917">
        <w:t>adaptive planning</w:t>
      </w:r>
      <w:r w:rsidR="003B6501" w:rsidRPr="00F03917">
        <w:t xml:space="preserve"> </w:t>
      </w:r>
      <w:r w:rsidR="00286F00" w:rsidRPr="00F03917">
        <w:t xml:space="preserve">strategy is developed for a location or region, interim precautionary RSLR allowances are provided for different </w:t>
      </w:r>
      <w:r w:rsidR="00DC0970" w:rsidRPr="00F03917">
        <w:t xml:space="preserve">categories </w:t>
      </w:r>
      <w:r w:rsidR="005A1B86" w:rsidRPr="00F03917">
        <w:t>of land-use activities for use in plan update</w:t>
      </w:r>
      <w:r w:rsidR="00E61513" w:rsidRPr="00F03917">
        <w:t>s</w:t>
      </w:r>
      <w:r w:rsidR="005A1B86" w:rsidRPr="00F03917">
        <w:t>.</w:t>
      </w:r>
    </w:p>
    <w:p w14:paraId="3DF681CE" w14:textId="0E244F2D" w:rsidR="0039500C" w:rsidRPr="00F03917" w:rsidRDefault="005A63F6" w:rsidP="00B765D7">
      <w:pPr>
        <w:pStyle w:val="Heading2"/>
        <w:numPr>
          <w:ilvl w:val="0"/>
          <w:numId w:val="21"/>
        </w:numPr>
      </w:pPr>
      <w:bookmarkStart w:id="45" w:name="_Toc160096236"/>
      <w:r w:rsidRPr="00F03917">
        <w:lastRenderedPageBreak/>
        <w:t>A</w:t>
      </w:r>
      <w:r w:rsidR="002F260D" w:rsidRPr="00F03917">
        <w:t>ssessing</w:t>
      </w:r>
      <w:r w:rsidR="00A23B67" w:rsidRPr="00F03917">
        <w:t xml:space="preserve"> </w:t>
      </w:r>
      <w:bookmarkEnd w:id="44"/>
      <w:r w:rsidR="68935855" w:rsidRPr="00F03917">
        <w:t>sea-level rise</w:t>
      </w:r>
      <w:bookmarkEnd w:id="45"/>
      <w:r w:rsidR="00B57283" w:rsidRPr="00F03917">
        <w:t xml:space="preserve"> </w:t>
      </w:r>
    </w:p>
    <w:p w14:paraId="3E0B20D2" w14:textId="4A9417B3" w:rsidR="0039500C" w:rsidRPr="00F03917" w:rsidRDefault="00395B25" w:rsidP="00B765D7">
      <w:pPr>
        <w:pStyle w:val="Heading3"/>
        <w:numPr>
          <w:ilvl w:val="0"/>
          <w:numId w:val="22"/>
        </w:numPr>
        <w:spacing w:before="240"/>
      </w:pPr>
      <w:r w:rsidRPr="00F03917">
        <w:t>Current</w:t>
      </w:r>
      <w:r w:rsidR="00EA1922" w:rsidRPr="00F03917">
        <w:t xml:space="preserve"> </w:t>
      </w:r>
      <w:r w:rsidR="00A84EFD" w:rsidRPr="00F03917">
        <w:t xml:space="preserve">and projected </w:t>
      </w:r>
      <w:r w:rsidR="6E9B4266" w:rsidRPr="00F03917">
        <w:t>sea-level rise</w:t>
      </w:r>
    </w:p>
    <w:p w14:paraId="4D83BA01" w14:textId="5618AADB" w:rsidR="00230456" w:rsidRPr="00F03917" w:rsidRDefault="00076507" w:rsidP="00A16CE7">
      <w:pPr>
        <w:pStyle w:val="Heading4"/>
      </w:pPr>
      <w:r w:rsidRPr="00F03917">
        <w:t>M</w:t>
      </w:r>
      <w:r w:rsidR="00230456" w:rsidRPr="00F03917">
        <w:t xml:space="preserve">easured </w:t>
      </w:r>
      <w:r w:rsidR="760FFAC0" w:rsidRPr="00F03917">
        <w:t>sea-level rise</w:t>
      </w:r>
    </w:p>
    <w:p w14:paraId="75F81DC8" w14:textId="276B2406" w:rsidR="00B57283" w:rsidRPr="00F03917" w:rsidRDefault="00B57283" w:rsidP="00D41042">
      <w:pPr>
        <w:pStyle w:val="BodyText"/>
      </w:pPr>
      <w:r w:rsidRPr="00F03917">
        <w:t>After centuries of relative stability, SLR in</w:t>
      </w:r>
      <w:r w:rsidR="002D24B0" w:rsidRPr="00F03917">
        <w:t xml:space="preserve"> Aotearoa</w:t>
      </w:r>
      <w:r w:rsidR="00CC16C1" w:rsidRPr="00F03917">
        <w:t xml:space="preserve"> </w:t>
      </w:r>
      <w:r w:rsidRPr="00F03917">
        <w:t xml:space="preserve">started </w:t>
      </w:r>
      <w:r w:rsidR="00206ADA" w:rsidRPr="00F03917">
        <w:t>around</w:t>
      </w:r>
      <w:r w:rsidRPr="00F03917">
        <w:t xml:space="preserve"> 1900 (</w:t>
      </w:r>
      <w:r w:rsidR="00B2310A" w:rsidRPr="00F03917">
        <w:t xml:space="preserve">Clement et al, 2016; </w:t>
      </w:r>
      <w:r w:rsidRPr="00F03917">
        <w:t>Gehrels et al, 2008</w:t>
      </w:r>
      <w:r w:rsidR="00647C87" w:rsidRPr="00F03917">
        <w:t>;</w:t>
      </w:r>
      <w:r w:rsidR="0093748A" w:rsidRPr="00F03917">
        <w:t xml:space="preserve"> Gehrels </w:t>
      </w:r>
      <w:r w:rsidR="00B2310A" w:rsidRPr="00F03917">
        <w:t>and</w:t>
      </w:r>
      <w:r w:rsidR="0093748A" w:rsidRPr="00F03917">
        <w:t xml:space="preserve"> Woodworth</w:t>
      </w:r>
      <w:r w:rsidR="007D6C58" w:rsidRPr="00F03917">
        <w:t>,</w:t>
      </w:r>
      <w:r w:rsidR="0093748A" w:rsidRPr="00F03917">
        <w:t xml:space="preserve"> 2013</w:t>
      </w:r>
      <w:r w:rsidRPr="00F03917">
        <w:t xml:space="preserve">). Figure </w:t>
      </w:r>
      <w:r w:rsidR="00D91344" w:rsidRPr="00F03917">
        <w:t xml:space="preserve">8 </w:t>
      </w:r>
      <w:r w:rsidRPr="00F03917">
        <w:t xml:space="preserve">shows the changes in annual local MSL at the country’s four main ports. </w:t>
      </w:r>
      <w:r w:rsidR="53CC6C99" w:rsidRPr="00F03917">
        <w:t xml:space="preserve">The underlying rise in </w:t>
      </w:r>
      <w:r w:rsidR="00AD58CF" w:rsidRPr="00F03917">
        <w:t xml:space="preserve">past and future </w:t>
      </w:r>
      <w:r w:rsidR="53CC6C99" w:rsidRPr="00F03917">
        <w:t xml:space="preserve">sea level is masked by </w:t>
      </w:r>
      <w:r w:rsidR="00AD58CF" w:rsidRPr="00F03917">
        <w:t>climate</w:t>
      </w:r>
      <w:r w:rsidR="000A0A9E" w:rsidRPr="00F03917">
        <w:t xml:space="preserve"> </w:t>
      </w:r>
      <w:r w:rsidR="00EA0634" w:rsidRPr="00F03917">
        <w:t xml:space="preserve">and </w:t>
      </w:r>
      <w:r w:rsidR="00AD58CF" w:rsidRPr="00F03917">
        <w:t>ocean</w:t>
      </w:r>
      <w:r w:rsidR="53CC6C99" w:rsidRPr="00F03917">
        <w:t xml:space="preserve"> variability on yearly and decadal timescales.</w:t>
      </w:r>
      <w:r w:rsidRPr="00F03917">
        <w:rPr>
          <w:vertAlign w:val="superscript"/>
        </w:rPr>
        <w:footnoteReference w:id="21"/>
      </w:r>
      <w:r w:rsidRPr="00F03917">
        <w:t xml:space="preserve"> </w:t>
      </w:r>
      <w:r w:rsidR="78755C12" w:rsidRPr="00F03917">
        <w:t xml:space="preserve">Long records of </w:t>
      </w:r>
      <w:r w:rsidR="00FE5721" w:rsidRPr="00F03917">
        <w:t>MSL</w:t>
      </w:r>
      <w:r w:rsidR="009810ED" w:rsidRPr="00F03917">
        <w:t xml:space="preserve"> </w:t>
      </w:r>
      <w:r w:rsidR="78755C12" w:rsidRPr="00F03917">
        <w:t xml:space="preserve">are necessary to assess </w:t>
      </w:r>
      <w:r w:rsidR="009810ED" w:rsidRPr="00F03917">
        <w:t>SLR and</w:t>
      </w:r>
      <w:r w:rsidR="78755C12" w:rsidRPr="00F03917">
        <w:t xml:space="preserve"> its acceleration</w:t>
      </w:r>
      <w:r w:rsidR="51FE6340" w:rsidRPr="00F03917">
        <w:t>,</w:t>
      </w:r>
      <w:r w:rsidR="00163B0D" w:rsidRPr="00F03917">
        <w:t xml:space="preserve"> </w:t>
      </w:r>
      <w:r w:rsidR="00CC7A2B" w:rsidRPr="00F03917">
        <w:t>which exist for our four main ports</w:t>
      </w:r>
      <w:r w:rsidR="008245DE" w:rsidRPr="00F03917">
        <w:t xml:space="preserve"> and Moturiki</w:t>
      </w:r>
      <w:r w:rsidR="00CC7A2B" w:rsidRPr="00F03917">
        <w:t xml:space="preserve">. Splitting the record into approximately two equal periods of 60 years shows a doubling in the rate of SLR around the </w:t>
      </w:r>
      <w:r w:rsidR="005D0B45" w:rsidRPr="00F03917">
        <w:t>Aotearoa</w:t>
      </w:r>
      <w:r w:rsidR="00CC7A2B" w:rsidRPr="00F03917">
        <w:t xml:space="preserve"> coastline since 1960</w:t>
      </w:r>
      <w:r w:rsidR="00D87CD7" w:rsidRPr="00F03917">
        <w:t>.</w:t>
      </w:r>
      <w:r w:rsidR="0000271F" w:rsidRPr="00F03917">
        <w:rPr>
          <w:rStyle w:val="FootnoteReference"/>
        </w:rPr>
        <w:footnoteReference w:id="22"/>
      </w:r>
    </w:p>
    <w:p w14:paraId="4B9ADD9E" w14:textId="77E1C1B7" w:rsidR="00B57283" w:rsidRPr="00F03917" w:rsidRDefault="1788F217" w:rsidP="00C52920">
      <w:pPr>
        <w:pStyle w:val="Figureheading"/>
      </w:pPr>
      <w:bookmarkStart w:id="46" w:name="figure8"/>
      <w:bookmarkStart w:id="47" w:name="_Toc160098423"/>
      <w:bookmarkEnd w:id="46"/>
      <w:r w:rsidRPr="00F03917">
        <w:t xml:space="preserve">Figure </w:t>
      </w:r>
      <w:r w:rsidR="00ED4029" w:rsidRPr="00F03917">
        <w:t>8</w:t>
      </w:r>
      <w:r w:rsidRPr="00F03917">
        <w:t xml:space="preserve">: </w:t>
      </w:r>
      <w:r w:rsidR="005A4DFF" w:rsidRPr="00F03917">
        <w:tab/>
      </w:r>
      <w:r w:rsidR="00B57283" w:rsidRPr="00F03917">
        <w:t>Change in annual mean sea level for the four main ports and Moturiki between 1900</w:t>
      </w:r>
      <w:r w:rsidR="00E42186" w:rsidRPr="00F03917">
        <w:t> </w:t>
      </w:r>
      <w:r w:rsidR="00B57283" w:rsidRPr="00F03917">
        <w:t>and 2020</w:t>
      </w:r>
      <w:r w:rsidR="00F40374" w:rsidRPr="00F03917">
        <w:t>, spliced with a range of N</w:t>
      </w:r>
      <w:r w:rsidR="54DADA0E" w:rsidRPr="00F03917">
        <w:t xml:space="preserve">ew </w:t>
      </w:r>
      <w:r w:rsidR="00F40374" w:rsidRPr="00F03917">
        <w:t>Z</w:t>
      </w:r>
      <w:r w:rsidR="7F1163FA" w:rsidRPr="00F03917">
        <w:t>ealand</w:t>
      </w:r>
      <w:r w:rsidR="00B93F4A" w:rsidRPr="00F03917">
        <w:t xml:space="preserve"> averaged</w:t>
      </w:r>
      <w:r w:rsidR="00F40374" w:rsidRPr="00F03917">
        <w:t xml:space="preserve"> </w:t>
      </w:r>
      <w:r w:rsidR="1E3A4917" w:rsidRPr="00F03917">
        <w:t>sea-level</w:t>
      </w:r>
      <w:r w:rsidR="6D8387AB" w:rsidRPr="00F03917">
        <w:t xml:space="preserve"> rise </w:t>
      </w:r>
      <w:r w:rsidR="00E774EE" w:rsidRPr="00F03917">
        <w:t xml:space="preserve">projections based on </w:t>
      </w:r>
      <w:r w:rsidR="49BC9FEB" w:rsidRPr="00F03917">
        <w:t>shared socio-economic pathway</w:t>
      </w:r>
      <w:r w:rsidR="00E774EE" w:rsidRPr="00F03917">
        <w:t xml:space="preserve"> scenarios </w:t>
      </w:r>
      <w:r w:rsidR="00F40374" w:rsidRPr="00F03917">
        <w:t>to</w:t>
      </w:r>
      <w:r w:rsidR="00C0032A" w:rsidRPr="00F03917">
        <w:t> </w:t>
      </w:r>
      <w:r w:rsidR="00F40374" w:rsidRPr="00F03917">
        <w:t>2050</w:t>
      </w:r>
      <w:bookmarkEnd w:id="47"/>
    </w:p>
    <w:p w14:paraId="0F34C2D4" w14:textId="77777777" w:rsidR="00B57283" w:rsidRPr="00F03917" w:rsidRDefault="00B57283" w:rsidP="00D41042">
      <w:pPr>
        <w:pStyle w:val="BodyText"/>
      </w:pPr>
      <w:r w:rsidRPr="00F03917">
        <w:rPr>
          <w:noProof/>
        </w:rPr>
        <w:drawing>
          <wp:inline distT="0" distB="0" distL="0" distR="0" wp14:anchorId="0F46F7EF" wp14:editId="2C3DD8B2">
            <wp:extent cx="5407378" cy="2814938"/>
            <wp:effectExtent l="0" t="0" r="3175" b="5080"/>
            <wp:docPr id="1734681075" name="Picture 1734681075" descr="A graph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681075" name="Picture 1734681075" descr="A graph with lines and numbers&#10;&#10;Description automatically generated"/>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5432552" cy="2828043"/>
                    </a:xfrm>
                    <a:prstGeom prst="rect">
                      <a:avLst/>
                    </a:prstGeom>
                    <a:noFill/>
                    <a:ln>
                      <a:noFill/>
                    </a:ln>
                    <a:extLst>
                      <a:ext uri="{53640926-AAD7-44D8-BBD7-CCE9431645EC}">
                        <a14:shadowObscured xmlns:a14="http://schemas.microsoft.com/office/drawing/2010/main"/>
                      </a:ext>
                    </a:extLst>
                  </pic:spPr>
                </pic:pic>
              </a:graphicData>
            </a:graphic>
          </wp:inline>
        </w:drawing>
      </w:r>
    </w:p>
    <w:p w14:paraId="7622FCFA" w14:textId="1FFF2A6B" w:rsidR="00B57283" w:rsidRPr="00F03917" w:rsidRDefault="6A209A61" w:rsidP="00D41042">
      <w:pPr>
        <w:pStyle w:val="Source"/>
        <w:spacing w:before="0"/>
      </w:pPr>
      <w:r w:rsidRPr="00F03917">
        <w:t xml:space="preserve">Note: </w:t>
      </w:r>
      <w:r w:rsidR="00A54C2C" w:rsidRPr="00F03917">
        <w:t>Annual s</w:t>
      </w:r>
      <w:r w:rsidR="00B57283" w:rsidRPr="00F03917">
        <w:t xml:space="preserve">ea level </w:t>
      </w:r>
      <w:r w:rsidR="00A54C2C" w:rsidRPr="00F03917">
        <w:t>for each gauge</w:t>
      </w:r>
      <w:r w:rsidR="00B57283" w:rsidRPr="00F03917">
        <w:t xml:space="preserve"> </w:t>
      </w:r>
      <w:r w:rsidR="00E60E67" w:rsidRPr="00F03917">
        <w:t xml:space="preserve">site </w:t>
      </w:r>
      <w:r w:rsidR="00B57283" w:rsidRPr="00F03917">
        <w:t xml:space="preserve">is relative to the </w:t>
      </w:r>
      <w:r w:rsidR="71DA9F31" w:rsidRPr="00F03917">
        <w:t>mean sea level</w:t>
      </w:r>
      <w:r w:rsidR="00B57283" w:rsidRPr="00F03917">
        <w:t xml:space="preserve"> </w:t>
      </w:r>
      <w:r w:rsidR="00E60E67" w:rsidRPr="00F03917">
        <w:t>to a local land datum, averaged</w:t>
      </w:r>
      <w:r w:rsidR="00B57283" w:rsidRPr="00F03917">
        <w:t xml:space="preserve"> from</w:t>
      </w:r>
      <w:r w:rsidR="00F40374" w:rsidRPr="00F03917">
        <w:t xml:space="preserve"> </w:t>
      </w:r>
      <w:r w:rsidR="00B57283" w:rsidRPr="00F03917">
        <w:t xml:space="preserve">1995 to 2014 (period used for the </w:t>
      </w:r>
      <w:r w:rsidR="4331CE8D" w:rsidRPr="00F03917">
        <w:t>Intergovernmental Panel on Climate Change</w:t>
      </w:r>
      <w:r w:rsidR="00B57283" w:rsidRPr="00F03917">
        <w:t xml:space="preserve"> </w:t>
      </w:r>
      <w:r w:rsidR="6B213CBA" w:rsidRPr="00F03917">
        <w:t>Sixth Assessment Report</w:t>
      </w:r>
      <w:r w:rsidR="00B57283" w:rsidRPr="00F03917">
        <w:t xml:space="preserve"> </w:t>
      </w:r>
      <w:r w:rsidR="1A523011" w:rsidRPr="00F03917">
        <w:t>(IPCC,</w:t>
      </w:r>
      <w:r w:rsidR="00B57283" w:rsidRPr="00F03917">
        <w:t xml:space="preserve"> </w:t>
      </w:r>
      <w:r w:rsidR="1A523011" w:rsidRPr="00F03917">
        <w:t xml:space="preserve">2021) </w:t>
      </w:r>
      <w:r w:rsidR="00B57283" w:rsidRPr="00F03917">
        <w:t>and NZ</w:t>
      </w:r>
      <w:r w:rsidR="000028DB" w:rsidRPr="00F03917">
        <w:t xml:space="preserve"> </w:t>
      </w:r>
      <w:r w:rsidR="00B57283" w:rsidRPr="00F03917">
        <w:t xml:space="preserve">SeaRise projections, with mid-point at 2005). </w:t>
      </w:r>
      <w:r w:rsidR="00885957" w:rsidRPr="00F03917">
        <w:t>Accurate sea-level measurements are only possible a few k</w:t>
      </w:r>
      <w:r w:rsidR="001179C2" w:rsidRPr="00F03917">
        <w:t>ilometres</w:t>
      </w:r>
      <w:r w:rsidR="00885957" w:rsidRPr="00F03917">
        <w:t xml:space="preserve"> offshore (which excludes near-shore effects on coastal sea</w:t>
      </w:r>
      <w:r w:rsidR="00622252" w:rsidRPr="00F03917">
        <w:t xml:space="preserve"> </w:t>
      </w:r>
      <w:r w:rsidR="00885957" w:rsidRPr="00F03917">
        <w:t>level)</w:t>
      </w:r>
      <w:r w:rsidR="001179C2" w:rsidRPr="00F03917">
        <w:t xml:space="preserve"> due to the land-shadow </w:t>
      </w:r>
      <w:r w:rsidR="0009302F" w:rsidRPr="00F03917">
        <w:t>e</w:t>
      </w:r>
      <w:r w:rsidR="001179C2" w:rsidRPr="00F03917">
        <w:t xml:space="preserve">ffect on the altimeter signal. See </w:t>
      </w:r>
      <w:r w:rsidR="00F50A27" w:rsidRPr="00F03917">
        <w:t xml:space="preserve">section </w:t>
      </w:r>
      <w:r w:rsidR="00ED36ED" w:rsidRPr="00F03917">
        <w:t>A.3.3</w:t>
      </w:r>
      <w:r w:rsidR="00F50A27" w:rsidRPr="00F03917">
        <w:t xml:space="preserve"> of </w:t>
      </w:r>
      <w:hyperlink w:anchor="_Supplements" w:history="1">
        <w:r w:rsidR="0089010F" w:rsidRPr="00F03917">
          <w:rPr>
            <w:rStyle w:val="Hyperlink"/>
            <w:i/>
            <w:iCs/>
          </w:rPr>
          <w:t>Climate change, sea-level rise and coastal hazards science: Coastal hazards and climate change guidance – Supplement A</w:t>
        </w:r>
      </w:hyperlink>
      <w:r w:rsidR="0089010F" w:rsidRPr="00F03917">
        <w:t xml:space="preserve"> </w:t>
      </w:r>
      <w:r w:rsidR="00D64FBA" w:rsidRPr="00F03917">
        <w:t>for more commentary.</w:t>
      </w:r>
    </w:p>
    <w:p w14:paraId="37500B57" w14:textId="693F7E0A" w:rsidR="00B57283" w:rsidRPr="00F03917" w:rsidRDefault="00B57283" w:rsidP="00D41042">
      <w:pPr>
        <w:pStyle w:val="Source"/>
        <w:spacing w:before="0"/>
      </w:pPr>
      <w:r w:rsidRPr="00F03917">
        <w:t>Source data: Stats</w:t>
      </w:r>
      <w:r w:rsidR="44838F31" w:rsidRPr="00F03917">
        <w:t xml:space="preserve"> </w:t>
      </w:r>
      <w:r w:rsidRPr="00F03917">
        <w:t>NZ coastal sea-level rise marine indicator series (</w:t>
      </w:r>
      <w:hyperlink r:id="rId67" w:history="1">
        <w:r w:rsidR="004D6339" w:rsidRPr="00F03917">
          <w:rPr>
            <w:rStyle w:val="Hyperlink"/>
          </w:rPr>
          <w:t>http://www.stats.govt.nz/indicators/coastal-sea-level-rise</w:t>
        </w:r>
      </w:hyperlink>
      <w:r w:rsidRPr="00F03917">
        <w:t xml:space="preserve">) </w:t>
      </w:r>
      <w:r w:rsidR="0063668D" w:rsidRPr="00F03917">
        <w:t>combined with</w:t>
      </w:r>
      <w:r w:rsidRPr="00F03917">
        <w:t xml:space="preserve"> </w:t>
      </w:r>
      <w:r w:rsidR="00A41682" w:rsidRPr="00F03917">
        <w:t>sea-level rise</w:t>
      </w:r>
      <w:r w:rsidRPr="00F03917">
        <w:t xml:space="preserve"> projections </w:t>
      </w:r>
      <w:r w:rsidR="00E063B4" w:rsidRPr="00F03917">
        <w:t>f</w:t>
      </w:r>
      <w:r w:rsidR="004F1CF8" w:rsidRPr="00F03917">
        <w:t>rom</w:t>
      </w:r>
      <w:r w:rsidR="00E063B4" w:rsidRPr="00F03917">
        <w:t xml:space="preserve"> a central location </w:t>
      </w:r>
      <w:r w:rsidR="00607A44" w:rsidRPr="00F03917">
        <w:t>(</w:t>
      </w:r>
      <w:r w:rsidR="00817B49" w:rsidRPr="00F03917">
        <w:rPr>
          <w:rFonts w:cs="Calibri"/>
        </w:rPr>
        <w:t>±</w:t>
      </w:r>
      <w:r w:rsidR="00817B49" w:rsidRPr="00F03917">
        <w:t xml:space="preserve"> 0.025</w:t>
      </w:r>
      <w:r w:rsidR="004B5863" w:rsidRPr="00F03917">
        <w:t xml:space="preserve"> m</w:t>
      </w:r>
      <w:r w:rsidR="00A41682" w:rsidRPr="00F03917">
        <w:t>etre</w:t>
      </w:r>
      <w:r w:rsidR="00126E8A" w:rsidRPr="00F03917">
        <w:t>s</w:t>
      </w:r>
      <w:r w:rsidR="005A18CB" w:rsidRPr="00F03917">
        <w:t xml:space="preserve"> by 2130</w:t>
      </w:r>
      <w:r w:rsidR="004B5863" w:rsidRPr="00F03917">
        <w:t xml:space="preserve"> across N</w:t>
      </w:r>
      <w:r w:rsidR="00A41682" w:rsidRPr="00F03917">
        <w:t xml:space="preserve">ew </w:t>
      </w:r>
      <w:r w:rsidR="004B5863" w:rsidRPr="00F03917">
        <w:t>Z</w:t>
      </w:r>
      <w:r w:rsidR="00A41682" w:rsidRPr="00F03917">
        <w:t>ealand</w:t>
      </w:r>
      <w:r w:rsidR="004B5863" w:rsidRPr="00F03917">
        <w:t xml:space="preserve">) </w:t>
      </w:r>
      <w:r w:rsidRPr="00F03917">
        <w:t xml:space="preserve">from </w:t>
      </w:r>
      <w:r w:rsidR="00E063B4" w:rsidRPr="00F03917">
        <w:t xml:space="preserve">the </w:t>
      </w:r>
      <w:r w:rsidRPr="00F03917">
        <w:t>NZ</w:t>
      </w:r>
      <w:r w:rsidR="000028DB" w:rsidRPr="00F03917">
        <w:t xml:space="preserve"> </w:t>
      </w:r>
      <w:r w:rsidRPr="00F03917">
        <w:t xml:space="preserve">SeaRise </w:t>
      </w:r>
      <w:r w:rsidR="00E063B4" w:rsidRPr="00F03917">
        <w:t>platform</w:t>
      </w:r>
      <w:r w:rsidRPr="00F03917">
        <w:t xml:space="preserve"> without </w:t>
      </w:r>
      <w:r w:rsidR="00B9187C" w:rsidRPr="00F03917">
        <w:t>including vertical land movement</w:t>
      </w:r>
      <w:r w:rsidR="00FB7D30" w:rsidRPr="00F03917">
        <w:t xml:space="preserve"> </w:t>
      </w:r>
      <w:r w:rsidRPr="00F03917">
        <w:t>(</w:t>
      </w:r>
      <w:hyperlink w:history="1">
        <w:r w:rsidRPr="00F03917">
          <w:rPr>
            <w:rStyle w:val="Hyperlink"/>
          </w:rPr>
          <w:t>NULL</w:t>
        </w:r>
      </w:hyperlink>
      <w:hyperlink w:history="1"/>
      <w:hyperlink r:id="rId68" w:history="1">
        <w:r w:rsidR="004D6339" w:rsidRPr="00F03917">
          <w:rPr>
            <w:rStyle w:val="Hyperlink"/>
          </w:rPr>
          <w:t>http://www.searise.nz/maps-2</w:t>
        </w:r>
      </w:hyperlink>
      <w:r w:rsidRPr="00F03917">
        <w:t>)</w:t>
      </w:r>
      <w:r w:rsidR="00A4070E" w:rsidRPr="00F03917">
        <w:t xml:space="preserve">. </w:t>
      </w:r>
    </w:p>
    <w:p w14:paraId="4D3584FA" w14:textId="1AE3F330" w:rsidR="00B57283" w:rsidRPr="00F03917" w:rsidRDefault="009B21FC" w:rsidP="00D41042">
      <w:pPr>
        <w:pStyle w:val="BodyText"/>
        <w:spacing w:after="240"/>
        <w:rPr>
          <w:rFonts w:eastAsia="Calibri" w:cs="Times New Roman"/>
        </w:rPr>
      </w:pPr>
      <w:r w:rsidRPr="00F03917">
        <w:lastRenderedPageBreak/>
        <w:t>Sea level rose</w:t>
      </w:r>
      <w:r w:rsidR="00B57283" w:rsidRPr="00F03917">
        <w:t xml:space="preserve"> 0.21 metres</w:t>
      </w:r>
      <w:r w:rsidR="00F01527" w:rsidRPr="00F03917">
        <w:t xml:space="preserve"> </w:t>
      </w:r>
      <w:r w:rsidR="00834F38" w:rsidRPr="00F03917">
        <w:t xml:space="preserve">on average across Aotearoa </w:t>
      </w:r>
      <w:r w:rsidR="00B57283" w:rsidRPr="00F03917">
        <w:t>between 1901 and 2020</w:t>
      </w:r>
      <w:r w:rsidR="00FB5999" w:rsidRPr="00F03917">
        <w:t>,</w:t>
      </w:r>
      <w:r w:rsidR="00832710" w:rsidRPr="00F03917">
        <w:rPr>
          <w:rStyle w:val="FootnoteReference"/>
        </w:rPr>
        <w:footnoteReference w:id="23"/>
      </w:r>
      <w:r w:rsidR="00B57283" w:rsidRPr="00F03917">
        <w:t xml:space="preserve"> </w:t>
      </w:r>
      <w:r w:rsidR="00C21F48" w:rsidRPr="00F03917">
        <w:t xml:space="preserve">which explains why </w:t>
      </w:r>
      <w:r w:rsidR="00B57283" w:rsidRPr="00F03917">
        <w:t xml:space="preserve">low-lying areas are already experiencing an increased incidence of coastal </w:t>
      </w:r>
      <w:r w:rsidR="00C21F48" w:rsidRPr="00F03917">
        <w:t>flooding</w:t>
      </w:r>
      <w:r w:rsidR="00B57283" w:rsidRPr="00F03917">
        <w:t xml:space="preserve"> (see box </w:t>
      </w:r>
      <w:r w:rsidR="0081576F" w:rsidRPr="00F03917">
        <w:t>2</w:t>
      </w:r>
      <w:r w:rsidR="00B57283" w:rsidRPr="00F03917">
        <w:t>).</w:t>
      </w:r>
      <w:r w:rsidR="00B57283" w:rsidRPr="00F03917">
        <w:rPr>
          <w:rStyle w:val="FootnoteReference"/>
          <w:rFonts w:eastAsia="MS Mincho" w:cs="Arial"/>
        </w:rPr>
        <w:footnoteReference w:id="24"/>
      </w:r>
      <w:r w:rsidR="00B57283" w:rsidRPr="00F03917">
        <w:t xml:space="preserve"> </w:t>
      </w:r>
      <w:r w:rsidR="00B57283" w:rsidRPr="00F03917">
        <w:rPr>
          <w:rFonts w:eastAsia="Calibri" w:cs="Times New Roman"/>
        </w:rPr>
        <w:t>Ongoing SLR will cause more frequent flooding before mid-century, with</w:t>
      </w:r>
      <w:r w:rsidR="0081563B" w:rsidRPr="00F03917">
        <w:rPr>
          <w:rFonts w:eastAsia="Calibri" w:cs="Times New Roman"/>
        </w:rPr>
        <w:t> </w:t>
      </w:r>
      <w:r w:rsidR="00B57283" w:rsidRPr="00F03917">
        <w:rPr>
          <w:rFonts w:eastAsia="Calibri" w:cs="Times New Roman"/>
          <w:i/>
          <w:iCs/>
        </w:rPr>
        <w:t>very high confidence</w:t>
      </w:r>
      <w:r w:rsidR="00B57283" w:rsidRPr="00F03917">
        <w:rPr>
          <w:rFonts w:eastAsia="Calibri" w:cs="Times New Roman"/>
        </w:rPr>
        <w:t xml:space="preserve"> (Lawrence et al, 2022). As sea level continue</w:t>
      </w:r>
      <w:r w:rsidR="00AA2CDE" w:rsidRPr="00F03917">
        <w:rPr>
          <w:rFonts w:eastAsia="Calibri" w:cs="Times New Roman"/>
        </w:rPr>
        <w:t>s</w:t>
      </w:r>
      <w:r w:rsidR="00B57283" w:rsidRPr="00F03917">
        <w:rPr>
          <w:rFonts w:eastAsia="Calibri" w:cs="Times New Roman"/>
        </w:rPr>
        <w:t xml:space="preserve"> to rise, so do</w:t>
      </w:r>
      <w:r w:rsidR="00AA2CDE" w:rsidRPr="00F03917">
        <w:rPr>
          <w:rFonts w:eastAsia="Calibri" w:cs="Times New Roman"/>
        </w:rPr>
        <w:t>es</w:t>
      </w:r>
      <w:r w:rsidR="00B57283" w:rsidRPr="00F03917">
        <w:rPr>
          <w:rFonts w:eastAsia="Calibri" w:cs="Times New Roman"/>
        </w:rPr>
        <w:t xml:space="preserve"> the scale and frequency of adaptation interventions.</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6FBF9"/>
        <w:tblLook w:val="04A0" w:firstRow="1" w:lastRow="0" w:firstColumn="1" w:lastColumn="0" w:noHBand="0" w:noVBand="1"/>
      </w:tblPr>
      <w:tblGrid>
        <w:gridCol w:w="8505"/>
      </w:tblGrid>
      <w:tr w:rsidR="00B57283" w:rsidRPr="00F03917" w14:paraId="7A0B075F" w14:textId="77777777" w:rsidTr="00F115CF">
        <w:tc>
          <w:tcPr>
            <w:tcW w:w="8562" w:type="dxa"/>
            <w:tcBorders>
              <w:top w:val="single" w:sz="4" w:space="0" w:color="1B556B" w:themeColor="text2"/>
              <w:left w:val="single" w:sz="4" w:space="0" w:color="1B556B" w:themeColor="text2"/>
              <w:bottom w:val="nil"/>
              <w:right w:val="single" w:sz="4" w:space="0" w:color="1B556B" w:themeColor="text2"/>
            </w:tcBorders>
            <w:shd w:val="clear" w:color="auto" w:fill="1B556B" w:themeFill="text2"/>
            <w:vAlign w:val="center"/>
          </w:tcPr>
          <w:p w14:paraId="11475EC3" w14:textId="6DA6D834" w:rsidR="00B57283" w:rsidRPr="00F03917" w:rsidDel="00D5390D" w:rsidRDefault="00B57283" w:rsidP="00D41042">
            <w:pPr>
              <w:pStyle w:val="Casestudyheading"/>
            </w:pPr>
            <w:r w:rsidRPr="00F03917">
              <w:t xml:space="preserve">: Role of </w:t>
            </w:r>
            <w:r w:rsidR="2801DCB2" w:rsidRPr="00F03917">
              <w:t xml:space="preserve">sea-level </w:t>
            </w:r>
            <w:r w:rsidR="5FE52689" w:rsidRPr="00F03917">
              <w:t>rise</w:t>
            </w:r>
            <w:r w:rsidRPr="00F03917">
              <w:t xml:space="preserve"> in </w:t>
            </w:r>
            <w:r w:rsidR="00E83E81" w:rsidRPr="00F03917">
              <w:t>INCREASING</w:t>
            </w:r>
            <w:r w:rsidRPr="00F03917">
              <w:t xml:space="preserve"> coastal flood events in Auckland and HAURAKI </w:t>
            </w:r>
          </w:p>
        </w:tc>
      </w:tr>
      <w:tr w:rsidR="00B57283" w:rsidRPr="00F03917" w14:paraId="4EA392E2" w14:textId="77777777" w:rsidTr="00F115CF">
        <w:tc>
          <w:tcPr>
            <w:tcW w:w="8562" w:type="dxa"/>
            <w:tcBorders>
              <w:top w:val="nil"/>
              <w:left w:val="single" w:sz="4" w:space="0" w:color="D2DDE1" w:themeColor="background2"/>
              <w:bottom w:val="single" w:sz="4" w:space="0" w:color="D2DDE1" w:themeColor="background2"/>
              <w:right w:val="single" w:sz="4" w:space="0" w:color="D2DDE1" w:themeColor="background2"/>
            </w:tcBorders>
            <w:shd w:val="clear" w:color="auto" w:fill="D2DDE1" w:themeFill="background2"/>
          </w:tcPr>
          <w:p w14:paraId="1426D1FB" w14:textId="6011DCE4" w:rsidR="00B57283" w:rsidRPr="00F03917" w:rsidRDefault="007E3484" w:rsidP="0063425E">
            <w:pPr>
              <w:tabs>
                <w:tab w:val="left" w:pos="4565"/>
              </w:tabs>
              <w:spacing w:before="120" w:after="120" w:line="280" w:lineRule="atLeast"/>
              <w:ind w:left="284" w:right="284"/>
              <w:rPr>
                <w:rFonts w:ascii="Calibri" w:eastAsia="MS Mincho" w:hAnsi="Calibri" w:cs="Arial"/>
                <w:color w:val="1C556C"/>
                <w:kern w:val="0"/>
                <w:sz w:val="20"/>
                <w:szCs w:val="22"/>
                <w:lang w:eastAsia="en-NZ"/>
                <w14:ligatures w14:val="none"/>
              </w:rPr>
            </w:pPr>
            <w:r w:rsidRPr="00F03917">
              <w:rPr>
                <w:noProof/>
              </w:rPr>
              <w:drawing>
                <wp:inline distT="0" distB="0" distL="0" distR="0" wp14:anchorId="3AEC6206" wp14:editId="51A58F70">
                  <wp:extent cx="1637564" cy="1024128"/>
                  <wp:effectExtent l="0" t="0" r="1270" b="5080"/>
                  <wp:docPr id="1120161729" name="Picture 112016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61729" name=""/>
                          <pic:cNvPicPr/>
                        </pic:nvPicPr>
                        <pic:blipFill>
                          <a:blip r:embed="rId69"/>
                          <a:stretch>
                            <a:fillRect/>
                          </a:stretch>
                        </pic:blipFill>
                        <pic:spPr>
                          <a:xfrm>
                            <a:off x="0" y="0"/>
                            <a:ext cx="1649887" cy="1031835"/>
                          </a:xfrm>
                          <a:prstGeom prst="rect">
                            <a:avLst/>
                          </a:prstGeom>
                        </pic:spPr>
                      </pic:pic>
                    </a:graphicData>
                  </a:graphic>
                </wp:inline>
              </w:drawing>
            </w:r>
            <w:r w:rsidRPr="00F03917">
              <w:rPr>
                <w:rFonts w:ascii="Calibri" w:eastAsia="MS Mincho" w:hAnsi="Calibri" w:cs="Arial"/>
                <w:color w:val="1C556C"/>
                <w:kern w:val="0"/>
                <w:sz w:val="20"/>
                <w:szCs w:val="22"/>
                <w:lang w:eastAsia="en-NZ"/>
                <w14:ligatures w14:val="none"/>
              </w:rPr>
              <w:t xml:space="preserve"> </w:t>
            </w:r>
            <w:r w:rsidR="00B57283" w:rsidRPr="00F03917">
              <w:rPr>
                <w:rFonts w:ascii="Calibri" w:eastAsia="MS Mincho" w:hAnsi="Calibri" w:cs="Arial"/>
                <w:noProof/>
                <w:color w:val="1C556C"/>
                <w:kern w:val="0"/>
                <w:sz w:val="20"/>
                <w:szCs w:val="22"/>
                <w:lang w:eastAsia="en-NZ"/>
                <w14:ligatures w14:val="none"/>
              </w:rPr>
              <w:drawing>
                <wp:inline distT="0" distB="0" distL="0" distR="0" wp14:anchorId="5B29C13B" wp14:editId="5778B334">
                  <wp:extent cx="1536065" cy="1021276"/>
                  <wp:effectExtent l="0" t="0" r="6985" b="7620"/>
                  <wp:docPr id="1126659133" name="Picture 1126659133" descr="A firefighter looking at a flooded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59133" name="Picture 1126659133" descr="A firefighter looking at a flooded street&#10;&#10;Description automatically generated"/>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1555065" cy="1033908"/>
                          </a:xfrm>
                          <a:prstGeom prst="rect">
                            <a:avLst/>
                          </a:prstGeom>
                          <a:noFill/>
                        </pic:spPr>
                      </pic:pic>
                    </a:graphicData>
                  </a:graphic>
                </wp:inline>
              </w:drawing>
            </w:r>
            <w:r w:rsidR="00860506" w:rsidRPr="00F03917">
              <w:rPr>
                <w:rFonts w:ascii="Calibri" w:eastAsia="MS Mincho" w:hAnsi="Calibri" w:cs="Arial"/>
                <w:color w:val="1C556C"/>
                <w:kern w:val="0"/>
                <w:sz w:val="20"/>
                <w:szCs w:val="22"/>
                <w:lang w:eastAsia="en-NZ"/>
                <w14:ligatures w14:val="none"/>
              </w:rPr>
              <w:t xml:space="preserve"> </w:t>
            </w:r>
            <w:r w:rsidR="00B57283" w:rsidRPr="00F03917">
              <w:rPr>
                <w:rFonts w:ascii="Calibri" w:eastAsia="MS Mincho" w:hAnsi="Calibri" w:cs="Arial"/>
                <w:noProof/>
                <w:color w:val="1C556C"/>
                <w:kern w:val="0"/>
                <w:sz w:val="20"/>
                <w:szCs w:val="22"/>
                <w:lang w:eastAsia="en-NZ"/>
                <w14:ligatures w14:val="none"/>
              </w:rPr>
              <w:drawing>
                <wp:inline distT="0" distB="0" distL="0" distR="0" wp14:anchorId="114D5C0D" wp14:editId="50D99DF2">
                  <wp:extent cx="1562519" cy="1011895"/>
                  <wp:effectExtent l="0" t="0" r="0" b="0"/>
                  <wp:docPr id="1560774223" name="Picture 1560774223" descr="Aerial view of a flooded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774223" name="Picture 1560774223" descr="Aerial view of a flooded area&#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09876" cy="1042563"/>
                          </a:xfrm>
                          <a:prstGeom prst="rect">
                            <a:avLst/>
                          </a:prstGeom>
                          <a:noFill/>
                          <a:ln>
                            <a:noFill/>
                          </a:ln>
                        </pic:spPr>
                      </pic:pic>
                    </a:graphicData>
                  </a:graphic>
                </wp:inline>
              </w:drawing>
            </w:r>
          </w:p>
          <w:p w14:paraId="30525770" w14:textId="418133D1" w:rsidR="00B57283" w:rsidRPr="00F03917" w:rsidRDefault="00280486" w:rsidP="0063425E">
            <w:pPr>
              <w:tabs>
                <w:tab w:val="left" w:pos="4578"/>
              </w:tabs>
              <w:spacing w:line="240" w:lineRule="atLeast"/>
              <w:ind w:left="323"/>
              <w:rPr>
                <w:rFonts w:ascii="Calibri" w:eastAsia="MS Mincho" w:hAnsi="Calibri" w:cs="Arial"/>
                <w:color w:val="1C556C"/>
                <w:kern w:val="0"/>
                <w:sz w:val="18"/>
                <w:szCs w:val="18"/>
                <w:lang w:eastAsia="en-NZ"/>
                <w14:ligatures w14:val="none"/>
              </w:rPr>
            </w:pPr>
            <w:r w:rsidRPr="00F03917">
              <w:rPr>
                <w:rFonts w:ascii="Calibri" w:eastAsia="MS Mincho" w:hAnsi="Calibri" w:cs="Arial"/>
                <w:color w:val="1C556C"/>
                <w:kern w:val="0"/>
                <w:sz w:val="18"/>
                <w:szCs w:val="18"/>
                <w:lang w:eastAsia="en-NZ"/>
                <w14:ligatures w14:val="none"/>
              </w:rPr>
              <w:t>Photos</w:t>
            </w:r>
            <w:r w:rsidR="004B65ED" w:rsidRPr="00F03917">
              <w:rPr>
                <w:rFonts w:ascii="Calibri" w:eastAsia="MS Mincho" w:hAnsi="Calibri" w:cs="Arial"/>
                <w:color w:val="1C556C"/>
                <w:kern w:val="0"/>
                <w:sz w:val="18"/>
                <w:szCs w:val="18"/>
                <w:lang w:eastAsia="en-NZ"/>
                <w14:ligatures w14:val="none"/>
              </w:rPr>
              <w:t xml:space="preserve"> (from left to right</w:t>
            </w:r>
            <w:r w:rsidR="00AA2984" w:rsidRPr="00F03917">
              <w:rPr>
                <w:rFonts w:ascii="Calibri" w:eastAsia="MS Mincho" w:hAnsi="Calibri" w:cs="Arial"/>
                <w:color w:val="1C556C"/>
                <w:kern w:val="0"/>
                <w:sz w:val="18"/>
                <w:szCs w:val="18"/>
                <w:lang w:eastAsia="en-NZ"/>
                <w14:ligatures w14:val="none"/>
              </w:rPr>
              <w:t>)</w:t>
            </w:r>
            <w:r w:rsidRPr="00F03917">
              <w:rPr>
                <w:rFonts w:ascii="Calibri" w:eastAsia="MS Mincho" w:hAnsi="Calibri" w:cs="Arial"/>
                <w:color w:val="1C556C"/>
                <w:kern w:val="0"/>
                <w:sz w:val="18"/>
                <w:szCs w:val="18"/>
                <w:lang w:eastAsia="en-NZ"/>
                <w14:ligatures w14:val="none"/>
              </w:rPr>
              <w:t xml:space="preserve">: </w:t>
            </w:r>
            <w:r w:rsidR="00B57283" w:rsidRPr="00F03917">
              <w:rPr>
                <w:rFonts w:ascii="Calibri" w:eastAsia="MS Mincho" w:hAnsi="Calibri" w:cs="Arial"/>
                <w:color w:val="1C556C"/>
                <w:kern w:val="0"/>
                <w:sz w:val="18"/>
                <w:szCs w:val="18"/>
                <w:lang w:eastAsia="en-NZ"/>
                <w14:ligatures w14:val="none"/>
              </w:rPr>
              <w:t xml:space="preserve">Browns Bay Wharf, Auckland. </w:t>
            </w:r>
            <w:r w:rsidR="00E157CE" w:rsidRPr="00F03917">
              <w:rPr>
                <w:rFonts w:ascii="Calibri" w:eastAsia="MS Mincho" w:hAnsi="Calibri" w:cs="Arial"/>
                <w:color w:val="1C556C"/>
                <w:kern w:val="0"/>
                <w:sz w:val="18"/>
                <w:szCs w:val="18"/>
                <w:lang w:eastAsia="en-NZ"/>
                <w14:ligatures w14:val="none"/>
              </w:rPr>
              <w:t>Kohimarama</w:t>
            </w:r>
            <w:r w:rsidR="00102312" w:rsidRPr="00F03917">
              <w:rPr>
                <w:rFonts w:ascii="Calibri" w:eastAsia="MS Mincho" w:hAnsi="Calibri" w:cs="Arial"/>
                <w:color w:val="1C556C"/>
                <w:kern w:val="0"/>
                <w:sz w:val="18"/>
                <w:szCs w:val="18"/>
                <w:lang w:eastAsia="en-NZ"/>
                <w14:ligatures w14:val="none"/>
              </w:rPr>
              <w:t xml:space="preserve"> (Mission Bay)</w:t>
            </w:r>
            <w:r w:rsidRPr="00F03917">
              <w:rPr>
                <w:rFonts w:ascii="Calibri" w:eastAsia="MS Mincho" w:hAnsi="Calibri" w:cs="Arial"/>
                <w:color w:val="1C556C"/>
                <w:kern w:val="0"/>
                <w:sz w:val="18"/>
                <w:szCs w:val="18"/>
                <w:lang w:eastAsia="en-NZ"/>
                <w14:ligatures w14:val="none"/>
              </w:rPr>
              <w:t xml:space="preserve">, Auckland. </w:t>
            </w:r>
            <w:r w:rsidR="00B57283" w:rsidRPr="00F03917">
              <w:rPr>
                <w:rFonts w:ascii="Calibri" w:eastAsia="MS Mincho" w:hAnsi="Calibri" w:cs="Arial"/>
                <w:color w:val="1C556C"/>
                <w:kern w:val="0"/>
                <w:sz w:val="18"/>
                <w:szCs w:val="18"/>
                <w:lang w:eastAsia="en-NZ"/>
                <w14:ligatures w14:val="none"/>
              </w:rPr>
              <w:t>Firth of Thames, Hauraki Plains.</w:t>
            </w:r>
          </w:p>
          <w:p w14:paraId="7AA205F3" w14:textId="0BD6016C" w:rsidR="00B57283" w:rsidRPr="00F03917" w:rsidRDefault="00B57283" w:rsidP="00FD5C1C">
            <w:pPr>
              <w:pStyle w:val="Boxtext"/>
              <w:spacing w:after="80"/>
            </w:pPr>
            <w:r w:rsidRPr="00F03917">
              <w:t xml:space="preserve">In Auckland, the highest storm-tide level on record for the 20th century occurred on 26 March 1936. A cyclonic low-pressure storm generated a storm surge, coinciding with a </w:t>
            </w:r>
            <w:r w:rsidR="009B6A30" w:rsidRPr="00F03917">
              <w:t>perigean spring or</w:t>
            </w:r>
            <w:r w:rsidRPr="00F03917">
              <w:t xml:space="preserve"> ‘king’ tide. Some coastal flooding occurred</w:t>
            </w:r>
            <w:r w:rsidR="00FD5C1C" w:rsidRPr="00F03917">
              <w:t>,</w:t>
            </w:r>
            <w:r w:rsidRPr="00F03917">
              <w:t xml:space="preserve"> and waves severely damaged the Browns Bay Wharf.</w:t>
            </w:r>
            <w:r w:rsidR="00FD5C1C" w:rsidRPr="00F03917">
              <w:t xml:space="preserve"> </w:t>
            </w:r>
            <w:r w:rsidRPr="00F03917">
              <w:t>History repeated on 23 January 2011 (photo at left)</w:t>
            </w:r>
            <w:r w:rsidR="00C61156" w:rsidRPr="00F03917">
              <w:t xml:space="preserve"> when e</w:t>
            </w:r>
            <w:r w:rsidRPr="00F03917">
              <w:t xml:space="preserve">x-tropical cyclone Wilma arrived </w:t>
            </w:r>
            <w:r w:rsidR="43053FED" w:rsidRPr="00F03917">
              <w:t>after</w:t>
            </w:r>
            <w:r w:rsidRPr="00F03917">
              <w:t xml:space="preserve"> a </w:t>
            </w:r>
            <w:r w:rsidR="00630834" w:rsidRPr="00F03917">
              <w:t>perigean spring</w:t>
            </w:r>
            <w:r w:rsidRPr="00F03917">
              <w:t xml:space="preserve"> tide, leading to damaging coastal inundation of low-lying areas of Auckland. </w:t>
            </w:r>
          </w:p>
          <w:p w14:paraId="34CB3DA7" w14:textId="28DAB997" w:rsidR="00B57283" w:rsidRPr="00F03917" w:rsidRDefault="00B57283" w:rsidP="00D77DA5">
            <w:pPr>
              <w:pStyle w:val="Boxtext"/>
              <w:spacing w:after="0"/>
            </w:pPr>
            <w:r w:rsidRPr="00F03917">
              <w:t xml:space="preserve">Both storms were </w:t>
            </w:r>
            <w:r w:rsidR="009D507A" w:rsidRPr="00F03917">
              <w:t>‘</w:t>
            </w:r>
            <w:r w:rsidRPr="00F03917">
              <w:t>1 in 100</w:t>
            </w:r>
            <w:r w:rsidR="00C21F48" w:rsidRPr="00F03917">
              <w:t>-</w:t>
            </w:r>
            <w:r w:rsidRPr="00F03917">
              <w:t>year</w:t>
            </w:r>
            <w:r w:rsidR="009D507A" w:rsidRPr="00F03917">
              <w:t>’</w:t>
            </w:r>
            <w:r w:rsidRPr="00F03917">
              <w:t xml:space="preserve"> events</w:t>
            </w:r>
            <w:r w:rsidR="009D507A" w:rsidRPr="00F03917">
              <w:t xml:space="preserve"> (1 per cent </w:t>
            </w:r>
            <w:r w:rsidR="675A609A" w:rsidRPr="00F03917">
              <w:t>annual exceedance probability</w:t>
            </w:r>
            <w:r w:rsidR="009D507A" w:rsidRPr="00F03917">
              <w:t>)</w:t>
            </w:r>
            <w:r w:rsidRPr="00F03917">
              <w:t xml:space="preserve">, but the 2011 event was 0.13 metres higher than in 1936, causing deeper coastal flooding. Most of the difference in peak water level </w:t>
            </w:r>
            <w:r w:rsidR="000D17CA" w:rsidRPr="00F03917">
              <w:t xml:space="preserve">between </w:t>
            </w:r>
            <w:r w:rsidR="00CA7FF8" w:rsidRPr="00F03917">
              <w:t>these similar storms</w:t>
            </w:r>
            <w:r w:rsidRPr="00F03917">
              <w:t xml:space="preserve"> is attributable to the 0.12</w:t>
            </w:r>
            <w:r w:rsidR="00576226" w:rsidRPr="00F03917">
              <w:t xml:space="preserve"> </w:t>
            </w:r>
            <w:r w:rsidRPr="00F03917">
              <w:t xml:space="preserve">metre rise in </w:t>
            </w:r>
            <w:r w:rsidR="3C1CF4EF" w:rsidRPr="00F03917">
              <w:t xml:space="preserve">mean </w:t>
            </w:r>
            <w:r w:rsidRPr="00F03917">
              <w:t xml:space="preserve">sea level over the intervening 75-year period. </w:t>
            </w:r>
          </w:p>
          <w:p w14:paraId="74090B9A" w14:textId="6BD9713C" w:rsidR="00B57283" w:rsidRPr="00F03917" w:rsidRDefault="00B57283" w:rsidP="00D77DA5">
            <w:pPr>
              <w:pStyle w:val="Boxtext"/>
              <w:spacing w:after="0"/>
            </w:pPr>
            <w:r w:rsidRPr="00F03917">
              <w:t xml:space="preserve">A similar situation occurred in the southern Firth of Thames. On 4 May 1938, coastal flooding of the Hauraki Plains caused extensive damage. Subsequently, the coastal stopbank was raised. Eighty years later, on 5 January 2018, the storm tide and wave setup came close to overtopping the stopbank system </w:t>
            </w:r>
            <w:r w:rsidR="00DD76FB" w:rsidRPr="00F03917">
              <w:t>along the southern Firth coastline but did result</w:t>
            </w:r>
            <w:r w:rsidRPr="00F03917">
              <w:t xml:space="preserve"> in extensive flooding</w:t>
            </w:r>
            <w:r w:rsidR="00DD76FB" w:rsidRPr="00F03917">
              <w:t xml:space="preserve"> in the Kaiaua/Wharekawa and Te Puru areas</w:t>
            </w:r>
            <w:r w:rsidR="00DA45A4" w:rsidRPr="00F03917">
              <w:t xml:space="preserve"> (photo at right)</w:t>
            </w:r>
            <w:r w:rsidR="00DD76FB" w:rsidRPr="00F03917">
              <w:t>.</w:t>
            </w:r>
            <w:r w:rsidRPr="00F03917">
              <w:t xml:space="preserve"> The intervening rise in </w:t>
            </w:r>
            <w:r w:rsidR="0D947372" w:rsidRPr="00F03917">
              <w:t>mean sea level</w:t>
            </w:r>
            <w:r w:rsidRPr="00F03917">
              <w:t xml:space="preserve"> since 1938 was a contributing factor.</w:t>
            </w:r>
          </w:p>
          <w:p w14:paraId="1117E72E" w14:textId="64D40DA4" w:rsidR="00662ACB" w:rsidRPr="00F03917" w:rsidRDefault="00662ACB" w:rsidP="00D77DA5">
            <w:pPr>
              <w:pStyle w:val="Boxtext"/>
              <w:spacing w:after="0"/>
            </w:pPr>
            <w:r w:rsidRPr="00F03917">
              <w:t xml:space="preserve">As mean sea level continues to rise, coastal flooding will become much more frequent </w:t>
            </w:r>
            <w:r w:rsidR="00681C6F" w:rsidRPr="00F03917">
              <w:t xml:space="preserve">and episodically deeper </w:t>
            </w:r>
            <w:r w:rsidRPr="00F03917">
              <w:t>for low-lying coastal areas.</w:t>
            </w:r>
          </w:p>
          <w:p w14:paraId="1A0F0E48" w14:textId="21D72167" w:rsidR="00B57283" w:rsidRPr="00F03917" w:rsidRDefault="00B57283" w:rsidP="007F2DAE">
            <w:pPr>
              <w:pStyle w:val="Boxtext"/>
              <w:spacing w:after="240"/>
              <w:ind w:left="397"/>
              <w:rPr>
                <w:sz w:val="16"/>
                <w:szCs w:val="16"/>
              </w:rPr>
            </w:pPr>
            <w:r w:rsidRPr="00F03917">
              <w:rPr>
                <w:sz w:val="16"/>
                <w:szCs w:val="16"/>
              </w:rPr>
              <w:t>Sources: Tide gauge data (Ports of Auckland Ltd, Auckland Council); Barnett (1938)</w:t>
            </w:r>
            <w:r w:rsidR="0012408A" w:rsidRPr="00F03917">
              <w:rPr>
                <w:sz w:val="16"/>
                <w:szCs w:val="16"/>
              </w:rPr>
              <w:t>;</w:t>
            </w:r>
            <w:r w:rsidRPr="00F03917">
              <w:rPr>
                <w:sz w:val="16"/>
                <w:szCs w:val="16"/>
              </w:rPr>
              <w:t xml:space="preserve"> Marsh et al (2020)</w:t>
            </w:r>
            <w:r w:rsidR="0012408A" w:rsidRPr="00F03917">
              <w:rPr>
                <w:sz w:val="16"/>
                <w:szCs w:val="16"/>
              </w:rPr>
              <w:t>;</w:t>
            </w:r>
            <w:r w:rsidRPr="00F03917">
              <w:rPr>
                <w:sz w:val="16"/>
                <w:szCs w:val="16"/>
              </w:rPr>
              <w:t xml:space="preserve"> </w:t>
            </w:r>
            <w:hyperlink w:anchor="_Supplements" w:history="1">
              <w:r w:rsidR="0089010F" w:rsidRPr="00F03917">
                <w:rPr>
                  <w:rStyle w:val="Hyperlink"/>
                  <w:i/>
                  <w:sz w:val="16"/>
                  <w:szCs w:val="16"/>
                </w:rPr>
                <w:t>Climate change, sea-level rise and coastal hazards science: Coastal hazards and climate change guidance – Supplement A</w:t>
              </w:r>
            </w:hyperlink>
            <w:r w:rsidRPr="00F03917">
              <w:rPr>
                <w:sz w:val="16"/>
                <w:szCs w:val="16"/>
              </w:rPr>
              <w:t xml:space="preserve">. </w:t>
            </w:r>
            <w:r w:rsidR="00D67A4D" w:rsidRPr="00F03917">
              <w:rPr>
                <w:sz w:val="16"/>
                <w:szCs w:val="16"/>
              </w:rPr>
              <w:br/>
            </w:r>
            <w:r w:rsidRPr="00F03917">
              <w:rPr>
                <w:sz w:val="16"/>
                <w:szCs w:val="16"/>
              </w:rPr>
              <w:t>Photos: (left) B Eitelberg; (right) Farmers Weekly</w:t>
            </w:r>
            <w:r w:rsidR="004D6339" w:rsidRPr="00F03917">
              <w:rPr>
                <w:sz w:val="16"/>
                <w:szCs w:val="16"/>
              </w:rPr>
              <w:t xml:space="preserve"> </w:t>
            </w:r>
            <w:r w:rsidRPr="00F03917">
              <w:rPr>
                <w:sz w:val="16"/>
                <w:szCs w:val="16"/>
              </w:rPr>
              <w:t>(</w:t>
            </w:r>
            <w:hyperlink w:history="1"/>
            <w:hyperlink r:id="rId72" w:history="1">
              <w:r w:rsidR="004D6339" w:rsidRPr="00F03917">
                <w:rPr>
                  <w:rStyle w:val="Hyperlink"/>
                  <w:sz w:val="16"/>
                  <w:szCs w:val="16"/>
                </w:rPr>
                <w:t>http://www.farmersweekly.co.nz/news/sea-threat-arrives</w:t>
              </w:r>
            </w:hyperlink>
            <w:r w:rsidRPr="00F03917">
              <w:rPr>
                <w:sz w:val="16"/>
                <w:szCs w:val="16"/>
              </w:rPr>
              <w:t>)</w:t>
            </w:r>
          </w:p>
        </w:tc>
      </w:tr>
    </w:tbl>
    <w:p w14:paraId="22A6C7E7" w14:textId="057D80AD" w:rsidR="003A7946" w:rsidRPr="00F03917" w:rsidRDefault="003A7946" w:rsidP="00E519BF">
      <w:pPr>
        <w:pStyle w:val="BodyText"/>
      </w:pPr>
      <w:bookmarkStart w:id="48" w:name="_Future_climate_scenarios"/>
      <w:bookmarkEnd w:id="48"/>
    </w:p>
    <w:p w14:paraId="16D2A57C" w14:textId="02B8FC3C" w:rsidR="003A7946" w:rsidRPr="00F03917" w:rsidRDefault="002C496B" w:rsidP="007F2DAE">
      <w:r w:rsidRPr="00F03917">
        <w:br w:type="page"/>
      </w:r>
    </w:p>
    <w:p w14:paraId="70CBAFDE" w14:textId="29025152" w:rsidR="00B57283" w:rsidRPr="00F03917" w:rsidRDefault="00B57283" w:rsidP="00A16CE7">
      <w:pPr>
        <w:pStyle w:val="Heading4"/>
      </w:pPr>
      <w:bookmarkStart w:id="49" w:name="_5.4_Climate_change"/>
      <w:bookmarkStart w:id="50" w:name="_Ref454313145"/>
      <w:bookmarkStart w:id="51" w:name="_Toc466014411"/>
      <w:bookmarkStart w:id="52" w:name="_Toc144715762"/>
      <w:bookmarkEnd w:id="49"/>
      <w:r w:rsidRPr="00F03917">
        <w:lastRenderedPageBreak/>
        <w:t>U</w:t>
      </w:r>
      <w:r w:rsidR="000C53A7" w:rsidRPr="00F03917">
        <w:t xml:space="preserve">pdated </w:t>
      </w:r>
      <w:r w:rsidR="001614FA" w:rsidRPr="00F03917">
        <w:t xml:space="preserve">climate </w:t>
      </w:r>
      <w:r w:rsidRPr="00F03917">
        <w:t xml:space="preserve">scenarios </w:t>
      </w:r>
      <w:bookmarkEnd w:id="50"/>
      <w:bookmarkEnd w:id="51"/>
      <w:bookmarkEnd w:id="52"/>
    </w:p>
    <w:p w14:paraId="4A5B83BF" w14:textId="3CD3F23E" w:rsidR="00EB1B56" w:rsidRPr="00F03917" w:rsidRDefault="00B57283" w:rsidP="00F115CF">
      <w:pPr>
        <w:pStyle w:val="BodyText"/>
      </w:pPr>
      <w:r w:rsidRPr="00F03917">
        <w:t xml:space="preserve">The cornerstone of this guidance is the </w:t>
      </w:r>
      <w:r w:rsidR="00117A36" w:rsidRPr="00F03917">
        <w:t>use</w:t>
      </w:r>
      <w:r w:rsidRPr="00F03917">
        <w:t xml:space="preserve"> of </w:t>
      </w:r>
      <w:r w:rsidR="001232EA" w:rsidRPr="00F03917">
        <w:t>SLR</w:t>
      </w:r>
      <w:r w:rsidR="00D75694" w:rsidRPr="00F03917">
        <w:t xml:space="preserve"> </w:t>
      </w:r>
      <w:r w:rsidR="00681C6F" w:rsidRPr="00F03917">
        <w:t>projections</w:t>
      </w:r>
      <w:r w:rsidR="7445B46F" w:rsidRPr="00F03917">
        <w:t xml:space="preserve"> derived for </w:t>
      </w:r>
      <w:r w:rsidR="002D7B81" w:rsidRPr="00F03917">
        <w:t xml:space="preserve">climate change </w:t>
      </w:r>
      <w:r w:rsidRPr="00F03917">
        <w:t>scenarios in hazard and risk assessments, district</w:t>
      </w:r>
      <w:r w:rsidR="001B31D7" w:rsidRPr="00F03917">
        <w:t xml:space="preserve"> and </w:t>
      </w:r>
      <w:r w:rsidRPr="00F03917">
        <w:t>regional plans and adaptation planning.</w:t>
      </w:r>
      <w:r w:rsidRPr="00F03917">
        <w:rPr>
          <w:vertAlign w:val="superscript"/>
        </w:rPr>
        <w:footnoteReference w:id="25"/>
      </w:r>
      <w:r w:rsidRPr="00F03917">
        <w:t xml:space="preserve"> Scenarios are </w:t>
      </w:r>
      <w:r w:rsidR="00407385" w:rsidRPr="00F03917">
        <w:t xml:space="preserve">not </w:t>
      </w:r>
      <w:r w:rsidR="54E4E709" w:rsidRPr="00F03917">
        <w:t>‘</w:t>
      </w:r>
      <w:r w:rsidR="09DFF4E9" w:rsidRPr="00F03917">
        <w:t>predictions</w:t>
      </w:r>
      <w:r w:rsidR="20F78B14" w:rsidRPr="00F03917">
        <w:t>’</w:t>
      </w:r>
      <w:r w:rsidR="09DFF4E9" w:rsidRPr="00F03917">
        <w:t xml:space="preserve"> </w:t>
      </w:r>
      <w:r w:rsidR="7A34100C" w:rsidRPr="00F03917">
        <w:t>but</w:t>
      </w:r>
      <w:r w:rsidR="00407385" w:rsidRPr="00F03917">
        <w:t xml:space="preserve"> rather </w:t>
      </w:r>
      <w:r w:rsidRPr="00F03917">
        <w:t xml:space="preserve">a description </w:t>
      </w:r>
      <w:r w:rsidR="3FA9B264" w:rsidRPr="00F03917">
        <w:t xml:space="preserve">(narrative) </w:t>
      </w:r>
      <w:r w:rsidRPr="00F03917">
        <w:t xml:space="preserve">of how different futures might unfold, and they </w:t>
      </w:r>
      <w:r w:rsidR="002A458E" w:rsidRPr="00F03917">
        <w:t xml:space="preserve">can be </w:t>
      </w:r>
      <w:r w:rsidRPr="00F03917">
        <w:t>used to stress-test adaptation options</w:t>
      </w:r>
      <w:r w:rsidR="3FA9B264" w:rsidRPr="00F03917">
        <w:t>, dynamic adaptive pathways</w:t>
      </w:r>
      <w:r w:rsidR="002E4C7E" w:rsidRPr="00F03917">
        <w:t>,</w:t>
      </w:r>
      <w:r w:rsidR="00407385" w:rsidRPr="00F03917">
        <w:t xml:space="preserve"> plans</w:t>
      </w:r>
      <w:r w:rsidR="002E4C7E" w:rsidRPr="00F03917">
        <w:t xml:space="preserve"> or </w:t>
      </w:r>
      <w:r w:rsidR="00407385" w:rsidRPr="00F03917">
        <w:t>strategies.</w:t>
      </w:r>
      <w:r w:rsidRPr="00F03917">
        <w:t xml:space="preserve"> They can help inform the development of objectives and policies and inform </w:t>
      </w:r>
      <w:r w:rsidR="00407385" w:rsidRPr="00F03917">
        <w:t>the effectiveness (or otherwise) of risk management strategies, including any lock-in dependencies relying on a single type of option.</w:t>
      </w:r>
    </w:p>
    <w:p w14:paraId="7F266F04" w14:textId="180D9BF9" w:rsidR="00844C7C" w:rsidRPr="00F03917" w:rsidRDefault="00844C7C" w:rsidP="001D1468">
      <w:pPr>
        <w:pStyle w:val="BodyText"/>
      </w:pPr>
      <w:r w:rsidRPr="00F03917">
        <w:t xml:space="preserve">Scenarios allow communities, iwi/hapū and stakeholders to explore questions like “What can happen?”, “When </w:t>
      </w:r>
      <w:r w:rsidR="00931C85" w:rsidRPr="00F03917">
        <w:t>might</w:t>
      </w:r>
      <w:r w:rsidRPr="00F03917">
        <w:t xml:space="preserve"> an adaptation threshold be reached?</w:t>
      </w:r>
      <w:r w:rsidR="1DAB7F7D" w:rsidRPr="00F03917">
        <w:t>”</w:t>
      </w:r>
      <w:r w:rsidRPr="00F03917">
        <w:t xml:space="preserve"> </w:t>
      </w:r>
      <w:r w:rsidR="4ECA1CF4" w:rsidRPr="00F03917">
        <w:t>a</w:t>
      </w:r>
      <w:r w:rsidRPr="00F03917">
        <w:t>nd then “What can we do about it?” that help illustrate impacts and options under a variety of climate-related outcomes</w:t>
      </w:r>
      <w:r w:rsidR="00641C31" w:rsidRPr="00F03917">
        <w:t>.</w:t>
      </w:r>
      <w:r w:rsidRPr="00F03917">
        <w:t xml:space="preserve"> </w:t>
      </w:r>
    </w:p>
    <w:p w14:paraId="007DF92C" w14:textId="49DA12AA" w:rsidR="00844C7C" w:rsidRPr="00F03917" w:rsidRDefault="00844C7C" w:rsidP="00707872">
      <w:pPr>
        <w:pStyle w:val="BodyText"/>
        <w:spacing w:after="240"/>
      </w:pPr>
      <w:r w:rsidRPr="00F03917">
        <w:t xml:space="preserve">For SLR, using </w:t>
      </w:r>
      <w:r w:rsidR="00E803EC" w:rsidRPr="00F03917">
        <w:t>projections</w:t>
      </w:r>
      <w:r w:rsidR="00FF0B67" w:rsidRPr="00F03917">
        <w:t xml:space="preserve"> across a range of scenarios</w:t>
      </w:r>
      <w:r w:rsidRPr="00F03917">
        <w:t xml:space="preserve"> </w:t>
      </w:r>
      <w:r w:rsidR="00A35F7B" w:rsidRPr="00F03917">
        <w:t>with a dynamic adaptive</w:t>
      </w:r>
      <w:r w:rsidR="001C6ADD" w:rsidRPr="00F03917">
        <w:t xml:space="preserve"> </w:t>
      </w:r>
      <w:r w:rsidR="5CDE98C9" w:rsidRPr="00F03917">
        <w:t>pathways</w:t>
      </w:r>
      <w:r w:rsidR="001C6ADD" w:rsidRPr="00F03917">
        <w:t xml:space="preserve"> planning</w:t>
      </w:r>
      <w:r w:rsidR="00290FC5" w:rsidRPr="00F03917">
        <w:t xml:space="preserve"> (DAPP)</w:t>
      </w:r>
      <w:r w:rsidRPr="00F03917">
        <w:t xml:space="preserve"> approach avoids a pre-selected estimate of sea-level change (and associated impacts) being invalidated</w:t>
      </w:r>
      <w:r w:rsidR="00C34DEC" w:rsidRPr="00F03917">
        <w:t xml:space="preserve">. This is </w:t>
      </w:r>
      <w:r w:rsidR="009B0634" w:rsidRPr="00F03917">
        <w:t>due to</w:t>
      </w:r>
      <w:r w:rsidRPr="00F03917" w:rsidDel="00C34DEC">
        <w:t xml:space="preserve"> </w:t>
      </w:r>
      <w:r w:rsidRPr="00F03917">
        <w:t>updated sea-level projections becom</w:t>
      </w:r>
      <w:r w:rsidR="009B0634" w:rsidRPr="00F03917">
        <w:t>ing</w:t>
      </w:r>
      <w:r w:rsidRPr="00F03917">
        <w:t xml:space="preserve"> available or conditions chang</w:t>
      </w:r>
      <w:r w:rsidR="009B0634" w:rsidRPr="00F03917">
        <w:t>ing</w:t>
      </w:r>
      <w:r w:rsidRPr="00F03917">
        <w:t xml:space="preserve"> (eg, changes in VLM </w:t>
      </w:r>
      <w:r w:rsidR="001D4687" w:rsidRPr="00F03917">
        <w:t xml:space="preserve">rates </w:t>
      </w:r>
      <w:r w:rsidRPr="00F03917">
        <w:t>or polar ice-sheet responses).</w:t>
      </w:r>
      <w:r w:rsidR="001D4687" w:rsidRPr="00F03917">
        <w:t xml:space="preserve"> </w:t>
      </w:r>
      <w:r w:rsidR="00DD3B77" w:rsidRPr="00F03917">
        <w:t>It is not</w:t>
      </w:r>
      <w:r w:rsidR="00357BB6" w:rsidRPr="00F03917">
        <w:t xml:space="preserve"> possible to assign likelihoods (probabilities) of occurrence </w:t>
      </w:r>
      <w:r w:rsidR="00D24B40" w:rsidRPr="00F03917">
        <w:t xml:space="preserve">to any </w:t>
      </w:r>
      <w:r w:rsidR="00D24B40" w:rsidRPr="00F03917" w:rsidDel="006417DB">
        <w:t xml:space="preserve">climate </w:t>
      </w:r>
      <w:r w:rsidR="00D24B40" w:rsidRPr="00F03917" w:rsidDel="00CC3A0F">
        <w:t>scenario</w:t>
      </w:r>
      <w:r w:rsidR="00592BE9" w:rsidRPr="00F03917">
        <w:t xml:space="preserve">, </w:t>
      </w:r>
      <w:r w:rsidR="002F5C47" w:rsidRPr="00F03917">
        <w:t>because</w:t>
      </w:r>
      <w:r w:rsidR="00592BE9" w:rsidRPr="00F03917">
        <w:t xml:space="preserve"> these are narratives</w:t>
      </w:r>
      <w:r w:rsidR="0080048E" w:rsidRPr="00F03917">
        <w:t xml:space="preserve"> </w:t>
      </w:r>
      <w:r w:rsidR="00F66287" w:rsidRPr="00F03917">
        <w:t>describing broad socio-economic trends</w:t>
      </w:r>
      <w:r w:rsidR="0080048E" w:rsidRPr="00F03917">
        <w:t xml:space="preserve"> (Horton et al, 201</w:t>
      </w:r>
      <w:r w:rsidR="0074020A" w:rsidRPr="00F03917">
        <w:t>8, van de Wal et al</w:t>
      </w:r>
      <w:r w:rsidR="00B17A60" w:rsidRPr="00F03917">
        <w:t>, 2022)</w:t>
      </w:r>
      <w:r w:rsidR="00470DF5" w:rsidRPr="00F03917">
        <w:t>. Therefore</w:t>
      </w:r>
      <w:r w:rsidR="00D24B40" w:rsidRPr="00F03917">
        <w:t>, SLR projections</w:t>
      </w:r>
      <w:r w:rsidR="00470DF5" w:rsidRPr="00F03917">
        <w:t xml:space="preserve"> </w:t>
      </w:r>
      <w:r w:rsidR="0019484B" w:rsidRPr="00F03917">
        <w:t xml:space="preserve">across a range of scenarios </w:t>
      </w:r>
      <w:r w:rsidR="00470DF5" w:rsidRPr="00F03917">
        <w:t>should be used</w:t>
      </w:r>
      <w:r w:rsidR="00D24B40" w:rsidRPr="00F03917">
        <w:t>.</w:t>
      </w:r>
      <w:r w:rsidR="00977ED4" w:rsidRPr="00F03917">
        <w:t xml:space="preserve">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707872" w:rsidRPr="00F03917" w14:paraId="76F5267F" w14:textId="77777777" w:rsidTr="0036266A">
        <w:tc>
          <w:tcPr>
            <w:tcW w:w="8505" w:type="dxa"/>
            <w:shd w:val="clear" w:color="auto" w:fill="D5EBE8" w:themeFill="accent3"/>
          </w:tcPr>
          <w:p w14:paraId="1724B9B6" w14:textId="09B268F8" w:rsidR="00707872" w:rsidRPr="00F03917" w:rsidRDefault="00707872" w:rsidP="007A1F39">
            <w:pPr>
              <w:pStyle w:val="Boxtext"/>
              <w:spacing w:before="180" w:after="180"/>
            </w:pPr>
            <w:r w:rsidRPr="00F03917">
              <w:t xml:space="preserve">The goal of working with climate change scenarios is not to predict or forecast the future. It is to better understand what might unfold under a consistent set of assumptions and associated uncertainties. This informs robust decisions for a wide range of </w:t>
            </w:r>
            <w:r w:rsidR="006A35AB" w:rsidRPr="00F03917">
              <w:t xml:space="preserve">plausible </w:t>
            </w:r>
            <w:r w:rsidRPr="00F03917">
              <w:t>futures (Moss et al, 2010).</w:t>
            </w:r>
          </w:p>
        </w:tc>
      </w:tr>
    </w:tbl>
    <w:p w14:paraId="5B42A3C7" w14:textId="1D2D0DD4" w:rsidR="00B57283" w:rsidRPr="00F03917" w:rsidRDefault="00B57283" w:rsidP="00106022">
      <w:pPr>
        <w:pStyle w:val="BodyText"/>
        <w:spacing w:before="240"/>
      </w:pPr>
      <w:r w:rsidRPr="00F03917">
        <w:t xml:space="preserve">In 2021, the IPCC issued an updated set of </w:t>
      </w:r>
      <w:r w:rsidR="00386628" w:rsidRPr="00F03917">
        <w:t xml:space="preserve">global </w:t>
      </w:r>
      <w:r w:rsidRPr="00F03917">
        <w:t xml:space="preserve">SLR projections </w:t>
      </w:r>
      <w:r w:rsidRPr="00F03917">
        <w:rPr>
          <w:rFonts w:eastAsia="Calibri"/>
        </w:rPr>
        <w:t>(Fox-Kemper et al, 2021)</w:t>
      </w:r>
      <w:r w:rsidRPr="00F03917">
        <w:t>, based on new scenarios called shared socio-economic pathways (SSPs), which include socio</w:t>
      </w:r>
      <w:r w:rsidR="007A1F39" w:rsidRPr="00F03917">
        <w:noBreakHyphen/>
      </w:r>
      <w:r w:rsidRPr="00F03917">
        <w:t>economic assumptions and changes that influence future emissions trajectories (see</w:t>
      </w:r>
      <w:r w:rsidR="00106022" w:rsidRPr="00F03917">
        <w:t xml:space="preserve"> </w:t>
      </w:r>
      <w:hyperlink w:anchor="_Supplements" w:history="1">
        <w:r w:rsidR="00B7674A" w:rsidRPr="00F03917">
          <w:rPr>
            <w:rStyle w:val="Hyperlink"/>
            <w:i/>
            <w:iCs/>
          </w:rPr>
          <w:t>Climate change, sea-level rise and coastal hazards science: Coastal hazards and climate change guidance – Supplement A</w:t>
        </w:r>
      </w:hyperlink>
      <w:r w:rsidRPr="00F03917">
        <w:t>). The scenarios span a wide range of plausible societal and climatic futures, from a 1.5</w:t>
      </w:r>
      <w:r w:rsidR="73C3AA3D" w:rsidRPr="00F03917">
        <w:t xml:space="preserve"> degrees </w:t>
      </w:r>
      <w:r w:rsidR="004B0F5D" w:rsidRPr="00F03917">
        <w:t>Celsius</w:t>
      </w:r>
      <w:r w:rsidRPr="00F03917">
        <w:t xml:space="preserve"> </w:t>
      </w:r>
      <w:r w:rsidR="001418A4" w:rsidRPr="00F03917">
        <w:t>‘</w:t>
      </w:r>
      <w:r w:rsidRPr="00F03917">
        <w:t>best-case</w:t>
      </w:r>
      <w:r w:rsidR="001418A4" w:rsidRPr="00F03917">
        <w:t>’</w:t>
      </w:r>
      <w:r w:rsidRPr="00F03917">
        <w:t xml:space="preserve"> </w:t>
      </w:r>
      <w:r w:rsidR="00AF1FD8" w:rsidRPr="00F03917">
        <w:t>low</w:t>
      </w:r>
      <w:r w:rsidR="00C310C5" w:rsidRPr="00F03917">
        <w:t>-</w:t>
      </w:r>
      <w:r w:rsidR="00AF1FD8" w:rsidRPr="00F03917">
        <w:t>emis</w:t>
      </w:r>
      <w:r w:rsidR="007E1950" w:rsidRPr="00F03917">
        <w:t>s</w:t>
      </w:r>
      <w:r w:rsidR="00AF1FD8" w:rsidRPr="00F03917">
        <w:t>ions</w:t>
      </w:r>
      <w:r w:rsidRPr="00F03917">
        <w:t xml:space="preserve"> scenario </w:t>
      </w:r>
      <w:r w:rsidR="001418A4" w:rsidRPr="00F03917">
        <w:t>(SSP1-2.6)</w:t>
      </w:r>
      <w:r w:rsidR="00E2601C" w:rsidRPr="00F03917">
        <w:t xml:space="preserve"> </w:t>
      </w:r>
      <w:r w:rsidRPr="00F03917">
        <w:t>to over 4</w:t>
      </w:r>
      <w:r w:rsidR="3C098D92" w:rsidRPr="00F03917">
        <w:t xml:space="preserve"> degrees </w:t>
      </w:r>
      <w:r w:rsidR="004B0F5D" w:rsidRPr="00F03917">
        <w:t>Celsius</w:t>
      </w:r>
      <w:r w:rsidRPr="00F03917">
        <w:t xml:space="preserve"> warming </w:t>
      </w:r>
      <w:r w:rsidR="00E2601C" w:rsidRPr="00F03917">
        <w:t xml:space="preserve">scenario (SSP5-8.5) </w:t>
      </w:r>
      <w:r w:rsidRPr="00F03917">
        <w:t xml:space="preserve">by 2100 (Chen et al, 2021). </w:t>
      </w:r>
      <w:r w:rsidR="009F32D7" w:rsidRPr="00F03917">
        <w:t>Even for the low-emissions scenario (SSP1-2.6), average</w:t>
      </w:r>
      <w:r w:rsidR="009F32D7" w:rsidRPr="00F03917" w:rsidDel="00545083">
        <w:t xml:space="preserve"> </w:t>
      </w:r>
      <w:r w:rsidR="009F32D7" w:rsidRPr="00F03917">
        <w:t>SLR around Aotearoa could exceed 1 metre soon after 2200 (</w:t>
      </w:r>
      <w:hyperlink w:anchor="table6" w:history="1">
        <w:r w:rsidR="009F32D7" w:rsidRPr="00F03917">
          <w:rPr>
            <w:rStyle w:val="Hyperlink"/>
          </w:rPr>
          <w:t>table 6</w:t>
        </w:r>
      </w:hyperlink>
      <w:r w:rsidR="009F32D7" w:rsidRPr="00F03917">
        <w:t>).</w:t>
      </w:r>
    </w:p>
    <w:p w14:paraId="10E72B24" w14:textId="3AF8359B" w:rsidR="00B57283" w:rsidRPr="00F03917" w:rsidRDefault="00B57283" w:rsidP="00707872">
      <w:pPr>
        <w:pStyle w:val="BodyText"/>
      </w:pPr>
      <w:r w:rsidRPr="00F03917">
        <w:t xml:space="preserve">The </w:t>
      </w:r>
      <w:r w:rsidR="00386628" w:rsidRPr="00F03917">
        <w:t>IPCC</w:t>
      </w:r>
      <w:r w:rsidRPr="00F03917">
        <w:t xml:space="preserve"> </w:t>
      </w:r>
      <w:r w:rsidR="0A4E443D" w:rsidRPr="00F03917">
        <w:t>Sixth Assessment Report (</w:t>
      </w:r>
      <w:r w:rsidRPr="00F03917">
        <w:t>AR6</w:t>
      </w:r>
      <w:r w:rsidR="08BF7FE6" w:rsidRPr="00F03917">
        <w:t>)</w:t>
      </w:r>
      <w:r w:rsidR="7FAAFD13" w:rsidRPr="00F03917">
        <w:t xml:space="preserve"> </w:t>
      </w:r>
      <w:r w:rsidR="78CB999A" w:rsidRPr="00F03917">
        <w:t>SLR</w:t>
      </w:r>
      <w:r w:rsidRPr="00F03917">
        <w:rPr>
          <w:rFonts w:eastAsia="MS Mincho"/>
        </w:rPr>
        <w:t xml:space="preserve"> projections </w:t>
      </w:r>
      <w:r w:rsidRPr="00F03917">
        <w:t xml:space="preserve">include two sets labelled </w:t>
      </w:r>
      <w:r w:rsidRPr="00F03917">
        <w:rPr>
          <w:i/>
          <w:iCs/>
        </w:rPr>
        <w:t>medium confidence</w:t>
      </w:r>
      <w:r w:rsidRPr="00F03917">
        <w:t xml:space="preserve"> (out to 2150) and </w:t>
      </w:r>
      <w:r w:rsidRPr="00F03917">
        <w:rPr>
          <w:i/>
          <w:iCs/>
        </w:rPr>
        <w:t>low</w:t>
      </w:r>
      <w:r w:rsidR="00707872" w:rsidRPr="00F03917">
        <w:rPr>
          <w:i/>
          <w:iCs/>
        </w:rPr>
        <w:t> </w:t>
      </w:r>
      <w:r w:rsidRPr="00F03917">
        <w:rPr>
          <w:i/>
          <w:iCs/>
        </w:rPr>
        <w:t xml:space="preserve">confidence </w:t>
      </w:r>
      <w:r w:rsidRPr="00F03917">
        <w:t>(</w:t>
      </w:r>
      <w:r w:rsidR="005A5347" w:rsidRPr="00F03917">
        <w:t>out to 2300)</w:t>
      </w:r>
      <w:r w:rsidRPr="00F03917">
        <w:rPr>
          <w:i/>
          <w:iCs/>
        </w:rPr>
        <w:t xml:space="preserve"> </w:t>
      </w:r>
      <w:r w:rsidRPr="00F03917">
        <w:t>(Fox-Kemper et al, 2021</w:t>
      </w:r>
      <w:r w:rsidRPr="00F03917">
        <w:rPr>
          <w:rFonts w:eastAsia="MS Mincho"/>
        </w:rPr>
        <w:t xml:space="preserve">; </w:t>
      </w:r>
      <w:r w:rsidR="7AF87C8F" w:rsidRPr="00F03917">
        <w:rPr>
          <w:rFonts w:eastAsia="MS Mincho"/>
        </w:rPr>
        <w:t>Kopp et al, 2023</w:t>
      </w:r>
      <w:r w:rsidR="00944874" w:rsidRPr="00F03917">
        <w:rPr>
          <w:rFonts w:eastAsia="MS Mincho"/>
        </w:rPr>
        <w:t>;</w:t>
      </w:r>
      <w:r w:rsidR="2877D485" w:rsidRPr="00F03917">
        <w:rPr>
          <w:rFonts w:eastAsia="MS Mincho"/>
        </w:rPr>
        <w:t xml:space="preserve"> Slangen et al, 2022</w:t>
      </w:r>
      <w:r w:rsidRPr="00F03917">
        <w:rPr>
          <w:rFonts w:eastAsia="MS Mincho"/>
        </w:rPr>
        <w:t xml:space="preserve">). </w:t>
      </w:r>
      <w:r w:rsidRPr="00F03917">
        <w:t xml:space="preserve">The </w:t>
      </w:r>
      <w:r w:rsidRPr="00F03917">
        <w:rPr>
          <w:i/>
          <w:iCs/>
        </w:rPr>
        <w:t>medium confidence</w:t>
      </w:r>
      <w:r w:rsidR="00F92BC4" w:rsidRPr="00F03917">
        <w:rPr>
          <w:vertAlign w:val="superscript"/>
        </w:rPr>
        <w:footnoteReference w:id="26"/>
      </w:r>
      <w:r w:rsidR="00F92BC4" w:rsidRPr="00F03917">
        <w:t xml:space="preserve"> </w:t>
      </w:r>
      <w:r w:rsidRPr="00F03917">
        <w:t xml:space="preserve">projections </w:t>
      </w:r>
      <w:r w:rsidR="1A03EB4E" w:rsidRPr="00F03917">
        <w:t>across four SSP scenarios</w:t>
      </w:r>
      <w:r w:rsidR="0BA7AE3F" w:rsidRPr="00F03917">
        <w:t xml:space="preserve"> </w:t>
      </w:r>
      <w:r w:rsidRPr="00F03917">
        <w:t xml:space="preserve">form the basis of the </w:t>
      </w:r>
      <w:r w:rsidR="1A03EB4E" w:rsidRPr="00F03917">
        <w:t>SLR projections</w:t>
      </w:r>
      <w:r w:rsidR="7FAAFD13" w:rsidRPr="00F03917">
        <w:t xml:space="preserve"> </w:t>
      </w:r>
      <w:r w:rsidR="008B53D3" w:rsidRPr="00F03917">
        <w:t>used</w:t>
      </w:r>
      <w:r w:rsidRPr="00F03917">
        <w:t xml:space="preserve"> in this guidance.</w:t>
      </w:r>
    </w:p>
    <w:p w14:paraId="7D3E337A" w14:textId="4273AAA4" w:rsidR="003844A4" w:rsidRPr="00F03917" w:rsidRDefault="00B57283" w:rsidP="009311AC">
      <w:pPr>
        <w:pStyle w:val="BodyText"/>
        <w:keepLines/>
      </w:pPr>
      <w:r w:rsidRPr="00F03917">
        <w:lastRenderedPageBreak/>
        <w:t xml:space="preserve">A more limited set of </w:t>
      </w:r>
      <w:r w:rsidRPr="00F03917">
        <w:rPr>
          <w:i/>
          <w:iCs/>
        </w:rPr>
        <w:t>low confidence</w:t>
      </w:r>
      <w:r w:rsidRPr="00F03917">
        <w:t xml:space="preserve"> projections</w:t>
      </w:r>
      <w:r w:rsidR="004B124D" w:rsidRPr="00F03917">
        <w:t xml:space="preserve"> by IPCC</w:t>
      </w:r>
      <w:r w:rsidRPr="00F03917">
        <w:t xml:space="preserve">, uses a probabilistic ensemble </w:t>
      </w:r>
      <w:r w:rsidR="004B124D" w:rsidRPr="00F03917">
        <w:t>that also include</w:t>
      </w:r>
      <w:r w:rsidR="6079FFE3" w:rsidRPr="00F03917">
        <w:t>s</w:t>
      </w:r>
      <w:r w:rsidR="004B124D" w:rsidRPr="00F03917">
        <w:t xml:space="preserve"> two land-ice contributions</w:t>
      </w:r>
      <w:r w:rsidR="00496A4D" w:rsidRPr="00F03917">
        <w:rPr>
          <w:rStyle w:val="FootnoteReference"/>
        </w:rPr>
        <w:footnoteReference w:id="27"/>
      </w:r>
      <w:r w:rsidR="004B124D" w:rsidRPr="00F03917">
        <w:t xml:space="preserve"> from the</w:t>
      </w:r>
      <w:r w:rsidRPr="00F03917">
        <w:t xml:space="preserve"> Antarctic ice</w:t>
      </w:r>
      <w:r w:rsidR="00ED2483" w:rsidRPr="00F03917">
        <w:t xml:space="preserve"> </w:t>
      </w:r>
      <w:r w:rsidRPr="00F03917">
        <w:t xml:space="preserve">sheet </w:t>
      </w:r>
      <w:r w:rsidR="005E405F" w:rsidRPr="00F03917">
        <w:t>and a structured expert judgement process</w:t>
      </w:r>
      <w:r w:rsidRPr="00F03917">
        <w:t xml:space="preserve">. </w:t>
      </w:r>
      <w:r w:rsidRPr="00F03917">
        <w:rPr>
          <w:i/>
          <w:iCs/>
        </w:rPr>
        <w:t>Low confidence</w:t>
      </w:r>
      <w:r w:rsidRPr="00F03917">
        <w:t xml:space="preserve"> projections represent the upper range of plausibility, but “cannot be ruled out” (IPCC, 2021</w:t>
      </w:r>
      <w:r w:rsidR="00C12CAA" w:rsidRPr="00F03917">
        <w:t xml:space="preserve">, p </w:t>
      </w:r>
      <w:r w:rsidR="0098691F" w:rsidRPr="00F03917">
        <w:t>317</w:t>
      </w:r>
      <w:r w:rsidRPr="00F03917">
        <w:t xml:space="preserve">). They can be used to further stress-test new, long-lived development along the coast and provide assurance that managed retreat </w:t>
      </w:r>
      <w:r w:rsidR="0053566E" w:rsidRPr="00F03917">
        <w:t>option</w:t>
      </w:r>
      <w:r w:rsidR="00D13FE0" w:rsidRPr="00F03917">
        <w:t>s</w:t>
      </w:r>
      <w:r w:rsidR="0053566E" w:rsidRPr="00F03917">
        <w:t xml:space="preserve"> </w:t>
      </w:r>
      <w:r w:rsidR="00B264D5" w:rsidRPr="00F03917">
        <w:t xml:space="preserve">involving moving to </w:t>
      </w:r>
      <w:r w:rsidR="007E322F" w:rsidRPr="00F03917">
        <w:t>other coastal areas</w:t>
      </w:r>
      <w:r w:rsidRPr="00F03917">
        <w:t xml:space="preserve"> </w:t>
      </w:r>
      <w:r w:rsidR="00B264D5" w:rsidRPr="00F03917">
        <w:t xml:space="preserve">will </w:t>
      </w:r>
      <w:r w:rsidR="00DE308D" w:rsidRPr="00F03917">
        <w:t>not</w:t>
      </w:r>
      <w:r w:rsidR="00B264D5" w:rsidRPr="00F03917">
        <w:t xml:space="preserve"> be</w:t>
      </w:r>
      <w:r w:rsidR="00DE308D" w:rsidRPr="00F03917">
        <w:t xml:space="preserve"> compromised in the long</w:t>
      </w:r>
      <w:r w:rsidR="00B0331B" w:rsidRPr="00F03917">
        <w:t xml:space="preserve"> </w:t>
      </w:r>
      <w:r w:rsidR="00DE308D" w:rsidRPr="00F03917">
        <w:t>term by ongoing SLR</w:t>
      </w:r>
      <w:r w:rsidRPr="00F03917">
        <w:t xml:space="preserve">. They also convey the message that SLR will continue for centuries </w:t>
      </w:r>
      <w:r w:rsidR="008C63A9" w:rsidRPr="00F03917">
        <w:t xml:space="preserve">(beyond 2300) at a rate depending on how quickly and </w:t>
      </w:r>
      <w:r w:rsidRPr="00F03917">
        <w:t xml:space="preserve">by </w:t>
      </w:r>
      <w:r w:rsidR="008C63A9" w:rsidRPr="00F03917">
        <w:t>how much global emissions can be reduced</w:t>
      </w:r>
      <w:r w:rsidR="0073088B" w:rsidRPr="00F03917">
        <w:t xml:space="preserve">, and how quickly </w:t>
      </w:r>
      <w:r w:rsidR="002B59F4" w:rsidRPr="00F03917">
        <w:t xml:space="preserve">the </w:t>
      </w:r>
      <w:r w:rsidR="0073088B" w:rsidRPr="00F03917">
        <w:t xml:space="preserve">Antarctic </w:t>
      </w:r>
      <w:r w:rsidR="00ED0B6B" w:rsidRPr="00F03917">
        <w:t>ice</w:t>
      </w:r>
      <w:r w:rsidR="0004702D" w:rsidRPr="00F03917">
        <w:t xml:space="preserve"> </w:t>
      </w:r>
      <w:r w:rsidR="00ED0B6B" w:rsidRPr="00F03917">
        <w:t>sheet</w:t>
      </w:r>
      <w:r w:rsidR="0073088B" w:rsidRPr="00F03917">
        <w:t xml:space="preserve"> </w:t>
      </w:r>
      <w:r w:rsidR="002B59F4" w:rsidRPr="00F03917">
        <w:t>loses mass</w:t>
      </w:r>
      <w:r w:rsidR="00E3198F" w:rsidRPr="00F03917">
        <w:t xml:space="preserve"> (Turner et al, 2023)</w:t>
      </w:r>
      <w:r w:rsidR="008C63A9" w:rsidRPr="00F03917">
        <w:t xml:space="preserve">. </w:t>
      </w:r>
    </w:p>
    <w:p w14:paraId="085E89FB" w14:textId="6A663243" w:rsidR="00B57283" w:rsidRPr="00F03917" w:rsidRDefault="00B337DC" w:rsidP="00707872">
      <w:pPr>
        <w:pStyle w:val="BodyText"/>
      </w:pPr>
      <w:bookmarkStart w:id="53" w:name="_5.4.2_Link_between"/>
      <w:bookmarkEnd w:id="53"/>
      <w:r w:rsidRPr="00F03917">
        <w:t>General c</w:t>
      </w:r>
      <w:r w:rsidR="00B57283" w:rsidRPr="00F03917">
        <w:t xml:space="preserve">onfidence in SLR projections has grown since the previous 2013–2014 IPCC </w:t>
      </w:r>
      <w:r w:rsidR="67940E01" w:rsidRPr="00F03917">
        <w:t>Fifth Assessment Report</w:t>
      </w:r>
      <w:r w:rsidR="00D551C0" w:rsidRPr="00F03917">
        <w:t xml:space="preserve"> </w:t>
      </w:r>
      <w:r w:rsidR="00B57283" w:rsidRPr="00F03917">
        <w:t>projections (</w:t>
      </w:r>
      <w:r w:rsidR="2ED0278E" w:rsidRPr="00F03917">
        <w:t xml:space="preserve">Fox-Kemper et al, 2021; </w:t>
      </w:r>
      <w:r w:rsidR="00B57283" w:rsidRPr="00F03917">
        <w:t>Oppenheimer et al, 20</w:t>
      </w:r>
      <w:r w:rsidR="002818A0" w:rsidRPr="00F03917">
        <w:t>19</w:t>
      </w:r>
      <w:r w:rsidR="00B57283" w:rsidRPr="00F03917">
        <w:t>; Slangen et al, 202</w:t>
      </w:r>
      <w:r w:rsidR="00A04082" w:rsidRPr="00F03917">
        <w:t>3</w:t>
      </w:r>
      <w:r w:rsidR="00B57283" w:rsidRPr="00F03917">
        <w:t xml:space="preserve">) because of: </w:t>
      </w:r>
    </w:p>
    <w:p w14:paraId="2DE01AFB" w14:textId="2951AA3B" w:rsidR="00B57283" w:rsidRPr="00F03917" w:rsidRDefault="785E971A" w:rsidP="006A486F">
      <w:pPr>
        <w:pStyle w:val="BulletFIX"/>
      </w:pPr>
      <w:r w:rsidRPr="00F03917">
        <w:t xml:space="preserve">better understanding of the contributors to sea-level change </w:t>
      </w:r>
    </w:p>
    <w:p w14:paraId="0977DCE3" w14:textId="3AE2217C" w:rsidR="00B57283" w:rsidRPr="00F03917" w:rsidRDefault="785E971A" w:rsidP="006A486F">
      <w:pPr>
        <w:pStyle w:val="BulletFIX"/>
      </w:pPr>
      <w:r w:rsidRPr="00F03917">
        <w:t xml:space="preserve">longer datasets and improved coverage of the oceans and ice environments </w:t>
      </w:r>
    </w:p>
    <w:p w14:paraId="5661B1CD" w14:textId="102B5676" w:rsidR="00B57283" w:rsidRPr="00F03917" w:rsidRDefault="785E971A" w:rsidP="006A486F">
      <w:pPr>
        <w:pStyle w:val="BulletFIX"/>
      </w:pPr>
      <w:r w:rsidRPr="00F03917">
        <w:t xml:space="preserve">better agreement between the improved models and observations to date </w:t>
      </w:r>
    </w:p>
    <w:p w14:paraId="7CEEEE4B" w14:textId="5DC6A5C4" w:rsidR="00B57283" w:rsidRPr="00F03917" w:rsidRDefault="785E971A" w:rsidP="006A486F">
      <w:pPr>
        <w:pStyle w:val="BulletFIX"/>
      </w:pPr>
      <w:r w:rsidRPr="00F03917">
        <w:t>further understanding of ice</w:t>
      </w:r>
      <w:r w:rsidR="46BBC4A2" w:rsidRPr="00F03917">
        <w:t>-</w:t>
      </w:r>
      <w:r w:rsidRPr="00F03917">
        <w:t xml:space="preserve">sheet dynamics and their uncertainties (eg, </w:t>
      </w:r>
      <w:r w:rsidR="18A4E5D7" w:rsidRPr="00F03917">
        <w:t>Edwards et al, 2021</w:t>
      </w:r>
      <w:r w:rsidRPr="00F03917">
        <w:t>; van de Wal</w:t>
      </w:r>
      <w:r w:rsidR="0F1514B2" w:rsidRPr="00F03917">
        <w:t xml:space="preserve"> et al</w:t>
      </w:r>
      <w:r w:rsidRPr="00F03917">
        <w:t>, 2022).</w:t>
      </w:r>
    </w:p>
    <w:p w14:paraId="53629884" w14:textId="46343BC4" w:rsidR="006D086A" w:rsidRPr="00F03917" w:rsidRDefault="006D086A" w:rsidP="00707872">
      <w:pPr>
        <w:pStyle w:val="BodyText"/>
      </w:pPr>
      <w:r w:rsidRPr="00F03917">
        <w:t xml:space="preserve">It is important for councils </w:t>
      </w:r>
      <w:r w:rsidR="003B08AF" w:rsidRPr="00F03917">
        <w:t>and other users of this guidance</w:t>
      </w:r>
      <w:r w:rsidRPr="00F03917">
        <w:t xml:space="preserve"> to understand the methods for deriving future SLR projections, so they have </w:t>
      </w:r>
      <w:r w:rsidR="002F561D" w:rsidRPr="00F03917">
        <w:t>assurance</w:t>
      </w:r>
      <w:r w:rsidRPr="00F03917">
        <w:t xml:space="preserve"> in their application here in Aotearoa.</w:t>
      </w:r>
    </w:p>
    <w:p w14:paraId="583B7722" w14:textId="275A7EBC" w:rsidR="00B57283" w:rsidRPr="00F03917" w:rsidRDefault="00000000" w:rsidP="00707872">
      <w:pPr>
        <w:pStyle w:val="BodyText"/>
      </w:pPr>
      <w:hyperlink w:anchor="_Supplements" w:history="1">
        <w:r w:rsidR="00E20D07" w:rsidRPr="00F03917">
          <w:rPr>
            <w:rStyle w:val="Hyperlink"/>
            <w:i/>
            <w:iCs/>
          </w:rPr>
          <w:t>Climate change, sea-level rise and coastal hazards science: Coastal hazards and climate change guidance – Supplement A</w:t>
        </w:r>
      </w:hyperlink>
      <w:r w:rsidR="00E20D07" w:rsidRPr="00F03917" w:rsidDel="00E20D07">
        <w:t xml:space="preserve"> </w:t>
      </w:r>
      <w:r w:rsidR="00B57283" w:rsidRPr="00F03917">
        <w:t xml:space="preserve">has more in-depth information on the science behind the </w:t>
      </w:r>
      <w:r w:rsidR="009C4B1B" w:rsidRPr="00F03917">
        <w:t xml:space="preserve">SSP scenarios and SLR </w:t>
      </w:r>
      <w:r w:rsidR="00B57283" w:rsidRPr="00F03917">
        <w:t>projections</w:t>
      </w:r>
      <w:r w:rsidR="009838E8" w:rsidRPr="00F03917">
        <w:t>. W</w:t>
      </w:r>
      <w:r w:rsidR="00B57283" w:rsidRPr="00F03917">
        <w:t xml:space="preserve">e encourage practitioners to read </w:t>
      </w:r>
      <w:r w:rsidR="009838E8" w:rsidRPr="00F03917">
        <w:t xml:space="preserve">this </w:t>
      </w:r>
      <w:r w:rsidR="00856F01" w:rsidRPr="00F03917">
        <w:t xml:space="preserve">supplement </w:t>
      </w:r>
      <w:r w:rsidR="00B57283" w:rsidRPr="00F03917">
        <w:t xml:space="preserve">for more </w:t>
      </w:r>
      <w:r w:rsidR="002F561D" w:rsidRPr="00F03917">
        <w:t>assurance</w:t>
      </w:r>
      <w:r w:rsidR="00B57283" w:rsidRPr="00F03917">
        <w:t xml:space="preserve"> in their assessments</w:t>
      </w:r>
      <w:r w:rsidR="009C4B1B" w:rsidRPr="00F03917">
        <w:t xml:space="preserve"> and </w:t>
      </w:r>
      <w:r w:rsidR="004D723D" w:rsidRPr="00F03917">
        <w:t>to help</w:t>
      </w:r>
      <w:r w:rsidR="009C4B1B" w:rsidRPr="00F03917">
        <w:t xml:space="preserve"> address questions during community engagement</w:t>
      </w:r>
      <w:r w:rsidR="00B57283" w:rsidRPr="00F03917">
        <w:t>.</w:t>
      </w:r>
    </w:p>
    <w:p w14:paraId="1A5AF848" w14:textId="3870DFF2" w:rsidR="00B57283" w:rsidRPr="00F03917" w:rsidRDefault="00A0278D" w:rsidP="00707872">
      <w:pPr>
        <w:pStyle w:val="Heading4"/>
      </w:pPr>
      <w:r w:rsidRPr="00F03917">
        <w:t>Climate s</w:t>
      </w:r>
      <w:r w:rsidR="004570C1" w:rsidRPr="00F03917">
        <w:t>cenario</w:t>
      </w:r>
      <w:r w:rsidR="005A259D" w:rsidRPr="00F03917">
        <w:t>-</w:t>
      </w:r>
      <w:r w:rsidR="004570C1" w:rsidRPr="00F03917">
        <w:t>based</w:t>
      </w:r>
      <w:r w:rsidR="00CC0D7E" w:rsidRPr="00F03917">
        <w:t xml:space="preserve"> </w:t>
      </w:r>
      <w:r w:rsidR="2F08F7FB" w:rsidRPr="00F03917">
        <w:t>sea-level rise</w:t>
      </w:r>
      <w:r w:rsidR="001446DC" w:rsidRPr="00F03917">
        <w:t xml:space="preserve"> </w:t>
      </w:r>
      <w:r w:rsidR="003F3C42" w:rsidRPr="00F03917">
        <w:t>projections</w:t>
      </w:r>
    </w:p>
    <w:p w14:paraId="6CB37750" w14:textId="55BCA878" w:rsidR="00A8438A" w:rsidRPr="00F03917" w:rsidRDefault="00823881" w:rsidP="00707872">
      <w:pPr>
        <w:pStyle w:val="BodyText"/>
      </w:pPr>
      <w:r w:rsidRPr="00F03917">
        <w:t>It is recommended to use</w:t>
      </w:r>
      <w:r w:rsidR="00DB38EB" w:rsidRPr="00F03917">
        <w:t xml:space="preserve"> </w:t>
      </w:r>
      <w:r w:rsidR="007020E9" w:rsidRPr="00F03917">
        <w:t>the</w:t>
      </w:r>
      <w:r w:rsidR="00DB38EB" w:rsidRPr="00F03917">
        <w:t xml:space="preserve"> </w:t>
      </w:r>
      <w:r w:rsidR="2F3BAC5A" w:rsidRPr="00F03917">
        <w:rPr>
          <w:b/>
          <w:bCs/>
        </w:rPr>
        <w:t>updated</w:t>
      </w:r>
      <w:r w:rsidR="00DB38EB" w:rsidRPr="00F03917">
        <w:rPr>
          <w:b/>
          <w:bCs/>
        </w:rPr>
        <w:t xml:space="preserve"> </w:t>
      </w:r>
      <w:r w:rsidR="00DB38EB" w:rsidRPr="00F03917">
        <w:rPr>
          <w:b/>
          <w:bCs/>
          <w:i/>
          <w:iCs/>
        </w:rPr>
        <w:t>medium</w:t>
      </w:r>
      <w:r w:rsidR="00467BBC" w:rsidRPr="00F03917">
        <w:rPr>
          <w:b/>
          <w:bCs/>
          <w:i/>
          <w:iCs/>
        </w:rPr>
        <w:t xml:space="preserve"> </w:t>
      </w:r>
      <w:r w:rsidR="00DB38EB" w:rsidRPr="00F03917">
        <w:rPr>
          <w:b/>
          <w:bCs/>
          <w:i/>
          <w:iCs/>
        </w:rPr>
        <w:t>confidence</w:t>
      </w:r>
      <w:r w:rsidR="00DB38EB" w:rsidRPr="00F03917">
        <w:rPr>
          <w:b/>
          <w:bCs/>
        </w:rPr>
        <w:t xml:space="preserve"> </w:t>
      </w:r>
      <w:r w:rsidR="008867BC" w:rsidRPr="00F03917">
        <w:rPr>
          <w:b/>
          <w:bCs/>
        </w:rPr>
        <w:t xml:space="preserve">scenarios </w:t>
      </w:r>
      <w:r w:rsidR="00DA3724" w:rsidRPr="00F03917">
        <w:t xml:space="preserve">and their associated </w:t>
      </w:r>
      <w:r w:rsidR="2D6F22E9" w:rsidRPr="00F03917">
        <w:rPr>
          <w:b/>
          <w:bCs/>
        </w:rPr>
        <w:t>SLR</w:t>
      </w:r>
      <w:r w:rsidR="00B931AA" w:rsidRPr="00F03917">
        <w:rPr>
          <w:b/>
          <w:bCs/>
        </w:rPr>
        <w:t> </w:t>
      </w:r>
      <w:r w:rsidR="2F3BAC5A" w:rsidRPr="00F03917">
        <w:rPr>
          <w:b/>
          <w:bCs/>
        </w:rPr>
        <w:t>and RSLR</w:t>
      </w:r>
      <w:r w:rsidR="00DB38EB" w:rsidRPr="00F03917">
        <w:rPr>
          <w:b/>
          <w:bCs/>
        </w:rPr>
        <w:t xml:space="preserve"> projection</w:t>
      </w:r>
      <w:r w:rsidR="00401C7E" w:rsidRPr="00F03917">
        <w:rPr>
          <w:b/>
          <w:bCs/>
        </w:rPr>
        <w:t>s</w:t>
      </w:r>
      <w:r w:rsidR="00DB38EB" w:rsidRPr="00F03917">
        <w:rPr>
          <w:b/>
          <w:bCs/>
        </w:rPr>
        <w:t xml:space="preserve"> </w:t>
      </w:r>
      <w:r w:rsidR="00DB38EB" w:rsidRPr="00F03917">
        <w:t xml:space="preserve">out to 2150 </w:t>
      </w:r>
      <w:r w:rsidR="005541DA" w:rsidRPr="00F03917">
        <w:t xml:space="preserve">to cover the range of </w:t>
      </w:r>
      <w:r w:rsidR="006A35AB" w:rsidRPr="00F03917">
        <w:t xml:space="preserve">plausible </w:t>
      </w:r>
      <w:r w:rsidR="005541DA" w:rsidRPr="00F03917">
        <w:t>coastal futures</w:t>
      </w:r>
      <w:r w:rsidR="00DB38EB" w:rsidRPr="00F03917">
        <w:t xml:space="preserve"> </w:t>
      </w:r>
      <w:r w:rsidR="215C1624" w:rsidRPr="00F03917">
        <w:rPr>
          <w:rFonts w:eastAsia="MS Mincho"/>
        </w:rPr>
        <w:t>(see list</w:t>
      </w:r>
      <w:r w:rsidR="00B931AA" w:rsidRPr="00F03917">
        <w:rPr>
          <w:rFonts w:eastAsia="MS Mincho"/>
        </w:rPr>
        <w:t> </w:t>
      </w:r>
      <w:r w:rsidR="215C1624" w:rsidRPr="00F03917">
        <w:rPr>
          <w:rFonts w:eastAsia="MS Mincho"/>
        </w:rPr>
        <w:t>below)</w:t>
      </w:r>
      <w:r w:rsidR="41EF48C8" w:rsidRPr="00F03917">
        <w:rPr>
          <w:rFonts w:eastAsia="MS Mincho"/>
        </w:rPr>
        <w:t>.</w:t>
      </w:r>
      <w:r w:rsidR="2D6F22E9" w:rsidRPr="00F03917">
        <w:rPr>
          <w:rFonts w:eastAsia="MS Mincho"/>
        </w:rPr>
        <w:t xml:space="preserve"> </w:t>
      </w:r>
      <w:r w:rsidR="41EF48C8" w:rsidRPr="00F03917">
        <w:rPr>
          <w:rFonts w:eastAsia="MS Mincho"/>
        </w:rPr>
        <w:t>T</w:t>
      </w:r>
      <w:r w:rsidR="2D6F22E9" w:rsidRPr="00F03917">
        <w:rPr>
          <w:rFonts w:eastAsia="MS Mincho"/>
        </w:rPr>
        <w:t>hey</w:t>
      </w:r>
      <w:r w:rsidR="00DB38EB" w:rsidRPr="00F03917">
        <w:t xml:space="preserve"> are derived from the same </w:t>
      </w:r>
      <w:r w:rsidR="003736FB" w:rsidRPr="00F03917">
        <w:t>modular-based framework</w:t>
      </w:r>
      <w:r w:rsidR="00DB38EB" w:rsidRPr="00F03917">
        <w:t xml:space="preserve"> </w:t>
      </w:r>
      <w:r w:rsidR="41EF48C8" w:rsidRPr="00F03917">
        <w:t>used for IPCC AR6 projections</w:t>
      </w:r>
      <w:r w:rsidR="2D6F22E9" w:rsidRPr="00F03917">
        <w:t xml:space="preserve"> </w:t>
      </w:r>
      <w:r w:rsidR="00DB38EB" w:rsidRPr="00F03917">
        <w:t xml:space="preserve">(Kopp et al, 2023; Naish et al, in review; Slangen et al, 2022), but </w:t>
      </w:r>
      <w:r w:rsidR="005541DA" w:rsidRPr="00F03917">
        <w:t>include</w:t>
      </w:r>
      <w:r w:rsidR="00DB38EB" w:rsidRPr="00F03917">
        <w:t xml:space="preserve"> climate-ocean responses</w:t>
      </w:r>
      <w:r w:rsidR="005541DA" w:rsidRPr="00F03917">
        <w:t>, earth crustal and gravitational changes and VLM rates</w:t>
      </w:r>
      <w:r w:rsidR="00DB38EB" w:rsidRPr="00F03917">
        <w:t xml:space="preserve"> around </w:t>
      </w:r>
      <w:r w:rsidR="005D0B45" w:rsidRPr="00F03917">
        <w:t>Aotearoa</w:t>
      </w:r>
      <w:r w:rsidR="00DB38EB" w:rsidRPr="00F03917">
        <w:t xml:space="preserve"> (</w:t>
      </w:r>
      <w:r w:rsidR="005D4701" w:rsidRPr="00F03917">
        <w:t>Levy</w:t>
      </w:r>
      <w:r w:rsidR="00B931AA" w:rsidRPr="00F03917">
        <w:t> </w:t>
      </w:r>
      <w:r w:rsidR="00DB38EB" w:rsidRPr="00F03917">
        <w:t xml:space="preserve">et al, </w:t>
      </w:r>
      <w:r w:rsidR="7A31F55D" w:rsidRPr="00F03917">
        <w:t xml:space="preserve">2023; </w:t>
      </w:r>
      <w:r w:rsidR="2D6F22E9" w:rsidRPr="00F03917">
        <w:t>Naish et al,</w:t>
      </w:r>
      <w:r w:rsidR="003E4AEC" w:rsidRPr="00F03917">
        <w:t xml:space="preserve"> </w:t>
      </w:r>
      <w:r w:rsidR="00DB38EB" w:rsidRPr="00F03917">
        <w:t>in review).</w:t>
      </w:r>
    </w:p>
    <w:p w14:paraId="237FC394" w14:textId="27A1B7CC" w:rsidR="00D439E1" w:rsidRPr="00F03917" w:rsidRDefault="00AB5BE4" w:rsidP="00707872">
      <w:pPr>
        <w:pStyle w:val="BodyText"/>
      </w:pPr>
      <w:r w:rsidRPr="00F03917">
        <w:t>Five representative SLR projections</w:t>
      </w:r>
      <w:r w:rsidR="009B3252" w:rsidRPr="00F03917">
        <w:t>,</w:t>
      </w:r>
      <w:r w:rsidRPr="00F03917">
        <w:t xml:space="preserve"> derived from four SSP scenarios and their associated local RSLR projections (by adding VLM), are recommended for use in this guidance. These five projections cover a range of combinations of processes (Kopp et al, 2023) that contribute to SLR (eg, glaciers, ocean heating, land water storage changes, ice sheets) across four </w:t>
      </w:r>
      <w:r w:rsidR="00407104" w:rsidRPr="00F03917">
        <w:t>plausible</w:t>
      </w:r>
      <w:r w:rsidRPr="00F03917">
        <w:t xml:space="preserve"> climate and socio-economic futures (represented by SSP scenarios). From the ensemble of </w:t>
      </w:r>
      <w:r w:rsidR="00727260" w:rsidRPr="00F03917">
        <w:t xml:space="preserve">thousands </w:t>
      </w:r>
      <w:r w:rsidRPr="00F03917">
        <w:t xml:space="preserve">of simulations of different combinations of processes that contribute to SLR (and locally RSLR) within the </w:t>
      </w:r>
      <w:r w:rsidR="00244E22" w:rsidRPr="00F03917">
        <w:t>Framework for Assessing Changes to Sea-level</w:t>
      </w:r>
      <w:r w:rsidRPr="00F03917">
        <w:t xml:space="preserve"> </w:t>
      </w:r>
      <w:r w:rsidR="00244E22" w:rsidRPr="00F03917">
        <w:t>(</w:t>
      </w:r>
      <w:r w:rsidRPr="00F03917">
        <w:t xml:space="preserve">FACTS </w:t>
      </w:r>
      <w:r w:rsidR="004D6873" w:rsidRPr="00F03917">
        <w:t>framework</w:t>
      </w:r>
      <w:r w:rsidR="00244E22" w:rsidRPr="00F03917">
        <w:t>)</w:t>
      </w:r>
      <w:r w:rsidRPr="00F03917">
        <w:t xml:space="preserve"> (Kopp et al, 2023), each SSP scenario is represented by various percentiles of simulated SLR projection time series that make up the full ensemble of possible combinations. </w:t>
      </w:r>
    </w:p>
    <w:p w14:paraId="3A4137E2" w14:textId="7294DCD1" w:rsidR="0061026D" w:rsidRPr="00F03917" w:rsidRDefault="0061026D" w:rsidP="009311AC">
      <w:pPr>
        <w:pStyle w:val="BodyText"/>
        <w:keepLines/>
        <w:rPr>
          <w:rFonts w:cs="Calibri"/>
        </w:rPr>
      </w:pPr>
      <w:r w:rsidRPr="00F03917">
        <w:rPr>
          <w:rFonts w:eastAsia="MS Mincho"/>
        </w:rPr>
        <w:lastRenderedPageBreak/>
        <w:t xml:space="preserve">This guidance </w:t>
      </w:r>
      <w:r w:rsidRPr="00F03917">
        <w:t>recommends using four estimates based on the median value (M)</w:t>
      </w:r>
      <w:r w:rsidR="00C87C18" w:rsidRPr="00F03917">
        <w:t>,</w:t>
      </w:r>
      <w:r w:rsidRPr="00F03917">
        <w:t xml:space="preserve"> which represents the 50th percentile (</w:t>
      </w:r>
      <w:r w:rsidRPr="00F03917">
        <w:rPr>
          <w:i/>
          <w:iCs/>
        </w:rPr>
        <w:t>p50</w:t>
      </w:r>
      <w:r w:rsidRPr="00F03917">
        <w:t xml:space="preserve"> in the NZ SeaRise platform), and the middle of the likely range, for each RSLR projection. An additional estimate based on the upper-bound of the likely range, the 83rd</w:t>
      </w:r>
      <w:r w:rsidRPr="00F03917">
        <w:rPr>
          <w:rFonts w:eastAsia="MS Mincho"/>
        </w:rPr>
        <w:t xml:space="preserve"> percentile (</w:t>
      </w:r>
      <w:r w:rsidRPr="00F03917">
        <w:rPr>
          <w:rFonts w:eastAsia="MS Mincho"/>
          <w:i/>
        </w:rPr>
        <w:t>p83</w:t>
      </w:r>
      <w:r w:rsidRPr="00F03917">
        <w:rPr>
          <w:rFonts w:eastAsia="MS Mincho"/>
        </w:rPr>
        <w:t xml:space="preserve"> in the NZ SeaRise platform) from the high-end emissions scenario SSP5-8.5 to represent H+ is also recommended. </w:t>
      </w:r>
      <w:r w:rsidRPr="00F03917">
        <w:t xml:space="preserve">While the </w:t>
      </w:r>
      <w:r w:rsidR="00DD60BA" w:rsidRPr="00F03917">
        <w:t xml:space="preserve">SSP5-8.5 </w:t>
      </w:r>
      <w:r w:rsidRPr="00F03917">
        <w:t xml:space="preserve">H+ does not include the </w:t>
      </w:r>
      <w:r w:rsidRPr="00F03917">
        <w:rPr>
          <w:i/>
          <w:iCs/>
        </w:rPr>
        <w:t xml:space="preserve">low confidence </w:t>
      </w:r>
      <w:r w:rsidRPr="00F03917">
        <w:t>polar ice-sheet contributions, it represents a plausible upper</w:t>
      </w:r>
      <w:r w:rsidR="00F72A49" w:rsidRPr="00F03917">
        <w:t xml:space="preserve"> </w:t>
      </w:r>
      <w:r w:rsidRPr="00F03917">
        <w:t>range for RSLR to reflect the deep uncertainties</w:t>
      </w:r>
      <w:r w:rsidRPr="00F03917">
        <w:rPr>
          <w:rFonts w:cs="Calibri"/>
        </w:rPr>
        <w:t xml:space="preserve"> associated with</w:t>
      </w:r>
      <w:r w:rsidR="006E1E93" w:rsidRPr="00F03917">
        <w:rPr>
          <w:rFonts w:cs="Calibri"/>
        </w:rPr>
        <w:t xml:space="preserve"> </w:t>
      </w:r>
      <w:r w:rsidRPr="00F03917">
        <w:t>c</w:t>
      </w:r>
      <w:r w:rsidRPr="00F03917">
        <w:rPr>
          <w:rFonts w:cs="Calibri"/>
        </w:rPr>
        <w:t>hanges to future sea level</w:t>
      </w:r>
      <w:r w:rsidR="00B931AA" w:rsidRPr="00F03917">
        <w:rPr>
          <w:rFonts w:cs="Calibri"/>
        </w:rPr>
        <w:t>.</w:t>
      </w:r>
      <w:r w:rsidR="006E1E93" w:rsidRPr="00F03917">
        <w:rPr>
          <w:rStyle w:val="FootnoteReference"/>
        </w:rPr>
        <w:footnoteReference w:id="28"/>
      </w:r>
      <w:r w:rsidR="007A11C0" w:rsidRPr="00F03917">
        <w:rPr>
          <w:rFonts w:cs="Calibri"/>
          <w:vertAlign w:val="superscript"/>
        </w:rPr>
        <w:t>,</w:t>
      </w:r>
      <w:r w:rsidR="00B931AA" w:rsidRPr="00F03917">
        <w:rPr>
          <w:rStyle w:val="FootnoteReference"/>
          <w:rFonts w:cs="Calibri"/>
        </w:rPr>
        <w:t xml:space="preserve"> </w:t>
      </w:r>
      <w:r w:rsidRPr="00F03917">
        <w:rPr>
          <w:rStyle w:val="FootnoteReference"/>
          <w:rFonts w:cs="Calibri"/>
        </w:rPr>
        <w:footnoteReference w:id="29"/>
      </w:r>
    </w:p>
    <w:p w14:paraId="18C23DCF" w14:textId="178ED41F" w:rsidR="00A95005" w:rsidRPr="00F03917" w:rsidRDefault="00A95005" w:rsidP="004504BE">
      <w:pPr>
        <w:pStyle w:val="BodyText"/>
      </w:pPr>
      <w:r w:rsidRPr="00F03917">
        <w:t>The</w:t>
      </w:r>
      <w:r w:rsidR="00256627" w:rsidRPr="00F03917">
        <w:t xml:space="preserve"> </w:t>
      </w:r>
      <w:r w:rsidR="00685CA7" w:rsidRPr="00F03917">
        <w:t>SSP scenarios and associated</w:t>
      </w:r>
      <w:r w:rsidRPr="00F03917">
        <w:t xml:space="preserve"> </w:t>
      </w:r>
      <w:r w:rsidR="00C40768" w:rsidRPr="00F03917">
        <w:t xml:space="preserve">projections (in bold) align with </w:t>
      </w:r>
      <w:r w:rsidRPr="00F03917">
        <w:t xml:space="preserve">the 2017 </w:t>
      </w:r>
      <w:r w:rsidR="00A6399E" w:rsidRPr="00F03917">
        <w:t>g</w:t>
      </w:r>
      <w:r w:rsidRPr="00F03917">
        <w:t xml:space="preserve">uidance </w:t>
      </w:r>
      <w:r w:rsidR="00A6399E" w:rsidRPr="00F03917">
        <w:t>(in italics)</w:t>
      </w:r>
      <w:r w:rsidRPr="00F03917">
        <w:t xml:space="preserve"> as follows:</w:t>
      </w:r>
      <w:r w:rsidR="00E95537" w:rsidRPr="00F03917">
        <w:rPr>
          <w:rStyle w:val="FootnoteReference"/>
        </w:rPr>
        <w:footnoteReference w:id="30"/>
      </w:r>
    </w:p>
    <w:p w14:paraId="6EC9E45F" w14:textId="23D0E82B" w:rsidR="00A95005" w:rsidRPr="00F03917" w:rsidRDefault="097C6C0F" w:rsidP="001F7013">
      <w:pPr>
        <w:pStyle w:val="BulletFIX"/>
      </w:pPr>
      <w:r w:rsidRPr="00F03917">
        <w:rPr>
          <w:rFonts w:eastAsia="MS Gothic"/>
          <w:b/>
        </w:rPr>
        <w:t>SSP1-2.6 M</w:t>
      </w:r>
      <w:r w:rsidRPr="00F03917">
        <w:tab/>
      </w:r>
      <w:r w:rsidRPr="00F03917">
        <w:rPr>
          <w:rFonts w:ascii="Symbol" w:eastAsia="MS Gothic" w:hAnsi="Symbol"/>
        </w:rPr>
        <w:t>Û</w:t>
      </w:r>
      <w:r w:rsidRPr="00F03917">
        <w:tab/>
      </w:r>
      <w:r w:rsidRPr="00F03917">
        <w:rPr>
          <w:rFonts w:eastAsia="MS Gothic"/>
          <w:i/>
        </w:rPr>
        <w:t>NZ RCP2.6 M</w:t>
      </w:r>
      <w:r w:rsidR="00E61092" w:rsidRPr="00F03917">
        <w:rPr>
          <w:rFonts w:eastAsia="MS Gothic"/>
          <w:i/>
        </w:rPr>
        <w:t xml:space="preserve"> </w:t>
      </w:r>
    </w:p>
    <w:p w14:paraId="524AF6DD" w14:textId="2AC9FDE7" w:rsidR="00A95005" w:rsidRPr="00F03917" w:rsidRDefault="097C6C0F" w:rsidP="001F7013">
      <w:pPr>
        <w:pStyle w:val="BulletFIX"/>
      </w:pPr>
      <w:r w:rsidRPr="00F03917">
        <w:rPr>
          <w:rFonts w:eastAsia="MS Gothic"/>
          <w:b/>
        </w:rPr>
        <w:t>SSP2-4.5 M</w:t>
      </w:r>
      <w:r w:rsidRPr="00F03917">
        <w:tab/>
      </w:r>
      <w:r w:rsidRPr="00F03917">
        <w:rPr>
          <w:rFonts w:ascii="Symbol" w:eastAsia="MS Gothic" w:hAnsi="Symbol"/>
        </w:rPr>
        <w:t>Û</w:t>
      </w:r>
      <w:r w:rsidRPr="00F03917">
        <w:tab/>
      </w:r>
      <w:r w:rsidRPr="00F03917">
        <w:rPr>
          <w:rFonts w:eastAsia="MS Gothic"/>
          <w:i/>
        </w:rPr>
        <w:t>NZ RCP4.5 M</w:t>
      </w:r>
    </w:p>
    <w:p w14:paraId="20ED5AEC" w14:textId="0CD22AB0" w:rsidR="00A95005" w:rsidRPr="00F03917" w:rsidRDefault="097C6C0F" w:rsidP="001F7013">
      <w:pPr>
        <w:pStyle w:val="BulletFIX"/>
      </w:pPr>
      <w:r w:rsidRPr="00F03917">
        <w:rPr>
          <w:rFonts w:eastAsia="MS Gothic"/>
          <w:b/>
          <w:bCs/>
        </w:rPr>
        <w:t>SSP3-7.0 M</w:t>
      </w:r>
      <w:r w:rsidRPr="00F03917">
        <w:tab/>
      </w:r>
      <w:r w:rsidRPr="00F03917">
        <w:rPr>
          <w:rFonts w:ascii="Symbol" w:eastAsia="MS Gothic" w:hAnsi="Symbol"/>
        </w:rPr>
        <w:t>Û</w:t>
      </w:r>
      <w:r w:rsidRPr="00F03917">
        <w:tab/>
      </w:r>
      <w:r w:rsidRPr="00F03917">
        <w:rPr>
          <w:rFonts w:eastAsia="MS Gothic"/>
        </w:rPr>
        <w:t xml:space="preserve">n/a </w:t>
      </w:r>
    </w:p>
    <w:p w14:paraId="4CC5D305" w14:textId="20E9AC09" w:rsidR="00A95005" w:rsidRPr="00F03917" w:rsidRDefault="097C6C0F" w:rsidP="001F7013">
      <w:pPr>
        <w:pStyle w:val="BulletFIX"/>
        <w:rPr>
          <w:rFonts w:eastAsia="MS Gothic"/>
          <w:i/>
        </w:rPr>
      </w:pPr>
      <w:r w:rsidRPr="00F03917">
        <w:rPr>
          <w:rFonts w:eastAsia="MS Gothic"/>
          <w:b/>
        </w:rPr>
        <w:t>SSP5-8.5 M</w:t>
      </w:r>
      <w:r w:rsidRPr="00F03917">
        <w:tab/>
      </w:r>
      <w:r w:rsidRPr="00F03917">
        <w:rPr>
          <w:rFonts w:ascii="Symbol" w:eastAsia="MS Gothic" w:hAnsi="Symbol"/>
        </w:rPr>
        <w:t>Û</w:t>
      </w:r>
      <w:r w:rsidRPr="00F03917">
        <w:tab/>
      </w:r>
      <w:r w:rsidRPr="00F03917">
        <w:rPr>
          <w:rFonts w:eastAsia="MS Gothic"/>
          <w:i/>
        </w:rPr>
        <w:t>NZ RCP8.5 M</w:t>
      </w:r>
    </w:p>
    <w:p w14:paraId="50FD2356" w14:textId="5A564FA0" w:rsidR="00BB596E" w:rsidRPr="00F03917" w:rsidRDefault="00BB596E" w:rsidP="001F7013">
      <w:pPr>
        <w:pStyle w:val="BulletFIX"/>
      </w:pPr>
      <w:r w:rsidRPr="00F03917">
        <w:rPr>
          <w:rFonts w:eastAsia="MS Gothic"/>
          <w:b/>
        </w:rPr>
        <w:t>SSP5-8.5 H+</w:t>
      </w:r>
      <w:r w:rsidRPr="00F03917">
        <w:t xml:space="preserve"> </w:t>
      </w:r>
      <w:r w:rsidRPr="00F03917">
        <w:tab/>
      </w:r>
      <w:r w:rsidRPr="00F03917">
        <w:rPr>
          <w:rFonts w:ascii="Symbol" w:eastAsia="MS Gothic" w:hAnsi="Symbol"/>
        </w:rPr>
        <w:t>Û</w:t>
      </w:r>
      <w:r w:rsidRPr="00F03917">
        <w:tab/>
      </w:r>
      <w:r w:rsidRPr="00F03917">
        <w:rPr>
          <w:i/>
        </w:rPr>
        <w:t>NZ RCP8.5 H+</w:t>
      </w:r>
      <w:r w:rsidR="008E161B" w:rsidRPr="00F03917">
        <w:t>.</w:t>
      </w:r>
    </w:p>
    <w:p w14:paraId="1EA0A13E" w14:textId="4FA29A6A" w:rsidR="008D753D" w:rsidRPr="00F03917" w:rsidRDefault="00BB596E" w:rsidP="00F32408">
      <w:pPr>
        <w:pStyle w:val="BodyText"/>
      </w:pPr>
      <w:r w:rsidRPr="00F03917">
        <w:t>A very low</w:t>
      </w:r>
      <w:r w:rsidR="002C4DE5" w:rsidRPr="00F03917">
        <w:t>-</w:t>
      </w:r>
      <w:r w:rsidR="00F13E69" w:rsidRPr="00F03917">
        <w:t>end</w:t>
      </w:r>
      <w:r w:rsidRPr="00F03917">
        <w:t xml:space="preserve"> emissions</w:t>
      </w:r>
      <w:r w:rsidR="00DB38EB" w:rsidRPr="00F03917">
        <w:t xml:space="preserve"> SSP1-1.9 scenario included in </w:t>
      </w:r>
      <w:r w:rsidR="00F35584" w:rsidRPr="00F03917">
        <w:t xml:space="preserve">the suite of </w:t>
      </w:r>
      <w:r w:rsidR="00DB38EB" w:rsidRPr="00F03917">
        <w:t>IPCC AR6 projections (</w:t>
      </w:r>
      <w:r w:rsidR="00746AFF" w:rsidRPr="00F03917">
        <w:t xml:space="preserve">tied </w:t>
      </w:r>
      <w:r w:rsidR="00DB38EB" w:rsidRPr="00F03917">
        <w:t>to achiev</w:t>
      </w:r>
      <w:r w:rsidR="00746AFF" w:rsidRPr="00F03917">
        <w:t>ing</w:t>
      </w:r>
      <w:r w:rsidR="00DB38EB" w:rsidRPr="00F03917">
        <w:t xml:space="preserve"> a global temperature at or below 1.5</w:t>
      </w:r>
      <w:r w:rsidR="3EB18A15" w:rsidRPr="00F03917">
        <w:t xml:space="preserve"> degrees Celsius</w:t>
      </w:r>
      <w:r w:rsidR="00DB38EB" w:rsidRPr="00F03917">
        <w:t xml:space="preserve">) is not used </w:t>
      </w:r>
      <w:r w:rsidR="00AA0BB1" w:rsidRPr="00F03917">
        <w:t xml:space="preserve">in this guidance but is available </w:t>
      </w:r>
      <w:r w:rsidR="005E68E9" w:rsidRPr="00F03917">
        <w:t xml:space="preserve">from </w:t>
      </w:r>
      <w:r w:rsidR="00883760" w:rsidRPr="00F03917">
        <w:t xml:space="preserve">the </w:t>
      </w:r>
      <w:r w:rsidR="005E68E9" w:rsidRPr="00F03917">
        <w:t>NZ SeaRise</w:t>
      </w:r>
      <w:r w:rsidR="00883760" w:rsidRPr="00F03917">
        <w:t xml:space="preserve"> platform</w:t>
      </w:r>
      <w:r w:rsidR="00DB38EB" w:rsidRPr="00F03917">
        <w:t>. While it provides an aspirational scenario for</w:t>
      </w:r>
      <w:r w:rsidR="000074CB" w:rsidRPr="00F03917">
        <w:t> </w:t>
      </w:r>
      <w:r w:rsidR="00DB38EB" w:rsidRPr="00F03917">
        <w:t>global greenhouse gas mitigation</w:t>
      </w:r>
      <w:r w:rsidR="00223CB0" w:rsidRPr="00F03917">
        <w:t xml:space="preserve"> contributions</w:t>
      </w:r>
      <w:r w:rsidR="00DB38EB" w:rsidRPr="00F03917">
        <w:t>,</w:t>
      </w:r>
      <w:r w:rsidR="00DE61E9" w:rsidRPr="00F03917">
        <w:t xml:space="preserve"> likely</w:t>
      </w:r>
      <w:r w:rsidR="00DB38EB" w:rsidRPr="00F03917">
        <w:t xml:space="preserve"> ongoing future SLR make</w:t>
      </w:r>
      <w:r w:rsidR="005B2D8B" w:rsidRPr="00F03917">
        <w:t>s</w:t>
      </w:r>
      <w:r w:rsidR="00DB38EB" w:rsidRPr="00F03917">
        <w:t xml:space="preserve"> it </w:t>
      </w:r>
      <w:r w:rsidR="00096C16" w:rsidRPr="00F03917">
        <w:t xml:space="preserve">less </w:t>
      </w:r>
      <w:r w:rsidR="00DE61E9" w:rsidRPr="00F03917">
        <w:t>useful</w:t>
      </w:r>
      <w:r w:rsidR="00DB38EB" w:rsidRPr="00F03917">
        <w:t xml:space="preserve"> for planning coastal adaptation. </w:t>
      </w:r>
    </w:p>
    <w:p w14:paraId="62E52054" w14:textId="2B7F64B1" w:rsidR="00DB38EB" w:rsidRPr="00F03917" w:rsidRDefault="003A7946" w:rsidP="00E001E9">
      <w:pPr>
        <w:pStyle w:val="BodyText"/>
        <w:keepNext/>
        <w:spacing w:after="240"/>
        <w:rPr>
          <w:rFonts w:eastAsia="Calibri"/>
        </w:rPr>
      </w:pPr>
      <w:r w:rsidRPr="00F03917">
        <w:rPr>
          <w:rFonts w:cs="Calibri"/>
        </w:rPr>
        <w:lastRenderedPageBreak/>
        <w:t>Box 3</w:t>
      </w:r>
      <w:r w:rsidR="47FC8AE3" w:rsidRPr="00F03917">
        <w:rPr>
          <w:rFonts w:cs="Calibri"/>
        </w:rPr>
        <w:t xml:space="preserve"> outlines reasons for </w:t>
      </w:r>
      <w:r w:rsidR="00121332" w:rsidRPr="00F03917">
        <w:rPr>
          <w:rFonts w:cs="Calibri"/>
        </w:rPr>
        <w:t>using</w:t>
      </w:r>
      <w:r w:rsidR="47FC8AE3" w:rsidRPr="00F03917">
        <w:rPr>
          <w:rFonts w:cs="Calibri"/>
        </w:rPr>
        <w:t xml:space="preserve"> the SSP5-8.5 scenario and associated SLR </w:t>
      </w:r>
      <w:r w:rsidR="00E960CB" w:rsidRPr="00F03917">
        <w:rPr>
          <w:rFonts w:cs="Calibri"/>
        </w:rPr>
        <w:t>projections</w:t>
      </w:r>
      <w:r w:rsidR="47FC8AE3" w:rsidRPr="00F03917">
        <w:rPr>
          <w:rFonts w:cs="Calibri"/>
        </w:rPr>
        <w:t xml:space="preserve"> for coastal areas.</w:t>
      </w:r>
      <w:r w:rsidR="12F45D9A" w:rsidRPr="00F03917">
        <w:rPr>
          <w:rFonts w:cs="Calibri"/>
        </w:rPr>
        <w:t xml:space="preserve">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3A7946" w:rsidRPr="00F03917" w14:paraId="7BED64FA" w14:textId="77777777" w:rsidTr="00C966C0">
        <w:trPr>
          <w:tblHeader/>
        </w:trPr>
        <w:tc>
          <w:tcPr>
            <w:tcW w:w="8505"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1B556B" w:themeFill="text2"/>
          </w:tcPr>
          <w:p w14:paraId="2D10E351" w14:textId="57C068CF" w:rsidR="003A7946" w:rsidRPr="00F03917" w:rsidRDefault="003A7946" w:rsidP="00E001E9">
            <w:pPr>
              <w:pStyle w:val="Casestudyheading"/>
              <w:ind w:right="170"/>
            </w:pPr>
            <w:bookmarkStart w:id="54" w:name="box3"/>
            <w:bookmarkEnd w:id="54"/>
            <w:r w:rsidRPr="00F03917">
              <w:t>: Should the high-end SSP5-8.5 scenario be used in coastal planning?</w:t>
            </w:r>
          </w:p>
        </w:tc>
      </w:tr>
      <w:tr w:rsidR="00AD5691" w:rsidRPr="00F03917" w14:paraId="3EFB83DD" w14:textId="77777777" w:rsidTr="00C966C0">
        <w:trPr>
          <w:trHeight w:val="2373"/>
        </w:trPr>
        <w:tc>
          <w:tcPr>
            <w:tcW w:w="8505" w:type="dxa"/>
            <w:tcBorders>
              <w:top w:val="single" w:sz="4" w:space="0" w:color="1B556B" w:themeColor="text2"/>
              <w:bottom w:val="single" w:sz="4" w:space="0" w:color="D2DDE1" w:themeColor="background2"/>
            </w:tcBorders>
            <w:shd w:val="clear" w:color="auto" w:fill="D2DDE1" w:themeFill="background2"/>
          </w:tcPr>
          <w:p w14:paraId="733E7AD7" w14:textId="5F179CAD" w:rsidR="00AD5691" w:rsidRPr="00F03917" w:rsidRDefault="00433DCB" w:rsidP="00E001E9">
            <w:pPr>
              <w:pStyle w:val="Boxtext"/>
              <w:keepNext/>
              <w:spacing w:after="0"/>
            </w:pPr>
            <w:r w:rsidRPr="00F03917">
              <w:t xml:space="preserve">It </w:t>
            </w:r>
            <w:r w:rsidR="00217146" w:rsidRPr="00F03917">
              <w:t>is recommended</w:t>
            </w:r>
            <w:r w:rsidRPr="00F03917">
              <w:t xml:space="preserve"> to use t</w:t>
            </w:r>
            <w:r w:rsidR="733DBBA9" w:rsidRPr="00F03917">
              <w:t xml:space="preserve">he </w:t>
            </w:r>
            <w:r w:rsidR="00AE31A5" w:rsidRPr="00F03917">
              <w:t>high</w:t>
            </w:r>
            <w:r w:rsidR="00D654C2" w:rsidRPr="00F03917">
              <w:t>-end</w:t>
            </w:r>
            <w:r w:rsidR="00AE31A5" w:rsidRPr="00F03917">
              <w:t xml:space="preserve"> emissions</w:t>
            </w:r>
            <w:r w:rsidR="002D76E5" w:rsidRPr="00F03917">
              <w:t xml:space="preserve"> </w:t>
            </w:r>
            <w:r w:rsidR="733DBBA9" w:rsidRPr="00F03917">
              <w:t>scenario SSP5-8.5, on which the median</w:t>
            </w:r>
            <w:r w:rsidR="001E7976" w:rsidRPr="00F03917">
              <w:t xml:space="preserve"> </w:t>
            </w:r>
            <w:r w:rsidR="733DBBA9" w:rsidRPr="00F03917">
              <w:t xml:space="preserve">(M) </w:t>
            </w:r>
            <w:r w:rsidR="007F00ED" w:rsidRPr="00F03917">
              <w:t>and H+ (</w:t>
            </w:r>
            <w:r w:rsidR="007F00ED" w:rsidRPr="00F03917">
              <w:rPr>
                <w:rFonts w:cs="Calibri"/>
              </w:rPr>
              <w:t>83rd percentile)</w:t>
            </w:r>
            <w:r w:rsidR="007F00ED" w:rsidRPr="00F03917">
              <w:t xml:space="preserve"> </w:t>
            </w:r>
            <w:r w:rsidR="00474689" w:rsidRPr="00F03917">
              <w:t>s</w:t>
            </w:r>
            <w:r w:rsidR="00C45C00" w:rsidRPr="00F03917">
              <w:t>ea-</w:t>
            </w:r>
            <w:r w:rsidR="00474689" w:rsidRPr="00F03917">
              <w:t>l</w:t>
            </w:r>
            <w:r w:rsidR="00C45C00" w:rsidRPr="00F03917">
              <w:t>evel</w:t>
            </w:r>
            <w:r w:rsidR="00DD5A37" w:rsidRPr="00F03917">
              <w:t xml:space="preserve"> </w:t>
            </w:r>
            <w:r w:rsidR="00474689" w:rsidRPr="00F03917">
              <w:t>r</w:t>
            </w:r>
            <w:r w:rsidR="00DD5A37" w:rsidRPr="00F03917">
              <w:t>ise (</w:t>
            </w:r>
            <w:r w:rsidR="733DBBA9" w:rsidRPr="00F03917">
              <w:t>SLR</w:t>
            </w:r>
            <w:r w:rsidR="00DD5A37" w:rsidRPr="00F03917">
              <w:t>)</w:t>
            </w:r>
            <w:r w:rsidR="733DBBA9" w:rsidRPr="00F03917">
              <w:t xml:space="preserve"> projection</w:t>
            </w:r>
            <w:r w:rsidR="00474689" w:rsidRPr="00F03917">
              <w:t>s</w:t>
            </w:r>
            <w:r w:rsidR="733DBBA9" w:rsidRPr="00F03917">
              <w:t xml:space="preserve"> are based, in coastal planning to identify coastal areas potentially affected and</w:t>
            </w:r>
            <w:r w:rsidR="007A49A9" w:rsidRPr="00F03917">
              <w:t xml:space="preserve"> allow</w:t>
            </w:r>
            <w:r w:rsidR="733DBBA9" w:rsidRPr="00F03917">
              <w:t xml:space="preserve"> high-end stress testing of adaptation options and pathways (</w:t>
            </w:r>
            <w:hyperlink w:anchor="_Step_6:_Evaluate" w:history="1">
              <w:r w:rsidR="733DBBA9" w:rsidRPr="00F03917">
                <w:rPr>
                  <w:rStyle w:val="Hyperlink"/>
                </w:rPr>
                <w:t>step 6</w:t>
              </w:r>
            </w:hyperlink>
            <w:r w:rsidR="733DBBA9" w:rsidRPr="00F03917">
              <w:t xml:space="preserve">). </w:t>
            </w:r>
            <w:r w:rsidR="0C23777D" w:rsidRPr="00F03917">
              <w:t>This is to reflect that</w:t>
            </w:r>
            <w:r w:rsidR="3282A7D3" w:rsidRPr="00F03917">
              <w:t xml:space="preserve"> the world has</w:t>
            </w:r>
            <w:r w:rsidR="733DBBA9" w:rsidRPr="00F03917">
              <w:t> been on a high emissions trajectory in the past few decades</w:t>
            </w:r>
            <w:r w:rsidR="00C3172A" w:rsidRPr="00F03917">
              <w:t>.</w:t>
            </w:r>
            <w:r w:rsidR="3282A7D3" w:rsidRPr="00F03917">
              <w:t xml:space="preserve"> </w:t>
            </w:r>
            <w:r w:rsidR="00C3172A" w:rsidRPr="00F03917">
              <w:t>This</w:t>
            </w:r>
            <w:r w:rsidR="002D76E5" w:rsidRPr="00F03917">
              <w:t xml:space="preserve"> </w:t>
            </w:r>
            <w:r w:rsidR="00A62276" w:rsidRPr="00F03917">
              <w:t>is also</w:t>
            </w:r>
            <w:r w:rsidR="00C3172A" w:rsidRPr="00F03917">
              <w:t xml:space="preserve"> </w:t>
            </w:r>
            <w:r w:rsidR="733DBBA9" w:rsidRPr="00F03917">
              <w:t xml:space="preserve">combined with the </w:t>
            </w:r>
            <w:r w:rsidR="002D76E5" w:rsidRPr="00F03917" w:rsidDel="733DBBA9">
              <w:t xml:space="preserve">very </w:t>
            </w:r>
            <w:r w:rsidR="733DBBA9" w:rsidRPr="00F03917">
              <w:t xml:space="preserve">long timeframes (multi-decadal to centuries) for SLR to respond to released emissions and the deep uncertainty </w:t>
            </w:r>
            <w:r w:rsidR="3282A7D3" w:rsidRPr="00F03917">
              <w:t>about</w:t>
            </w:r>
            <w:r w:rsidR="733DBBA9" w:rsidRPr="00F03917">
              <w:t xml:space="preserve"> future emissions and </w:t>
            </w:r>
            <w:r w:rsidR="00062C8C" w:rsidRPr="00F03917">
              <w:t>tipping points</w:t>
            </w:r>
            <w:r w:rsidR="733DBBA9" w:rsidRPr="00F03917">
              <w:t>.</w:t>
            </w:r>
            <w:r w:rsidR="001750A7" w:rsidRPr="00F03917">
              <w:t xml:space="preserve"> The SLR projections based on SSP5-8.5 represent </w:t>
            </w:r>
            <w:r w:rsidR="00E6497E" w:rsidRPr="00F03917">
              <w:t xml:space="preserve">a plausible </w:t>
            </w:r>
            <w:r w:rsidR="001750A7" w:rsidRPr="00F03917">
              <w:t>upper</w:t>
            </w:r>
            <w:r w:rsidR="00964267" w:rsidRPr="00F03917">
              <w:t xml:space="preserve"> </w:t>
            </w:r>
            <w:r w:rsidR="001750A7" w:rsidRPr="00F03917">
              <w:t>range of these uncertainties</w:t>
            </w:r>
            <w:r w:rsidR="002110CD" w:rsidRPr="00F03917">
              <w:t>, while not including</w:t>
            </w:r>
            <w:r w:rsidR="00F9070F" w:rsidRPr="00F03917">
              <w:t xml:space="preserve"> </w:t>
            </w:r>
            <w:r w:rsidR="00796030" w:rsidRPr="00F03917">
              <w:t>the</w:t>
            </w:r>
            <w:r w:rsidR="00B06585" w:rsidRPr="00F03917">
              <w:rPr>
                <w:i/>
              </w:rPr>
              <w:t xml:space="preserve"> low confidence</w:t>
            </w:r>
            <w:r w:rsidR="00796030" w:rsidRPr="00F03917">
              <w:rPr>
                <w:i/>
              </w:rPr>
              <w:t xml:space="preserve"> </w:t>
            </w:r>
            <w:r w:rsidR="00796030" w:rsidRPr="00F03917">
              <w:t xml:space="preserve">uncertainties associated with </w:t>
            </w:r>
            <w:r w:rsidR="00E27B0A" w:rsidRPr="00F03917">
              <w:t xml:space="preserve">polar </w:t>
            </w:r>
            <w:r w:rsidR="00796030" w:rsidRPr="00F03917">
              <w:t>ice</w:t>
            </w:r>
            <w:r w:rsidR="00AD74DF" w:rsidRPr="00F03917">
              <w:t>-</w:t>
            </w:r>
            <w:r w:rsidR="00796030" w:rsidRPr="00F03917">
              <w:t>sheet instabilities</w:t>
            </w:r>
            <w:r w:rsidR="001750A7" w:rsidRPr="00F03917">
              <w:t>.</w:t>
            </w:r>
          </w:p>
        </w:tc>
      </w:tr>
      <w:tr w:rsidR="000E7B9A" w:rsidRPr="00F03917" w14:paraId="5C964F8B" w14:textId="77777777" w:rsidTr="00C966C0">
        <w:trPr>
          <w:trHeight w:val="1509"/>
        </w:trPr>
        <w:tc>
          <w:tcPr>
            <w:tcW w:w="8505" w:type="dxa"/>
            <w:tcBorders>
              <w:top w:val="single" w:sz="4" w:space="0" w:color="D2DDE1" w:themeColor="background2"/>
              <w:left w:val="single" w:sz="4" w:space="0" w:color="D2DDE1" w:themeColor="background2"/>
              <w:bottom w:val="single" w:sz="4" w:space="0" w:color="D2DDE1" w:themeColor="background2"/>
              <w:right w:val="single" w:sz="4" w:space="0" w:color="D2DDE1" w:themeColor="background2"/>
            </w:tcBorders>
            <w:shd w:val="clear" w:color="auto" w:fill="D2DDE1" w:themeFill="background2"/>
          </w:tcPr>
          <w:p w14:paraId="4AE5882C" w14:textId="326548AF" w:rsidR="000E7B9A" w:rsidRPr="00F03917" w:rsidRDefault="000E7B9A" w:rsidP="000E7B9A">
            <w:pPr>
              <w:pStyle w:val="Boxtext"/>
              <w:keepNext/>
              <w:spacing w:after="0"/>
            </w:pPr>
            <w:r w:rsidRPr="00F03917">
              <w:t>The long lag in response of SLR means impacts from the yet-to-be realised commitments to SLR from recent and ongoing emissions will be distinctly different compared with other climate impacts. This is because other climate impacts (eg, heatwaves, precipitation, wind and so on) are more directly tied to global heating and the associated shared socio-economic pathway scenarios. These latter climate impacts will be more responsive to reductions in global emissions within relatively short response times (decades), unlike sea level that will keep rising at a rate depending on the recent past, present and future emissions. Turner et al (2023) suggest that, out to 2500</w:t>
            </w:r>
            <w:r w:rsidR="00E9767E" w:rsidRPr="00F03917">
              <w:t>,</w:t>
            </w:r>
            <w:r w:rsidRPr="00F03917">
              <w:t xml:space="preserve"> ongoing SLR is now an irreversible process, unlike surface temperature </w:t>
            </w:r>
            <w:r w:rsidR="00E9767E" w:rsidRPr="00F03917">
              <w:t xml:space="preserve">that </w:t>
            </w:r>
            <w:r w:rsidRPr="00F03917">
              <w:t xml:space="preserve">will reach equilibrium some decades after emissions peak. </w:t>
            </w:r>
          </w:p>
          <w:p w14:paraId="62A5E223" w14:textId="206898A2" w:rsidR="000E7B9A" w:rsidRPr="00F03917" w:rsidRDefault="000E7B9A" w:rsidP="000E7B9A">
            <w:pPr>
              <w:pStyle w:val="Boxtext"/>
              <w:spacing w:after="0"/>
              <w:rPr>
                <w:b/>
                <w:bCs/>
              </w:rPr>
            </w:pPr>
            <w:r w:rsidRPr="00F03917">
              <w:t>The Intergovernmental Panel on Climate Change Sixth Assessment Report from Working Group III</w:t>
            </w:r>
            <w:r w:rsidRPr="00F03917" w:rsidDel="12A8DBAD">
              <w:t xml:space="preserve"> </w:t>
            </w:r>
            <w:r w:rsidRPr="00F03917">
              <w:t xml:space="preserve">(Riahi </w:t>
            </w:r>
            <w:r w:rsidR="159EDB44" w:rsidRPr="00F03917">
              <w:t>et</w:t>
            </w:r>
            <w:r w:rsidRPr="00F03917">
              <w:t xml:space="preserve"> al, 2022</w:t>
            </w:r>
            <w:r w:rsidR="00AB079E" w:rsidRPr="00F03917">
              <w:t xml:space="preserve">, </w:t>
            </w:r>
            <w:r w:rsidR="00CF1217" w:rsidRPr="00F03917">
              <w:t xml:space="preserve">p </w:t>
            </w:r>
            <w:r w:rsidR="005B0C7E" w:rsidRPr="00F03917">
              <w:t>386</w:t>
            </w:r>
            <w:r w:rsidRPr="00F03917">
              <w:t>) describes how reaching emissions levels as high as the SSP5</w:t>
            </w:r>
            <w:r w:rsidR="00541C51" w:rsidRPr="00F03917">
              <w:noBreakHyphen/>
            </w:r>
            <w:r w:rsidRPr="00F03917">
              <w:t xml:space="preserve">8.5 scenario has become less likely, but </w:t>
            </w:r>
            <w:r w:rsidR="0088269F" w:rsidRPr="00F03917">
              <w:t>“</w:t>
            </w:r>
            <w:r w:rsidRPr="00F03917">
              <w:t>high emissions cannot be ruled out for many reasons, including political factors</w:t>
            </w:r>
            <w:r w:rsidR="0088269F" w:rsidRPr="00F03917">
              <w:t>”</w:t>
            </w:r>
            <w:r w:rsidRPr="00F03917">
              <w:t xml:space="preserve"> and </w:t>
            </w:r>
            <w:r w:rsidR="0088269F" w:rsidRPr="00F03917">
              <w:t>“</w:t>
            </w:r>
            <w:r w:rsidRPr="00F03917">
              <w:t>higher than anticipated population and economic growth</w:t>
            </w:r>
            <w:r w:rsidR="0088269F" w:rsidRPr="00F03917">
              <w:t>”</w:t>
            </w:r>
            <w:r w:rsidRPr="00F03917">
              <w:t xml:space="preserve">. Climate projections of SSP5-8.5 can also result from strong feedback from climate change, which means high-end projected climate impacts might also materialise while following a lower emission path (Riahi et al, 2022). </w:t>
            </w:r>
            <w:r w:rsidR="736CA9AC" w:rsidRPr="00F03917">
              <w:t>For SLR</w:t>
            </w:r>
            <w:r w:rsidRPr="00F03917">
              <w:t xml:space="preserve">, there is deep uncertainty on how these climate feedbacks will affect polar ice sheets once a tipping point is reached (ICCI, 2023). Overall, Riahi et al (2022, p 386), conclude that the high-end scenarios </w:t>
            </w:r>
            <w:r w:rsidR="00B76EFC" w:rsidRPr="00F03917">
              <w:t>“</w:t>
            </w:r>
            <w:r w:rsidRPr="00F03917">
              <w:t>can be very useful to explore high-end risks of climate change</w:t>
            </w:r>
            <w:r w:rsidR="00B76EFC" w:rsidRPr="00F03917">
              <w:t>”</w:t>
            </w:r>
            <w:r w:rsidRPr="00F03917">
              <w:t xml:space="preserve">. </w:t>
            </w:r>
            <w:r w:rsidRPr="00F03917">
              <w:rPr>
                <w:b/>
                <w:bCs/>
              </w:rPr>
              <w:t>Ongoing SLR poses such risks for coastal areas.</w:t>
            </w:r>
          </w:p>
          <w:p w14:paraId="10E156F9" w14:textId="1B5C81C9" w:rsidR="000E7B9A" w:rsidRPr="00F03917" w:rsidRDefault="000E7B9A" w:rsidP="000E7B9A">
            <w:pPr>
              <w:pStyle w:val="Boxtext"/>
              <w:spacing w:after="0"/>
            </w:pPr>
            <w:r w:rsidRPr="00F03917">
              <w:t>It is important for decision-makers to understand and plan for the full range of possibilities Aotearoa New Zealand may face, especially in coastal environments (</w:t>
            </w:r>
            <w:hyperlink w:anchor="box1" w:history="1">
              <w:r w:rsidRPr="00F03917">
                <w:rPr>
                  <w:rStyle w:val="Hyperlink"/>
                </w:rPr>
                <w:t>box 1</w:t>
              </w:r>
            </w:hyperlink>
            <w:r w:rsidRPr="00F03917">
              <w:t>). Using SSP5-8.5 (M</w:t>
            </w:r>
            <w:r w:rsidR="00085E66" w:rsidRPr="00F03917">
              <w:t> </w:t>
            </w:r>
            <w:r w:rsidRPr="00F03917">
              <w:t>and H+) for coastal hazard and risk assessment screening (</w:t>
            </w:r>
            <w:hyperlink w:anchor="_Step_2:_Assess" w:history="1">
              <w:r w:rsidRPr="00F03917">
                <w:rPr>
                  <w:rStyle w:val="Hyperlink"/>
                </w:rPr>
                <w:t>step 2</w:t>
              </w:r>
            </w:hyperlink>
            <w:r w:rsidRPr="00F03917">
              <w:t xml:space="preserve"> and </w:t>
            </w:r>
            <w:hyperlink w:anchor="_Step_4:_Assess" w:history="1">
              <w:r w:rsidRPr="00F03917">
                <w:rPr>
                  <w:rStyle w:val="Hyperlink"/>
                </w:rPr>
                <w:t>step 4</w:t>
              </w:r>
            </w:hyperlink>
            <w:r w:rsidRPr="00F03917">
              <w:t>) is consistent with council planning decisions needing to: i) implement other Resource Management Act 1991 requirements and policies, such as the precautionary approach (Policy 3, New Zealand Coastal Policy Statement, DOC, 2010); ii) identify areas ‘potentially affected’ by coastal hazards and climate change (Policy 24, New Zealand Coastal Policy Statement, DOC, 2010)</w:t>
            </w:r>
            <w:r w:rsidRPr="00F03917">
              <w:rPr>
                <w:rStyle w:val="CommentReference"/>
                <w:rFonts w:asciiTheme="minorHAnsi" w:eastAsiaTheme="minorHAnsi" w:hAnsiTheme="minorHAnsi"/>
                <w:color w:val="auto"/>
                <w:kern w:val="2"/>
                <w:lang w:eastAsia="en-US"/>
                <w14:ligatures w14:val="standardContextual"/>
              </w:rPr>
              <w:t xml:space="preserve"> </w:t>
            </w:r>
            <w:r w:rsidRPr="00F03917">
              <w:t xml:space="preserve">and iii) have regard to the </w:t>
            </w:r>
            <w:r w:rsidR="00F7208A" w:rsidRPr="00F03917">
              <w:t>n</w:t>
            </w:r>
            <w:r w:rsidRPr="00F03917">
              <w:t xml:space="preserve">ational </w:t>
            </w:r>
            <w:r w:rsidR="00F7208A" w:rsidRPr="00F03917">
              <w:t>a</w:t>
            </w:r>
            <w:r w:rsidRPr="00F03917">
              <w:t xml:space="preserve">daptation </w:t>
            </w:r>
            <w:r w:rsidR="00F7208A" w:rsidRPr="00F03917">
              <w:t>p</w:t>
            </w:r>
            <w:r w:rsidRPr="00F03917">
              <w:t xml:space="preserve">lan (which also directs consideration of the same scenarios) (MfE, 2022a). </w:t>
            </w:r>
          </w:p>
          <w:p w14:paraId="28263399" w14:textId="4081B107" w:rsidR="000E7B9A" w:rsidRPr="00F03917" w:rsidRDefault="000E7B9A" w:rsidP="000E7B9A">
            <w:pPr>
              <w:pStyle w:val="Boxtext"/>
            </w:pPr>
            <w:r w:rsidRPr="00F03917">
              <w:t xml:space="preserve">Even if the timing of a specific SLR height (up to at least 1.5 metres) for a SSP5-8.5 scenario is not realised, it will be reached decades or even centuries later for lower-emissions trajectories (see </w:t>
            </w:r>
            <w:hyperlink w:anchor="table5" w:history="1">
              <w:r w:rsidRPr="00F03917">
                <w:rPr>
                  <w:rStyle w:val="Hyperlink"/>
                </w:rPr>
                <w:t>table 5</w:t>
              </w:r>
            </w:hyperlink>
            <w:r w:rsidRPr="00F03917">
              <w:t>) and should be planned for as a plausible eventuality. Dealing with this uncertainty using a dynamic adaptive pathways planning approach, means if higher than expected SLR eventuates, then the next option in the adaptation pathway can be implemented earlier than</w:t>
            </w:r>
            <w:r w:rsidR="008659ED" w:rsidRPr="00F03917">
              <w:t> </w:t>
            </w:r>
            <w:r w:rsidRPr="00F03917">
              <w:t>initially anticipated (or later if future emissions reductions are sufficient to slow the acceleration of SLR).</w:t>
            </w:r>
          </w:p>
        </w:tc>
      </w:tr>
    </w:tbl>
    <w:p w14:paraId="088AE032" w14:textId="77777777" w:rsidR="00E001E9" w:rsidRPr="00F03917" w:rsidRDefault="00E001E9" w:rsidP="00E001E9">
      <w:pPr>
        <w:pStyle w:val="BodyText"/>
      </w:pPr>
      <w:bookmarkStart w:id="55" w:name="_Approaches_for_using"/>
      <w:bookmarkEnd w:id="55"/>
    </w:p>
    <w:p w14:paraId="0355896A" w14:textId="0D581E30" w:rsidR="000B7000" w:rsidRPr="00F03917" w:rsidRDefault="00BC3834" w:rsidP="00E001E9">
      <w:pPr>
        <w:pStyle w:val="Heading3"/>
        <w:numPr>
          <w:ilvl w:val="0"/>
          <w:numId w:val="22"/>
        </w:numPr>
      </w:pPr>
      <w:bookmarkStart w:id="56" w:name="_Using_the_recommended"/>
      <w:bookmarkEnd w:id="56"/>
      <w:r w:rsidRPr="00F03917">
        <w:lastRenderedPageBreak/>
        <w:t>U</w:t>
      </w:r>
      <w:r w:rsidR="00A830F9" w:rsidRPr="00F03917">
        <w:t xml:space="preserve">sing the recommended </w:t>
      </w:r>
      <w:r w:rsidR="03C9B586" w:rsidRPr="00F03917">
        <w:t>sea-level rise</w:t>
      </w:r>
      <w:r w:rsidR="00A830F9" w:rsidRPr="00F03917">
        <w:t xml:space="preserve"> projections</w:t>
      </w:r>
    </w:p>
    <w:p w14:paraId="4430E080" w14:textId="62F641D8" w:rsidR="00C57CB4" w:rsidRPr="00F03917" w:rsidRDefault="00A2287C" w:rsidP="00E001E9">
      <w:pPr>
        <w:pStyle w:val="BodyText"/>
      </w:pPr>
      <w:r w:rsidRPr="00F03917">
        <w:t>It is best practice to use</w:t>
      </w:r>
      <w:r w:rsidR="00C57CB4" w:rsidRPr="00F03917">
        <w:t xml:space="preserve"> SLR projections for </w:t>
      </w:r>
      <w:r w:rsidR="005E6E48" w:rsidRPr="00F03917">
        <w:t xml:space="preserve">these main </w:t>
      </w:r>
      <w:r w:rsidR="00C57CB4" w:rsidRPr="00F03917">
        <w:t>purposes:</w:t>
      </w:r>
    </w:p>
    <w:p w14:paraId="22217228" w14:textId="6B550DC9" w:rsidR="00C57CB4" w:rsidRPr="00F03917" w:rsidRDefault="00CE206F" w:rsidP="006A486F">
      <w:pPr>
        <w:pStyle w:val="BulletFIX"/>
      </w:pPr>
      <w:r w:rsidRPr="00F03917">
        <w:t>a</w:t>
      </w:r>
      <w:r w:rsidR="00216705" w:rsidRPr="00F03917">
        <w:t xml:space="preserve">s </w:t>
      </w:r>
      <w:r w:rsidR="00C57CB4" w:rsidRPr="00F03917" w:rsidDel="00216705">
        <w:t>t</w:t>
      </w:r>
      <w:r w:rsidR="00C57CB4" w:rsidRPr="00F03917">
        <w:t>he primary input to hazard and risk assessments, along with projections for other climate</w:t>
      </w:r>
      <w:r w:rsidR="4C25F112" w:rsidRPr="00F03917">
        <w:t xml:space="preserve"> </w:t>
      </w:r>
      <w:r w:rsidR="00C57CB4" w:rsidRPr="00F03917">
        <w:t>drivers relevant to coastal areas (eg, rainfall intensity, surface and water temperature, changes in storminess)</w:t>
      </w:r>
    </w:p>
    <w:p w14:paraId="78253255" w14:textId="1B39766F" w:rsidR="00C57CB4" w:rsidRPr="00F03917" w:rsidRDefault="00CE206F" w:rsidP="006A486F">
      <w:pPr>
        <w:pStyle w:val="BulletFIX"/>
      </w:pPr>
      <w:r w:rsidRPr="00F03917">
        <w:t>f</w:t>
      </w:r>
      <w:r w:rsidR="00216705" w:rsidRPr="00F03917">
        <w:t xml:space="preserve">or </w:t>
      </w:r>
      <w:r w:rsidR="00C57CB4" w:rsidRPr="00F03917">
        <w:t>developing, evaluating and stress-testing district</w:t>
      </w:r>
      <w:r w:rsidR="2DED0CF6" w:rsidRPr="00F03917">
        <w:t xml:space="preserve"> </w:t>
      </w:r>
      <w:r w:rsidRPr="00F03917">
        <w:t xml:space="preserve">or </w:t>
      </w:r>
      <w:r w:rsidR="00C57CB4" w:rsidRPr="00F03917">
        <w:t>regional plans and policies </w:t>
      </w:r>
    </w:p>
    <w:p w14:paraId="4608E3DC" w14:textId="1C34E9A6" w:rsidR="00C57CB4" w:rsidRPr="00F03917" w:rsidRDefault="00CE206F" w:rsidP="006A486F">
      <w:pPr>
        <w:pStyle w:val="BulletFIX"/>
      </w:pPr>
      <w:r w:rsidRPr="00F03917">
        <w:t>f</w:t>
      </w:r>
      <w:r w:rsidR="00216705" w:rsidRPr="00F03917">
        <w:t xml:space="preserve">or </w:t>
      </w:r>
      <w:r w:rsidR="00C57CB4" w:rsidRPr="00F03917">
        <w:t>informing and evaluating the viability, effectiveness and lock-in potential of adapt</w:t>
      </w:r>
      <w:r w:rsidR="00C26C6A" w:rsidRPr="00F03917">
        <w:t>ation</w:t>
      </w:r>
      <w:r w:rsidR="000D37F8" w:rsidRPr="00F03917">
        <w:t xml:space="preserve"> options and</w:t>
      </w:r>
      <w:r w:rsidR="00C26C6A" w:rsidRPr="00F03917">
        <w:t xml:space="preserve"> pathway</w:t>
      </w:r>
      <w:r w:rsidR="000D37F8" w:rsidRPr="00F03917">
        <w:t>s</w:t>
      </w:r>
      <w:r w:rsidR="00C26C6A" w:rsidRPr="00F03917">
        <w:t xml:space="preserve"> </w:t>
      </w:r>
      <w:r w:rsidR="00613C0D" w:rsidRPr="00F03917">
        <w:t xml:space="preserve">using the </w:t>
      </w:r>
      <w:r w:rsidR="00C57CB4" w:rsidRPr="00F03917">
        <w:t xml:space="preserve">DAPP </w:t>
      </w:r>
      <w:r w:rsidR="00613C0D" w:rsidRPr="00F03917">
        <w:t>approach</w:t>
      </w:r>
      <w:r w:rsidR="00C57CB4" w:rsidRPr="00F03917">
        <w:t xml:space="preserve"> (</w:t>
      </w:r>
      <w:hyperlink w:anchor="_Step_5:_Identify">
        <w:r w:rsidR="71BB2EA8" w:rsidRPr="00F03917">
          <w:rPr>
            <w:rStyle w:val="Hyperlink"/>
            <w:rFonts w:cs="Calibri"/>
          </w:rPr>
          <w:t>s</w:t>
        </w:r>
        <w:r w:rsidR="00C57CB4" w:rsidRPr="00F03917">
          <w:rPr>
            <w:rStyle w:val="Hyperlink"/>
            <w:rFonts w:cs="Calibri"/>
          </w:rPr>
          <w:t>tep 5</w:t>
        </w:r>
      </w:hyperlink>
      <w:r w:rsidR="00C57CB4" w:rsidRPr="00F03917">
        <w:t xml:space="preserve"> and</w:t>
      </w:r>
      <w:r w:rsidR="7E7B2AE2" w:rsidRPr="00F03917">
        <w:t xml:space="preserve"> </w:t>
      </w:r>
      <w:hyperlink w:anchor="_Step_6:_Evaluate">
        <w:r w:rsidR="20E43DF3" w:rsidRPr="00F03917">
          <w:rPr>
            <w:rStyle w:val="Hyperlink"/>
            <w:rFonts w:cs="Calibri"/>
          </w:rPr>
          <w:t>s</w:t>
        </w:r>
        <w:r w:rsidR="7E7B2AE2" w:rsidRPr="00F03917">
          <w:rPr>
            <w:rStyle w:val="Hyperlink"/>
            <w:rFonts w:cs="Calibri"/>
          </w:rPr>
          <w:t>tep</w:t>
        </w:r>
        <w:r w:rsidR="00C57CB4" w:rsidRPr="00F03917">
          <w:rPr>
            <w:rStyle w:val="Hyperlink"/>
            <w:rFonts w:cs="Calibri"/>
          </w:rPr>
          <w:t xml:space="preserve"> 6</w:t>
        </w:r>
      </w:hyperlink>
      <w:r w:rsidR="00C57CB4" w:rsidRPr="00F03917">
        <w:t xml:space="preserve">). </w:t>
      </w:r>
    </w:p>
    <w:p w14:paraId="5E1A47DC" w14:textId="0311D2CA" w:rsidR="00C57CB4" w:rsidRPr="00F03917" w:rsidRDefault="008605BC" w:rsidP="00712B40">
      <w:pPr>
        <w:pStyle w:val="BodyText"/>
        <w:rPr>
          <w:rFonts w:ascii="Segoe UI" w:hAnsi="Segoe UI" w:cs="Segoe UI"/>
          <w:sz w:val="18"/>
          <w:szCs w:val="18"/>
        </w:rPr>
      </w:pPr>
      <w:r w:rsidRPr="00F03917">
        <w:t>G</w:t>
      </w:r>
      <w:r w:rsidR="00C57CB4" w:rsidRPr="00F03917">
        <w:t xml:space="preserve">uidance is provided in </w:t>
      </w:r>
      <w:hyperlink w:anchor="_Interim_allowances_for" w:history="1">
        <w:r w:rsidR="00C57CB4" w:rsidRPr="00F03917">
          <w:rPr>
            <w:rStyle w:val="Hyperlink"/>
            <w:rFonts w:cs="Calibri"/>
          </w:rPr>
          <w:t>section 2.1.</w:t>
        </w:r>
        <w:r w:rsidR="009831B8" w:rsidRPr="00F03917">
          <w:rPr>
            <w:rStyle w:val="Hyperlink"/>
            <w:rFonts w:cs="Calibri"/>
          </w:rPr>
          <w:t>3</w:t>
        </w:r>
      </w:hyperlink>
      <w:r w:rsidR="00C57CB4" w:rsidRPr="00F03917">
        <w:t xml:space="preserve"> on recommended SLR allowances to use in the interim for decision</w:t>
      </w:r>
      <w:r w:rsidR="71E93C4E" w:rsidRPr="00F03917">
        <w:t>-</w:t>
      </w:r>
      <w:r w:rsidR="00C57CB4" w:rsidRPr="00F03917">
        <w:t xml:space="preserve">making, </w:t>
      </w:r>
      <w:r w:rsidR="00B62756" w:rsidRPr="00F03917">
        <w:t xml:space="preserve">to be used prior to the development of an adaptive planning strategy. </w:t>
      </w:r>
      <w:r w:rsidR="00184816" w:rsidRPr="00F03917">
        <w:t xml:space="preserve">This is to be used </w:t>
      </w:r>
      <w:r w:rsidR="00C57CB4" w:rsidRPr="00F03917">
        <w:t>until a clearer understanding of the risks, adaptation thresholds, timeframes and an agreed</w:t>
      </w:r>
      <w:r w:rsidR="009B13A3" w:rsidRPr="00F03917">
        <w:t xml:space="preserve"> adaptive planning</w:t>
      </w:r>
      <w:r w:rsidR="00C57CB4" w:rsidRPr="00F03917">
        <w:t xml:space="preserve"> strategy emerges.</w:t>
      </w:r>
    </w:p>
    <w:p w14:paraId="2BF54F1B" w14:textId="00564466" w:rsidR="00854DC6" w:rsidRPr="00F03917" w:rsidRDefault="00854DC6" w:rsidP="00712B40">
      <w:pPr>
        <w:pStyle w:val="BodyText"/>
      </w:pPr>
      <w:r w:rsidRPr="00F03917">
        <w:t xml:space="preserve">Two types of SLR </w:t>
      </w:r>
      <w:r w:rsidR="180D98BB" w:rsidRPr="00F03917">
        <w:t xml:space="preserve">are </w:t>
      </w:r>
      <w:r w:rsidRPr="00F03917">
        <w:t>used for projections:</w:t>
      </w:r>
    </w:p>
    <w:p w14:paraId="7CE87940" w14:textId="11E95542" w:rsidR="00854DC6" w:rsidRPr="00F03917" w:rsidRDefault="09DD961C" w:rsidP="006A486F">
      <w:pPr>
        <w:pStyle w:val="BulletFIX"/>
      </w:pPr>
      <w:r w:rsidRPr="00F03917">
        <w:rPr>
          <w:i/>
          <w:iCs/>
        </w:rPr>
        <w:t xml:space="preserve">absolute </w:t>
      </w:r>
      <w:r w:rsidRPr="00F03917">
        <w:t xml:space="preserve">(or eustatic) SLR, measured relative to the centre of the Earth, and </w:t>
      </w:r>
      <w:r w:rsidR="00886F5B" w:rsidRPr="00F03917">
        <w:t>related to the rise</w:t>
      </w:r>
      <w:r w:rsidRPr="00F03917">
        <w:t xml:space="preserve"> in </w:t>
      </w:r>
      <w:r w:rsidR="00886F5B" w:rsidRPr="00F03917">
        <w:t xml:space="preserve">ocean </w:t>
      </w:r>
      <w:r w:rsidRPr="00F03917">
        <w:t>level</w:t>
      </w:r>
      <w:r w:rsidR="00B82D86" w:rsidRPr="00F03917">
        <w:rPr>
          <w:rStyle w:val="FootnoteReference"/>
        </w:rPr>
        <w:footnoteReference w:id="31"/>
      </w:r>
      <w:r w:rsidRPr="00F03917">
        <w:t xml:space="preserve"> </w:t>
      </w:r>
    </w:p>
    <w:p w14:paraId="7D808029" w14:textId="2613B583" w:rsidR="00854DC6" w:rsidRPr="00F03917" w:rsidRDefault="09DD961C" w:rsidP="006A486F">
      <w:pPr>
        <w:pStyle w:val="BulletFIX"/>
      </w:pPr>
      <w:r w:rsidRPr="00F03917">
        <w:rPr>
          <w:i/>
          <w:iCs/>
        </w:rPr>
        <w:t>relative</w:t>
      </w:r>
      <w:r w:rsidRPr="00F03917">
        <w:t xml:space="preserve"> (or local) SLR</w:t>
      </w:r>
      <w:r w:rsidR="00B82D86" w:rsidRPr="00F03917">
        <w:t xml:space="preserve"> (RSLR)</w:t>
      </w:r>
      <w:r w:rsidRPr="00F03917">
        <w:t xml:space="preserve">, which is the net rise in </w:t>
      </w:r>
      <w:r w:rsidR="00CA6FA6" w:rsidRPr="00F03917">
        <w:t>MSL</w:t>
      </w:r>
      <w:r w:rsidRPr="00F03917">
        <w:t xml:space="preserve"> from both</w:t>
      </w:r>
      <w:r w:rsidR="00CA6FA6" w:rsidRPr="00F03917">
        <w:t>:</w:t>
      </w:r>
      <w:r w:rsidRPr="00F03917">
        <w:t xml:space="preserve"> i) the absolute rise in height of sea level</w:t>
      </w:r>
      <w:r w:rsidR="776DAEAF" w:rsidRPr="00F03917">
        <w:t>;</w:t>
      </w:r>
      <w:r w:rsidRPr="00F03917">
        <w:t xml:space="preserve"> and ii) local VLM</w:t>
      </w:r>
      <w:r w:rsidR="00203CE2" w:rsidRPr="00F03917">
        <w:t>.</w:t>
      </w:r>
      <w:r w:rsidRPr="00F03917">
        <w:t xml:space="preserve"> </w:t>
      </w:r>
      <w:r w:rsidR="00203CE2" w:rsidRPr="00F03917">
        <w:t>It is therefore the net rise in sea level</w:t>
      </w:r>
      <w:r w:rsidRPr="00F03917">
        <w:t xml:space="preserve"> relative to the local land surface or sea-bed elevation on which assets and people are placed. </w:t>
      </w:r>
    </w:p>
    <w:p w14:paraId="5A20D950" w14:textId="14170910" w:rsidR="00B64861" w:rsidRPr="00F03917" w:rsidRDefault="008A4711" w:rsidP="00712B40">
      <w:pPr>
        <w:pStyle w:val="BodyText"/>
      </w:pPr>
      <w:r w:rsidRPr="00F03917">
        <w:t xml:space="preserve">The SLR projections in IPCC AR6 </w:t>
      </w:r>
      <w:r w:rsidR="1E8223C3" w:rsidRPr="00F03917">
        <w:t>a</w:t>
      </w:r>
      <w:r w:rsidRPr="00F03917">
        <w:t>nd in the NZ SeaRise platform have a new reference (zero) baseline (Fox-Kemper et al, 2021; Sla</w:t>
      </w:r>
      <w:r w:rsidR="00AB73DD" w:rsidRPr="00F03917">
        <w:t>n</w:t>
      </w:r>
      <w:r w:rsidRPr="00F03917">
        <w:t>gen et al, 202</w:t>
      </w:r>
      <w:r w:rsidR="00A04082" w:rsidRPr="00F03917">
        <w:t>3</w:t>
      </w:r>
      <w:r w:rsidRPr="00F03917">
        <w:t>). Projections are now referenced to the MSL from 1995</w:t>
      </w:r>
      <w:r w:rsidR="0CC98687" w:rsidRPr="00F03917">
        <w:t>–</w:t>
      </w:r>
      <w:r w:rsidRPr="00F03917">
        <w:t>2014 (mid-point 2005).</w:t>
      </w:r>
      <w:r w:rsidR="00D2701E" w:rsidRPr="00F03917">
        <w:t xml:space="preserve"> </w:t>
      </w:r>
      <w:hyperlink w:anchor="_Appendix_D:_Baseline" w:history="1">
        <w:r w:rsidR="09799FB9" w:rsidRPr="00F03917">
          <w:rPr>
            <w:rStyle w:val="Hyperlink"/>
          </w:rPr>
          <w:t xml:space="preserve">Appendix </w:t>
        </w:r>
        <w:r w:rsidR="008E0FE8" w:rsidRPr="00F03917">
          <w:rPr>
            <w:rStyle w:val="Hyperlink"/>
          </w:rPr>
          <w:t>D</w:t>
        </w:r>
      </w:hyperlink>
      <w:r w:rsidR="00B64861" w:rsidRPr="00F03917">
        <w:t xml:space="preserve"> has updated MSLs, averaged across this new reference period at several locations around </w:t>
      </w:r>
      <w:r w:rsidR="005D0B45" w:rsidRPr="00F03917">
        <w:t>Aotearoa</w:t>
      </w:r>
      <w:r w:rsidR="00B64861" w:rsidRPr="00F03917">
        <w:t xml:space="preserve">. </w:t>
      </w:r>
      <w:r w:rsidR="0A462978" w:rsidRPr="00F03917">
        <w:t xml:space="preserve">The </w:t>
      </w:r>
      <w:r w:rsidR="40E1CF5E" w:rsidRPr="00F03917">
        <w:t>relevant local or regional</w:t>
      </w:r>
      <w:r w:rsidR="00B64861" w:rsidRPr="00F03917">
        <w:t xml:space="preserve"> RSLR</w:t>
      </w:r>
      <w:r w:rsidR="00712B40" w:rsidRPr="00F03917">
        <w:t> </w:t>
      </w:r>
      <w:r w:rsidR="00B64861" w:rsidRPr="00F03917">
        <w:t xml:space="preserve">projections are then added to the relevant reference MSL, to calculate the range of future </w:t>
      </w:r>
      <w:r w:rsidR="00456D41" w:rsidRPr="00F03917">
        <w:t xml:space="preserve">plausible </w:t>
      </w:r>
      <w:r w:rsidR="0A462978" w:rsidRPr="00F03917">
        <w:t>MSL</w:t>
      </w:r>
      <w:r w:rsidR="40E1CF5E" w:rsidRPr="00F03917">
        <w:t xml:space="preserve"> and coastal flood levels to the national </w:t>
      </w:r>
      <w:r w:rsidR="00097BCA" w:rsidRPr="00F03917">
        <w:t xml:space="preserve">New Zealand </w:t>
      </w:r>
      <w:r w:rsidR="40E1CF5E" w:rsidRPr="00F03917">
        <w:t>vertical datum (NZVD</w:t>
      </w:r>
      <w:r w:rsidR="00712B40" w:rsidRPr="00F03917">
        <w:noBreakHyphen/>
      </w:r>
      <w:r w:rsidR="40E1CF5E" w:rsidRPr="00F03917">
        <w:t>2016)</w:t>
      </w:r>
      <w:r w:rsidR="0A462978" w:rsidRPr="00F03917">
        <w:t>.</w:t>
      </w:r>
    </w:p>
    <w:p w14:paraId="4F697456" w14:textId="0EABC903" w:rsidR="00505F8B" w:rsidRPr="00F03917" w:rsidRDefault="00505F8B" w:rsidP="00712B40">
      <w:pPr>
        <w:pStyle w:val="Heading4"/>
      </w:pPr>
      <w:r w:rsidRPr="00F03917">
        <w:t xml:space="preserve">Adjusting </w:t>
      </w:r>
      <w:r w:rsidR="0662F023" w:rsidRPr="00F03917">
        <w:t>sea-level rise</w:t>
      </w:r>
      <w:r w:rsidRPr="00F03917">
        <w:t xml:space="preserve"> for vertical land movement </w:t>
      </w:r>
    </w:p>
    <w:p w14:paraId="4A4425FF" w14:textId="4213040A" w:rsidR="005427DD" w:rsidRPr="00F03917" w:rsidRDefault="005427DD" w:rsidP="00712B40">
      <w:pPr>
        <w:pStyle w:val="BodyText"/>
      </w:pPr>
      <w:r w:rsidRPr="00F03917">
        <w:t xml:space="preserve">RSLR directly tracks the </w:t>
      </w:r>
      <w:r w:rsidR="00A433E5" w:rsidRPr="00F03917">
        <w:t>net</w:t>
      </w:r>
      <w:r w:rsidRPr="00F03917">
        <w:t xml:space="preserve"> SLR </w:t>
      </w:r>
      <w:r w:rsidR="00A433E5" w:rsidRPr="00F03917">
        <w:t>of the adjacent ocean, relative to any change in land elevation,</w:t>
      </w:r>
      <w:r w:rsidRPr="00F03917">
        <w:t xml:space="preserve"> and its effect on coastal hazards that </w:t>
      </w:r>
      <w:r w:rsidR="0072611C" w:rsidRPr="00F03917">
        <w:t xml:space="preserve">should </w:t>
      </w:r>
      <w:r w:rsidRPr="00F03917">
        <w:t xml:space="preserve">be adapted to locally or regionally. </w:t>
      </w:r>
      <w:r w:rsidR="00D07717" w:rsidRPr="00F03917">
        <w:t>S</w:t>
      </w:r>
      <w:r w:rsidRPr="00F03917">
        <w:t xml:space="preserve">ubsidence of landmass is occurring in </w:t>
      </w:r>
      <w:r w:rsidR="00BC50F9" w:rsidRPr="00F03917">
        <w:t>parts</w:t>
      </w:r>
      <w:r w:rsidRPr="00F03917">
        <w:t xml:space="preserve"> of </w:t>
      </w:r>
      <w:r w:rsidR="005D0B45" w:rsidRPr="00F03917">
        <w:t>Aotearoa</w:t>
      </w:r>
      <w:r w:rsidR="005D0B45" w:rsidRPr="00F03917" w:rsidDel="00CA431B">
        <w:t xml:space="preserve"> </w:t>
      </w:r>
      <w:r w:rsidRPr="00F03917">
        <w:t>(</w:t>
      </w:r>
      <w:hyperlink w:anchor="figure9">
        <w:r w:rsidRPr="00F03917">
          <w:rPr>
            <w:rStyle w:val="Hyperlink"/>
          </w:rPr>
          <w:t>figure 9</w:t>
        </w:r>
      </w:hyperlink>
      <w:r w:rsidRPr="00F03917">
        <w:t xml:space="preserve">), </w:t>
      </w:r>
      <w:r w:rsidR="004C7DBD" w:rsidRPr="00F03917">
        <w:t>which</w:t>
      </w:r>
      <w:r w:rsidRPr="00F03917">
        <w:t xml:space="preserve"> means </w:t>
      </w:r>
      <w:r w:rsidR="00DC67BA" w:rsidRPr="00F03917">
        <w:t xml:space="preserve">including </w:t>
      </w:r>
      <w:r w:rsidR="00F67ECF" w:rsidRPr="00F03917">
        <w:t xml:space="preserve">projections of </w:t>
      </w:r>
      <w:r w:rsidRPr="00F03917">
        <w:t xml:space="preserve">RSLR is </w:t>
      </w:r>
      <w:r w:rsidR="00F67ECF" w:rsidRPr="00F03917">
        <w:t>important for</w:t>
      </w:r>
      <w:r w:rsidR="00856B7A" w:rsidRPr="00F03917">
        <w:t xml:space="preserve"> planning.</w:t>
      </w:r>
      <w:r w:rsidRPr="00F03917" w:rsidDel="00856B7A">
        <w:t xml:space="preserve"> </w:t>
      </w:r>
    </w:p>
    <w:p w14:paraId="33727F4E" w14:textId="5FA8C509" w:rsidR="005427DD" w:rsidRPr="00F03917" w:rsidRDefault="004C7DBD" w:rsidP="00712B40">
      <w:pPr>
        <w:pStyle w:val="BodyText"/>
      </w:pPr>
      <w:r w:rsidRPr="00F03917">
        <w:t>Sections of</w:t>
      </w:r>
      <w:r w:rsidR="005427DD" w:rsidRPr="00F03917">
        <w:t xml:space="preserve"> </w:t>
      </w:r>
      <w:r w:rsidR="005D0B45" w:rsidRPr="00F03917">
        <w:t>Aotearoa</w:t>
      </w:r>
      <w:r w:rsidR="005427DD" w:rsidRPr="00F03917">
        <w:t xml:space="preserve"> New Zealand’s coastal land </w:t>
      </w:r>
      <w:r w:rsidRPr="00F03917">
        <w:t xml:space="preserve">that </w:t>
      </w:r>
      <w:r w:rsidR="005427DD" w:rsidRPr="00F03917">
        <w:t xml:space="preserve">continue to subside will exacerbate the height and rate of SLR relative to the sinking land, even though the rise in </w:t>
      </w:r>
      <w:r w:rsidR="00B53083" w:rsidRPr="00F03917">
        <w:t>absolute</w:t>
      </w:r>
      <w:r w:rsidR="005427DD" w:rsidRPr="00F03917">
        <w:t xml:space="preserve"> </w:t>
      </w:r>
      <w:r w:rsidR="00B53083" w:rsidRPr="00F03917">
        <w:t>sea</w:t>
      </w:r>
      <w:r w:rsidR="00356DBD" w:rsidRPr="00F03917">
        <w:t xml:space="preserve"> </w:t>
      </w:r>
      <w:r w:rsidR="005427DD" w:rsidRPr="00F03917">
        <w:t>level</w:t>
      </w:r>
      <w:r w:rsidR="005427DD" w:rsidRPr="00F03917" w:rsidDel="00A731EF">
        <w:t xml:space="preserve"> </w:t>
      </w:r>
      <w:r w:rsidR="005427DD" w:rsidRPr="00F03917">
        <w:t xml:space="preserve">is </w:t>
      </w:r>
      <w:r w:rsidR="00A731EF" w:rsidRPr="00F03917">
        <w:t>no different</w:t>
      </w:r>
      <w:r w:rsidR="00B715DE" w:rsidRPr="00F03917">
        <w:t xml:space="preserve"> at the local level</w:t>
      </w:r>
      <w:r w:rsidR="00173258" w:rsidRPr="00F03917">
        <w:t>.</w:t>
      </w:r>
      <w:r w:rsidR="005427DD" w:rsidRPr="00F03917">
        <w:t xml:space="preserve"> </w:t>
      </w:r>
      <w:r w:rsidR="00B829D2" w:rsidRPr="00F03917">
        <w:t>Ongoing land subs</w:t>
      </w:r>
      <w:r w:rsidR="006A372B" w:rsidRPr="00F03917">
        <w:t xml:space="preserve">idence (eg, the south </w:t>
      </w:r>
      <w:r w:rsidR="008F0932" w:rsidRPr="00F03917">
        <w:t>of the</w:t>
      </w:r>
      <w:r w:rsidR="006A372B" w:rsidRPr="00F03917">
        <w:t xml:space="preserve"> North Island</w:t>
      </w:r>
      <w:r w:rsidR="008F0932" w:rsidRPr="00F03917">
        <w:t>, see King et al, 2024</w:t>
      </w:r>
      <w:r w:rsidR="006A372B" w:rsidRPr="00F03917">
        <w:t xml:space="preserve">) will bring forward </w:t>
      </w:r>
      <w:r w:rsidR="0040762D" w:rsidRPr="00F03917">
        <w:t xml:space="preserve">the timing of </w:t>
      </w:r>
      <w:r w:rsidR="006A372B" w:rsidRPr="00F03917">
        <w:t>when a specific sea</w:t>
      </w:r>
      <w:r w:rsidR="49565D27" w:rsidRPr="00F03917">
        <w:t>-</w:t>
      </w:r>
      <w:r w:rsidR="006A372B" w:rsidRPr="00F03917">
        <w:t xml:space="preserve">level threshold is reached locally, compared </w:t>
      </w:r>
      <w:r w:rsidR="508553E0" w:rsidRPr="00F03917">
        <w:t>with</w:t>
      </w:r>
      <w:r w:rsidR="006A372B" w:rsidRPr="00F03917">
        <w:t xml:space="preserve"> stable or uplifting areas. </w:t>
      </w:r>
      <w:r w:rsidR="005427DD" w:rsidRPr="00F03917">
        <w:t xml:space="preserve">Land that is uplifting locally or regionally </w:t>
      </w:r>
      <w:r w:rsidR="006A372B" w:rsidRPr="00F03917">
        <w:t xml:space="preserve">(eg, parts of the Bay of Plenty) </w:t>
      </w:r>
      <w:r w:rsidR="005427DD" w:rsidRPr="00F03917">
        <w:t>will experience a slower rise in the height of sea</w:t>
      </w:r>
      <w:r w:rsidR="256BEE41" w:rsidRPr="00F03917">
        <w:t xml:space="preserve"> </w:t>
      </w:r>
      <w:r w:rsidR="005427DD" w:rsidRPr="00F03917">
        <w:t xml:space="preserve">level relative to the rising land. </w:t>
      </w:r>
    </w:p>
    <w:p w14:paraId="136B4A25" w14:textId="67732577" w:rsidR="00341797" w:rsidRPr="00F03917" w:rsidRDefault="6A056997" w:rsidP="00E001E9">
      <w:pPr>
        <w:pStyle w:val="BodyText"/>
        <w:spacing w:after="240"/>
      </w:pPr>
      <w:r w:rsidRPr="00F03917">
        <w:lastRenderedPageBreak/>
        <w:t xml:space="preserve">Box </w:t>
      </w:r>
      <w:r w:rsidR="00B23B54" w:rsidRPr="00F03917">
        <w:t>4</w:t>
      </w:r>
      <w:r w:rsidR="0D65A78E" w:rsidRPr="00F03917">
        <w:t xml:space="preserve"> describes the</w:t>
      </w:r>
      <w:r w:rsidR="059BA613" w:rsidRPr="00F03917">
        <w:t xml:space="preserve"> approach</w:t>
      </w:r>
      <w:r w:rsidR="0D65A78E" w:rsidRPr="00F03917">
        <w:t xml:space="preserve"> </w:t>
      </w:r>
      <w:r w:rsidR="3811CE3A" w:rsidRPr="00F03917">
        <w:t>NZ</w:t>
      </w:r>
      <w:r w:rsidR="629FC4F7" w:rsidRPr="00F03917">
        <w:t xml:space="preserve"> </w:t>
      </w:r>
      <w:r w:rsidR="3811CE3A" w:rsidRPr="00F03917">
        <w:t xml:space="preserve">SeaRise </w:t>
      </w:r>
      <w:r w:rsidR="0EAC616A" w:rsidRPr="00F03917">
        <w:t xml:space="preserve">used </w:t>
      </w:r>
      <w:r w:rsidR="0DB7D05C" w:rsidRPr="00F03917">
        <w:t>to derive RSLR projections at 2 k</w:t>
      </w:r>
      <w:r w:rsidR="347A610F" w:rsidRPr="00F03917">
        <w:t>ilo</w:t>
      </w:r>
      <w:r w:rsidR="0DB7D05C" w:rsidRPr="00F03917">
        <w:t>m</w:t>
      </w:r>
      <w:r w:rsidR="7FD1B033" w:rsidRPr="00F03917">
        <w:t>etre</w:t>
      </w:r>
      <w:r w:rsidR="0DB7D05C" w:rsidRPr="00F03917">
        <w:t xml:space="preserve"> intervals around the coast of Aotearoa </w:t>
      </w:r>
      <w:r w:rsidR="008F0E83" w:rsidRPr="00F03917">
        <w:t>using satellite-derived VLM rates</w:t>
      </w:r>
      <w:r w:rsidR="0DB7D05C" w:rsidRPr="00F03917">
        <w:t xml:space="preserve"> (</w:t>
      </w:r>
      <w:hyperlink w:anchor="figure9" w:history="1">
        <w:r w:rsidR="0DB7D05C" w:rsidRPr="00F03917">
          <w:rPr>
            <w:rStyle w:val="Hyperlink"/>
          </w:rPr>
          <w:t>figure 9</w:t>
        </w:r>
      </w:hyperlink>
      <w:r w:rsidR="0DB7D05C" w:rsidRPr="00F03917">
        <w:t>)</w:t>
      </w:r>
      <w:r w:rsidR="17062280" w:rsidRPr="00F03917">
        <w:t xml:space="preserve">. </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6FBF9"/>
        <w:tblLook w:val="04A0" w:firstRow="1" w:lastRow="0" w:firstColumn="1" w:lastColumn="0" w:noHBand="0" w:noVBand="1"/>
      </w:tblPr>
      <w:tblGrid>
        <w:gridCol w:w="8505"/>
      </w:tblGrid>
      <w:tr w:rsidR="000745EC" w:rsidRPr="00F03917" w14:paraId="644DC58C" w14:textId="77777777" w:rsidTr="00E001E9">
        <w:tc>
          <w:tcPr>
            <w:tcW w:w="8505" w:type="dxa"/>
            <w:tcBorders>
              <w:top w:val="single" w:sz="4" w:space="0" w:color="1B556B" w:themeColor="text2"/>
              <w:left w:val="single" w:sz="4" w:space="0" w:color="1B556B" w:themeColor="text2"/>
              <w:bottom w:val="nil"/>
              <w:right w:val="single" w:sz="4" w:space="0" w:color="1B556B" w:themeColor="text2"/>
            </w:tcBorders>
            <w:shd w:val="clear" w:color="auto" w:fill="1B556B" w:themeFill="text2"/>
            <w:vAlign w:val="center"/>
          </w:tcPr>
          <w:p w14:paraId="2B2C79EA" w14:textId="37452C71" w:rsidR="000745EC" w:rsidRPr="00F03917" w:rsidDel="00D5390D" w:rsidRDefault="000745EC" w:rsidP="00CC3391">
            <w:pPr>
              <w:pStyle w:val="Casestudyheading"/>
            </w:pPr>
            <w:bookmarkStart w:id="57" w:name="box4"/>
            <w:r w:rsidRPr="00F03917">
              <w:t xml:space="preserve">: </w:t>
            </w:r>
            <w:bookmarkEnd w:id="57"/>
            <w:r w:rsidRPr="00F03917">
              <w:t>NZ</w:t>
            </w:r>
            <w:r w:rsidR="00E45BDF" w:rsidRPr="00F03917">
              <w:t xml:space="preserve"> </w:t>
            </w:r>
            <w:r w:rsidRPr="00F03917">
              <w:t xml:space="preserve">SeaRise </w:t>
            </w:r>
            <w:r w:rsidR="00FC483F" w:rsidRPr="00F03917">
              <w:t>Relative Sea</w:t>
            </w:r>
            <w:r w:rsidR="00371669" w:rsidRPr="00F03917">
              <w:t>-</w:t>
            </w:r>
            <w:r w:rsidR="00FC483F" w:rsidRPr="00F03917">
              <w:t xml:space="preserve">Level RISE projections </w:t>
            </w:r>
          </w:p>
        </w:tc>
      </w:tr>
      <w:tr w:rsidR="000745EC" w:rsidRPr="00F03917" w14:paraId="6D680927" w14:textId="77777777" w:rsidTr="00E001E9">
        <w:tc>
          <w:tcPr>
            <w:tcW w:w="8505" w:type="dxa"/>
            <w:tcBorders>
              <w:top w:val="nil"/>
              <w:left w:val="single" w:sz="4" w:space="0" w:color="D2DDE1" w:themeColor="background2"/>
              <w:bottom w:val="single" w:sz="4" w:space="0" w:color="D2DDE1" w:themeColor="background2"/>
              <w:right w:val="single" w:sz="4" w:space="0" w:color="D2DDE1" w:themeColor="background2"/>
            </w:tcBorders>
            <w:shd w:val="clear" w:color="auto" w:fill="D2DDE1" w:themeFill="background2"/>
          </w:tcPr>
          <w:p w14:paraId="065D0DAD" w14:textId="40C631E1" w:rsidR="00782EA2" w:rsidRPr="00F03917" w:rsidRDefault="1B04F636" w:rsidP="00C94549">
            <w:pPr>
              <w:pStyle w:val="Boxtext"/>
              <w:spacing w:after="80"/>
              <w:rPr>
                <w:spacing w:val="-2"/>
              </w:rPr>
            </w:pPr>
            <w:r w:rsidRPr="00F03917">
              <w:t>The</w:t>
            </w:r>
            <w:r w:rsidR="6B1B0259" w:rsidRPr="00F03917">
              <w:t xml:space="preserve"> NZ</w:t>
            </w:r>
            <w:r w:rsidR="6C641F3D" w:rsidRPr="00F03917">
              <w:t xml:space="preserve"> </w:t>
            </w:r>
            <w:r w:rsidR="6B1B0259" w:rsidRPr="00F03917">
              <w:t>SeaRise research programme updated Aotearoa New Zealand sea-level rise</w:t>
            </w:r>
            <w:r w:rsidR="007846CC" w:rsidRPr="00F03917">
              <w:t xml:space="preserve"> (SLR)</w:t>
            </w:r>
            <w:r w:rsidR="6B1B0259" w:rsidRPr="00F03917">
              <w:t xml:space="preserve"> projections </w:t>
            </w:r>
            <w:r w:rsidR="67C8600C" w:rsidRPr="00F03917">
              <w:t>in</w:t>
            </w:r>
            <w:r w:rsidR="05FEC183" w:rsidRPr="00F03917">
              <w:t xml:space="preserve"> </w:t>
            </w:r>
            <w:r w:rsidR="6B1B0259" w:rsidRPr="00F03917">
              <w:t>May 2022</w:t>
            </w:r>
            <w:r w:rsidR="00B227DD" w:rsidRPr="00F03917">
              <w:t xml:space="preserve"> </w:t>
            </w:r>
            <w:r w:rsidR="007452E8" w:rsidRPr="00F03917">
              <w:t>(Naish et al</w:t>
            </w:r>
            <w:r w:rsidR="00E848B6" w:rsidRPr="00F03917">
              <w:t>,</w:t>
            </w:r>
            <w:r w:rsidR="007452E8" w:rsidRPr="00F03917">
              <w:t xml:space="preserve"> in review)</w:t>
            </w:r>
            <w:r w:rsidR="6B1B0259" w:rsidRPr="00F03917">
              <w:t xml:space="preserve">. </w:t>
            </w:r>
            <w:r w:rsidR="00677C71" w:rsidRPr="00F03917">
              <w:t>The NZ</w:t>
            </w:r>
            <w:r w:rsidR="009B5EC7" w:rsidRPr="00F03917">
              <w:t xml:space="preserve"> </w:t>
            </w:r>
            <w:r w:rsidR="00677C71" w:rsidRPr="00F03917">
              <w:t xml:space="preserve">SeaRise method is based on the same </w:t>
            </w:r>
            <w:r w:rsidR="002102D1" w:rsidRPr="00F03917">
              <w:t>‘Framework for Assessing Changes to Sea-</w:t>
            </w:r>
            <w:r w:rsidR="000F5EDC" w:rsidRPr="00F03917">
              <w:t>level</w:t>
            </w:r>
            <w:r w:rsidR="0094051B" w:rsidRPr="00F03917">
              <w:t>’ (</w:t>
            </w:r>
            <w:r w:rsidR="00677C71" w:rsidRPr="00F03917">
              <w:t>FACTS</w:t>
            </w:r>
            <w:r w:rsidR="0094051B" w:rsidRPr="00F03917">
              <w:t>)</w:t>
            </w:r>
            <w:r w:rsidR="00677C71" w:rsidRPr="00F03917">
              <w:t xml:space="preserve"> framework that was used to generate the </w:t>
            </w:r>
            <w:r w:rsidR="00BF2571" w:rsidRPr="00F03917">
              <w:t xml:space="preserve">2021 Intergovernmental Panel on Climate Change </w:t>
            </w:r>
            <w:r w:rsidR="00286014" w:rsidRPr="00F03917">
              <w:t>(IPCC)</w:t>
            </w:r>
            <w:r w:rsidR="00BF2571" w:rsidRPr="00F03917">
              <w:t xml:space="preserve"> Sixth Assessment Report (AR6) </w:t>
            </w:r>
            <w:r w:rsidR="00677C71" w:rsidRPr="00F03917">
              <w:t>global and regional SLR projections (Fox-Kemper et al, 2021; Kopp et al, 2023</w:t>
            </w:r>
            <w:r w:rsidR="001D7340" w:rsidRPr="00F03917">
              <w:t>; Naish et al, in review</w:t>
            </w:r>
            <w:r w:rsidR="00677C71" w:rsidRPr="00F03917">
              <w:t xml:space="preserve">). </w:t>
            </w:r>
            <w:r w:rsidR="6B1B0259" w:rsidRPr="00F03917">
              <w:t>The</w:t>
            </w:r>
            <w:r w:rsidR="00BF233C" w:rsidRPr="00F03917">
              <w:t xml:space="preserve"> NZ SeaRise</w:t>
            </w:r>
            <w:r w:rsidR="6B1B0259" w:rsidRPr="00F03917">
              <w:t xml:space="preserve"> projections combine the </w:t>
            </w:r>
            <w:r w:rsidR="7BE209D7" w:rsidRPr="00F03917">
              <w:t>output from the probab</w:t>
            </w:r>
            <w:r w:rsidR="09DBA7F7" w:rsidRPr="00F03917">
              <w:t>ilistic sea</w:t>
            </w:r>
            <w:r w:rsidR="6F573094" w:rsidRPr="00F03917">
              <w:t>-</w:t>
            </w:r>
            <w:r w:rsidR="09DBA7F7" w:rsidRPr="00F03917">
              <w:t xml:space="preserve">level projection methodology used for the </w:t>
            </w:r>
            <w:r w:rsidR="6B1B0259" w:rsidRPr="00F03917">
              <w:t xml:space="preserve">AR6 </w:t>
            </w:r>
            <w:r w:rsidR="000171D3" w:rsidRPr="00F03917">
              <w:t>SLR</w:t>
            </w:r>
            <w:r w:rsidR="6B1B0259" w:rsidRPr="00F03917">
              <w:t xml:space="preserve"> </w:t>
            </w:r>
            <w:r w:rsidR="224BFF3B" w:rsidRPr="00F03917">
              <w:t>projections</w:t>
            </w:r>
            <w:r w:rsidR="00F2792E" w:rsidRPr="00F03917">
              <w:t xml:space="preserve"> for the seas around Ao</w:t>
            </w:r>
            <w:r w:rsidR="009C2AF3" w:rsidRPr="00F03917">
              <w:t>tearoa</w:t>
            </w:r>
            <w:r w:rsidR="6B1B0259" w:rsidRPr="00F03917">
              <w:t xml:space="preserve"> with</w:t>
            </w:r>
            <w:r w:rsidR="0015636A" w:rsidRPr="00F03917">
              <w:t xml:space="preserve"> </w:t>
            </w:r>
            <w:r w:rsidR="001B1999" w:rsidRPr="00F03917">
              <w:t>vertical land movement</w:t>
            </w:r>
            <w:r w:rsidR="006D6DB0" w:rsidRPr="00F03917">
              <w:t xml:space="preserve"> (</w:t>
            </w:r>
            <w:r w:rsidR="00FF1DDA" w:rsidRPr="00F03917">
              <w:t>VLM</w:t>
            </w:r>
            <w:r w:rsidR="006D6DB0" w:rsidRPr="00F03917">
              <w:t>)</w:t>
            </w:r>
            <w:r w:rsidR="00FF1DDA" w:rsidRPr="00F03917">
              <w:t xml:space="preserve"> rates gridded from high-resolution interferometric synthetic aperture radar (InSAR) satellite measurements</w:t>
            </w:r>
            <w:r w:rsidR="00EB3E0C" w:rsidRPr="00F03917">
              <w:t xml:space="preserve"> (</w:t>
            </w:r>
            <w:hyperlink w:anchor="figure9" w:history="1">
              <w:r w:rsidR="00EB3E0C" w:rsidRPr="00F03917">
                <w:rPr>
                  <w:rStyle w:val="Hyperlink"/>
                </w:rPr>
                <w:t>figure 9</w:t>
              </w:r>
            </w:hyperlink>
            <w:r w:rsidR="00EB3E0C" w:rsidRPr="00F03917">
              <w:t>)</w:t>
            </w:r>
            <w:r w:rsidR="55725573" w:rsidRPr="00F03917">
              <w:t>.</w:t>
            </w:r>
            <w:r w:rsidR="6B1B0259" w:rsidRPr="00F03917">
              <w:t xml:space="preserve"> The result is </w:t>
            </w:r>
            <w:r w:rsidR="006C01F4" w:rsidRPr="00F03917">
              <w:t xml:space="preserve">projections at a 2 kilometre spacing </w:t>
            </w:r>
            <w:r w:rsidR="1C2F6EAB" w:rsidRPr="00F03917">
              <w:t xml:space="preserve">across </w:t>
            </w:r>
            <w:r w:rsidR="00CA473B" w:rsidRPr="00F03917">
              <w:t xml:space="preserve">a range of </w:t>
            </w:r>
            <w:r w:rsidR="00277D45" w:rsidRPr="00F03917">
              <w:t xml:space="preserve">plausible </w:t>
            </w:r>
            <w:r w:rsidR="1C2F6EAB" w:rsidRPr="00F03917">
              <w:t xml:space="preserve">climate </w:t>
            </w:r>
            <w:r w:rsidR="1C2F6EAB" w:rsidRPr="00F03917">
              <w:rPr>
                <w:spacing w:val="-2"/>
              </w:rPr>
              <w:t>scenarios are now available for</w:t>
            </w:r>
            <w:r w:rsidR="4A6B73E4" w:rsidRPr="00F03917">
              <w:rPr>
                <w:spacing w:val="-2"/>
              </w:rPr>
              <w:t xml:space="preserve"> </w:t>
            </w:r>
            <w:r w:rsidR="00F0735D" w:rsidRPr="00F03917">
              <w:rPr>
                <w:spacing w:val="-2"/>
              </w:rPr>
              <w:t xml:space="preserve">SLR and </w:t>
            </w:r>
            <w:r w:rsidR="6B1B0259" w:rsidRPr="00F03917">
              <w:rPr>
                <w:spacing w:val="-2"/>
              </w:rPr>
              <w:t xml:space="preserve">relative </w:t>
            </w:r>
            <w:r w:rsidR="008B20FB" w:rsidRPr="00F03917">
              <w:rPr>
                <w:spacing w:val="-2"/>
              </w:rPr>
              <w:t xml:space="preserve">sea-level </w:t>
            </w:r>
            <w:r w:rsidR="00EB117C" w:rsidRPr="00F03917">
              <w:rPr>
                <w:spacing w:val="-2"/>
              </w:rPr>
              <w:t>rise</w:t>
            </w:r>
            <w:r w:rsidR="6B1B0259" w:rsidRPr="00F03917">
              <w:rPr>
                <w:spacing w:val="-2"/>
              </w:rPr>
              <w:t xml:space="preserve"> (RSLR)</w:t>
            </w:r>
            <w:r w:rsidR="00BD08E4" w:rsidRPr="00F03917">
              <w:rPr>
                <w:spacing w:val="-2"/>
              </w:rPr>
              <w:t xml:space="preserve"> around the Aotearoa coast.</w:t>
            </w:r>
            <w:r w:rsidR="6B1B0259" w:rsidRPr="00F03917">
              <w:rPr>
                <w:spacing w:val="-2"/>
              </w:rPr>
              <w:t xml:space="preserve"> </w:t>
            </w:r>
          </w:p>
          <w:p w14:paraId="7A2D71C2" w14:textId="28DEC86E" w:rsidR="00284FFD" w:rsidRPr="00F03917" w:rsidRDefault="00C94549" w:rsidP="00C94549">
            <w:pPr>
              <w:pStyle w:val="Boxtext"/>
              <w:spacing w:after="80"/>
            </w:pPr>
            <w:r w:rsidRPr="00F03917">
              <w:t>The VLM estimates are based on the analysis of historical InSAR observations collected by the European Space Agency’s Envisat satellite between 2003 and 2011 (Hamling et al, 2022). T</w:t>
            </w:r>
            <w:r w:rsidR="006C1756" w:rsidRPr="00F03917">
              <w:t>h</w:t>
            </w:r>
            <w:r w:rsidR="00C810C5" w:rsidRPr="00F03917">
              <w:t>is</w:t>
            </w:r>
            <w:r w:rsidR="006C1756" w:rsidRPr="00F03917">
              <w:t xml:space="preserve"> period was used</w:t>
            </w:r>
            <w:r w:rsidR="003E0FCF" w:rsidRPr="00F03917">
              <w:t xml:space="preserve"> t</w:t>
            </w:r>
            <w:r w:rsidRPr="00F03917">
              <w:t xml:space="preserve">o reduce the temporal influences of </w:t>
            </w:r>
            <w:r w:rsidR="029DC112" w:rsidRPr="00F03917">
              <w:t>recent major</w:t>
            </w:r>
            <w:r w:rsidRPr="00F03917">
              <w:t xml:space="preserve"> earthquakes on long-term rates, </w:t>
            </w:r>
            <w:r w:rsidR="71B1CC73" w:rsidRPr="00F03917">
              <w:t>because</w:t>
            </w:r>
            <w:r w:rsidRPr="00F03917">
              <w:t xml:space="preserve"> it preceded </w:t>
            </w:r>
            <w:r w:rsidR="029DC112" w:rsidRPr="00F03917">
              <w:t>most</w:t>
            </w:r>
            <w:r w:rsidRPr="00F03917">
              <w:t xml:space="preserve"> of the </w:t>
            </w:r>
            <w:r w:rsidR="00473ECD" w:rsidRPr="00F03917">
              <w:t>moment magnitude (</w:t>
            </w:r>
            <w:r w:rsidRPr="00F03917">
              <w:t>Mw</w:t>
            </w:r>
            <w:r w:rsidR="00473ECD" w:rsidRPr="00F03917">
              <w:t>)</w:t>
            </w:r>
            <w:r w:rsidRPr="00F03917">
              <w:t xml:space="preserve"> &gt;6 </w:t>
            </w:r>
            <w:r w:rsidR="029DC112" w:rsidRPr="00F03917">
              <w:t>events</w:t>
            </w:r>
            <w:r w:rsidRPr="00F03917">
              <w:t xml:space="preserve"> that struck </w:t>
            </w:r>
            <w:r w:rsidR="50F78724" w:rsidRPr="00F03917">
              <w:t xml:space="preserve">Aotearoa </w:t>
            </w:r>
            <w:r w:rsidRPr="00F03917">
              <w:t>since late 2009</w:t>
            </w:r>
            <w:r w:rsidR="00B22F4F" w:rsidRPr="00F03917">
              <w:t xml:space="preserve">. </w:t>
            </w:r>
            <w:r w:rsidRPr="00F03917">
              <w:t>Th</w:t>
            </w:r>
            <w:r w:rsidR="003F113A" w:rsidRPr="00F03917">
              <w:t>is</w:t>
            </w:r>
            <w:r w:rsidRPr="00F03917">
              <w:t xml:space="preserve"> inter-seismic rate</w:t>
            </w:r>
            <w:r w:rsidR="2C1FD05C" w:rsidRPr="00F03917">
              <w:t xml:space="preserve"> (with an uncertainty band)</w:t>
            </w:r>
            <w:r w:rsidRPr="00F03917">
              <w:t xml:space="preserve"> </w:t>
            </w:r>
            <w:r w:rsidR="007210E9" w:rsidRPr="00F03917">
              <w:t>wa</w:t>
            </w:r>
            <w:r w:rsidRPr="00F03917">
              <w:t xml:space="preserve">s considered appropriate for the extrapolation of </w:t>
            </w:r>
            <w:r w:rsidR="004A1FB4" w:rsidRPr="00F03917">
              <w:t>satellite</w:t>
            </w:r>
            <w:r w:rsidR="0012797A" w:rsidRPr="00F03917">
              <w:t>-</w:t>
            </w:r>
            <w:r w:rsidR="004A1FB4" w:rsidRPr="00F03917">
              <w:t xml:space="preserve">derived </w:t>
            </w:r>
            <w:r w:rsidRPr="00F03917">
              <w:t>VLM used in the RSLR projections, because over the next 100 years the probability of a high-magnitude earthquake at any location with large local vertical land displacement is low due to the historic length of the earthquake cycle (Beavan and Litchfield, 2012).</w:t>
            </w:r>
            <w:r w:rsidR="009C525D" w:rsidRPr="00F03917">
              <w:t xml:space="preserve"> </w:t>
            </w:r>
          </w:p>
          <w:p w14:paraId="34F624A8" w14:textId="12BCEB3B" w:rsidR="003F0815" w:rsidRPr="00F03917" w:rsidRDefault="00124801" w:rsidP="00A550A5">
            <w:pPr>
              <w:pStyle w:val="Boxtext"/>
              <w:spacing w:after="80"/>
            </w:pPr>
            <w:r w:rsidRPr="00F03917">
              <w:t xml:space="preserve">However, the </w:t>
            </w:r>
            <w:r w:rsidR="002B5718" w:rsidRPr="00F03917">
              <w:t>satellite</w:t>
            </w:r>
            <w:r w:rsidR="00DA7474" w:rsidRPr="00F03917">
              <w:t>-</w:t>
            </w:r>
            <w:r w:rsidR="002B5718" w:rsidRPr="00F03917">
              <w:t>derived</w:t>
            </w:r>
            <w:r w:rsidRPr="00F03917">
              <w:t xml:space="preserve"> </w:t>
            </w:r>
            <w:r w:rsidR="33E57A19" w:rsidRPr="00F03917">
              <w:t>VLM estimates</w:t>
            </w:r>
            <w:r w:rsidRPr="00F03917">
              <w:t xml:space="preserve"> may not </w:t>
            </w:r>
            <w:r w:rsidR="33E57A19" w:rsidRPr="00F03917">
              <w:t>reflect</w:t>
            </w:r>
            <w:r w:rsidR="5F6D99B8" w:rsidRPr="00F03917">
              <w:t xml:space="preserve"> the actual or ongoing rates</w:t>
            </w:r>
            <w:r w:rsidR="5E5526FD" w:rsidRPr="00F03917">
              <w:t xml:space="preserve"> </w:t>
            </w:r>
            <w:r w:rsidR="00293ACB" w:rsidRPr="00F03917">
              <w:t>for areas</w:t>
            </w:r>
            <w:r w:rsidR="00AA1562" w:rsidRPr="00F03917">
              <w:t xml:space="preserve"> </w:t>
            </w:r>
            <w:r w:rsidR="799BC00F" w:rsidRPr="00F03917">
              <w:t>that</w:t>
            </w:r>
            <w:r w:rsidR="00AA1562" w:rsidRPr="00F03917">
              <w:t xml:space="preserve"> have experienced post</w:t>
            </w:r>
            <w:r w:rsidR="005F1953" w:rsidRPr="00F03917">
              <w:t xml:space="preserve">-seismic </w:t>
            </w:r>
            <w:r w:rsidR="007F7889" w:rsidRPr="00F03917">
              <w:t>event deformation</w:t>
            </w:r>
            <w:r w:rsidR="004E0A56" w:rsidRPr="00F03917">
              <w:t xml:space="preserve"> or for </w:t>
            </w:r>
            <w:r w:rsidR="003F3753" w:rsidRPr="00F03917">
              <w:t xml:space="preserve">localised areas with </w:t>
            </w:r>
            <w:r w:rsidR="00603470" w:rsidRPr="00F03917">
              <w:t xml:space="preserve">high </w:t>
            </w:r>
            <w:r w:rsidR="00F33232" w:rsidRPr="00F03917">
              <w:t xml:space="preserve">spatial and/or temporal </w:t>
            </w:r>
            <w:r w:rsidR="00603470" w:rsidRPr="00F03917">
              <w:t xml:space="preserve">variability. </w:t>
            </w:r>
            <w:r w:rsidR="00167B0A" w:rsidRPr="00F03917">
              <w:t>L</w:t>
            </w:r>
            <w:r w:rsidR="00C94549" w:rsidRPr="00F03917">
              <w:t>arge post-seism</w:t>
            </w:r>
            <w:r w:rsidR="00587BF3" w:rsidRPr="00F03917">
              <w:t>ic</w:t>
            </w:r>
            <w:r w:rsidR="00083D10" w:rsidRPr="00F03917">
              <w:t xml:space="preserve"> </w:t>
            </w:r>
            <w:r w:rsidR="00C94549" w:rsidRPr="00F03917">
              <w:t>deformation may follow a major event, temporarily amplifying the local VLM before returning to inter-seismic rates in as little as 10</w:t>
            </w:r>
            <w:r w:rsidR="00F82C9C" w:rsidRPr="00F03917">
              <w:t> </w:t>
            </w:r>
            <w:r w:rsidR="00C94549" w:rsidRPr="00F03917">
              <w:t>years (Hamling et al, 2017; Hussain et al, 2018).</w:t>
            </w:r>
            <w:r w:rsidR="007920C5" w:rsidRPr="00F03917">
              <w:t xml:space="preserve"> </w:t>
            </w:r>
            <w:r w:rsidR="003B2400" w:rsidRPr="00F03917">
              <w:t>Seismic hazard risk (Stirling et al, 2012) and the potential for rapid subsidence and/or uplift, while difficult to forecast, are always a possibility.</w:t>
            </w:r>
            <w:r w:rsidR="007920C5" w:rsidRPr="00F03917">
              <w:t xml:space="preserve"> </w:t>
            </w:r>
            <w:r w:rsidR="002D4667" w:rsidRPr="00F03917">
              <w:t xml:space="preserve">Also, </w:t>
            </w:r>
            <w:r w:rsidR="1B486C2F" w:rsidRPr="00F03917">
              <w:t>VLM</w:t>
            </w:r>
            <w:r w:rsidR="007920C5" w:rsidRPr="00F03917">
              <w:t xml:space="preserve"> in some locations can be highly variable within a 2 </w:t>
            </w:r>
            <w:r w:rsidR="1B486C2F" w:rsidRPr="00F03917">
              <w:t>k</w:t>
            </w:r>
            <w:r w:rsidR="1119F099" w:rsidRPr="00F03917">
              <w:t>ilo</w:t>
            </w:r>
            <w:r w:rsidR="1B486C2F" w:rsidRPr="00F03917">
              <w:t>m</w:t>
            </w:r>
            <w:r w:rsidR="5234D91F" w:rsidRPr="00F03917">
              <w:t>etre</w:t>
            </w:r>
            <w:r w:rsidR="007920C5" w:rsidRPr="00F03917">
              <w:t xml:space="preserve"> radius</w:t>
            </w:r>
            <w:r w:rsidR="007E3B05" w:rsidRPr="00F03917">
              <w:t>,</w:t>
            </w:r>
            <w:r w:rsidR="007920C5" w:rsidRPr="00F03917">
              <w:t xml:space="preserve"> </w:t>
            </w:r>
            <w:r w:rsidR="007E3B05" w:rsidRPr="00F03917">
              <w:t>i</w:t>
            </w:r>
            <w:r w:rsidR="007920C5" w:rsidRPr="00F03917">
              <w:t xml:space="preserve">f there is local subsidence due to compaction of reclaimed land or groundwater </w:t>
            </w:r>
            <w:r w:rsidR="2FA3DC61" w:rsidRPr="00F03917">
              <w:t>extraction</w:t>
            </w:r>
            <w:r w:rsidR="001068D4" w:rsidRPr="00F03917">
              <w:t>,</w:t>
            </w:r>
            <w:r w:rsidR="007920C5" w:rsidRPr="00F03917">
              <w:t xml:space="preserve"> or the region sits across a tectonic boundary</w:t>
            </w:r>
            <w:r w:rsidR="00AB4ED4" w:rsidRPr="00F03917">
              <w:t xml:space="preserve"> (</w:t>
            </w:r>
            <w:r w:rsidR="72DC7ADC" w:rsidRPr="00F03917">
              <w:t>eg,</w:t>
            </w:r>
            <w:r w:rsidR="00AB52EB" w:rsidRPr="00F03917">
              <w:t xml:space="preserve"> Thames </w:t>
            </w:r>
            <w:r w:rsidR="06976B97" w:rsidRPr="00F03917">
              <w:t>township</w:t>
            </w:r>
            <w:r w:rsidR="72DC7ADC" w:rsidRPr="00F03917">
              <w:t>’s reclaimed coastal margin</w:t>
            </w:r>
            <w:r w:rsidR="3324A1CA" w:rsidRPr="00F03917">
              <w:t>)</w:t>
            </w:r>
            <w:r w:rsidR="3A0F0F59" w:rsidRPr="00F03917">
              <w:t>.</w:t>
            </w:r>
            <w:r w:rsidR="06976B97" w:rsidRPr="00F03917">
              <w:t xml:space="preserve"> </w:t>
            </w:r>
            <w:r w:rsidR="72DC7ADC" w:rsidRPr="00F03917">
              <w:t>In these cases, the spatial averaged 2 k</w:t>
            </w:r>
            <w:r w:rsidR="0A7B0644" w:rsidRPr="00F03917">
              <w:t>ilo</w:t>
            </w:r>
            <w:r w:rsidR="72DC7ADC" w:rsidRPr="00F03917">
              <w:t>m</w:t>
            </w:r>
            <w:r w:rsidR="5C07DB65" w:rsidRPr="00F03917">
              <w:t>etre</w:t>
            </w:r>
            <w:r w:rsidR="72DC7ADC" w:rsidRPr="00F03917">
              <w:t xml:space="preserve"> RSLR projections may not reflect localised </w:t>
            </w:r>
            <w:r w:rsidR="00074C14" w:rsidRPr="00F03917">
              <w:t>VLM rates in coastal margins.</w:t>
            </w:r>
            <w:r w:rsidR="06976B97" w:rsidRPr="00F03917">
              <w:t xml:space="preserve"> </w:t>
            </w:r>
          </w:p>
          <w:p w14:paraId="307B16CE" w14:textId="1F69634C" w:rsidR="00A11BAA" w:rsidRPr="00F03917" w:rsidRDefault="006A6DCF" w:rsidP="0071758A">
            <w:pPr>
              <w:pStyle w:val="Boxtext"/>
              <w:spacing w:after="80"/>
            </w:pPr>
            <w:r w:rsidRPr="00F03917">
              <w:t>The NZ SeaRise method is the only approach currently available for estimating RSLR around the entire Aotearoa coast under a range of plausible future climate change scenarios</w:t>
            </w:r>
            <w:r w:rsidR="00DA4315" w:rsidRPr="00F03917">
              <w:t xml:space="preserve"> (Naish et al, in review)</w:t>
            </w:r>
            <w:r w:rsidRPr="00F03917">
              <w:t xml:space="preserve">. </w:t>
            </w:r>
            <w:r w:rsidR="00A11BAA" w:rsidRPr="00F03917">
              <w:t xml:space="preserve">Over time, new information comprising updated monitoring of </w:t>
            </w:r>
            <w:r w:rsidR="00CF5B88" w:rsidRPr="00F03917">
              <w:t>mean sea level</w:t>
            </w:r>
            <w:r w:rsidR="00A11BAA" w:rsidRPr="00F03917">
              <w:t xml:space="preserve"> and VLM, the next tranche of climate scenarios and associated SLR projections or VLM changes</w:t>
            </w:r>
            <w:r w:rsidR="003D56BF" w:rsidRPr="00F03917">
              <w:t>,</w:t>
            </w:r>
            <w:r w:rsidR="00A11BAA" w:rsidRPr="00F03917">
              <w:t xml:space="preserve"> or if a major earthquake occurs, will become available. Improvements to the NZ SeaRise projections with new VLM and other data are already signalled, and</w:t>
            </w:r>
            <w:r w:rsidR="003D56BF" w:rsidRPr="00F03917">
              <w:t>,</w:t>
            </w:r>
            <w:r w:rsidR="00A11BAA" w:rsidRPr="00F03917">
              <w:t xml:space="preserve"> as projections evolve</w:t>
            </w:r>
            <w:r w:rsidR="003D56BF" w:rsidRPr="00F03917">
              <w:t>,</w:t>
            </w:r>
            <w:r w:rsidR="00A11BAA" w:rsidRPr="00F03917">
              <w:t xml:space="preserve"> the NZ SeaRise platform will be updated (Levy et al, 2023). Further, Land Information New Zealand is set to establish a</w:t>
            </w:r>
            <w:r w:rsidR="00D04224" w:rsidRPr="00F03917">
              <w:t>nother</w:t>
            </w:r>
            <w:r w:rsidR="00A11BAA" w:rsidRPr="00F03917" w:rsidDel="00D04224">
              <w:t xml:space="preserve"> </w:t>
            </w:r>
            <w:r w:rsidR="00A11BAA" w:rsidRPr="00F03917">
              <w:t xml:space="preserve">six </w:t>
            </w:r>
            <w:r w:rsidR="009D1AC2" w:rsidRPr="00F03917">
              <w:t>g</w:t>
            </w:r>
            <w:r w:rsidR="00B74830" w:rsidRPr="00F03917">
              <w:t xml:space="preserve">lobal </w:t>
            </w:r>
            <w:r w:rsidR="009D1AC2" w:rsidRPr="00F03917">
              <w:t>n</w:t>
            </w:r>
            <w:r w:rsidR="00B74830" w:rsidRPr="00F03917">
              <w:t xml:space="preserve">avigation </w:t>
            </w:r>
            <w:r w:rsidR="009D1AC2" w:rsidRPr="00F03917">
              <w:t>s</w:t>
            </w:r>
            <w:r w:rsidR="00B74830" w:rsidRPr="00F03917">
              <w:t xml:space="preserve">atellite </w:t>
            </w:r>
            <w:r w:rsidR="009D1AC2" w:rsidRPr="00F03917">
              <w:t>s</w:t>
            </w:r>
            <w:r w:rsidR="00B74830" w:rsidRPr="00F03917">
              <w:t>ystem</w:t>
            </w:r>
            <w:r w:rsidR="00A11BAA" w:rsidRPr="00F03917">
              <w:t xml:space="preserve"> stations co-located through Action 3.23 of the </w:t>
            </w:r>
            <w:r w:rsidR="00187510" w:rsidRPr="00F03917">
              <w:t>n</w:t>
            </w:r>
            <w:r w:rsidR="00A11BAA" w:rsidRPr="00F03917">
              <w:t xml:space="preserve">ational </w:t>
            </w:r>
            <w:r w:rsidR="00187510" w:rsidRPr="00F03917">
              <w:t>a</w:t>
            </w:r>
            <w:r w:rsidR="00A11BAA" w:rsidRPr="00F03917">
              <w:t xml:space="preserve">daptation </w:t>
            </w:r>
            <w:r w:rsidR="00187510" w:rsidRPr="00F03917">
              <w:t>p</w:t>
            </w:r>
            <w:r w:rsidR="00A11BAA" w:rsidRPr="00F03917">
              <w:t>lan (MfE, 2022a)</w:t>
            </w:r>
            <w:r w:rsidR="00187510" w:rsidRPr="00F03917">
              <w:t>,</w:t>
            </w:r>
            <w:r w:rsidR="0002499B" w:rsidRPr="00F03917">
              <w:t xml:space="preserve"> which will result in improved measures of sea level</w:t>
            </w:r>
            <w:r w:rsidR="00A11BAA" w:rsidRPr="00F03917">
              <w:t xml:space="preserve">. </w:t>
            </w:r>
          </w:p>
          <w:p w14:paraId="3FF480BB" w14:textId="279BD28E" w:rsidR="001B1368" w:rsidRPr="00F03917" w:rsidRDefault="001B1368" w:rsidP="001B1368">
            <w:pPr>
              <w:pStyle w:val="Boxtext"/>
              <w:spacing w:after="80"/>
            </w:pPr>
            <w:r w:rsidRPr="00F03917">
              <w:t>Using environmental models</w:t>
            </w:r>
            <w:r w:rsidR="00521B0E" w:rsidRPr="00F03917">
              <w:t>,</w:t>
            </w:r>
            <w:r w:rsidRPr="00F03917">
              <w:t xml:space="preserve"> or approaches like NZ SeaRise, which are emerging science or contain uncertainties is appropriate for providing insight into complex systems when they represent the only available information (MfE, 2023b). However, because of the uncertainty associated with them, it is recommended </w:t>
            </w:r>
            <w:r w:rsidR="00256C22" w:rsidRPr="00F03917">
              <w:t xml:space="preserve">that </w:t>
            </w:r>
            <w:r w:rsidRPr="00F03917">
              <w:t xml:space="preserve">they are used alongside multiple sources of information (MfE, 2023b). Therefore, because of the uncertainty associated with satellite derived VLM rates from the NZ SeaRise method, a multi-evidence approach is recommended </w:t>
            </w:r>
            <w:r w:rsidRPr="00F03917">
              <w:lastRenderedPageBreak/>
              <w:t>for assessing RSLR. These should be used alongside a DAPP approach</w:t>
            </w:r>
            <w:r w:rsidR="006F4549" w:rsidRPr="00F03917">
              <w:t>,</w:t>
            </w:r>
            <w:r w:rsidRPr="00F03917">
              <w:t xml:space="preserve"> which allows for adjusting pathways as new information emerges.</w:t>
            </w:r>
          </w:p>
          <w:p w14:paraId="3EF3A4B7" w14:textId="79DDAF6C" w:rsidR="0052545E" w:rsidRPr="00F03917" w:rsidRDefault="0052545E" w:rsidP="00DD6B9C">
            <w:pPr>
              <w:pStyle w:val="Figureheading"/>
              <w:rPr>
                <w:color w:val="1B556B" w:themeColor="text2"/>
              </w:rPr>
            </w:pPr>
            <w:bookmarkStart w:id="58" w:name="figure9"/>
            <w:bookmarkStart w:id="59" w:name="_Toc160098424"/>
            <w:r w:rsidRPr="00F03917">
              <w:rPr>
                <w:color w:val="1B556B" w:themeColor="text2"/>
              </w:rPr>
              <w:t>Figure 9:</w:t>
            </w:r>
            <w:bookmarkEnd w:id="58"/>
            <w:r w:rsidRPr="00F03917">
              <w:rPr>
                <w:color w:val="1B556B" w:themeColor="text2"/>
              </w:rPr>
              <w:t xml:space="preserve"> </w:t>
            </w:r>
            <w:r w:rsidR="006258D2" w:rsidRPr="00F03917">
              <w:tab/>
            </w:r>
            <w:r w:rsidRPr="00F03917">
              <w:rPr>
                <w:color w:val="1B556B" w:themeColor="text2"/>
              </w:rPr>
              <w:t>Averaged coastal vertical land movement around Aotearoa New Zealand</w:t>
            </w:r>
            <w:bookmarkEnd w:id="59"/>
            <w:r w:rsidRPr="00F03917">
              <w:rPr>
                <w:color w:val="1B556B" w:themeColor="text2"/>
              </w:rPr>
              <w:t xml:space="preserve"> </w:t>
            </w:r>
          </w:p>
          <w:p w14:paraId="2402C8B7" w14:textId="77777777" w:rsidR="0052545E" w:rsidRPr="00F03917" w:rsidRDefault="0052545E" w:rsidP="00F82C9C">
            <w:pPr>
              <w:pStyle w:val="Boxtext"/>
              <w:jc w:val="center"/>
            </w:pPr>
            <w:r w:rsidRPr="00F03917">
              <w:rPr>
                <w:noProof/>
              </w:rPr>
              <w:drawing>
                <wp:inline distT="0" distB="0" distL="0" distR="0" wp14:anchorId="0753EF8E" wp14:editId="3A19D601">
                  <wp:extent cx="3851037" cy="4865298"/>
                  <wp:effectExtent l="0" t="0" r="0" b="0"/>
                  <wp:docPr id="1547129121" name="Picture 1547129121" descr="A map of New Zealand showing the national distribution of vertical land movement rates in millimetres per year, spaced at 2-kilometre distances along the coas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map of New Zealand showing the national distribution of vertical land movement rates in millimetres per year, spaced at 2-kilometre distances along the coastline."/>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57124" cy="4872988"/>
                          </a:xfrm>
                          <a:prstGeom prst="rect">
                            <a:avLst/>
                          </a:prstGeom>
                          <a:noFill/>
                          <a:ln>
                            <a:noFill/>
                          </a:ln>
                        </pic:spPr>
                      </pic:pic>
                    </a:graphicData>
                  </a:graphic>
                </wp:inline>
              </w:drawing>
            </w:r>
          </w:p>
          <w:p w14:paraId="19DACBDB" w14:textId="77777777" w:rsidR="0052545E" w:rsidRPr="00F03917" w:rsidRDefault="0052545E" w:rsidP="005510D0">
            <w:pPr>
              <w:pStyle w:val="Boxtext"/>
              <w:spacing w:after="0" w:line="220" w:lineRule="atLeast"/>
              <w:rPr>
                <w:sz w:val="16"/>
                <w:szCs w:val="18"/>
              </w:rPr>
            </w:pPr>
            <w:r w:rsidRPr="00F03917">
              <w:rPr>
                <w:sz w:val="16"/>
                <w:szCs w:val="18"/>
              </w:rPr>
              <w:t>Note: The sites are at 2 kilometre spacing. Vertical land movement (VLM) rates are based on the analysis covering the period 2003–11 by Naish et al (in review). Blue areas = subsidence. White areas are neutral. Red/orange areas = uplift. The inset shows the spacing and spatial variability for the greater Wellington region, which is mostly subsiding (excluding major earthquake ruptures).</w:t>
            </w:r>
          </w:p>
          <w:p w14:paraId="5F698033" w14:textId="651D0C50" w:rsidR="0014513C" w:rsidRPr="00F03917" w:rsidRDefault="0052545E" w:rsidP="00F82C9C">
            <w:pPr>
              <w:pStyle w:val="Boxtext"/>
              <w:spacing w:line="240" w:lineRule="auto"/>
              <w:rPr>
                <w:sz w:val="16"/>
                <w:szCs w:val="16"/>
              </w:rPr>
            </w:pPr>
            <w:r w:rsidRPr="00F03917">
              <w:rPr>
                <w:sz w:val="16"/>
                <w:szCs w:val="18"/>
              </w:rPr>
              <w:t>Source: NZ SeaRise platform (</w:t>
            </w:r>
            <w:hyperlink r:id="rId74" w:history="1">
              <w:r w:rsidR="00770D68" w:rsidRPr="00F03917">
                <w:rPr>
                  <w:rStyle w:val="Hyperlink"/>
                  <w:rFonts w:eastAsia="MS Mincho" w:cs="Arial"/>
                  <w:sz w:val="16"/>
                  <w:szCs w:val="18"/>
                </w:rPr>
                <w:t>www.searise.nz/maps-2</w:t>
              </w:r>
            </w:hyperlink>
            <w:r w:rsidRPr="00F03917">
              <w:rPr>
                <w:sz w:val="16"/>
                <w:szCs w:val="18"/>
              </w:rPr>
              <w:t>)</w:t>
            </w:r>
          </w:p>
        </w:tc>
      </w:tr>
    </w:tbl>
    <w:p w14:paraId="4F97ACF8" w14:textId="2C26A3E7" w:rsidR="00E20CC2" w:rsidRPr="00F03917" w:rsidRDefault="00637C44" w:rsidP="00207550">
      <w:pPr>
        <w:pStyle w:val="Heading4"/>
        <w:spacing w:before="360"/>
      </w:pPr>
      <w:bookmarkStart w:id="60" w:name="_5.3_Vertical_land"/>
      <w:bookmarkEnd w:id="60"/>
      <w:r w:rsidRPr="00F03917">
        <w:lastRenderedPageBreak/>
        <w:t xml:space="preserve">Multi-evidence approach for assessing </w:t>
      </w:r>
      <w:r w:rsidR="00D75659" w:rsidRPr="00F03917">
        <w:t xml:space="preserve">relative </w:t>
      </w:r>
      <w:r w:rsidR="000D17CD" w:rsidRPr="00F03917">
        <w:t>sea</w:t>
      </w:r>
      <w:r w:rsidR="00AE6F8C" w:rsidRPr="00F03917">
        <w:t>-</w:t>
      </w:r>
      <w:r w:rsidR="000D17CD" w:rsidRPr="00F03917">
        <w:t>level rise</w:t>
      </w:r>
    </w:p>
    <w:p w14:paraId="22720E33" w14:textId="2CA9DCE6" w:rsidR="00207550" w:rsidRPr="00F03917" w:rsidRDefault="00033CAB" w:rsidP="00E20CC2">
      <w:pPr>
        <w:pStyle w:val="BodyText"/>
      </w:pPr>
      <w:r w:rsidRPr="00F03917">
        <w:t>Aotearoa</w:t>
      </w:r>
      <w:r w:rsidR="007C0DA8" w:rsidRPr="00F03917">
        <w:t xml:space="preserve"> is a tectonically active country straddling the boundaries </w:t>
      </w:r>
      <w:r w:rsidR="00521B37" w:rsidRPr="00F03917">
        <w:t>between the Pacific and Australian</w:t>
      </w:r>
      <w:r w:rsidR="007C0DA8" w:rsidRPr="00F03917">
        <w:t xml:space="preserve"> plates</w:t>
      </w:r>
      <w:r w:rsidR="0087447A" w:rsidRPr="00F03917">
        <w:t>. Parts of the country are uplifting while other</w:t>
      </w:r>
      <w:r w:rsidR="00E53100" w:rsidRPr="00F03917">
        <w:t>s</w:t>
      </w:r>
      <w:r w:rsidR="0087447A" w:rsidRPr="00F03917">
        <w:t xml:space="preserve"> are subsiding. </w:t>
      </w:r>
      <w:r w:rsidR="0058662C" w:rsidRPr="00F03917">
        <w:t>Changing patterns of uplift and subsidence can bring forward o</w:t>
      </w:r>
      <w:r w:rsidR="009F6B52" w:rsidRPr="00F03917">
        <w:t>r</w:t>
      </w:r>
      <w:r w:rsidR="0058662C" w:rsidRPr="00F03917">
        <w:t xml:space="preserve"> push back</w:t>
      </w:r>
      <w:r w:rsidR="00D644C0" w:rsidRPr="00F03917">
        <w:t xml:space="preserve"> timing</w:t>
      </w:r>
      <w:r w:rsidR="00BA5412" w:rsidRPr="00F03917">
        <w:t xml:space="preserve"> of when </w:t>
      </w:r>
      <w:r w:rsidR="00F949E6" w:rsidRPr="00F03917">
        <w:t>project</w:t>
      </w:r>
      <w:r w:rsidR="00C445BC" w:rsidRPr="00F03917">
        <w:t>ions of SLR could occur</w:t>
      </w:r>
      <w:r w:rsidR="004316B7" w:rsidRPr="00F03917">
        <w:t>. Therefore</w:t>
      </w:r>
      <w:r w:rsidR="003017F8" w:rsidRPr="00F03917">
        <w:t>,</w:t>
      </w:r>
      <w:r w:rsidR="004316B7" w:rsidRPr="00F03917">
        <w:t xml:space="preserve"> this guidance recommends using RSLR to account for </w:t>
      </w:r>
      <w:r w:rsidR="00924EF0" w:rsidRPr="00F03917">
        <w:t>VLM</w:t>
      </w:r>
      <w:r w:rsidR="00EB0AEE" w:rsidRPr="00F03917">
        <w:t xml:space="preserve"> to improve </w:t>
      </w:r>
      <w:r w:rsidR="002174E9" w:rsidRPr="00F03917">
        <w:t xml:space="preserve">local </w:t>
      </w:r>
      <w:r w:rsidR="00EB0AEE" w:rsidRPr="00F03917">
        <w:t>estimates of when</w:t>
      </w:r>
      <w:r w:rsidR="006D0F26" w:rsidRPr="00F03917">
        <w:t xml:space="preserve"> climate change induced coastal</w:t>
      </w:r>
      <w:r w:rsidR="00EB0AEE" w:rsidRPr="00F03917">
        <w:t xml:space="preserve"> </w:t>
      </w:r>
      <w:r w:rsidR="009D0CBE" w:rsidRPr="00F03917">
        <w:t>inundation might occur</w:t>
      </w:r>
      <w:r w:rsidR="00924EF0" w:rsidRPr="00F03917">
        <w:t>.</w:t>
      </w:r>
    </w:p>
    <w:p w14:paraId="799A1320" w14:textId="50848A64" w:rsidR="000D46E1" w:rsidRPr="00F03917" w:rsidRDefault="00640B9B" w:rsidP="00E20CC2">
      <w:pPr>
        <w:pStyle w:val="BodyText"/>
      </w:pPr>
      <w:r w:rsidRPr="00F03917">
        <w:t>The NZ SeaRise method is the only approach currently available for estimating RSLR around the entire Aotearoa coast under a range of plausible future climate change scenarios</w:t>
      </w:r>
      <w:r w:rsidR="004C68EB" w:rsidRPr="00F03917">
        <w:t xml:space="preserve"> (Naish et al, in review)</w:t>
      </w:r>
      <w:r w:rsidRPr="00F03917">
        <w:t xml:space="preserve">. Therefore, it represents the best available science for estimating RSLR nationally, although alternative locally monitored estimates of VLM may be available for some locations. However, while the projections are based on the same framework used by the IPCC, the </w:t>
      </w:r>
      <w:r w:rsidRPr="00F03917">
        <w:lastRenderedPageBreak/>
        <w:t xml:space="preserve">satellite-derived estimates of VLM are emerging science and cover a relatively short time period (8 years). </w:t>
      </w:r>
      <w:r w:rsidR="0025420D" w:rsidRPr="00F03917">
        <w:t xml:space="preserve">Over time, new information </w:t>
      </w:r>
      <w:r w:rsidR="00143AD2" w:rsidRPr="00F03917">
        <w:t>will become available</w:t>
      </w:r>
      <w:r w:rsidR="00D07A35" w:rsidRPr="00F03917">
        <w:t xml:space="preserve"> and improvements to </w:t>
      </w:r>
      <w:r w:rsidR="003E36BA" w:rsidRPr="00F03917">
        <w:t xml:space="preserve">methods for estimating </w:t>
      </w:r>
      <w:r w:rsidR="00D07A35" w:rsidRPr="00F03917">
        <w:t>RSLR projections</w:t>
      </w:r>
      <w:r w:rsidR="001A50D4" w:rsidRPr="00F03917">
        <w:t xml:space="preserve"> will occur</w:t>
      </w:r>
      <w:r w:rsidR="009F24AE" w:rsidRPr="00F03917">
        <w:t xml:space="preserve">, </w:t>
      </w:r>
      <w:r w:rsidR="00886725" w:rsidRPr="00F03917">
        <w:t>and some of these have already been signalled (Levy et al, 2023)</w:t>
      </w:r>
      <w:r w:rsidR="0037358E" w:rsidRPr="00F03917">
        <w:t xml:space="preserve"> (</w:t>
      </w:r>
      <w:r w:rsidR="003429A8" w:rsidRPr="00F03917">
        <w:t xml:space="preserve">see </w:t>
      </w:r>
      <w:r w:rsidR="00021F44" w:rsidRPr="00F03917">
        <w:t>b</w:t>
      </w:r>
      <w:r w:rsidR="0037358E" w:rsidRPr="00F03917">
        <w:t>ox 4)</w:t>
      </w:r>
      <w:r w:rsidR="00886725" w:rsidRPr="00F03917">
        <w:t>.</w:t>
      </w:r>
      <w:r w:rsidR="0025420D" w:rsidRPr="00F03917">
        <w:t xml:space="preserve"> </w:t>
      </w:r>
    </w:p>
    <w:p w14:paraId="71A1A0C8" w14:textId="4B1C74F4" w:rsidR="00207550" w:rsidRPr="00F03917" w:rsidRDefault="000940CF" w:rsidP="00E20CC2">
      <w:pPr>
        <w:pStyle w:val="BodyText"/>
      </w:pPr>
      <w:r w:rsidRPr="00F03917">
        <w:t>F</w:t>
      </w:r>
      <w:r w:rsidR="00773332" w:rsidRPr="00F03917">
        <w:t>or complex systems such as these</w:t>
      </w:r>
      <w:r w:rsidR="00F82C84" w:rsidRPr="00F03917">
        <w:t>, and where the science is still evolving</w:t>
      </w:r>
      <w:r w:rsidR="000D46E1" w:rsidRPr="00F03917">
        <w:t xml:space="preserve"> a multi-evidence approach is recommended</w:t>
      </w:r>
      <w:r w:rsidR="009D1D71" w:rsidRPr="00F03917">
        <w:t xml:space="preserve"> (MfE, 2023b)</w:t>
      </w:r>
      <w:r w:rsidRPr="00F03917">
        <w:t xml:space="preserve">. </w:t>
      </w:r>
      <w:r w:rsidR="000D46E1" w:rsidRPr="00F03917">
        <w:t xml:space="preserve"> </w:t>
      </w:r>
      <w:r w:rsidR="0069586B" w:rsidRPr="00F03917">
        <w:t>Assessment</w:t>
      </w:r>
      <w:r w:rsidR="000D46E1" w:rsidRPr="00F03917">
        <w:t xml:space="preserve"> </w:t>
      </w:r>
      <w:r w:rsidR="0069586B" w:rsidRPr="00F03917">
        <w:t xml:space="preserve">of </w:t>
      </w:r>
      <w:r w:rsidR="000D46E1" w:rsidRPr="00F03917">
        <w:t xml:space="preserve">RSLR </w:t>
      </w:r>
      <w:r w:rsidR="003954CF" w:rsidRPr="00F03917">
        <w:t xml:space="preserve">should </w:t>
      </w:r>
      <w:r w:rsidR="000D46E1" w:rsidRPr="00F03917">
        <w:t>draw on multiple lines of evidence</w:t>
      </w:r>
      <w:r w:rsidR="00D250CF" w:rsidRPr="00F03917">
        <w:t xml:space="preserve"> </w:t>
      </w:r>
      <w:r w:rsidR="007C726A" w:rsidRPr="00F03917">
        <w:t>includ</w:t>
      </w:r>
      <w:r w:rsidR="00FB6CE2" w:rsidRPr="00F03917">
        <w:t>ing(</w:t>
      </w:r>
      <w:r w:rsidR="007C726A" w:rsidRPr="00F03917">
        <w:t>but not limited to</w:t>
      </w:r>
      <w:r w:rsidR="00FB6CE2" w:rsidRPr="00F03917">
        <w:t>)</w:t>
      </w:r>
      <w:r w:rsidR="00301DA9" w:rsidRPr="00F03917">
        <w:t>:</w:t>
      </w:r>
    </w:p>
    <w:p w14:paraId="44D085E0" w14:textId="5FF8671B" w:rsidR="00301DA9" w:rsidRPr="00F03917" w:rsidRDefault="00A86382" w:rsidP="006A486F">
      <w:pPr>
        <w:pStyle w:val="BulletFIX"/>
      </w:pPr>
      <w:r w:rsidRPr="00F03917">
        <w:t>RSLR with satellite-derived VLM rates</w:t>
      </w:r>
    </w:p>
    <w:p w14:paraId="60678905" w14:textId="629DB5B4" w:rsidR="00A86382" w:rsidRPr="00F03917" w:rsidRDefault="00A86382" w:rsidP="006A486F">
      <w:pPr>
        <w:pStyle w:val="BulletFIX"/>
      </w:pPr>
      <w:r w:rsidRPr="00F03917">
        <w:t xml:space="preserve">RSLR with locally monitored VLM rates </w:t>
      </w:r>
      <w:r w:rsidR="0085662D" w:rsidRPr="00F03917">
        <w:t>(if available)</w:t>
      </w:r>
    </w:p>
    <w:p w14:paraId="6513401C" w14:textId="6D5D1E03" w:rsidR="0085662D" w:rsidRPr="00F03917" w:rsidRDefault="001935FE" w:rsidP="006A486F">
      <w:pPr>
        <w:pStyle w:val="BulletFIX"/>
      </w:pPr>
      <w:r w:rsidRPr="00F03917">
        <w:t>SLR projections or increments without VLM</w:t>
      </w:r>
    </w:p>
    <w:p w14:paraId="257F6722" w14:textId="17EDC9B4" w:rsidR="00617136" w:rsidRPr="00F03917" w:rsidRDefault="00D250CF" w:rsidP="006A486F">
      <w:pPr>
        <w:pStyle w:val="BulletFIX"/>
      </w:pPr>
      <w:r w:rsidRPr="00F03917">
        <w:t>l</w:t>
      </w:r>
      <w:r w:rsidR="001935FE" w:rsidRPr="00F03917">
        <w:t>ocal information</w:t>
      </w:r>
      <w:r w:rsidR="00EA6656" w:rsidRPr="00F03917">
        <w:t xml:space="preserve"> </w:t>
      </w:r>
      <w:r w:rsidR="004B4C52" w:rsidRPr="00F03917">
        <w:t>and expert judg</w:t>
      </w:r>
      <w:r w:rsidR="00FA0637" w:rsidRPr="00F03917">
        <w:t>e</w:t>
      </w:r>
      <w:r w:rsidR="004B4C52" w:rsidRPr="00F03917">
        <w:t>ment</w:t>
      </w:r>
    </w:p>
    <w:p w14:paraId="4FF1089E" w14:textId="185FAAAD" w:rsidR="001935FE" w:rsidRPr="00F03917" w:rsidRDefault="00FA0637" w:rsidP="006A486F">
      <w:pPr>
        <w:pStyle w:val="BulletFIX"/>
      </w:pPr>
      <w:r w:rsidRPr="00F03917">
        <w:t>experience and judgements of mana whenua and others with local knowledge</w:t>
      </w:r>
      <w:r w:rsidR="005C7F82" w:rsidRPr="00F03917">
        <w:t>.</w:t>
      </w:r>
    </w:p>
    <w:p w14:paraId="7682080D" w14:textId="3608A74F" w:rsidR="00051C98" w:rsidRPr="00F03917" w:rsidRDefault="00DB28FA" w:rsidP="00130745">
      <w:pPr>
        <w:pStyle w:val="BodyText"/>
      </w:pPr>
      <w:r w:rsidRPr="00F03917">
        <w:t xml:space="preserve">A </w:t>
      </w:r>
      <w:r w:rsidR="00B768E2" w:rsidRPr="00F03917">
        <w:t>monitoring and evaluation system within a DAPP approach (</w:t>
      </w:r>
      <w:hyperlink w:anchor="_11_Monitoring_and" w:history="1">
        <w:r w:rsidR="00B768E2" w:rsidRPr="00F03917">
          <w:rPr>
            <w:rStyle w:val="Hyperlink"/>
          </w:rPr>
          <w:t>step 9</w:t>
        </w:r>
      </w:hyperlink>
      <w:r w:rsidR="00B768E2" w:rsidRPr="00F03917" w:rsidDel="00BC0D08">
        <w:t xml:space="preserve"> </w:t>
      </w:r>
      <w:r w:rsidR="00BC0D08" w:rsidRPr="00F03917">
        <w:t xml:space="preserve">and </w:t>
      </w:r>
      <w:hyperlink w:anchor="_Step_10:_Review" w:history="1">
        <w:r w:rsidR="00BC0D08" w:rsidRPr="00F03917">
          <w:rPr>
            <w:rStyle w:val="Hyperlink"/>
          </w:rPr>
          <w:t xml:space="preserve">step </w:t>
        </w:r>
        <w:r w:rsidR="00B768E2" w:rsidRPr="00F03917">
          <w:rPr>
            <w:rStyle w:val="Hyperlink"/>
          </w:rPr>
          <w:t>10</w:t>
        </w:r>
      </w:hyperlink>
      <w:r w:rsidR="00B768E2" w:rsidRPr="00F03917">
        <w:t>) should explicitly include updates on any changes in VLM over time and the adaptive planning strategy adjusted accordingly. This is because i</w:t>
      </w:r>
      <w:r w:rsidR="001056C4" w:rsidRPr="00F03917">
        <w:t>ncorporating VLM</w:t>
      </w:r>
      <w:r w:rsidR="00484EC6" w:rsidRPr="00F03917">
        <w:t>,</w:t>
      </w:r>
      <w:r w:rsidR="001056C4" w:rsidRPr="00F03917">
        <w:t xml:space="preserve"> by using RSLR for areas that are subsiding</w:t>
      </w:r>
      <w:r w:rsidR="008D3CD2" w:rsidRPr="00F03917">
        <w:t>,</w:t>
      </w:r>
      <w:r w:rsidR="001056C4" w:rsidRPr="00F03917">
        <w:t xml:space="preserve"> means planning for earlier timing of sea</w:t>
      </w:r>
      <w:r w:rsidR="008D3CD2" w:rsidRPr="00F03917">
        <w:t>-</w:t>
      </w:r>
      <w:r w:rsidR="001056C4" w:rsidRPr="00F03917">
        <w:t>level thresholds being reached. For areas currently uplifting at</w:t>
      </w:r>
      <w:r w:rsidR="001056C4" w:rsidRPr="00F03917" w:rsidDel="00E05CB3">
        <w:t xml:space="preserve"> </w:t>
      </w:r>
      <w:r w:rsidR="00E05CB3" w:rsidRPr="00F03917">
        <w:t xml:space="preserve">more than </w:t>
      </w:r>
      <w:r w:rsidR="001056C4" w:rsidRPr="00F03917">
        <w:t>0.5 millimetres per year, applying a precautionary approach is recommended, where SLR</w:t>
      </w:r>
      <w:r w:rsidR="00E5732E" w:rsidRPr="00F03917">
        <w:t>,</w:t>
      </w:r>
      <w:r w:rsidR="001056C4" w:rsidRPr="00F03917">
        <w:t xml:space="preserve"> without accounting for VLM</w:t>
      </w:r>
      <w:r w:rsidR="00E5732E" w:rsidRPr="00F03917">
        <w:t>,</w:t>
      </w:r>
      <w:r w:rsidR="001056C4" w:rsidRPr="00F03917">
        <w:t xml:space="preserve"> is considered and compared with RSLR that includes the uplift</w:t>
      </w:r>
      <w:r w:rsidR="00E5732E" w:rsidRPr="00F03917">
        <w:t xml:space="preserve"> or subsidence</w:t>
      </w:r>
      <w:r w:rsidR="001056C4" w:rsidRPr="00F03917">
        <w:t xml:space="preserve">. This approach is akin to coastal erosion hazard assessments for currently accreting coasts, where future accretion is often discounted and set to zero. </w:t>
      </w:r>
      <w:r w:rsidR="00F446F6" w:rsidRPr="00F03917">
        <w:t xml:space="preserve">More detail about how to </w:t>
      </w:r>
      <w:r w:rsidR="00C57BC4" w:rsidRPr="00F03917">
        <w:t>use the SLR</w:t>
      </w:r>
      <w:r w:rsidR="00ED03BB" w:rsidRPr="00F03917">
        <w:t xml:space="preserve"> and </w:t>
      </w:r>
      <w:r w:rsidR="00885A12" w:rsidRPr="00F03917">
        <w:t>RSLR projections</w:t>
      </w:r>
      <w:r w:rsidR="001E4016" w:rsidRPr="00F03917">
        <w:t xml:space="preserve"> and associated VLM is </w:t>
      </w:r>
      <w:r w:rsidR="00621E10" w:rsidRPr="00F03917">
        <w:t xml:space="preserve">contained </w:t>
      </w:r>
      <w:r w:rsidR="001E4016" w:rsidRPr="00F03917">
        <w:t xml:space="preserve">in the </w:t>
      </w:r>
      <w:r w:rsidR="00BB24A4" w:rsidRPr="00F03917">
        <w:t>following sections.</w:t>
      </w:r>
    </w:p>
    <w:p w14:paraId="2DFFC9B6" w14:textId="7E4FE886" w:rsidR="002C4565" w:rsidRPr="00F03917" w:rsidRDefault="00B60053" w:rsidP="001240CA">
      <w:pPr>
        <w:pStyle w:val="Heading4"/>
        <w:spacing w:before="360"/>
      </w:pPr>
      <w:r w:rsidRPr="00F03917">
        <w:t xml:space="preserve">Recommended </w:t>
      </w:r>
      <w:r w:rsidR="00E94DC3" w:rsidRPr="00F03917">
        <w:t xml:space="preserve">approaches for </w:t>
      </w:r>
      <w:r w:rsidR="324A1734" w:rsidRPr="00F03917">
        <w:t>relative sea-level rise</w:t>
      </w:r>
    </w:p>
    <w:p w14:paraId="34AC5387" w14:textId="53522D2A" w:rsidR="00FD68CB" w:rsidRPr="00F03917" w:rsidRDefault="00C174C1" w:rsidP="00F82C9C">
      <w:pPr>
        <w:pStyle w:val="BodyText"/>
      </w:pPr>
      <w:r w:rsidRPr="00F03917">
        <w:t>The</w:t>
      </w:r>
      <w:r w:rsidR="007B34D5" w:rsidRPr="00F03917">
        <w:t xml:space="preserve"> two</w:t>
      </w:r>
      <w:r w:rsidRPr="00F03917" w:rsidDel="00FE7CCE">
        <w:t xml:space="preserve"> </w:t>
      </w:r>
      <w:r w:rsidRPr="00F03917">
        <w:t>approaches</w:t>
      </w:r>
      <w:r w:rsidR="006630AF" w:rsidRPr="00F03917">
        <w:t xml:space="preserve"> for assessing coastal hazard</w:t>
      </w:r>
      <w:r w:rsidR="00345007" w:rsidRPr="00F03917">
        <w:t>s and risk</w:t>
      </w:r>
      <w:r w:rsidR="006630AF" w:rsidRPr="00F03917">
        <w:t xml:space="preserve"> from</w:t>
      </w:r>
      <w:r w:rsidR="001705E3" w:rsidRPr="00F03917">
        <w:t xml:space="preserve"> the recommended</w:t>
      </w:r>
      <w:r w:rsidR="006630AF" w:rsidRPr="00F03917">
        <w:t xml:space="preserve"> </w:t>
      </w:r>
      <w:r w:rsidR="00345007" w:rsidRPr="00F03917">
        <w:t>RSLR projections</w:t>
      </w:r>
      <w:r w:rsidR="00FD68CB" w:rsidRPr="00F03917">
        <w:t xml:space="preserve"> </w:t>
      </w:r>
      <w:r w:rsidR="002A0773" w:rsidRPr="00F03917">
        <w:t xml:space="preserve">and informing a DAPP </w:t>
      </w:r>
      <w:r w:rsidR="009447AA" w:rsidRPr="00F03917">
        <w:t>approach</w:t>
      </w:r>
      <w:r w:rsidR="00727A31" w:rsidRPr="00F03917">
        <w:t xml:space="preserve"> </w:t>
      </w:r>
      <w:r w:rsidR="002A0773" w:rsidRPr="00F03917">
        <w:t>are:</w:t>
      </w:r>
      <w:r w:rsidR="00FD68CB" w:rsidRPr="00F03917">
        <w:t xml:space="preserve"> </w:t>
      </w:r>
    </w:p>
    <w:p w14:paraId="7721C747" w14:textId="1ADF88BD" w:rsidR="002A0773" w:rsidRPr="00F03917" w:rsidRDefault="00F82C9C" w:rsidP="00F82C9C">
      <w:pPr>
        <w:pStyle w:val="BodyText"/>
        <w:spacing w:before="0"/>
        <w:ind w:left="397" w:hanging="397"/>
      </w:pPr>
      <w:r w:rsidRPr="00F03917">
        <w:rPr>
          <w:bCs/>
        </w:rPr>
        <w:t>i)</w:t>
      </w:r>
      <w:r w:rsidRPr="00F03917">
        <w:rPr>
          <w:b/>
        </w:rPr>
        <w:tab/>
      </w:r>
      <w:r w:rsidR="00D47794" w:rsidRPr="00F03917">
        <w:rPr>
          <w:b/>
        </w:rPr>
        <w:t>i</w:t>
      </w:r>
      <w:r w:rsidR="00F64F89" w:rsidRPr="00F03917">
        <w:rPr>
          <w:b/>
        </w:rPr>
        <w:t>ncrements</w:t>
      </w:r>
      <w:r w:rsidR="00D47794" w:rsidRPr="00F03917">
        <w:rPr>
          <w:b/>
        </w:rPr>
        <w:t>:</w:t>
      </w:r>
      <w:r w:rsidR="00F64F89" w:rsidRPr="00F03917">
        <w:t xml:space="preserve"> </w:t>
      </w:r>
      <w:r w:rsidR="00601773" w:rsidRPr="00F03917">
        <w:t>r</w:t>
      </w:r>
      <w:r w:rsidR="00F64F89" w:rsidRPr="00F03917">
        <w:t xml:space="preserve">egular </w:t>
      </w:r>
      <w:r w:rsidR="002A0773" w:rsidRPr="00F03917" w:rsidDel="002F24C1">
        <w:t>i</w:t>
      </w:r>
      <w:r w:rsidR="002A0773" w:rsidRPr="00F03917">
        <w:t xml:space="preserve">ncrements of RSLR height (eg, at 0.1 </w:t>
      </w:r>
      <w:r w:rsidR="3281B234" w:rsidRPr="00F03917">
        <w:t>m</w:t>
      </w:r>
      <w:r w:rsidR="639BE3DB" w:rsidRPr="00F03917">
        <w:t>etre</w:t>
      </w:r>
      <w:r w:rsidR="3281B234" w:rsidRPr="00F03917">
        <w:t xml:space="preserve"> </w:t>
      </w:r>
      <w:r w:rsidR="002A0773" w:rsidRPr="00F03917">
        <w:t>or 0.2 m</w:t>
      </w:r>
      <w:r w:rsidR="38EB3C08" w:rsidRPr="00F03917">
        <w:t>etre</w:t>
      </w:r>
      <w:r w:rsidR="004476B9" w:rsidRPr="00F03917">
        <w:rPr>
          <w:rStyle w:val="FootnoteReference"/>
        </w:rPr>
        <w:footnoteReference w:id="32"/>
      </w:r>
      <w:r w:rsidR="002A0773" w:rsidRPr="00F03917">
        <w:t xml:space="preserve">) </w:t>
      </w:r>
      <w:r w:rsidR="00D71AC3" w:rsidRPr="00F03917">
        <w:t>with</w:t>
      </w:r>
      <w:r w:rsidR="003E177F" w:rsidRPr="00F03917">
        <w:t xml:space="preserve"> associated</w:t>
      </w:r>
      <w:r w:rsidR="00D71AC3" w:rsidRPr="00F03917">
        <w:t xml:space="preserve"> bracketed time windows </w:t>
      </w:r>
      <w:r w:rsidR="005363D9" w:rsidRPr="00F03917">
        <w:t xml:space="preserve">when each height is reached, </w:t>
      </w:r>
      <w:r w:rsidR="002A0773" w:rsidRPr="00F03917">
        <w:t>to cover the full range of the recommended projections out to 2150</w:t>
      </w:r>
      <w:r w:rsidR="2F666AAB" w:rsidRPr="00F03917">
        <w:t>,</w:t>
      </w:r>
      <w:r w:rsidR="002A0773" w:rsidRPr="00F03917">
        <w:t xml:space="preserve"> </w:t>
      </w:r>
      <w:r w:rsidR="00742F48" w:rsidRPr="00F03917">
        <w:t>or</w:t>
      </w:r>
    </w:p>
    <w:p w14:paraId="0B4A5982" w14:textId="1792A74E" w:rsidR="0066005A" w:rsidRPr="00F03917" w:rsidRDefault="00F82C9C" w:rsidP="00F82C9C">
      <w:pPr>
        <w:pStyle w:val="BodyText"/>
        <w:spacing w:before="0"/>
        <w:ind w:left="397" w:hanging="397"/>
      </w:pPr>
      <w:r w:rsidRPr="00F03917">
        <w:t>ii)</w:t>
      </w:r>
      <w:r w:rsidRPr="00F03917">
        <w:tab/>
      </w:r>
      <w:r w:rsidR="00676DB5" w:rsidRPr="00F03917">
        <w:rPr>
          <w:b/>
          <w:bCs/>
        </w:rPr>
        <w:t>p</w:t>
      </w:r>
      <w:r w:rsidR="00F64F89" w:rsidRPr="00F03917">
        <w:rPr>
          <w:b/>
          <w:bCs/>
        </w:rPr>
        <w:t>rojections</w:t>
      </w:r>
      <w:r w:rsidR="00676DB5" w:rsidRPr="00F03917">
        <w:rPr>
          <w:b/>
          <w:bCs/>
        </w:rPr>
        <w:t>:</w:t>
      </w:r>
      <w:r w:rsidR="00D47FEF" w:rsidRPr="00F03917" w:rsidDel="00676DB5">
        <w:t xml:space="preserve"> </w:t>
      </w:r>
      <w:r w:rsidR="00561768" w:rsidRPr="00F03917">
        <w:t xml:space="preserve">the recommended </w:t>
      </w:r>
      <w:r w:rsidR="00742F48" w:rsidRPr="00F03917">
        <w:t xml:space="preserve">RSLR projections </w:t>
      </w:r>
      <w:r w:rsidR="004A6477" w:rsidRPr="00F03917">
        <w:t>(or a subset covering the range)</w:t>
      </w:r>
      <w:r w:rsidR="00BF2936" w:rsidRPr="00F03917">
        <w:t xml:space="preserve"> </w:t>
      </w:r>
      <w:r w:rsidR="00742F48" w:rsidRPr="00F03917">
        <w:t xml:space="preserve">for </w:t>
      </w:r>
      <w:r w:rsidR="0010620C" w:rsidRPr="00F03917">
        <w:t>the</w:t>
      </w:r>
      <w:r w:rsidR="00D46713" w:rsidRPr="00F03917">
        <w:t xml:space="preserve"> </w:t>
      </w:r>
      <w:r w:rsidR="00BF2936" w:rsidRPr="00F03917">
        <w:t xml:space="preserve">planning </w:t>
      </w:r>
      <w:r w:rsidR="002A2BD0" w:rsidRPr="00F03917">
        <w:t xml:space="preserve">timeframes outlined in </w:t>
      </w:r>
      <w:hyperlink w:anchor="_Approaches_for_using" w:history="1">
        <w:r w:rsidR="002A2BD0" w:rsidRPr="00F03917">
          <w:rPr>
            <w:rStyle w:val="Hyperlink"/>
          </w:rPr>
          <w:t>section 2.1.2</w:t>
        </w:r>
      </w:hyperlink>
      <w:r w:rsidR="00472745" w:rsidRPr="00F03917">
        <w:t xml:space="preserve"> from the NZ SeaRise platform that</w:t>
      </w:r>
      <w:r w:rsidR="00476560" w:rsidRPr="00F03917">
        <w:t xml:space="preserve"> either</w:t>
      </w:r>
      <w:r w:rsidR="008D7AF8" w:rsidRPr="00F03917">
        <w:t>:</w:t>
      </w:r>
      <w:r w:rsidR="00472745" w:rsidRPr="00F03917">
        <w:t xml:space="preserve"> </w:t>
      </w:r>
    </w:p>
    <w:p w14:paraId="1F3FE33E" w14:textId="2E91422F" w:rsidR="0066005A" w:rsidRPr="00F03917" w:rsidRDefault="00472745" w:rsidP="00F82C9C">
      <w:pPr>
        <w:pStyle w:val="Sub-lista"/>
      </w:pPr>
      <w:r w:rsidRPr="00F03917">
        <w:t>incorporate the satellite-derived VLM</w:t>
      </w:r>
      <w:r w:rsidR="00B16F08" w:rsidRPr="00F03917">
        <w:t xml:space="preserve"> rate</w:t>
      </w:r>
      <w:r w:rsidRPr="00F03917">
        <w:t xml:space="preserve">, or </w:t>
      </w:r>
    </w:p>
    <w:p w14:paraId="7B3DA992" w14:textId="444255F5" w:rsidR="00742F48" w:rsidRPr="00F03917" w:rsidRDefault="00472745" w:rsidP="00F82C9C">
      <w:pPr>
        <w:pStyle w:val="Sub-lista"/>
      </w:pPr>
      <w:r w:rsidRPr="00F03917">
        <w:t xml:space="preserve">add a </w:t>
      </w:r>
      <w:r w:rsidR="00650E21" w:rsidRPr="00F03917">
        <w:t>local</w:t>
      </w:r>
      <w:r w:rsidR="005E541E" w:rsidRPr="00F03917">
        <w:t>ly</w:t>
      </w:r>
      <w:r w:rsidR="00650E21" w:rsidRPr="00F03917">
        <w:t xml:space="preserve"> </w:t>
      </w:r>
      <w:r w:rsidR="00650E21" w:rsidRPr="00F03917" w:rsidDel="00D46713">
        <w:t>monitored</w:t>
      </w:r>
      <w:r w:rsidRPr="00F03917" w:rsidDel="00D46713">
        <w:t xml:space="preserve"> </w:t>
      </w:r>
      <w:r w:rsidRPr="00F03917">
        <w:t>VLM rate</w:t>
      </w:r>
      <w:r w:rsidR="007B190D" w:rsidRPr="00F03917">
        <w:t xml:space="preserve"> (if available)</w:t>
      </w:r>
      <w:r w:rsidRPr="00F03917">
        <w:t xml:space="preserve"> to the non-VLM projections</w:t>
      </w:r>
      <w:r w:rsidR="00456C6E" w:rsidRPr="00F03917">
        <w:t>.</w:t>
      </w:r>
    </w:p>
    <w:p w14:paraId="55010925" w14:textId="34F77056" w:rsidR="000400D3" w:rsidRPr="00F03917" w:rsidRDefault="00D26473" w:rsidP="00F82C9C">
      <w:pPr>
        <w:pStyle w:val="BodyText"/>
      </w:pPr>
      <w:r w:rsidRPr="00F03917">
        <w:t>Each of these</w:t>
      </w:r>
      <w:r w:rsidRPr="00F03917" w:rsidDel="00295699">
        <w:t xml:space="preserve"> </w:t>
      </w:r>
      <w:r w:rsidR="009A54AE" w:rsidRPr="00F03917">
        <w:t>approaches ha</w:t>
      </w:r>
      <w:r w:rsidRPr="00F03917">
        <w:t>s</w:t>
      </w:r>
      <w:r w:rsidR="009A54AE" w:rsidRPr="00F03917">
        <w:t xml:space="preserve"> advantages and disadvantages</w:t>
      </w:r>
      <w:r w:rsidR="00336B1A" w:rsidRPr="00F03917">
        <w:t>,</w:t>
      </w:r>
      <w:r w:rsidR="009A54AE" w:rsidRPr="00F03917">
        <w:t xml:space="preserve"> depending on</w:t>
      </w:r>
      <w:r w:rsidR="00AA3CCC" w:rsidRPr="00F03917">
        <w:t xml:space="preserve"> the purpose</w:t>
      </w:r>
      <w:r w:rsidR="007C70AD" w:rsidRPr="00F03917">
        <w:t xml:space="preserve"> for which they are being used. Increments and projections can also be used in combination</w:t>
      </w:r>
      <w:r w:rsidR="00425BB6" w:rsidRPr="00F03917">
        <w:t xml:space="preserve"> in some situations. </w:t>
      </w:r>
    </w:p>
    <w:p w14:paraId="2577582F" w14:textId="1A6F8B2A" w:rsidR="006F7F9A" w:rsidRPr="00F03917" w:rsidRDefault="004A64D7" w:rsidP="00F82C9C">
      <w:pPr>
        <w:pStyle w:val="BodyText"/>
      </w:pPr>
      <w:r w:rsidRPr="00F03917">
        <w:t xml:space="preserve">Table </w:t>
      </w:r>
      <w:r w:rsidR="00D62686" w:rsidRPr="00F03917">
        <w:t>5</w:t>
      </w:r>
      <w:r w:rsidRPr="00F03917">
        <w:t xml:space="preserve"> </w:t>
      </w:r>
      <w:r w:rsidR="004E77F0" w:rsidRPr="00F03917">
        <w:t>s</w:t>
      </w:r>
      <w:r w:rsidRPr="00F03917">
        <w:t xml:space="preserve">ummarises </w:t>
      </w:r>
      <w:r w:rsidR="00177D04" w:rsidRPr="00F03917">
        <w:t xml:space="preserve">the main </w:t>
      </w:r>
      <w:r w:rsidR="00D62686" w:rsidRPr="00F03917">
        <w:t xml:space="preserve">elements, advantages and </w:t>
      </w:r>
      <w:r w:rsidR="00177D04" w:rsidRPr="00F03917">
        <w:t xml:space="preserve">differences between the </w:t>
      </w:r>
      <w:r w:rsidR="00D62686" w:rsidRPr="00F03917">
        <w:t>two</w:t>
      </w:r>
      <w:r w:rsidR="00FD7F19" w:rsidRPr="00F03917">
        <w:t xml:space="preserve"> approaches</w:t>
      </w:r>
      <w:r w:rsidR="00934FC6" w:rsidRPr="00F03917">
        <w:t xml:space="preserve">. </w:t>
      </w:r>
    </w:p>
    <w:p w14:paraId="06679884" w14:textId="0BFEB8D3" w:rsidR="006F7F9A" w:rsidRPr="00F03917" w:rsidRDefault="2FB32075" w:rsidP="006258D2">
      <w:pPr>
        <w:pStyle w:val="Tableheading"/>
      </w:pPr>
      <w:bookmarkStart w:id="61" w:name="table5"/>
      <w:bookmarkStart w:id="62" w:name="_Toc160098399"/>
      <w:bookmarkEnd w:id="61"/>
      <w:r w:rsidRPr="00F03917">
        <w:lastRenderedPageBreak/>
        <w:t>Main</w:t>
      </w:r>
      <w:r w:rsidR="00A156F6" w:rsidRPr="00F03917">
        <w:t xml:space="preserve"> elements of the </w:t>
      </w:r>
      <w:r w:rsidR="00D11EBF" w:rsidRPr="00F03917">
        <w:t>two</w:t>
      </w:r>
      <w:r w:rsidR="00A156F6" w:rsidRPr="00F03917">
        <w:t xml:space="preserve"> </w:t>
      </w:r>
      <w:r w:rsidR="0088085E" w:rsidRPr="00F03917">
        <w:t>relative sea</w:t>
      </w:r>
      <w:r w:rsidR="00124532" w:rsidRPr="00F03917">
        <w:t>-</w:t>
      </w:r>
      <w:r w:rsidR="0088085E" w:rsidRPr="00F03917">
        <w:t xml:space="preserve">level rise </w:t>
      </w:r>
      <w:r w:rsidR="00A156F6" w:rsidRPr="00F03917">
        <w:t xml:space="preserve">approaches for </w:t>
      </w:r>
      <w:r w:rsidR="002051D3" w:rsidRPr="00F03917">
        <w:t xml:space="preserve">assessing </w:t>
      </w:r>
      <w:r w:rsidR="008D4ED3" w:rsidRPr="00F03917">
        <w:t xml:space="preserve">hazards and risk and input to </w:t>
      </w:r>
      <w:r w:rsidR="004E3C80" w:rsidRPr="00F03917">
        <w:t xml:space="preserve">informing </w:t>
      </w:r>
      <w:r w:rsidR="008D4ED3" w:rsidRPr="00F03917">
        <w:t xml:space="preserve">a </w:t>
      </w:r>
      <w:r w:rsidR="60873266" w:rsidRPr="00F03917">
        <w:t>dynamic adaptive pathways planning (</w:t>
      </w:r>
      <w:r w:rsidR="00A156F6" w:rsidRPr="00F03917">
        <w:t>DAPP</w:t>
      </w:r>
      <w:r w:rsidR="7FA4E3BB" w:rsidRPr="00F03917">
        <w:t>)</w:t>
      </w:r>
      <w:r w:rsidR="008D4ED3" w:rsidRPr="00F03917">
        <w:t xml:space="preserve"> </w:t>
      </w:r>
      <w:r w:rsidR="00E061F1" w:rsidRPr="00F03917">
        <w:t>approach</w:t>
      </w:r>
      <w:bookmarkEnd w:id="62"/>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ayout w:type="fixed"/>
        <w:tblLook w:val="04A0" w:firstRow="1" w:lastRow="0" w:firstColumn="1" w:lastColumn="0" w:noHBand="0" w:noVBand="1"/>
      </w:tblPr>
      <w:tblGrid>
        <w:gridCol w:w="1075"/>
        <w:gridCol w:w="3515"/>
        <w:gridCol w:w="3915"/>
      </w:tblGrid>
      <w:tr w:rsidR="00F82C9C" w:rsidRPr="00F03917" w14:paraId="141F983C" w14:textId="77777777" w:rsidTr="00372609">
        <w:trPr>
          <w:tblHeader/>
        </w:trPr>
        <w:tc>
          <w:tcPr>
            <w:tcW w:w="1151" w:type="dxa"/>
            <w:shd w:val="clear" w:color="auto" w:fill="1B556B" w:themeFill="text2"/>
          </w:tcPr>
          <w:p w14:paraId="3AE92DDB" w14:textId="77777777" w:rsidR="006F7F9A" w:rsidRPr="00F03917" w:rsidRDefault="006F7F9A" w:rsidP="00F82C9C">
            <w:pPr>
              <w:pStyle w:val="TableTextbold"/>
              <w:keepNext/>
              <w:rPr>
                <w:color w:val="FFFFFF" w:themeColor="background1"/>
              </w:rPr>
            </w:pPr>
            <w:r w:rsidRPr="00F03917">
              <w:rPr>
                <w:color w:val="FFFFFF" w:themeColor="background1"/>
              </w:rPr>
              <w:t>Approach</w:t>
            </w:r>
          </w:p>
        </w:tc>
        <w:tc>
          <w:tcPr>
            <w:tcW w:w="3811" w:type="dxa"/>
            <w:shd w:val="clear" w:color="auto" w:fill="1B556B" w:themeFill="text2"/>
          </w:tcPr>
          <w:p w14:paraId="1E910FDD" w14:textId="51B42561" w:rsidR="006F7F9A" w:rsidRPr="00F03917" w:rsidRDefault="1A70FC60" w:rsidP="00F82C9C">
            <w:pPr>
              <w:pStyle w:val="TableTextbold"/>
              <w:keepNext/>
              <w:rPr>
                <w:rFonts w:cstheme="minorBidi"/>
                <w:color w:val="FFFFFF" w:themeColor="background1"/>
              </w:rPr>
            </w:pPr>
            <w:r w:rsidRPr="00F03917">
              <w:rPr>
                <w:rFonts w:cstheme="minorBidi"/>
                <w:color w:val="FFFFFF" w:themeColor="background1"/>
              </w:rPr>
              <w:t>Main</w:t>
            </w:r>
            <w:r w:rsidR="006F7F9A" w:rsidRPr="00F03917">
              <w:rPr>
                <w:rFonts w:cstheme="minorBidi"/>
                <w:color w:val="FFFFFF" w:themeColor="background1"/>
              </w:rPr>
              <w:t xml:space="preserve"> elements</w:t>
            </w:r>
          </w:p>
        </w:tc>
        <w:tc>
          <w:tcPr>
            <w:tcW w:w="4247" w:type="dxa"/>
            <w:shd w:val="clear" w:color="auto" w:fill="1B556B" w:themeFill="text2"/>
          </w:tcPr>
          <w:p w14:paraId="3E1A5AF1" w14:textId="77777777" w:rsidR="006F7F9A" w:rsidRPr="00F03917" w:rsidRDefault="006F7F9A" w:rsidP="00F82C9C">
            <w:pPr>
              <w:pStyle w:val="TableTextbold"/>
              <w:keepNext/>
              <w:rPr>
                <w:color w:val="FFFFFF" w:themeColor="background1"/>
              </w:rPr>
            </w:pPr>
            <w:r w:rsidRPr="00F03917">
              <w:rPr>
                <w:color w:val="FFFFFF" w:themeColor="background1"/>
              </w:rPr>
              <w:t>Advantages and disadvantages</w:t>
            </w:r>
          </w:p>
        </w:tc>
      </w:tr>
      <w:tr w:rsidR="006F7F9A" w:rsidRPr="00F03917" w14:paraId="27CDDA41" w14:textId="77777777" w:rsidTr="00372609">
        <w:tc>
          <w:tcPr>
            <w:tcW w:w="1151" w:type="dxa"/>
            <w:shd w:val="clear" w:color="auto" w:fill="auto"/>
          </w:tcPr>
          <w:p w14:paraId="5394180B" w14:textId="365243D1" w:rsidR="006F7F9A" w:rsidRPr="00F03917" w:rsidRDefault="00F64F89" w:rsidP="00F82C9C">
            <w:pPr>
              <w:pStyle w:val="TableText"/>
              <w:keepNext/>
            </w:pPr>
            <w:r w:rsidRPr="00F03917">
              <w:rPr>
                <w:rFonts w:asciiTheme="minorHAnsi" w:hAnsiTheme="minorHAnsi"/>
                <w:b/>
                <w:bCs/>
                <w:color w:val="000000" w:themeColor="text1"/>
              </w:rPr>
              <w:t>I</w:t>
            </w:r>
            <w:r w:rsidR="27AFBB0A" w:rsidRPr="00F03917">
              <w:rPr>
                <w:rFonts w:asciiTheme="minorHAnsi" w:hAnsiTheme="minorHAnsi"/>
                <w:b/>
                <w:bCs/>
                <w:color w:val="000000" w:themeColor="text1"/>
              </w:rPr>
              <w:t>ncrements</w:t>
            </w:r>
            <w:r w:rsidR="27AFBB0A" w:rsidRPr="00F03917">
              <w:rPr>
                <w:color w:val="000000" w:themeColor="text1"/>
              </w:rPr>
              <w:t xml:space="preserve"> </w:t>
            </w:r>
          </w:p>
        </w:tc>
        <w:tc>
          <w:tcPr>
            <w:tcW w:w="3811" w:type="dxa"/>
            <w:shd w:val="clear" w:color="auto" w:fill="auto"/>
          </w:tcPr>
          <w:p w14:paraId="4574E80D" w14:textId="145FF456" w:rsidR="000A7EA5" w:rsidRPr="00F03917" w:rsidRDefault="00F46DEF" w:rsidP="00646BE7">
            <w:pPr>
              <w:pStyle w:val="TableText"/>
              <w:keepNext/>
              <w:spacing w:after="40"/>
              <w:rPr>
                <w:rFonts w:asciiTheme="minorHAnsi" w:hAnsiTheme="minorHAnsi" w:cstheme="minorBidi"/>
              </w:rPr>
            </w:pPr>
            <w:r w:rsidRPr="00F03917">
              <w:t>Not tied</w:t>
            </w:r>
            <w:r w:rsidRPr="00F03917">
              <w:rPr>
                <w:rFonts w:asciiTheme="minorHAnsi" w:hAnsiTheme="minorHAnsi" w:cstheme="minorBidi"/>
                <w:b/>
                <w:bCs/>
              </w:rPr>
              <w:t xml:space="preserve"> </w:t>
            </w:r>
            <w:r w:rsidRPr="00F03917">
              <w:t>to</w:t>
            </w:r>
            <w:r w:rsidRPr="00F03917">
              <w:rPr>
                <w:rFonts w:asciiTheme="minorHAnsi" w:hAnsiTheme="minorHAnsi" w:cstheme="minorBidi"/>
                <w:b/>
                <w:bCs/>
              </w:rPr>
              <w:t xml:space="preserve"> </w:t>
            </w:r>
            <w:r w:rsidR="00FB125B" w:rsidRPr="00F03917">
              <w:rPr>
                <w:rFonts w:asciiTheme="minorHAnsi" w:hAnsiTheme="minorHAnsi" w:cstheme="minorBidi"/>
                <w:b/>
                <w:bCs/>
              </w:rPr>
              <w:t xml:space="preserve">shared </w:t>
            </w:r>
            <w:r w:rsidR="001C0510" w:rsidRPr="00F03917">
              <w:rPr>
                <w:rFonts w:asciiTheme="minorHAnsi" w:hAnsiTheme="minorHAnsi" w:cstheme="minorBidi"/>
                <w:b/>
                <w:bCs/>
              </w:rPr>
              <w:t>socio-econ</w:t>
            </w:r>
            <w:r w:rsidR="00FB125B" w:rsidRPr="00F03917">
              <w:rPr>
                <w:rFonts w:asciiTheme="minorHAnsi" w:hAnsiTheme="minorHAnsi" w:cstheme="minorBidi"/>
                <w:b/>
                <w:bCs/>
              </w:rPr>
              <w:t xml:space="preserve">omic </w:t>
            </w:r>
            <w:r w:rsidR="00C51B4D" w:rsidRPr="00F03917">
              <w:rPr>
                <w:rFonts w:asciiTheme="minorHAnsi" w:hAnsiTheme="minorHAnsi" w:cstheme="minorBidi"/>
                <w:b/>
                <w:bCs/>
              </w:rPr>
              <w:t xml:space="preserve">pathway </w:t>
            </w:r>
            <w:r w:rsidR="00FB125B" w:rsidRPr="00F03917">
              <w:rPr>
                <w:rFonts w:asciiTheme="minorHAnsi" w:hAnsiTheme="minorHAnsi" w:cstheme="minorBidi"/>
                <w:b/>
                <w:bCs/>
              </w:rPr>
              <w:t>(</w:t>
            </w:r>
            <w:r w:rsidRPr="00F03917">
              <w:rPr>
                <w:rFonts w:asciiTheme="minorHAnsi" w:hAnsiTheme="minorHAnsi" w:cstheme="minorBidi"/>
                <w:b/>
                <w:bCs/>
              </w:rPr>
              <w:t>SSP</w:t>
            </w:r>
            <w:r w:rsidR="00FB125B" w:rsidRPr="00F03917">
              <w:rPr>
                <w:rFonts w:asciiTheme="minorHAnsi" w:hAnsiTheme="minorHAnsi" w:cstheme="minorBidi"/>
                <w:b/>
                <w:bCs/>
              </w:rPr>
              <w:t>)</w:t>
            </w:r>
            <w:r w:rsidRPr="00F03917">
              <w:rPr>
                <w:rFonts w:asciiTheme="minorHAnsi" w:hAnsiTheme="minorHAnsi" w:cstheme="minorBidi"/>
                <w:b/>
                <w:bCs/>
              </w:rPr>
              <w:t xml:space="preserve"> s</w:t>
            </w:r>
            <w:r w:rsidR="6C6BAC6A" w:rsidRPr="00F03917">
              <w:rPr>
                <w:rFonts w:asciiTheme="minorHAnsi" w:hAnsiTheme="minorHAnsi" w:cstheme="minorBidi"/>
                <w:b/>
                <w:bCs/>
              </w:rPr>
              <w:t>cenario</w:t>
            </w:r>
            <w:r w:rsidRPr="00F03917">
              <w:rPr>
                <w:rFonts w:asciiTheme="minorHAnsi" w:hAnsiTheme="minorHAnsi" w:cstheme="minorBidi"/>
                <w:b/>
                <w:bCs/>
              </w:rPr>
              <w:t>s</w:t>
            </w:r>
            <w:r w:rsidR="000A7EA5" w:rsidRPr="00F03917">
              <w:rPr>
                <w:rFonts w:asciiTheme="minorHAnsi" w:hAnsiTheme="minorHAnsi" w:cstheme="minorBidi"/>
                <w:b/>
                <w:bCs/>
              </w:rPr>
              <w:t xml:space="preserve"> </w:t>
            </w:r>
            <w:r w:rsidR="000A7EA5" w:rsidRPr="00F03917">
              <w:t>(ie</w:t>
            </w:r>
            <w:r w:rsidR="00233609" w:rsidRPr="00F03917">
              <w:t>,</w:t>
            </w:r>
            <w:r w:rsidR="000A7EA5" w:rsidRPr="00F03917">
              <w:t xml:space="preserve"> scenario</w:t>
            </w:r>
            <w:r w:rsidR="6C6BAC6A" w:rsidRPr="00F03917">
              <w:rPr>
                <w:b/>
              </w:rPr>
              <w:t xml:space="preserve"> neutral</w:t>
            </w:r>
            <w:r w:rsidR="00E37EA3" w:rsidRPr="00F03917">
              <w:rPr>
                <w:rFonts w:asciiTheme="minorHAnsi" w:hAnsiTheme="minorHAnsi" w:cstheme="minorBidi"/>
              </w:rPr>
              <w:t>)</w:t>
            </w:r>
            <w:r w:rsidR="6C6BAC6A" w:rsidRPr="00F03917">
              <w:t xml:space="preserve"> </w:t>
            </w:r>
          </w:p>
          <w:p w14:paraId="721EEBDC" w14:textId="4F8B4485" w:rsidR="006F7F9A" w:rsidRPr="00F03917" w:rsidRDefault="00234AFD" w:rsidP="00646BE7">
            <w:pPr>
              <w:pStyle w:val="TableText"/>
              <w:keepNext/>
              <w:spacing w:after="40"/>
            </w:pPr>
            <w:r w:rsidRPr="00F03917">
              <w:rPr>
                <w:rFonts w:asciiTheme="minorHAnsi" w:hAnsiTheme="minorHAnsi" w:cstheme="minorBidi"/>
              </w:rPr>
              <w:t>U</w:t>
            </w:r>
            <w:r w:rsidR="006F7F9A" w:rsidRPr="00F03917">
              <w:rPr>
                <w:rFonts w:asciiTheme="minorHAnsi" w:hAnsiTheme="minorHAnsi" w:cstheme="minorBidi"/>
              </w:rPr>
              <w:t>se</w:t>
            </w:r>
            <w:r w:rsidRPr="00F03917">
              <w:rPr>
                <w:rFonts w:asciiTheme="minorHAnsi" w:hAnsiTheme="minorHAnsi" w:cstheme="minorBidi"/>
              </w:rPr>
              <w:t>s</w:t>
            </w:r>
            <w:r w:rsidR="006F7F9A" w:rsidRPr="00F03917">
              <w:t xml:space="preserve"> </w:t>
            </w:r>
            <w:r w:rsidR="006F7F9A" w:rsidRPr="00F03917">
              <w:rPr>
                <w:b/>
              </w:rPr>
              <w:t>NZ</w:t>
            </w:r>
            <w:r w:rsidR="0030100C" w:rsidRPr="00F03917">
              <w:rPr>
                <w:b/>
              </w:rPr>
              <w:t xml:space="preserve"> </w:t>
            </w:r>
            <w:r w:rsidR="006F7F9A" w:rsidRPr="00F03917">
              <w:rPr>
                <w:b/>
              </w:rPr>
              <w:t xml:space="preserve">SeaRise </w:t>
            </w:r>
            <w:r w:rsidR="00C10DA3" w:rsidRPr="00F03917">
              <w:rPr>
                <w:b/>
              </w:rPr>
              <w:t>platform</w:t>
            </w:r>
            <w:r w:rsidR="00C10DA3" w:rsidRPr="00F03917">
              <w:t xml:space="preserve"> </w:t>
            </w:r>
            <w:r w:rsidR="004613FC" w:rsidRPr="00F03917">
              <w:t>to determine</w:t>
            </w:r>
            <w:r w:rsidR="00C10DA3" w:rsidRPr="00F03917">
              <w:t xml:space="preserve"> bracketed </w:t>
            </w:r>
            <w:r w:rsidR="00C10DA3" w:rsidRPr="00F03917">
              <w:rPr>
                <w:rFonts w:asciiTheme="minorHAnsi" w:hAnsiTheme="minorHAnsi" w:cstheme="minorBidi"/>
                <w:bCs/>
              </w:rPr>
              <w:t>time</w:t>
            </w:r>
            <w:r w:rsidR="00075198" w:rsidRPr="00F03917">
              <w:rPr>
                <w:rFonts w:asciiTheme="minorHAnsi" w:hAnsiTheme="minorHAnsi" w:cstheme="minorBidi"/>
                <w:bCs/>
              </w:rPr>
              <w:t xml:space="preserve"> </w:t>
            </w:r>
            <w:r w:rsidR="0000656F" w:rsidRPr="00F03917">
              <w:rPr>
                <w:rFonts w:asciiTheme="minorHAnsi" w:hAnsiTheme="minorHAnsi" w:cstheme="minorBidi"/>
                <w:bCs/>
              </w:rPr>
              <w:t>frames</w:t>
            </w:r>
            <w:r w:rsidR="00075198" w:rsidRPr="00F03917">
              <w:rPr>
                <w:rFonts w:asciiTheme="minorHAnsi" w:hAnsiTheme="minorHAnsi" w:cstheme="minorBidi"/>
                <w:bCs/>
              </w:rPr>
              <w:t xml:space="preserve"> </w:t>
            </w:r>
            <w:r w:rsidR="00C33CFC" w:rsidRPr="00F03917">
              <w:t>for</w:t>
            </w:r>
            <w:r w:rsidR="003028B3" w:rsidRPr="00F03917">
              <w:t xml:space="preserve"> each increment across the range of recommended </w:t>
            </w:r>
            <w:r w:rsidR="00E52848" w:rsidRPr="00F03917">
              <w:t>SSP scenarios</w:t>
            </w:r>
            <w:r w:rsidR="003028B3" w:rsidRPr="00F03917">
              <w:t xml:space="preserve"> to at </w:t>
            </w:r>
            <w:r w:rsidR="007B484B" w:rsidRPr="00F03917">
              <w:t>least</w:t>
            </w:r>
            <w:r w:rsidR="00364B5D" w:rsidRPr="00F03917" w:rsidDel="009A1D47">
              <w:rPr>
                <w:rFonts w:asciiTheme="minorHAnsi" w:hAnsiTheme="minorHAnsi" w:cstheme="minorBidi"/>
                <w:bCs/>
              </w:rPr>
              <w:t xml:space="preserve"> </w:t>
            </w:r>
            <w:r w:rsidR="00364B5D" w:rsidRPr="00F03917">
              <w:rPr>
                <w:rFonts w:asciiTheme="minorHAnsi" w:hAnsiTheme="minorHAnsi" w:cstheme="minorBidi"/>
                <w:bCs/>
              </w:rPr>
              <w:t>2150</w:t>
            </w:r>
            <w:r w:rsidR="00822BDA" w:rsidRPr="00F03917">
              <w:t>.</w:t>
            </w:r>
          </w:p>
          <w:p w14:paraId="5ECDD6FA" w14:textId="273239D5" w:rsidR="006F7F9A" w:rsidRPr="00F03917" w:rsidRDefault="2FB8C1A4" w:rsidP="00646BE7">
            <w:pPr>
              <w:pStyle w:val="TableText"/>
              <w:keepNext/>
              <w:spacing w:after="40"/>
              <w:rPr>
                <w:rFonts w:asciiTheme="minorHAnsi" w:hAnsiTheme="minorHAnsi" w:cstheme="minorBidi"/>
              </w:rPr>
            </w:pPr>
            <w:r w:rsidRPr="00F03917">
              <w:t xml:space="preserve">Can be used at national, regional </w:t>
            </w:r>
            <w:r w:rsidR="5E0EFB39" w:rsidRPr="00F03917">
              <w:t xml:space="preserve">or local </w:t>
            </w:r>
            <w:r w:rsidRPr="00F03917">
              <w:rPr>
                <w:b/>
              </w:rPr>
              <w:t>spatial scale</w:t>
            </w:r>
            <w:r w:rsidR="5E0EFB39" w:rsidRPr="00F03917">
              <w:rPr>
                <w:b/>
              </w:rPr>
              <w:t>s</w:t>
            </w:r>
            <w:r w:rsidR="6A052269" w:rsidRPr="00F03917">
              <w:t>.</w:t>
            </w:r>
          </w:p>
          <w:p w14:paraId="114BAD83" w14:textId="33339D0D" w:rsidR="008B14C6" w:rsidRPr="00F03917" w:rsidRDefault="008B14C6" w:rsidP="00F82C9C">
            <w:pPr>
              <w:pStyle w:val="TableText"/>
              <w:keepNext/>
              <w:rPr>
                <w:rFonts w:asciiTheme="minorHAnsi" w:hAnsiTheme="minorHAnsi" w:cstheme="minorBidi"/>
              </w:rPr>
            </w:pPr>
            <w:r w:rsidRPr="00F03917">
              <w:rPr>
                <w:rFonts w:asciiTheme="minorHAnsi" w:hAnsiTheme="minorHAnsi" w:cstheme="minorBidi"/>
              </w:rPr>
              <w:t xml:space="preserve">Implicitly includes </w:t>
            </w:r>
            <w:r w:rsidRPr="00F03917">
              <w:rPr>
                <w:rFonts w:asciiTheme="minorHAnsi" w:hAnsiTheme="minorHAnsi" w:cstheme="minorBidi"/>
                <w:b/>
                <w:bCs/>
              </w:rPr>
              <w:t xml:space="preserve">vertical land movement (VLM) </w:t>
            </w:r>
            <w:r w:rsidR="00AE6F9E" w:rsidRPr="00F03917">
              <w:rPr>
                <w:rFonts w:asciiTheme="minorHAnsi" w:hAnsiTheme="minorHAnsi" w:cstheme="minorBidi"/>
              </w:rPr>
              <w:t xml:space="preserve">when </w:t>
            </w:r>
            <w:r w:rsidRPr="00F03917">
              <w:rPr>
                <w:rFonts w:asciiTheme="minorHAnsi" w:hAnsiTheme="minorHAnsi" w:cstheme="minorBidi"/>
              </w:rPr>
              <w:t xml:space="preserve">related to </w:t>
            </w:r>
            <w:r w:rsidR="005F5954" w:rsidRPr="00F03917">
              <w:rPr>
                <w:rFonts w:asciiTheme="minorHAnsi" w:hAnsiTheme="minorHAnsi" w:cstheme="minorBidi"/>
              </w:rPr>
              <w:t>bracketed time</w:t>
            </w:r>
            <w:r w:rsidR="00055411" w:rsidRPr="00F03917">
              <w:rPr>
                <w:rFonts w:asciiTheme="minorHAnsi" w:hAnsiTheme="minorHAnsi" w:cstheme="minorBidi"/>
              </w:rPr>
              <w:t>frames</w:t>
            </w:r>
            <w:r w:rsidR="005F5954" w:rsidRPr="00F03917">
              <w:rPr>
                <w:rFonts w:asciiTheme="minorHAnsi" w:hAnsiTheme="minorHAnsi" w:cstheme="minorBidi"/>
              </w:rPr>
              <w:t xml:space="preserve"> </w:t>
            </w:r>
            <w:r w:rsidR="001B3DD0" w:rsidRPr="00F03917">
              <w:rPr>
                <w:rFonts w:asciiTheme="minorHAnsi" w:hAnsiTheme="minorHAnsi" w:cstheme="minorBidi"/>
              </w:rPr>
              <w:t xml:space="preserve">for </w:t>
            </w:r>
            <w:r w:rsidR="00900E44" w:rsidRPr="00F03917">
              <w:rPr>
                <w:rFonts w:asciiTheme="minorHAnsi" w:hAnsiTheme="minorHAnsi" w:cstheme="minorBidi"/>
              </w:rPr>
              <w:t>relative sea-level rise (</w:t>
            </w:r>
            <w:r w:rsidR="001B3DD0" w:rsidRPr="00F03917">
              <w:rPr>
                <w:rFonts w:asciiTheme="minorHAnsi" w:hAnsiTheme="minorHAnsi" w:cstheme="minorBidi"/>
              </w:rPr>
              <w:t>RSLR</w:t>
            </w:r>
            <w:r w:rsidR="00900E44" w:rsidRPr="00F03917">
              <w:rPr>
                <w:rFonts w:asciiTheme="minorHAnsi" w:hAnsiTheme="minorHAnsi" w:cstheme="minorBidi"/>
              </w:rPr>
              <w:t>)</w:t>
            </w:r>
            <w:r w:rsidR="00EE1594" w:rsidRPr="00F03917">
              <w:rPr>
                <w:rFonts w:asciiTheme="minorHAnsi" w:hAnsiTheme="minorHAnsi" w:cstheme="minorBidi"/>
              </w:rPr>
              <w:t xml:space="preserve"> projections</w:t>
            </w:r>
            <w:r w:rsidR="00D62CC2" w:rsidRPr="00F03917">
              <w:rPr>
                <w:rFonts w:asciiTheme="minorHAnsi" w:hAnsiTheme="minorHAnsi" w:cstheme="minorBidi"/>
              </w:rPr>
              <w:t>.</w:t>
            </w:r>
          </w:p>
        </w:tc>
        <w:tc>
          <w:tcPr>
            <w:tcW w:w="4247" w:type="dxa"/>
            <w:shd w:val="clear" w:color="auto" w:fill="auto"/>
          </w:tcPr>
          <w:p w14:paraId="1F4C33B0" w14:textId="3E306E59" w:rsidR="006F7F9A" w:rsidRPr="00F03917" w:rsidRDefault="006F7F9A" w:rsidP="00646BE7">
            <w:pPr>
              <w:pStyle w:val="TableText"/>
              <w:keepNext/>
              <w:spacing w:after="40"/>
              <w:rPr>
                <w:rFonts w:cstheme="minorHAnsi"/>
              </w:rPr>
            </w:pPr>
            <w:r w:rsidRPr="00F03917">
              <w:rPr>
                <w:rFonts w:cstheme="minorHAnsi"/>
              </w:rPr>
              <w:t xml:space="preserve">Easy to visualise </w:t>
            </w:r>
            <w:r w:rsidR="00FB6BD1" w:rsidRPr="00F03917">
              <w:rPr>
                <w:rFonts w:cstheme="minorHAnsi"/>
              </w:rPr>
              <w:t xml:space="preserve">via hazard maps </w:t>
            </w:r>
            <w:r w:rsidRPr="00F03917">
              <w:rPr>
                <w:rFonts w:cstheme="minorHAnsi"/>
              </w:rPr>
              <w:t>and communicate</w:t>
            </w:r>
            <w:r w:rsidR="00FB6BD1" w:rsidRPr="00F03917">
              <w:rPr>
                <w:rFonts w:cstheme="minorHAnsi"/>
              </w:rPr>
              <w:t xml:space="preserve"> where and at what increment adaptation thresholds emerge (eg, </w:t>
            </w:r>
            <w:hyperlink w:anchor="figure12" w:history="1">
              <w:r w:rsidR="009A1E88" w:rsidRPr="00F03917">
                <w:rPr>
                  <w:rStyle w:val="Hyperlink"/>
                  <w:rFonts w:cstheme="minorHAnsi"/>
                </w:rPr>
                <w:t>figure 12</w:t>
              </w:r>
            </w:hyperlink>
            <w:r w:rsidR="00FB6BD1" w:rsidRPr="00F03917">
              <w:rPr>
                <w:rFonts w:cstheme="minorHAnsi"/>
              </w:rPr>
              <w:t>)</w:t>
            </w:r>
            <w:r w:rsidR="002C0F3B" w:rsidRPr="00F03917">
              <w:rPr>
                <w:rFonts w:cstheme="minorHAnsi"/>
              </w:rPr>
              <w:t>.</w:t>
            </w:r>
          </w:p>
          <w:p w14:paraId="4D1EB26A" w14:textId="1B8CF9FE" w:rsidR="00154D1B" w:rsidRPr="00F03917" w:rsidRDefault="00154D1B" w:rsidP="00646BE7">
            <w:pPr>
              <w:pStyle w:val="TableText"/>
              <w:keepNext/>
              <w:spacing w:after="40"/>
              <w:rPr>
                <w:rFonts w:cstheme="minorHAnsi"/>
              </w:rPr>
            </w:pPr>
            <w:r w:rsidRPr="00F03917">
              <w:rPr>
                <w:rFonts w:cstheme="minorHAnsi"/>
              </w:rPr>
              <w:t xml:space="preserve">Good </w:t>
            </w:r>
            <w:r w:rsidR="005B227D" w:rsidRPr="00F03917">
              <w:rPr>
                <w:rFonts w:cstheme="minorHAnsi"/>
              </w:rPr>
              <w:t>for</w:t>
            </w:r>
            <w:r w:rsidRPr="00F03917">
              <w:rPr>
                <w:rFonts w:cstheme="minorHAnsi"/>
              </w:rPr>
              <w:t xml:space="preserve"> </w:t>
            </w:r>
            <w:r w:rsidR="00A97F04" w:rsidRPr="00F03917">
              <w:rPr>
                <w:rFonts w:cstheme="minorHAnsi"/>
              </w:rPr>
              <w:t>both</w:t>
            </w:r>
            <w:r w:rsidRPr="00F03917">
              <w:rPr>
                <w:rFonts w:cstheme="minorHAnsi"/>
              </w:rPr>
              <w:t xml:space="preserve"> </w:t>
            </w:r>
            <w:r w:rsidR="005B227D" w:rsidRPr="00F03917">
              <w:rPr>
                <w:rFonts w:cstheme="minorHAnsi"/>
              </w:rPr>
              <w:t>hazard</w:t>
            </w:r>
            <w:r w:rsidRPr="00F03917">
              <w:rPr>
                <w:rFonts w:cstheme="minorHAnsi"/>
              </w:rPr>
              <w:t xml:space="preserve"> </w:t>
            </w:r>
            <w:r w:rsidR="00A97F04" w:rsidRPr="00F03917">
              <w:rPr>
                <w:rFonts w:cstheme="minorHAnsi"/>
              </w:rPr>
              <w:t>and quantitative risk</w:t>
            </w:r>
            <w:r w:rsidR="0033122B" w:rsidRPr="00F03917">
              <w:rPr>
                <w:rFonts w:cstheme="minorHAnsi"/>
              </w:rPr>
              <w:t xml:space="preserve"> </w:t>
            </w:r>
            <w:r w:rsidRPr="00F03917">
              <w:rPr>
                <w:rFonts w:cstheme="minorHAnsi"/>
              </w:rPr>
              <w:t>assessments</w:t>
            </w:r>
            <w:r w:rsidR="002C0F3B" w:rsidRPr="00F03917">
              <w:rPr>
                <w:rFonts w:cstheme="minorHAnsi"/>
              </w:rPr>
              <w:t>.</w:t>
            </w:r>
          </w:p>
          <w:p w14:paraId="66825C25" w14:textId="3F5791BC" w:rsidR="0006568D" w:rsidRPr="00F03917" w:rsidRDefault="1AFE1201" w:rsidP="00646BE7">
            <w:pPr>
              <w:pStyle w:val="TableText"/>
              <w:keepNext/>
              <w:spacing w:after="40"/>
            </w:pPr>
            <w:r w:rsidRPr="00F03917">
              <w:t>Hazard and risk modelling may</w:t>
            </w:r>
            <w:r w:rsidR="0482C615" w:rsidRPr="00F03917">
              <w:t xml:space="preserve"> not </w:t>
            </w:r>
            <w:r w:rsidR="74440D09" w:rsidRPr="00F03917">
              <w:t xml:space="preserve">require </w:t>
            </w:r>
            <w:r w:rsidR="2FB8C1A4" w:rsidRPr="00F03917">
              <w:t>updating</w:t>
            </w:r>
            <w:r w:rsidR="1DBED35C" w:rsidRPr="00F03917">
              <w:t xml:space="preserve"> if projections or VLM change</w:t>
            </w:r>
            <w:r w:rsidR="0A67497A" w:rsidRPr="00F03917">
              <w:t>,</w:t>
            </w:r>
            <w:r w:rsidR="0033122B" w:rsidRPr="00F03917" w:rsidDel="1DBED35C">
              <w:t xml:space="preserve"> </w:t>
            </w:r>
            <w:r w:rsidR="1DBED35C" w:rsidRPr="00F03917">
              <w:t>only the time brackets (for when the increments are exceeded)</w:t>
            </w:r>
            <w:r w:rsidR="5D509AFF" w:rsidRPr="00F03917">
              <w:t>.</w:t>
            </w:r>
          </w:p>
          <w:p w14:paraId="240128C1" w14:textId="4B7D0857" w:rsidR="006F7F9A" w:rsidRPr="00F03917" w:rsidRDefault="2C182926" w:rsidP="00646BE7">
            <w:pPr>
              <w:pStyle w:val="TableText"/>
              <w:keepNext/>
              <w:spacing w:after="40"/>
            </w:pPr>
            <w:r w:rsidRPr="00F03917">
              <w:t xml:space="preserve">Useful for stress-testing the lifetime of options and pathways, where </w:t>
            </w:r>
            <w:r w:rsidR="2F85F1D9" w:rsidRPr="00F03917">
              <w:t xml:space="preserve">an </w:t>
            </w:r>
            <w:r w:rsidRPr="00F03917">
              <w:t>adaptation threshold in terms</w:t>
            </w:r>
            <w:r w:rsidR="2FB8C1A4" w:rsidRPr="00F03917">
              <w:t xml:space="preserve"> </w:t>
            </w:r>
            <w:r w:rsidR="2F85F1D9" w:rsidRPr="00F03917">
              <w:t>of a</w:t>
            </w:r>
            <w:r w:rsidR="65398DB2" w:rsidRPr="00F03917">
              <w:t>n</w:t>
            </w:r>
            <w:r w:rsidR="2F85F1D9" w:rsidRPr="00F03917">
              <w:t xml:space="preserve"> RSLR increment has been pre-agreed.</w:t>
            </w:r>
          </w:p>
          <w:p w14:paraId="3205E924" w14:textId="369DC23C" w:rsidR="00FB6A7C" w:rsidRPr="00F03917" w:rsidRDefault="1CDF9164" w:rsidP="00F82C9C">
            <w:pPr>
              <w:pStyle w:val="TableText"/>
              <w:keepNext/>
              <w:rPr>
                <w:rFonts w:asciiTheme="minorHAnsi" w:hAnsiTheme="minorHAnsi" w:cstheme="minorBidi"/>
              </w:rPr>
            </w:pPr>
            <w:r w:rsidRPr="00F03917">
              <w:t xml:space="preserve">Not </w:t>
            </w:r>
            <w:r w:rsidR="00243F00" w:rsidRPr="00F03917">
              <w:t>suited for use</w:t>
            </w:r>
            <w:r w:rsidRPr="00F03917">
              <w:t xml:space="preserve"> with other climate hazards or drivers (eg, rainfall) in climate risk assessments, where only </w:t>
            </w:r>
            <w:r w:rsidR="00382BD1" w:rsidRPr="00F03917">
              <w:t>projections</w:t>
            </w:r>
            <w:r w:rsidR="00B013A9" w:rsidRPr="00F03917">
              <w:t xml:space="preserve"> </w:t>
            </w:r>
            <w:r w:rsidR="00CF1DA6" w:rsidRPr="00F03917">
              <w:t>based on</w:t>
            </w:r>
            <w:r w:rsidR="3AD3D77D" w:rsidRPr="00F03917">
              <w:t xml:space="preserve"> </w:t>
            </w:r>
            <w:r w:rsidRPr="00F03917">
              <w:t xml:space="preserve">SSP </w:t>
            </w:r>
            <w:r w:rsidR="00B013A9" w:rsidRPr="00F03917">
              <w:t>scenario</w:t>
            </w:r>
            <w:r w:rsidR="00D970CD" w:rsidRPr="00F03917">
              <w:t>s</w:t>
            </w:r>
            <w:r w:rsidR="00B013A9" w:rsidRPr="00F03917">
              <w:t xml:space="preserve"> </w:t>
            </w:r>
            <w:r w:rsidRPr="00F03917">
              <w:t>may be available.</w:t>
            </w:r>
          </w:p>
        </w:tc>
      </w:tr>
      <w:tr w:rsidR="006F7F9A" w:rsidRPr="00F03917" w14:paraId="1D5F4732" w14:textId="77777777" w:rsidTr="00372609">
        <w:tc>
          <w:tcPr>
            <w:tcW w:w="1151" w:type="dxa"/>
            <w:shd w:val="clear" w:color="auto" w:fill="auto"/>
          </w:tcPr>
          <w:p w14:paraId="1F3AB0BA" w14:textId="14A09DBE" w:rsidR="006F7F9A" w:rsidRPr="00F03917" w:rsidRDefault="004D6025" w:rsidP="00D01C74">
            <w:pPr>
              <w:pStyle w:val="TableText"/>
            </w:pPr>
            <w:r w:rsidRPr="00F03917">
              <w:rPr>
                <w:rFonts w:cstheme="minorHAnsi"/>
                <w:b/>
                <w:bCs/>
                <w:color w:val="000000" w:themeColor="text1"/>
              </w:rPr>
              <w:t>P</w:t>
            </w:r>
            <w:r w:rsidR="006256D1" w:rsidRPr="00F03917">
              <w:rPr>
                <w:rFonts w:asciiTheme="minorHAnsi" w:hAnsiTheme="minorHAnsi" w:cstheme="minorHAnsi"/>
                <w:b/>
                <w:bCs/>
                <w:color w:val="000000" w:themeColor="text1"/>
              </w:rPr>
              <w:t>rojections</w:t>
            </w:r>
          </w:p>
        </w:tc>
        <w:tc>
          <w:tcPr>
            <w:tcW w:w="3811" w:type="dxa"/>
            <w:shd w:val="clear" w:color="auto" w:fill="auto"/>
          </w:tcPr>
          <w:p w14:paraId="299AA37E" w14:textId="16DCEB0F" w:rsidR="006F7F9A" w:rsidRPr="00F03917" w:rsidRDefault="006F7F9A" w:rsidP="00D01C74">
            <w:pPr>
              <w:pStyle w:val="TableText"/>
              <w:rPr>
                <w:rFonts w:cstheme="minorHAnsi"/>
              </w:rPr>
            </w:pPr>
            <w:r w:rsidRPr="00F03917">
              <w:rPr>
                <w:rFonts w:cstheme="minorHAnsi"/>
              </w:rPr>
              <w:t xml:space="preserve">Tied to </w:t>
            </w:r>
            <w:r w:rsidRPr="00F03917">
              <w:rPr>
                <w:rFonts w:cstheme="minorHAnsi"/>
                <w:b/>
              </w:rPr>
              <w:t xml:space="preserve">SSP scenarios </w:t>
            </w:r>
            <w:r w:rsidR="00355824" w:rsidRPr="00F03917">
              <w:rPr>
                <w:rFonts w:cstheme="minorHAnsi"/>
              </w:rPr>
              <w:t>(</w:t>
            </w:r>
            <w:r w:rsidRPr="00F03917">
              <w:rPr>
                <w:rFonts w:cstheme="minorHAnsi"/>
                <w:b/>
              </w:rPr>
              <w:t xml:space="preserve">and </w:t>
            </w:r>
            <w:r w:rsidR="00626983" w:rsidRPr="00F03917">
              <w:rPr>
                <w:rFonts w:cstheme="minorHAnsi"/>
                <w:b/>
              </w:rPr>
              <w:t xml:space="preserve">nominated </w:t>
            </w:r>
            <w:r w:rsidRPr="00F03917">
              <w:rPr>
                <w:rFonts w:cstheme="minorHAnsi"/>
                <w:b/>
              </w:rPr>
              <w:t>timeframes</w:t>
            </w:r>
            <w:r w:rsidR="00355824" w:rsidRPr="00F03917">
              <w:rPr>
                <w:rFonts w:cstheme="minorHAnsi"/>
              </w:rPr>
              <w:t>)</w:t>
            </w:r>
            <w:r w:rsidR="00626983" w:rsidRPr="00F03917">
              <w:rPr>
                <w:rFonts w:cstheme="minorHAnsi"/>
                <w:color w:val="006666"/>
              </w:rPr>
              <w:t>.</w:t>
            </w:r>
          </w:p>
          <w:p w14:paraId="19F267F5" w14:textId="1D761231" w:rsidR="006F7F9A" w:rsidRPr="00F03917" w:rsidRDefault="006F7F9A" w:rsidP="00D01C74">
            <w:pPr>
              <w:pStyle w:val="TableText"/>
              <w:rPr>
                <w:rFonts w:cstheme="minorHAnsi"/>
              </w:rPr>
            </w:pPr>
            <w:r w:rsidRPr="00F03917">
              <w:rPr>
                <w:rFonts w:cstheme="minorHAnsi"/>
              </w:rPr>
              <w:t xml:space="preserve">Uses </w:t>
            </w:r>
            <w:r w:rsidRPr="00F03917">
              <w:rPr>
                <w:rFonts w:cstheme="minorHAnsi"/>
                <w:b/>
              </w:rPr>
              <w:t>NZ</w:t>
            </w:r>
            <w:r w:rsidR="0030100C" w:rsidRPr="00F03917">
              <w:rPr>
                <w:rFonts w:cstheme="minorHAnsi"/>
                <w:b/>
              </w:rPr>
              <w:t xml:space="preserve"> </w:t>
            </w:r>
            <w:r w:rsidRPr="00F03917">
              <w:rPr>
                <w:rFonts w:cstheme="minorHAnsi"/>
                <w:b/>
              </w:rPr>
              <w:t xml:space="preserve">SeaRise </w:t>
            </w:r>
            <w:r w:rsidR="00626983" w:rsidRPr="00F03917">
              <w:rPr>
                <w:rFonts w:cstheme="minorHAnsi"/>
                <w:b/>
              </w:rPr>
              <w:t xml:space="preserve">platform </w:t>
            </w:r>
            <w:r w:rsidR="00626983" w:rsidRPr="00F03917">
              <w:rPr>
                <w:rFonts w:cstheme="minorHAnsi"/>
              </w:rPr>
              <w:t>for time series of specific RSLR projections to 2150.</w:t>
            </w:r>
          </w:p>
          <w:p w14:paraId="00C90644" w14:textId="6AD27630" w:rsidR="006F7F9A" w:rsidRPr="00F03917" w:rsidRDefault="006F7F9A" w:rsidP="00D01C74">
            <w:pPr>
              <w:pStyle w:val="TableText"/>
              <w:rPr>
                <w:rFonts w:cstheme="minorHAnsi"/>
                <w:b/>
              </w:rPr>
            </w:pPr>
            <w:r w:rsidRPr="00F03917">
              <w:rPr>
                <w:rFonts w:cstheme="minorHAnsi"/>
              </w:rPr>
              <w:t xml:space="preserve">Can be used at regional and local </w:t>
            </w:r>
            <w:r w:rsidRPr="00F03917">
              <w:rPr>
                <w:rFonts w:cstheme="minorHAnsi"/>
                <w:b/>
              </w:rPr>
              <w:t>spatial scale</w:t>
            </w:r>
            <w:r w:rsidR="00626983" w:rsidRPr="00F03917">
              <w:rPr>
                <w:rFonts w:cstheme="minorHAnsi"/>
                <w:b/>
              </w:rPr>
              <w:t>s</w:t>
            </w:r>
            <w:r w:rsidR="00626983" w:rsidRPr="00F03917">
              <w:rPr>
                <w:rFonts w:cstheme="minorHAnsi"/>
                <w:bCs/>
              </w:rPr>
              <w:t>.</w:t>
            </w:r>
          </w:p>
          <w:p w14:paraId="038AD2A3" w14:textId="08DB3FF3" w:rsidR="006F7F9A" w:rsidRPr="00F03917" w:rsidRDefault="008917CC" w:rsidP="00D01C74">
            <w:pPr>
              <w:pStyle w:val="TableText"/>
            </w:pPr>
            <w:r w:rsidRPr="00F03917">
              <w:rPr>
                <w:rFonts w:asciiTheme="minorHAnsi" w:hAnsiTheme="minorHAnsi" w:cstheme="minorHAnsi"/>
              </w:rPr>
              <w:t>C</w:t>
            </w:r>
            <w:r w:rsidRPr="00F03917">
              <w:rPr>
                <w:rFonts w:cstheme="minorHAnsi"/>
              </w:rPr>
              <w:t xml:space="preserve">an </w:t>
            </w:r>
            <w:r w:rsidR="00810E00" w:rsidRPr="00F03917">
              <w:rPr>
                <w:rFonts w:cstheme="minorHAnsi"/>
              </w:rPr>
              <w:t>incorporate</w:t>
            </w:r>
            <w:r w:rsidRPr="00F03917">
              <w:rPr>
                <w:rFonts w:cstheme="minorHAnsi"/>
              </w:rPr>
              <w:t xml:space="preserve"> </w:t>
            </w:r>
            <w:r w:rsidR="000640F2" w:rsidRPr="00F03917">
              <w:rPr>
                <w:rFonts w:cstheme="minorHAnsi"/>
              </w:rPr>
              <w:t>satellite</w:t>
            </w:r>
            <w:r w:rsidR="00003E72" w:rsidRPr="00F03917">
              <w:rPr>
                <w:rFonts w:cstheme="minorHAnsi"/>
              </w:rPr>
              <w:t>-</w:t>
            </w:r>
            <w:r w:rsidR="000640F2" w:rsidRPr="00F03917">
              <w:rPr>
                <w:rFonts w:cstheme="minorHAnsi"/>
              </w:rPr>
              <w:t>derived</w:t>
            </w:r>
            <w:r w:rsidR="00003E72" w:rsidRPr="00F03917">
              <w:rPr>
                <w:rFonts w:cstheme="minorHAnsi"/>
              </w:rPr>
              <w:t xml:space="preserve"> VLM (using NZ SeaRise platform)</w:t>
            </w:r>
            <w:r w:rsidR="000640F2" w:rsidRPr="00F03917">
              <w:rPr>
                <w:rFonts w:cstheme="minorHAnsi"/>
              </w:rPr>
              <w:t xml:space="preserve"> or locally </w:t>
            </w:r>
            <w:r w:rsidR="00003E72" w:rsidRPr="00F03917">
              <w:rPr>
                <w:rFonts w:cstheme="minorHAnsi"/>
              </w:rPr>
              <w:t>monitored</w:t>
            </w:r>
            <w:r w:rsidR="000640F2" w:rsidRPr="00F03917">
              <w:rPr>
                <w:rFonts w:cstheme="minorHAnsi"/>
              </w:rPr>
              <w:t xml:space="preserve"> </w:t>
            </w:r>
            <w:r w:rsidR="000640F2" w:rsidRPr="00F03917">
              <w:rPr>
                <w:rFonts w:cstheme="minorHAnsi"/>
                <w:b/>
              </w:rPr>
              <w:t>VLM rate</w:t>
            </w:r>
            <w:r w:rsidR="001120ED" w:rsidRPr="00F03917">
              <w:rPr>
                <w:rFonts w:cstheme="minorHAnsi"/>
                <w:bCs/>
              </w:rPr>
              <w:t>.</w:t>
            </w:r>
          </w:p>
        </w:tc>
        <w:tc>
          <w:tcPr>
            <w:tcW w:w="4247" w:type="dxa"/>
            <w:shd w:val="clear" w:color="auto" w:fill="auto"/>
          </w:tcPr>
          <w:p w14:paraId="7FBF6644" w14:textId="3951CC6A" w:rsidR="006F7F9A" w:rsidRPr="00F03917" w:rsidRDefault="172C4E8F" w:rsidP="00646BE7">
            <w:pPr>
              <w:pStyle w:val="TableText"/>
              <w:spacing w:after="40"/>
            </w:pPr>
            <w:r w:rsidRPr="00F03917">
              <w:t xml:space="preserve">Provides </w:t>
            </w:r>
            <w:r w:rsidR="38BE2B2F" w:rsidRPr="00F03917">
              <w:t xml:space="preserve">a </w:t>
            </w:r>
            <w:r w:rsidR="231174B0" w:rsidRPr="00F03917">
              <w:t>range of RSLR across SSP scenarios for various specific timeframes (eg, 2050, 2130)</w:t>
            </w:r>
            <w:r w:rsidR="4842F4FA" w:rsidRPr="00F03917">
              <w:t>.</w:t>
            </w:r>
          </w:p>
          <w:p w14:paraId="677325A8" w14:textId="444E4849" w:rsidR="00C452D2" w:rsidRPr="00F03917" w:rsidRDefault="00C452D2" w:rsidP="00646BE7">
            <w:pPr>
              <w:pStyle w:val="TableText"/>
              <w:spacing w:after="40"/>
              <w:rPr>
                <w:rFonts w:cstheme="minorHAnsi"/>
              </w:rPr>
            </w:pPr>
            <w:r w:rsidRPr="00F03917">
              <w:rPr>
                <w:rFonts w:cstheme="minorHAnsi"/>
              </w:rPr>
              <w:t xml:space="preserve">More suited for stress-testing options and </w:t>
            </w:r>
            <w:r w:rsidR="002823F6" w:rsidRPr="00F03917">
              <w:rPr>
                <w:rFonts w:cstheme="minorHAnsi"/>
              </w:rPr>
              <w:t xml:space="preserve">adaptation </w:t>
            </w:r>
            <w:r w:rsidRPr="00F03917">
              <w:rPr>
                <w:rFonts w:cstheme="minorHAnsi"/>
              </w:rPr>
              <w:t>pathways for a specific planning horizon.</w:t>
            </w:r>
          </w:p>
          <w:p w14:paraId="6CC3419A" w14:textId="47357625" w:rsidR="006F7F9A" w:rsidRPr="00F03917" w:rsidRDefault="00A8050F" w:rsidP="00646BE7">
            <w:pPr>
              <w:pStyle w:val="TableText"/>
              <w:spacing w:after="40"/>
              <w:rPr>
                <w:rFonts w:cstheme="minorHAnsi"/>
              </w:rPr>
            </w:pPr>
            <w:r w:rsidRPr="00F03917">
              <w:rPr>
                <w:rFonts w:cstheme="minorHAnsi"/>
              </w:rPr>
              <w:t>Suits</w:t>
            </w:r>
            <w:r w:rsidR="006F7F9A" w:rsidRPr="00F03917">
              <w:rPr>
                <w:rFonts w:cstheme="minorHAnsi"/>
              </w:rPr>
              <w:t xml:space="preserve"> detailed hazard assessments</w:t>
            </w:r>
            <w:r w:rsidR="008F698B" w:rsidRPr="00F03917">
              <w:rPr>
                <w:rFonts w:cstheme="minorHAnsi"/>
              </w:rPr>
              <w:t>, where other hazards or climate drivers are only available as SSP scenario</w:t>
            </w:r>
            <w:r w:rsidR="003F40C7" w:rsidRPr="00F03917">
              <w:rPr>
                <w:rFonts w:cstheme="minorHAnsi"/>
              </w:rPr>
              <w:t>-</w:t>
            </w:r>
            <w:r w:rsidR="001C7DD3" w:rsidRPr="00F03917">
              <w:rPr>
                <w:rFonts w:cstheme="minorHAnsi"/>
              </w:rPr>
              <w:t>based</w:t>
            </w:r>
            <w:r w:rsidR="00A170FD" w:rsidRPr="00F03917">
              <w:rPr>
                <w:rFonts w:cstheme="minorHAnsi"/>
              </w:rPr>
              <w:t xml:space="preserve"> projections</w:t>
            </w:r>
            <w:r w:rsidR="002C0F3B" w:rsidRPr="00F03917">
              <w:rPr>
                <w:rFonts w:cstheme="minorHAnsi"/>
              </w:rPr>
              <w:t>.</w:t>
            </w:r>
          </w:p>
          <w:p w14:paraId="5E7CED2A" w14:textId="77777777" w:rsidR="006F7F9A" w:rsidRPr="00F03917" w:rsidRDefault="008F698B" w:rsidP="00646BE7">
            <w:pPr>
              <w:pStyle w:val="TableText"/>
              <w:spacing w:after="40"/>
              <w:rPr>
                <w:rFonts w:asciiTheme="minorHAnsi" w:hAnsiTheme="minorHAnsi"/>
                <w:color w:val="006666"/>
              </w:rPr>
            </w:pPr>
            <w:r w:rsidRPr="00F03917">
              <w:t>Hazard and risk assessments n</w:t>
            </w:r>
            <w:r w:rsidR="006F7F9A" w:rsidRPr="00F03917">
              <w:t xml:space="preserve">eed updating when SSP </w:t>
            </w:r>
            <w:r w:rsidR="00094F1A" w:rsidRPr="00F03917">
              <w:t xml:space="preserve">scenarios </w:t>
            </w:r>
            <w:r w:rsidR="00195843" w:rsidRPr="00F03917">
              <w:t>or VLM rate</w:t>
            </w:r>
            <w:r w:rsidR="006F7F9A" w:rsidRPr="00F03917">
              <w:t xml:space="preserve"> change</w:t>
            </w:r>
            <w:r w:rsidR="00195843" w:rsidRPr="00F03917">
              <w:t>s</w:t>
            </w:r>
            <w:r w:rsidR="002C0F3B" w:rsidRPr="00F03917">
              <w:t>.</w:t>
            </w:r>
          </w:p>
          <w:p w14:paraId="5993FD0A" w14:textId="53DDA606" w:rsidR="00E10AFE" w:rsidRPr="00F03917" w:rsidRDefault="00E10AFE" w:rsidP="00D01C74">
            <w:pPr>
              <w:pStyle w:val="TableText"/>
              <w:rPr>
                <w:rFonts w:cstheme="minorHAnsi"/>
              </w:rPr>
            </w:pPr>
            <w:r w:rsidRPr="00F03917">
              <w:rPr>
                <w:rFonts w:asciiTheme="minorHAnsi" w:hAnsiTheme="minorHAnsi"/>
              </w:rPr>
              <w:t>If</w:t>
            </w:r>
            <w:r w:rsidR="00E208B3" w:rsidRPr="00F03917">
              <w:rPr>
                <w:rFonts w:asciiTheme="minorHAnsi" w:hAnsiTheme="minorHAnsi"/>
              </w:rPr>
              <w:t xml:space="preserve"> a time series</w:t>
            </w:r>
            <w:r w:rsidR="00CF0C91" w:rsidRPr="00F03917">
              <w:rPr>
                <w:rFonts w:asciiTheme="minorHAnsi" w:hAnsiTheme="minorHAnsi"/>
              </w:rPr>
              <w:t xml:space="preserve"> of</w:t>
            </w:r>
            <w:r w:rsidR="00184D40" w:rsidRPr="00F03917">
              <w:rPr>
                <w:rFonts w:asciiTheme="minorHAnsi" w:hAnsiTheme="minorHAnsi"/>
              </w:rPr>
              <w:t xml:space="preserve"> </w:t>
            </w:r>
            <w:r w:rsidR="00796807" w:rsidRPr="00F03917">
              <w:rPr>
                <w:rFonts w:asciiTheme="minorHAnsi" w:hAnsiTheme="minorHAnsi"/>
              </w:rPr>
              <w:t xml:space="preserve">locally </w:t>
            </w:r>
            <w:r w:rsidR="00184D40" w:rsidRPr="00F03917">
              <w:rPr>
                <w:rFonts w:asciiTheme="minorHAnsi" w:hAnsiTheme="minorHAnsi"/>
              </w:rPr>
              <w:t>monit</w:t>
            </w:r>
            <w:r w:rsidR="00DC1C6C" w:rsidRPr="00F03917">
              <w:rPr>
                <w:rFonts w:asciiTheme="minorHAnsi" w:hAnsiTheme="minorHAnsi"/>
              </w:rPr>
              <w:t>ored</w:t>
            </w:r>
            <w:r w:rsidRPr="00F03917" w:rsidDel="00542C17">
              <w:rPr>
                <w:rFonts w:asciiTheme="minorHAnsi" w:hAnsiTheme="minorHAnsi"/>
              </w:rPr>
              <w:t xml:space="preserve"> </w:t>
            </w:r>
            <w:r w:rsidRPr="00F03917">
              <w:rPr>
                <w:rFonts w:asciiTheme="minorHAnsi" w:hAnsiTheme="minorHAnsi"/>
              </w:rPr>
              <w:t xml:space="preserve">VLM </w:t>
            </w:r>
            <w:r w:rsidR="00941F4D" w:rsidRPr="00F03917">
              <w:rPr>
                <w:rFonts w:asciiTheme="minorHAnsi" w:hAnsiTheme="minorHAnsi"/>
              </w:rPr>
              <w:t xml:space="preserve">rates </w:t>
            </w:r>
            <w:r w:rsidR="00875C22" w:rsidRPr="00F03917">
              <w:rPr>
                <w:rFonts w:asciiTheme="minorHAnsi" w:hAnsiTheme="minorHAnsi"/>
              </w:rPr>
              <w:t xml:space="preserve">is </w:t>
            </w:r>
            <w:r w:rsidRPr="00F03917">
              <w:rPr>
                <w:rFonts w:asciiTheme="minorHAnsi" w:hAnsiTheme="minorHAnsi"/>
              </w:rPr>
              <w:t xml:space="preserve">available, </w:t>
            </w:r>
            <w:r w:rsidR="004961D5" w:rsidRPr="00F03917">
              <w:rPr>
                <w:rFonts w:asciiTheme="minorHAnsi" w:hAnsiTheme="minorHAnsi"/>
              </w:rPr>
              <w:t xml:space="preserve">can </w:t>
            </w:r>
            <w:r w:rsidRPr="00F03917">
              <w:rPr>
                <w:rFonts w:asciiTheme="minorHAnsi" w:hAnsiTheme="minorHAnsi"/>
              </w:rPr>
              <w:t xml:space="preserve">add </w:t>
            </w:r>
            <w:r w:rsidR="00DD29D5" w:rsidRPr="00F03917">
              <w:rPr>
                <w:rFonts w:asciiTheme="minorHAnsi" w:hAnsiTheme="minorHAnsi"/>
              </w:rPr>
              <w:t xml:space="preserve">to </w:t>
            </w:r>
            <w:r w:rsidR="00A27BDA" w:rsidRPr="00F03917">
              <w:rPr>
                <w:rFonts w:asciiTheme="minorHAnsi" w:hAnsiTheme="minorHAnsi"/>
              </w:rPr>
              <w:t xml:space="preserve">NZ SeaRise </w:t>
            </w:r>
            <w:r w:rsidRPr="00F03917">
              <w:rPr>
                <w:rFonts w:asciiTheme="minorHAnsi" w:hAnsiTheme="minorHAnsi"/>
              </w:rPr>
              <w:t xml:space="preserve">SLR projections </w:t>
            </w:r>
            <w:r w:rsidR="00A223B4" w:rsidRPr="00F03917">
              <w:rPr>
                <w:rFonts w:asciiTheme="minorHAnsi" w:hAnsiTheme="minorHAnsi"/>
              </w:rPr>
              <w:t>(</w:t>
            </w:r>
            <w:r w:rsidRPr="00F03917">
              <w:rPr>
                <w:rFonts w:asciiTheme="minorHAnsi" w:hAnsiTheme="minorHAnsi"/>
              </w:rPr>
              <w:t xml:space="preserve">without </w:t>
            </w:r>
            <w:r w:rsidR="00E1108E" w:rsidRPr="00F03917">
              <w:rPr>
                <w:rFonts w:asciiTheme="minorHAnsi" w:hAnsiTheme="minorHAnsi"/>
              </w:rPr>
              <w:t>satellite</w:t>
            </w:r>
            <w:r w:rsidR="00044329" w:rsidRPr="00F03917">
              <w:rPr>
                <w:rFonts w:asciiTheme="minorHAnsi" w:hAnsiTheme="minorHAnsi"/>
              </w:rPr>
              <w:t>-</w:t>
            </w:r>
            <w:r w:rsidR="00E1108E" w:rsidRPr="00F03917">
              <w:rPr>
                <w:rFonts w:asciiTheme="minorHAnsi" w:hAnsiTheme="minorHAnsi"/>
              </w:rPr>
              <w:t xml:space="preserve">derived </w:t>
            </w:r>
            <w:r w:rsidRPr="00F03917">
              <w:rPr>
                <w:rFonts w:asciiTheme="minorHAnsi" w:hAnsiTheme="minorHAnsi"/>
              </w:rPr>
              <w:t>VLM included</w:t>
            </w:r>
            <w:r w:rsidR="00A223B4" w:rsidRPr="00F03917">
              <w:rPr>
                <w:rFonts w:asciiTheme="minorHAnsi" w:hAnsiTheme="minorHAnsi"/>
              </w:rPr>
              <w:t>)</w:t>
            </w:r>
            <w:r w:rsidRPr="00F03917">
              <w:rPr>
                <w:rFonts w:asciiTheme="minorHAnsi" w:hAnsiTheme="minorHAnsi" w:cstheme="minorBidi"/>
                <w:color w:val="006666"/>
              </w:rPr>
              <w:t>.</w:t>
            </w:r>
          </w:p>
        </w:tc>
      </w:tr>
    </w:tbl>
    <w:p w14:paraId="222D7E3D" w14:textId="11EC029B" w:rsidR="00634080" w:rsidRPr="00F03917" w:rsidRDefault="00000000" w:rsidP="00751B25">
      <w:pPr>
        <w:pStyle w:val="BodyText"/>
        <w:spacing w:before="240"/>
        <w:ind w:right="57"/>
      </w:pPr>
      <w:hyperlink w:anchor="figure10" w:history="1">
        <w:r w:rsidR="00634080" w:rsidRPr="00F03917">
          <w:rPr>
            <w:rStyle w:val="Hyperlink"/>
          </w:rPr>
          <w:t>Figure 10</w:t>
        </w:r>
      </w:hyperlink>
      <w:r w:rsidR="00634080" w:rsidRPr="00F03917">
        <w:t xml:space="preserve"> shows the recommended SLR projections </w:t>
      </w:r>
      <w:r w:rsidR="00B97445" w:rsidRPr="00F03917">
        <w:t>from a central location broadly representative</w:t>
      </w:r>
      <w:r w:rsidR="00892A3A" w:rsidRPr="00F03917">
        <w:t xml:space="preserve"> of SLR across </w:t>
      </w:r>
      <w:r w:rsidR="00634080" w:rsidRPr="00F03917">
        <w:t xml:space="preserve">Aotearoa for the </w:t>
      </w:r>
      <w:r w:rsidR="00634080" w:rsidRPr="00F03917">
        <w:rPr>
          <w:i/>
          <w:iCs/>
        </w:rPr>
        <w:t xml:space="preserve">medium confidence </w:t>
      </w:r>
      <w:r w:rsidR="00634080" w:rsidRPr="00F03917">
        <w:t>projections out to 2150 (excluding VLM). These projections are spliced with six tide-gauge records for annual MSL over</w:t>
      </w:r>
      <w:r w:rsidR="00751B25" w:rsidRPr="00F03917">
        <w:t> </w:t>
      </w:r>
      <w:r w:rsidR="00634080" w:rsidRPr="00F03917">
        <w:t>the past two decades, all relative to the new MSL baseline (1995–2014). When these projections are translated to RSLR locally (by including VLM), they can then be used to determine the range of rise in MSL that could occur over different timeframes (eg, 2050, 2130). The other way of using SLR (and RSLR) projections is to determine the time bracket over which a specific SLR (or RS</w:t>
      </w:r>
      <w:r w:rsidR="00BA2B8E" w:rsidRPr="00F03917">
        <w:t>L</w:t>
      </w:r>
      <w:r w:rsidR="00634080" w:rsidRPr="00F03917">
        <w:t>R) height would be reached (</w:t>
      </w:r>
      <w:r w:rsidR="00C32F7E" w:rsidRPr="00F03917">
        <w:t>figure 10</w:t>
      </w:r>
      <w:r w:rsidR="00634080" w:rsidRPr="00F03917">
        <w:t>). This is useful for appraising adaptation or risk thresholds and physical limits for adaptation options (</w:t>
      </w:r>
      <w:hyperlink w:anchor="_9_Adapting_to" w:history="1">
        <w:r w:rsidR="00634080" w:rsidRPr="00F03917">
          <w:rPr>
            <w:rStyle w:val="Hyperlink"/>
          </w:rPr>
          <w:t>step 5</w:t>
        </w:r>
      </w:hyperlink>
      <w:r w:rsidR="00634080" w:rsidRPr="00F03917">
        <w:t>).</w:t>
      </w:r>
    </w:p>
    <w:p w14:paraId="15B863C5" w14:textId="64FCE353" w:rsidR="00A96EC1" w:rsidRPr="00F03917" w:rsidRDefault="265615F9" w:rsidP="00A57C19">
      <w:pPr>
        <w:pStyle w:val="Figureheading"/>
        <w:spacing w:after="80"/>
      </w:pPr>
      <w:bookmarkStart w:id="63" w:name="figure10"/>
      <w:bookmarkStart w:id="64" w:name="_Toc160098425"/>
      <w:r w:rsidRPr="00F03917">
        <w:lastRenderedPageBreak/>
        <w:t xml:space="preserve">Figure </w:t>
      </w:r>
      <w:r w:rsidR="009660C0" w:rsidRPr="00F03917">
        <w:t>10</w:t>
      </w:r>
      <w:bookmarkEnd w:id="63"/>
      <w:r w:rsidRPr="00F03917">
        <w:t xml:space="preserve">: </w:t>
      </w:r>
      <w:r w:rsidR="008767B0" w:rsidRPr="00F03917">
        <w:tab/>
      </w:r>
      <w:r w:rsidR="4D095640" w:rsidRPr="00F03917">
        <w:t xml:space="preserve">Recommended </w:t>
      </w:r>
      <w:r w:rsidR="798B7F87" w:rsidRPr="00F03917">
        <w:t>sea-level rise</w:t>
      </w:r>
      <w:r w:rsidR="00F65314" w:rsidRPr="00F03917">
        <w:t xml:space="preserve"> (SLR)</w:t>
      </w:r>
      <w:r w:rsidR="798B7F87" w:rsidRPr="00F03917">
        <w:t xml:space="preserve"> </w:t>
      </w:r>
      <w:r w:rsidR="4D095640" w:rsidRPr="00F03917">
        <w:t>projections</w:t>
      </w:r>
      <w:r w:rsidR="00846E29" w:rsidRPr="00F03917">
        <w:t xml:space="preserve"> </w:t>
      </w:r>
      <w:r w:rsidR="00E16D02" w:rsidRPr="00F03917">
        <w:t>(excluding vertical land movement)</w:t>
      </w:r>
      <w:r w:rsidR="00846E29" w:rsidRPr="00F03917">
        <w:t xml:space="preserve"> based on shared socio-economic pathways scenarios</w:t>
      </w:r>
      <w:r w:rsidR="00C94F34" w:rsidRPr="00F03917">
        <w:t xml:space="preserve"> (SSP)</w:t>
      </w:r>
      <w:r w:rsidR="4D095640" w:rsidRPr="00F03917">
        <w:t xml:space="preserve"> (</w:t>
      </w:r>
      <w:r w:rsidR="003F3629" w:rsidRPr="00F03917">
        <w:t xml:space="preserve">from </w:t>
      </w:r>
      <w:r w:rsidR="001D3AAD" w:rsidRPr="00F03917">
        <w:t>a</w:t>
      </w:r>
      <w:r w:rsidR="00354CBD" w:rsidRPr="00F03917">
        <w:t> </w:t>
      </w:r>
      <w:r w:rsidR="001D3AAD" w:rsidRPr="00F03917">
        <w:t>central location</w:t>
      </w:r>
      <w:r w:rsidR="00855731" w:rsidRPr="00F03917">
        <w:t>, broadly representative</w:t>
      </w:r>
      <w:r w:rsidR="00E16D02" w:rsidRPr="00F03917">
        <w:t xml:space="preserve"> of SLR across</w:t>
      </w:r>
      <w:r w:rsidR="00855731" w:rsidRPr="00F03917">
        <w:t xml:space="preserve"> </w:t>
      </w:r>
      <w:r w:rsidR="4D095640" w:rsidRPr="00F03917">
        <w:t>Aotearoa New Zealand)</w:t>
      </w:r>
      <w:bookmarkEnd w:id="64"/>
    </w:p>
    <w:p w14:paraId="5D2CE527" w14:textId="77777777" w:rsidR="00372609" w:rsidRPr="00F03917" w:rsidRDefault="00A96EC1" w:rsidP="00372609">
      <w:pPr>
        <w:pStyle w:val="BodyText"/>
        <w:rPr>
          <w:rStyle w:val="BodyTextChar"/>
        </w:rPr>
      </w:pPr>
      <w:r w:rsidRPr="00F03917">
        <w:rPr>
          <w:noProof/>
        </w:rPr>
        <w:drawing>
          <wp:inline distT="0" distB="0" distL="0" distR="0" wp14:anchorId="06D7893B" wp14:editId="7ABBF31C">
            <wp:extent cx="5438693" cy="2980872"/>
            <wp:effectExtent l="0" t="0" r="0" b="0"/>
            <wp:docPr id="2114120705" name="Picture 2114120705"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120705" name="Picture 1" descr="A graph of different colored lines&#10;&#10;Description automatically generated"/>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a:stretch/>
                  </pic:blipFill>
                  <pic:spPr bwMode="auto">
                    <a:xfrm>
                      <a:off x="0" y="0"/>
                      <a:ext cx="5454732" cy="2989663"/>
                    </a:xfrm>
                    <a:prstGeom prst="rect">
                      <a:avLst/>
                    </a:prstGeom>
                    <a:noFill/>
                    <a:ln>
                      <a:noFill/>
                    </a:ln>
                    <a:extLst>
                      <a:ext uri="{53640926-AAD7-44D8-BBD7-CCE9431645EC}">
                        <a14:shadowObscured xmlns:a14="http://schemas.microsoft.com/office/drawing/2010/main"/>
                      </a:ext>
                    </a:extLst>
                  </pic:spPr>
                </pic:pic>
              </a:graphicData>
            </a:graphic>
          </wp:inline>
        </w:drawing>
      </w:r>
    </w:p>
    <w:p w14:paraId="75D9CDEA" w14:textId="59C9AAD8" w:rsidR="00E7421A" w:rsidRPr="00F03917" w:rsidRDefault="00E7421A" w:rsidP="00C92D7C">
      <w:pPr>
        <w:pStyle w:val="Source"/>
        <w:spacing w:after="0"/>
        <w:rPr>
          <w:rStyle w:val="BodyTextChar"/>
          <w:sz w:val="18"/>
          <w:szCs w:val="18"/>
        </w:rPr>
      </w:pPr>
      <w:r w:rsidRPr="00F03917">
        <w:rPr>
          <w:rStyle w:val="BodyTextChar"/>
          <w:sz w:val="18"/>
          <w:szCs w:val="18"/>
        </w:rPr>
        <w:t>Note</w:t>
      </w:r>
      <w:r w:rsidR="00D750EF" w:rsidRPr="00F03917">
        <w:rPr>
          <w:rStyle w:val="BodyTextChar"/>
          <w:sz w:val="18"/>
          <w:szCs w:val="18"/>
        </w:rPr>
        <w:t>s</w:t>
      </w:r>
      <w:r w:rsidRPr="00F03917">
        <w:rPr>
          <w:rStyle w:val="BodyTextChar"/>
          <w:sz w:val="18"/>
          <w:szCs w:val="18"/>
        </w:rPr>
        <w:t xml:space="preserve">: </w:t>
      </w:r>
      <w:r w:rsidR="00BC2FBE" w:rsidRPr="00F03917">
        <w:rPr>
          <w:rStyle w:val="BodyTextChar"/>
          <w:sz w:val="18"/>
          <w:szCs w:val="18"/>
        </w:rPr>
        <w:t xml:space="preserve">The figure shows </w:t>
      </w:r>
      <w:r w:rsidRPr="00F03917">
        <w:rPr>
          <w:rStyle w:val="BodyTextChar"/>
          <w:sz w:val="18"/>
          <w:szCs w:val="18"/>
        </w:rPr>
        <w:t>two examples of expected time brackets when a 0.4 m</w:t>
      </w:r>
      <w:r w:rsidR="0A7920CC" w:rsidRPr="00F03917">
        <w:rPr>
          <w:rStyle w:val="BodyTextChar"/>
          <w:sz w:val="18"/>
          <w:szCs w:val="18"/>
        </w:rPr>
        <w:t>etre</w:t>
      </w:r>
      <w:r w:rsidRPr="00F03917">
        <w:rPr>
          <w:rStyle w:val="BodyTextChar"/>
          <w:sz w:val="18"/>
          <w:szCs w:val="18"/>
        </w:rPr>
        <w:t xml:space="preserve"> and 1.0 m</w:t>
      </w:r>
      <w:r w:rsidR="6BD6B24B" w:rsidRPr="00F03917">
        <w:rPr>
          <w:rStyle w:val="BodyTextChar"/>
          <w:sz w:val="18"/>
          <w:szCs w:val="18"/>
        </w:rPr>
        <w:t>etre</w:t>
      </w:r>
      <w:r w:rsidRPr="00F03917">
        <w:rPr>
          <w:rStyle w:val="BodyTextChar"/>
          <w:sz w:val="18"/>
          <w:szCs w:val="18"/>
        </w:rPr>
        <w:t xml:space="preserve"> </w:t>
      </w:r>
      <w:r w:rsidR="5DFE1AA9" w:rsidRPr="00F03917">
        <w:rPr>
          <w:rStyle w:val="BodyTextChar"/>
          <w:sz w:val="18"/>
          <w:szCs w:val="18"/>
        </w:rPr>
        <w:t>sea-level rise</w:t>
      </w:r>
      <w:r w:rsidRPr="00F03917">
        <w:rPr>
          <w:rStyle w:val="BodyTextChar"/>
          <w:sz w:val="18"/>
          <w:szCs w:val="18"/>
        </w:rPr>
        <w:t xml:space="preserve"> </w:t>
      </w:r>
      <w:r w:rsidR="00D750EF" w:rsidRPr="00F03917">
        <w:rPr>
          <w:rStyle w:val="BodyTextChar"/>
          <w:sz w:val="18"/>
          <w:szCs w:val="18"/>
        </w:rPr>
        <w:t xml:space="preserve">(SLR) </w:t>
      </w:r>
      <w:r w:rsidRPr="00F03917">
        <w:rPr>
          <w:rStyle w:val="BodyTextChar"/>
          <w:sz w:val="18"/>
          <w:szCs w:val="18"/>
        </w:rPr>
        <w:t xml:space="preserve">height would be reached. Locally, incorporating </w:t>
      </w:r>
      <w:r w:rsidR="00AC0419" w:rsidRPr="00F03917">
        <w:rPr>
          <w:rStyle w:val="BodyTextChar"/>
          <w:sz w:val="18"/>
          <w:szCs w:val="18"/>
        </w:rPr>
        <w:t>vertical land movement</w:t>
      </w:r>
      <w:r w:rsidRPr="00F03917">
        <w:rPr>
          <w:rStyle w:val="BodyTextChar"/>
          <w:sz w:val="18"/>
          <w:szCs w:val="18"/>
        </w:rPr>
        <w:t xml:space="preserve"> from NZ SeaRise, a similar graphic can be generated for specific </w:t>
      </w:r>
      <w:r w:rsidR="00711CBC" w:rsidRPr="00F03917">
        <w:rPr>
          <w:rStyle w:val="BodyTextChar"/>
          <w:sz w:val="18"/>
          <w:szCs w:val="18"/>
        </w:rPr>
        <w:t>relative sea-level rise</w:t>
      </w:r>
      <w:r w:rsidRPr="00F03917">
        <w:rPr>
          <w:rStyle w:val="BodyTextChar"/>
          <w:sz w:val="18"/>
          <w:szCs w:val="18"/>
        </w:rPr>
        <w:t xml:space="preserve"> heights</w:t>
      </w:r>
      <w:r w:rsidR="00966A6C" w:rsidRPr="00F03917">
        <w:rPr>
          <w:rStyle w:val="BodyTextChar"/>
          <w:sz w:val="18"/>
          <w:szCs w:val="18"/>
        </w:rPr>
        <w:t xml:space="preserve">, or refer to </w:t>
      </w:r>
      <w:r w:rsidR="00711CBC" w:rsidRPr="00F03917">
        <w:rPr>
          <w:rStyle w:val="BodyTextChar"/>
          <w:sz w:val="18"/>
          <w:szCs w:val="18"/>
        </w:rPr>
        <w:t>f</w:t>
      </w:r>
      <w:r w:rsidR="00966A6C" w:rsidRPr="00F03917">
        <w:rPr>
          <w:rStyle w:val="BodyTextChar"/>
          <w:sz w:val="18"/>
          <w:szCs w:val="18"/>
        </w:rPr>
        <w:t xml:space="preserve">igure </w:t>
      </w:r>
      <w:r w:rsidR="00C625E2" w:rsidRPr="00F03917">
        <w:rPr>
          <w:rStyle w:val="BodyTextChar"/>
          <w:sz w:val="18"/>
          <w:szCs w:val="18"/>
        </w:rPr>
        <w:t xml:space="preserve">14 in </w:t>
      </w:r>
      <w:hyperlink w:anchor="_Supplements" w:history="1">
        <w:r w:rsidR="008212BE" w:rsidRPr="00F03917">
          <w:rPr>
            <w:rStyle w:val="Hyperlink"/>
            <w:i/>
            <w:iCs/>
          </w:rPr>
          <w:t>Climate change, sea-level rise and coastal hazards science: Coastal hazards and climate change guidance – Supplement A</w:t>
        </w:r>
      </w:hyperlink>
      <w:r w:rsidRPr="00F03917">
        <w:rPr>
          <w:rStyle w:val="BodyTextChar"/>
          <w:sz w:val="18"/>
          <w:szCs w:val="18"/>
        </w:rPr>
        <w:t>.</w:t>
      </w:r>
      <w:r w:rsidR="00977ED4" w:rsidRPr="00F03917">
        <w:rPr>
          <w:rStyle w:val="BodyTextChar"/>
          <w:sz w:val="18"/>
          <w:szCs w:val="18"/>
        </w:rPr>
        <w:t xml:space="preserve"> </w:t>
      </w:r>
    </w:p>
    <w:p w14:paraId="219B7E2E" w14:textId="21156512" w:rsidR="009C692B" w:rsidRPr="00F03917" w:rsidRDefault="00DB4563" w:rsidP="00C92D7C">
      <w:pPr>
        <w:pStyle w:val="Source"/>
        <w:spacing w:after="0"/>
        <w:rPr>
          <w:rStyle w:val="BodyTextChar"/>
          <w:sz w:val="18"/>
          <w:szCs w:val="18"/>
        </w:rPr>
      </w:pPr>
      <w:r w:rsidRPr="00F03917">
        <w:rPr>
          <w:rStyle w:val="BodyTextChar"/>
          <w:sz w:val="18"/>
          <w:szCs w:val="18"/>
        </w:rPr>
        <w:t>T</w:t>
      </w:r>
      <w:r w:rsidR="009C692B" w:rsidRPr="00F03917">
        <w:rPr>
          <w:rStyle w:val="BodyTextChar"/>
          <w:sz w:val="18"/>
          <w:szCs w:val="18"/>
        </w:rPr>
        <w:t xml:space="preserve">he absolute SLR from </w:t>
      </w:r>
      <w:r w:rsidR="00CE3169" w:rsidRPr="00F03917">
        <w:rPr>
          <w:rStyle w:val="BodyTextChar"/>
          <w:sz w:val="18"/>
          <w:szCs w:val="18"/>
        </w:rPr>
        <w:t xml:space="preserve">south to north across </w:t>
      </w:r>
      <w:r w:rsidR="00D750EF" w:rsidRPr="00F03917">
        <w:rPr>
          <w:rStyle w:val="BodyTextChar"/>
          <w:sz w:val="18"/>
          <w:szCs w:val="18"/>
        </w:rPr>
        <w:t xml:space="preserve">Aotearoa </w:t>
      </w:r>
      <w:r w:rsidR="00CE3169" w:rsidRPr="00F03917">
        <w:rPr>
          <w:rStyle w:val="BodyTextChar"/>
          <w:sz w:val="18"/>
          <w:szCs w:val="18"/>
        </w:rPr>
        <w:t xml:space="preserve">New Zealand </w:t>
      </w:r>
      <w:r w:rsidR="009C692B" w:rsidRPr="00F03917">
        <w:rPr>
          <w:rStyle w:val="BodyTextChar"/>
          <w:sz w:val="18"/>
          <w:szCs w:val="18"/>
        </w:rPr>
        <w:t>varies ± 0.025 m</w:t>
      </w:r>
      <w:r w:rsidR="001F1919" w:rsidRPr="00F03917">
        <w:rPr>
          <w:rStyle w:val="BodyTextChar"/>
          <w:sz w:val="18"/>
          <w:szCs w:val="18"/>
        </w:rPr>
        <w:t>etres</w:t>
      </w:r>
      <w:r w:rsidR="009C692B" w:rsidRPr="00F03917">
        <w:rPr>
          <w:rStyle w:val="BodyTextChar"/>
          <w:sz w:val="18"/>
          <w:szCs w:val="18"/>
        </w:rPr>
        <w:t xml:space="preserve"> by 2150, relative to the central </w:t>
      </w:r>
      <w:r w:rsidR="009C692B" w:rsidRPr="00F03917" w:rsidDel="00194B3E">
        <w:rPr>
          <w:rStyle w:val="BodyTextChar"/>
          <w:sz w:val="18"/>
          <w:szCs w:val="18"/>
        </w:rPr>
        <w:t>location</w:t>
      </w:r>
      <w:r w:rsidR="009C692B" w:rsidRPr="00F03917">
        <w:rPr>
          <w:rStyle w:val="BodyTextChar"/>
          <w:sz w:val="18"/>
          <w:szCs w:val="18"/>
        </w:rPr>
        <w:t>.</w:t>
      </w:r>
      <w:r w:rsidR="00C92D7C" w:rsidRPr="00F03917">
        <w:rPr>
          <w:rStyle w:val="BodyTextChar"/>
          <w:sz w:val="18"/>
          <w:szCs w:val="18"/>
        </w:rPr>
        <w:t xml:space="preserve"> </w:t>
      </w:r>
    </w:p>
    <w:p w14:paraId="4944ECD7" w14:textId="4A38F30D" w:rsidR="00A96EC1" w:rsidRPr="00F03917" w:rsidRDefault="001F1919" w:rsidP="005316CC">
      <w:pPr>
        <w:pStyle w:val="Source"/>
        <w:rPr>
          <w:rFonts w:cs="Calibri"/>
          <w:szCs w:val="18"/>
        </w:rPr>
      </w:pPr>
      <w:r w:rsidRPr="00F03917">
        <w:rPr>
          <w:rFonts w:cs="Calibri"/>
          <w:szCs w:val="18"/>
        </w:rPr>
        <w:t>Shared socio-economic pathway (</w:t>
      </w:r>
      <w:r w:rsidR="4D095640" w:rsidRPr="00F03917">
        <w:rPr>
          <w:rFonts w:cs="Calibri"/>
          <w:szCs w:val="18"/>
        </w:rPr>
        <w:t>SSP</w:t>
      </w:r>
      <w:r w:rsidRPr="00F03917">
        <w:rPr>
          <w:rFonts w:cs="Calibri"/>
          <w:szCs w:val="18"/>
        </w:rPr>
        <w:t>)</w:t>
      </w:r>
      <w:r w:rsidR="4D095640" w:rsidRPr="00F03917">
        <w:rPr>
          <w:rFonts w:cs="Calibri"/>
          <w:szCs w:val="18"/>
        </w:rPr>
        <w:t xml:space="preserve"> is used by </w:t>
      </w:r>
      <w:r w:rsidR="21FE301D" w:rsidRPr="00F03917">
        <w:rPr>
          <w:rFonts w:cs="Calibri"/>
          <w:szCs w:val="18"/>
        </w:rPr>
        <w:t xml:space="preserve">the </w:t>
      </w:r>
      <w:r w:rsidR="4D095640" w:rsidRPr="00F03917">
        <w:rPr>
          <w:rFonts w:cs="Calibri"/>
          <w:szCs w:val="18"/>
        </w:rPr>
        <w:t>I</w:t>
      </w:r>
      <w:r w:rsidR="216A6151" w:rsidRPr="00F03917">
        <w:rPr>
          <w:rFonts w:cs="Calibri"/>
          <w:szCs w:val="18"/>
        </w:rPr>
        <w:t xml:space="preserve">ntergovernmental </w:t>
      </w:r>
      <w:r w:rsidR="4D095640" w:rsidRPr="00F03917">
        <w:rPr>
          <w:rFonts w:cs="Calibri"/>
          <w:szCs w:val="18"/>
        </w:rPr>
        <w:t>P</w:t>
      </w:r>
      <w:r w:rsidR="5D4F47D6" w:rsidRPr="00F03917">
        <w:rPr>
          <w:rFonts w:cs="Calibri"/>
          <w:szCs w:val="18"/>
        </w:rPr>
        <w:t xml:space="preserve">anel on </w:t>
      </w:r>
      <w:r w:rsidR="4D095640" w:rsidRPr="00F03917">
        <w:rPr>
          <w:rFonts w:cs="Calibri"/>
          <w:szCs w:val="18"/>
        </w:rPr>
        <w:t>C</w:t>
      </w:r>
      <w:r w:rsidR="783AD5E6" w:rsidRPr="00F03917">
        <w:rPr>
          <w:rFonts w:cs="Calibri"/>
          <w:szCs w:val="18"/>
        </w:rPr>
        <w:t xml:space="preserve">limate </w:t>
      </w:r>
      <w:r w:rsidR="4D095640" w:rsidRPr="00F03917">
        <w:rPr>
          <w:rFonts w:cs="Calibri"/>
          <w:szCs w:val="18"/>
        </w:rPr>
        <w:t>C</w:t>
      </w:r>
      <w:r w:rsidR="0E27C49E" w:rsidRPr="00F03917">
        <w:rPr>
          <w:rFonts w:cs="Calibri"/>
          <w:szCs w:val="18"/>
        </w:rPr>
        <w:t>hange</w:t>
      </w:r>
      <w:r w:rsidR="4D095640" w:rsidRPr="00F03917">
        <w:rPr>
          <w:rFonts w:cs="Calibri"/>
          <w:szCs w:val="18"/>
        </w:rPr>
        <w:t xml:space="preserve"> for climate scenarios, with the latter number (2.6,</w:t>
      </w:r>
      <w:r w:rsidR="00A57C19" w:rsidRPr="00F03917">
        <w:rPr>
          <w:rFonts w:cs="Calibri"/>
          <w:szCs w:val="18"/>
        </w:rPr>
        <w:t> </w:t>
      </w:r>
      <w:r w:rsidR="4D095640" w:rsidRPr="00F03917">
        <w:rPr>
          <w:rFonts w:cs="Calibri"/>
          <w:szCs w:val="18"/>
        </w:rPr>
        <w:t xml:space="preserve">8.5 </w:t>
      </w:r>
      <w:r w:rsidR="60640887" w:rsidRPr="00F03917">
        <w:rPr>
          <w:rFonts w:cs="Calibri"/>
          <w:szCs w:val="18"/>
        </w:rPr>
        <w:t>and so on</w:t>
      </w:r>
      <w:r w:rsidR="4D095640" w:rsidRPr="00F03917">
        <w:rPr>
          <w:rFonts w:cs="Calibri"/>
          <w:szCs w:val="18"/>
        </w:rPr>
        <w:t xml:space="preserve">) related to the previously used </w:t>
      </w:r>
      <w:r w:rsidR="01DAEC88" w:rsidRPr="00F03917">
        <w:rPr>
          <w:rFonts w:cs="Calibri"/>
          <w:szCs w:val="18"/>
        </w:rPr>
        <w:t>r</w:t>
      </w:r>
      <w:r w:rsidR="1974A69D" w:rsidRPr="00F03917">
        <w:rPr>
          <w:rFonts w:cs="Calibri"/>
          <w:szCs w:val="18"/>
        </w:rPr>
        <w:t xml:space="preserve">epresentative </w:t>
      </w:r>
      <w:r w:rsidR="3E157C55" w:rsidRPr="00F03917">
        <w:rPr>
          <w:rFonts w:cs="Calibri"/>
          <w:szCs w:val="18"/>
        </w:rPr>
        <w:t>c</w:t>
      </w:r>
      <w:r w:rsidR="1974A69D" w:rsidRPr="00F03917">
        <w:rPr>
          <w:rFonts w:cs="Calibri"/>
          <w:szCs w:val="18"/>
        </w:rPr>
        <w:t xml:space="preserve">oncentration </w:t>
      </w:r>
      <w:r w:rsidR="43C1DCA7" w:rsidRPr="00F03917">
        <w:rPr>
          <w:rFonts w:cs="Calibri"/>
          <w:szCs w:val="18"/>
        </w:rPr>
        <w:t>p</w:t>
      </w:r>
      <w:r w:rsidR="1974A69D" w:rsidRPr="00F03917">
        <w:rPr>
          <w:rFonts w:cs="Calibri"/>
          <w:szCs w:val="18"/>
        </w:rPr>
        <w:t>athway</w:t>
      </w:r>
      <w:r w:rsidR="00A96EC1" w:rsidRPr="00F03917">
        <w:rPr>
          <w:rFonts w:cs="Calibri"/>
          <w:szCs w:val="18"/>
        </w:rPr>
        <w:t>.</w:t>
      </w:r>
      <w:r w:rsidR="4D095640" w:rsidRPr="00F03917">
        <w:rPr>
          <w:rFonts w:cs="Calibri"/>
          <w:szCs w:val="18"/>
        </w:rPr>
        <w:t xml:space="preserve"> M = the median (</w:t>
      </w:r>
      <w:r w:rsidR="00A96EC1" w:rsidRPr="00F03917">
        <w:rPr>
          <w:rFonts w:cs="Calibri"/>
          <w:szCs w:val="18"/>
        </w:rPr>
        <w:t>50</w:t>
      </w:r>
      <w:r w:rsidR="002E2599" w:rsidRPr="00F03917">
        <w:rPr>
          <w:rFonts w:cs="Calibri"/>
          <w:szCs w:val="18"/>
        </w:rPr>
        <w:t>th</w:t>
      </w:r>
      <w:r w:rsidR="4D095640" w:rsidRPr="00F03917">
        <w:rPr>
          <w:rFonts w:cs="Calibri"/>
          <w:szCs w:val="18"/>
        </w:rPr>
        <w:t xml:space="preserve"> percentile) projection for that SSP. H+ is the top of the likely range for the SSP5-8.5 </w:t>
      </w:r>
      <w:r w:rsidR="00BB2878" w:rsidRPr="00F03917">
        <w:rPr>
          <w:rFonts w:cs="Calibri"/>
          <w:szCs w:val="18"/>
        </w:rPr>
        <w:t xml:space="preserve">scenario </w:t>
      </w:r>
      <w:r w:rsidR="002E2599" w:rsidRPr="00F03917">
        <w:rPr>
          <w:rFonts w:cs="Calibri"/>
          <w:szCs w:val="18"/>
        </w:rPr>
        <w:t>(83rd percentile)</w:t>
      </w:r>
      <w:r w:rsidR="00A96EC1" w:rsidRPr="00F03917">
        <w:rPr>
          <w:rFonts w:cs="Calibri"/>
          <w:szCs w:val="18"/>
        </w:rPr>
        <w:t>,</w:t>
      </w:r>
      <w:r w:rsidR="4D095640" w:rsidRPr="00F03917">
        <w:rPr>
          <w:rFonts w:cs="Calibri"/>
          <w:szCs w:val="18"/>
        </w:rPr>
        <w:t xml:space="preserve"> representing </w:t>
      </w:r>
      <w:r w:rsidR="00BF6097" w:rsidRPr="00F03917">
        <w:rPr>
          <w:rFonts w:cs="Calibri"/>
          <w:szCs w:val="18"/>
        </w:rPr>
        <w:t>widening future deep uncertaint</w:t>
      </w:r>
      <w:r w:rsidR="00EA6BDD" w:rsidRPr="00F03917">
        <w:rPr>
          <w:rFonts w:cs="Calibri"/>
          <w:szCs w:val="18"/>
        </w:rPr>
        <w:t>ies associated with SLR</w:t>
      </w:r>
      <w:r w:rsidR="4D095640" w:rsidRPr="00F03917">
        <w:rPr>
          <w:rFonts w:cs="Calibri"/>
          <w:szCs w:val="18"/>
        </w:rPr>
        <w:t xml:space="preserve">. Annual sea level from the </w:t>
      </w:r>
      <w:r w:rsidRPr="00F03917">
        <w:rPr>
          <w:rFonts w:cs="Calibri"/>
          <w:szCs w:val="18"/>
        </w:rPr>
        <w:t>six</w:t>
      </w:r>
      <w:r w:rsidR="4D095640" w:rsidRPr="00F03917">
        <w:rPr>
          <w:rFonts w:cs="Calibri"/>
          <w:szCs w:val="18"/>
        </w:rPr>
        <w:t xml:space="preserve"> tide-gauge records </w:t>
      </w:r>
      <w:r w:rsidRPr="00F03917">
        <w:rPr>
          <w:rFonts w:cs="Calibri"/>
          <w:szCs w:val="18"/>
        </w:rPr>
        <w:t xml:space="preserve">is </w:t>
      </w:r>
      <w:r w:rsidR="4D095640" w:rsidRPr="00F03917">
        <w:rPr>
          <w:rFonts w:cs="Calibri"/>
          <w:szCs w:val="18"/>
        </w:rPr>
        <w:t>sourced from Stats</w:t>
      </w:r>
      <w:r w:rsidR="7D81EBBE" w:rsidRPr="00F03917">
        <w:rPr>
          <w:rFonts w:cs="Calibri"/>
          <w:szCs w:val="18"/>
        </w:rPr>
        <w:t xml:space="preserve"> </w:t>
      </w:r>
      <w:r w:rsidR="4D095640" w:rsidRPr="00F03917">
        <w:rPr>
          <w:rFonts w:cs="Calibri"/>
          <w:szCs w:val="18"/>
        </w:rPr>
        <w:t>NZ</w:t>
      </w:r>
      <w:r w:rsidR="00CE5678" w:rsidRPr="00F03917">
        <w:rPr>
          <w:rFonts w:cs="Calibri"/>
          <w:szCs w:val="18"/>
        </w:rPr>
        <w:t xml:space="preserve"> </w:t>
      </w:r>
      <w:r w:rsidR="3722D018" w:rsidRPr="00F03917">
        <w:rPr>
          <w:rFonts w:cs="Calibri"/>
          <w:szCs w:val="18"/>
        </w:rPr>
        <w:t>(</w:t>
      </w:r>
      <w:hyperlink r:id="rId76" w:history="1">
        <w:r w:rsidR="00CB11D6" w:rsidRPr="00F03917">
          <w:rPr>
            <w:rStyle w:val="Hyperlink"/>
            <w:rFonts w:cs="Calibri"/>
            <w:szCs w:val="18"/>
          </w:rPr>
          <w:t>http://www.stats.govt.nz/indicators/coastal-sea-level-rise</w:t>
        </w:r>
      </w:hyperlink>
      <w:r w:rsidR="7BC0F4AB" w:rsidRPr="00F03917">
        <w:rPr>
          <w:rFonts w:cs="Calibri"/>
          <w:szCs w:val="18"/>
        </w:rPr>
        <w:t>).</w:t>
      </w:r>
    </w:p>
    <w:p w14:paraId="71EC3C0B" w14:textId="28BDD922" w:rsidR="005E15B8" w:rsidRPr="00F03917" w:rsidRDefault="00BE1415" w:rsidP="00A57C19">
      <w:pPr>
        <w:pStyle w:val="Heading5"/>
      </w:pPr>
      <w:r w:rsidRPr="00F03917">
        <w:t xml:space="preserve">Increments for </w:t>
      </w:r>
      <w:r w:rsidR="53A85F36" w:rsidRPr="00F03917" w:rsidDel="006B42A6">
        <w:t>r</w:t>
      </w:r>
      <w:r w:rsidR="53A85F36" w:rsidRPr="00F03917">
        <w:t>elative sea-level rise</w:t>
      </w:r>
    </w:p>
    <w:p w14:paraId="187C3197" w14:textId="08D5AC7D" w:rsidR="00BB43A6" w:rsidRPr="00F03917" w:rsidRDefault="00191B99" w:rsidP="00C746F8">
      <w:pPr>
        <w:pStyle w:val="BodyText"/>
      </w:pPr>
      <w:r w:rsidRPr="00F03917">
        <w:t xml:space="preserve">RSLR increments </w:t>
      </w:r>
      <w:r w:rsidR="002858C7" w:rsidRPr="00F03917">
        <w:t>is</w:t>
      </w:r>
      <w:r w:rsidRPr="00F03917">
        <w:t xml:space="preserve"> a </w:t>
      </w:r>
      <w:r w:rsidR="0087692A" w:rsidRPr="00F03917">
        <w:t>useful</w:t>
      </w:r>
      <w:r w:rsidRPr="00F03917">
        <w:t xml:space="preserve"> approach </w:t>
      </w:r>
      <w:r w:rsidR="00EC1CD3" w:rsidRPr="00F03917">
        <w:t>for</w:t>
      </w:r>
      <w:r w:rsidR="00722261" w:rsidRPr="00F03917">
        <w:t xml:space="preserve"> hazard and risk assessment </w:t>
      </w:r>
      <w:r w:rsidR="00FC79D5" w:rsidRPr="00F03917">
        <w:t>that</w:t>
      </w:r>
      <w:r w:rsidR="00722261" w:rsidRPr="00F03917">
        <w:t xml:space="preserve"> inform</w:t>
      </w:r>
      <w:r w:rsidR="00FC79D5" w:rsidRPr="00F03917">
        <w:t>s</w:t>
      </w:r>
      <w:r w:rsidR="00722261" w:rsidRPr="00F03917">
        <w:t xml:space="preserve"> decision</w:t>
      </w:r>
      <w:r w:rsidR="002858C7" w:rsidRPr="00F03917">
        <w:t>s</w:t>
      </w:r>
      <w:r w:rsidR="00722261" w:rsidRPr="00F03917">
        <w:t xml:space="preserve"> on</w:t>
      </w:r>
      <w:r w:rsidR="00646BE7" w:rsidRPr="00F03917">
        <w:t> </w:t>
      </w:r>
      <w:r w:rsidR="00722261" w:rsidRPr="00F03917">
        <w:t>adaptation thresholds</w:t>
      </w:r>
      <w:r w:rsidR="002858C7" w:rsidRPr="00F03917">
        <w:t xml:space="preserve"> for local </w:t>
      </w:r>
      <w:r w:rsidR="009F7F4E" w:rsidRPr="00F03917">
        <w:t xml:space="preserve">planning purposes. </w:t>
      </w:r>
      <w:r w:rsidR="000367FC" w:rsidRPr="00F03917">
        <w:t>Use of the increments approach for RSLR</w:t>
      </w:r>
      <w:r w:rsidR="00646BE7" w:rsidRPr="00F03917">
        <w:t> </w:t>
      </w:r>
      <w:r w:rsidR="000367FC" w:rsidRPr="00F03917">
        <w:t>hazard and risk mapping is particularly informative for engaging with communities and infrastructure providers to explore at what height of RSLR, and where</w:t>
      </w:r>
      <w:r w:rsidR="00C76446" w:rsidRPr="00F03917">
        <w:t>,</w:t>
      </w:r>
      <w:r w:rsidR="000367FC" w:rsidRPr="00F03917">
        <w:t xml:space="preserve"> coastal hazards (like flooding and erosion) become disruptive or intolerable (see </w:t>
      </w:r>
      <w:hyperlink w:anchor="figure11" w:history="1">
        <w:r w:rsidR="000367FC" w:rsidRPr="00F03917">
          <w:rPr>
            <w:rStyle w:val="Hyperlink"/>
          </w:rPr>
          <w:t>figure 11</w:t>
        </w:r>
      </w:hyperlink>
      <w:r w:rsidR="000367FC" w:rsidRPr="00F03917">
        <w:t>).</w:t>
      </w:r>
    </w:p>
    <w:p w14:paraId="2B587959" w14:textId="249BFE01" w:rsidR="00334AFB" w:rsidRPr="00F03917" w:rsidRDefault="009F7F4E" w:rsidP="00C746F8">
      <w:pPr>
        <w:pStyle w:val="BodyText"/>
      </w:pPr>
      <w:r w:rsidRPr="00F03917">
        <w:t>This</w:t>
      </w:r>
      <w:r w:rsidR="00634795" w:rsidRPr="00F03917">
        <w:t xml:space="preserve"> approach</w:t>
      </w:r>
      <w:r w:rsidRPr="00F03917">
        <w:t xml:space="preserve"> involves </w:t>
      </w:r>
      <w:r w:rsidR="00003F64" w:rsidRPr="00F03917" w:rsidDel="00421537">
        <w:t>u</w:t>
      </w:r>
      <w:r w:rsidR="008B3299" w:rsidRPr="00F03917">
        <w:t xml:space="preserve">sing a series of </w:t>
      </w:r>
      <w:r w:rsidR="00A349E2" w:rsidRPr="00F03917">
        <w:t xml:space="preserve">regular </w:t>
      </w:r>
      <w:r w:rsidR="00BF3A83" w:rsidRPr="00F03917">
        <w:t>R</w:t>
      </w:r>
      <w:r w:rsidR="008B3299" w:rsidRPr="00F03917">
        <w:t xml:space="preserve">SLR heights at either 0.1 </w:t>
      </w:r>
      <w:r w:rsidR="53FE2E6C" w:rsidRPr="00F03917">
        <w:t>m</w:t>
      </w:r>
      <w:r w:rsidR="2BE1C730" w:rsidRPr="00F03917">
        <w:t>etre</w:t>
      </w:r>
      <w:r w:rsidR="008B3299" w:rsidRPr="00F03917">
        <w:t xml:space="preserve"> or 0.2</w:t>
      </w:r>
      <w:r w:rsidR="00646BE7" w:rsidRPr="00F03917">
        <w:t> </w:t>
      </w:r>
      <w:r w:rsidR="008B3299" w:rsidRPr="00F03917">
        <w:t>metre increments</w:t>
      </w:r>
      <w:r w:rsidR="00B55687" w:rsidRPr="00F03917">
        <w:t>.</w:t>
      </w:r>
      <w:r w:rsidR="00287AF3" w:rsidRPr="00F03917">
        <w:t xml:space="preserve"> </w:t>
      </w:r>
      <w:r w:rsidR="00F70196" w:rsidRPr="00F03917">
        <w:t xml:space="preserve">These increments can then be retrospectively applied across the </w:t>
      </w:r>
      <w:r w:rsidR="00B416CA" w:rsidRPr="00F03917">
        <w:t xml:space="preserve">range of </w:t>
      </w:r>
      <w:r w:rsidR="00181617" w:rsidRPr="00F03917">
        <w:t xml:space="preserve">recommended </w:t>
      </w:r>
      <w:r w:rsidR="00B416CA" w:rsidRPr="00F03917">
        <w:t>SSP scenarios</w:t>
      </w:r>
      <w:r w:rsidR="006E5B27" w:rsidRPr="00F03917">
        <w:t xml:space="preserve"> </w:t>
      </w:r>
      <w:r w:rsidR="00B416CA" w:rsidRPr="00F03917">
        <w:t>to estimate the time bracket</w:t>
      </w:r>
      <w:r w:rsidR="008E28E3" w:rsidRPr="00F03917">
        <w:t xml:space="preserve"> (out to 2150)</w:t>
      </w:r>
      <w:r w:rsidR="00B416CA" w:rsidRPr="00F03917">
        <w:t xml:space="preserve"> when any specific RSLR height could be reached. </w:t>
      </w:r>
      <w:r w:rsidR="00837610" w:rsidRPr="00F03917">
        <w:t>Increments of R</w:t>
      </w:r>
      <w:r w:rsidR="009220DE" w:rsidRPr="00F03917">
        <w:t>SLR are</w:t>
      </w:r>
      <w:r w:rsidR="00100669" w:rsidRPr="00F03917">
        <w:t xml:space="preserve"> not associated with</w:t>
      </w:r>
      <w:r w:rsidR="008B3299" w:rsidRPr="00F03917">
        <w:t xml:space="preserve"> a</w:t>
      </w:r>
      <w:r w:rsidR="00F00A0F" w:rsidRPr="00F03917">
        <w:t> </w:t>
      </w:r>
      <w:r w:rsidR="008B3299" w:rsidRPr="00F03917">
        <w:t>particular planning horizon, which may be required for statutory purposes (eg, 30</w:t>
      </w:r>
      <w:r w:rsidR="00F00A0F" w:rsidRPr="00F03917">
        <w:noBreakHyphen/>
      </w:r>
      <w:r w:rsidR="008B3299" w:rsidRPr="00F03917">
        <w:t>year infrastructure strategy or assessment of coastal hazards over 100 years)</w:t>
      </w:r>
      <w:r w:rsidR="00A14A13" w:rsidRPr="00F03917">
        <w:t xml:space="preserve">. </w:t>
      </w:r>
      <w:r w:rsidR="009A41A7" w:rsidRPr="00F03917">
        <w:t>When updates to the</w:t>
      </w:r>
      <w:r w:rsidR="00DF2185" w:rsidRPr="00F03917">
        <w:t xml:space="preserve"> </w:t>
      </w:r>
      <w:r w:rsidR="00B86406" w:rsidRPr="00F03917">
        <w:t>SSP</w:t>
      </w:r>
      <w:r w:rsidR="00DF2185" w:rsidRPr="00F03917" w:rsidDel="00DF2185">
        <w:t xml:space="preserve"> </w:t>
      </w:r>
      <w:r w:rsidR="00F8496E" w:rsidRPr="00F03917">
        <w:t>scenarios</w:t>
      </w:r>
      <w:r w:rsidR="00DF2185" w:rsidRPr="00F03917" w:rsidDel="00DF2185">
        <w:t xml:space="preserve"> </w:t>
      </w:r>
      <w:r w:rsidR="006D4C45" w:rsidRPr="00F03917">
        <w:t>satellite</w:t>
      </w:r>
      <w:r w:rsidR="00E728B5" w:rsidRPr="00F03917">
        <w:t>-</w:t>
      </w:r>
      <w:r w:rsidR="006D4C45" w:rsidRPr="00F03917">
        <w:t xml:space="preserve">derived </w:t>
      </w:r>
      <w:r w:rsidR="008B3299" w:rsidRPr="00F03917">
        <w:t>VLM rate</w:t>
      </w:r>
      <w:r w:rsidR="009A41A7" w:rsidRPr="00F03917">
        <w:t xml:space="preserve"> occur</w:t>
      </w:r>
      <w:r w:rsidR="00907BF1" w:rsidRPr="00F03917">
        <w:t xml:space="preserve"> only the bracketed time</w:t>
      </w:r>
      <w:r w:rsidR="00F1390E" w:rsidRPr="00F03917">
        <w:t>frames</w:t>
      </w:r>
      <w:r w:rsidR="00907BF1" w:rsidRPr="00F03917">
        <w:t xml:space="preserve"> associated with the attainment of each</w:t>
      </w:r>
      <w:r w:rsidR="00C746F8" w:rsidRPr="00F03917">
        <w:t> </w:t>
      </w:r>
      <w:r w:rsidR="00907BF1" w:rsidRPr="00F03917">
        <w:t xml:space="preserve">of these increments </w:t>
      </w:r>
      <w:r w:rsidR="009C22D3" w:rsidRPr="00F03917">
        <w:t>need to change</w:t>
      </w:r>
      <w:r w:rsidR="00CE1529" w:rsidRPr="00F03917">
        <w:t xml:space="preserve"> (</w:t>
      </w:r>
      <w:r w:rsidR="0087336D" w:rsidRPr="00F03917">
        <w:t xml:space="preserve">see </w:t>
      </w:r>
      <w:r w:rsidR="00CE1529" w:rsidRPr="00F03917">
        <w:t xml:space="preserve">figure 10, </w:t>
      </w:r>
      <w:hyperlink w:anchor="table6" w:history="1">
        <w:r w:rsidR="00CE1529" w:rsidRPr="00F03917">
          <w:rPr>
            <w:rStyle w:val="Hyperlink"/>
          </w:rPr>
          <w:t>table 6</w:t>
        </w:r>
      </w:hyperlink>
      <w:r w:rsidR="00CE1529" w:rsidRPr="00F03917">
        <w:t xml:space="preserve"> </w:t>
      </w:r>
      <w:r w:rsidR="735A5BEF" w:rsidRPr="00F03917">
        <w:t xml:space="preserve">and </w:t>
      </w:r>
      <w:hyperlink w:anchor="table7" w:history="1">
        <w:r w:rsidR="735A5BEF" w:rsidRPr="00F03917">
          <w:rPr>
            <w:rStyle w:val="Hyperlink"/>
          </w:rPr>
          <w:t>table</w:t>
        </w:r>
        <w:r w:rsidR="00CE1529" w:rsidRPr="00F03917">
          <w:rPr>
            <w:rStyle w:val="Hyperlink"/>
          </w:rPr>
          <w:t xml:space="preserve"> </w:t>
        </w:r>
        <w:r w:rsidR="003035B6" w:rsidRPr="00F03917">
          <w:rPr>
            <w:rStyle w:val="Hyperlink"/>
          </w:rPr>
          <w:t>7</w:t>
        </w:r>
      </w:hyperlink>
      <w:r w:rsidR="00CE1529" w:rsidRPr="00F03917">
        <w:t>)</w:t>
      </w:r>
      <w:r w:rsidR="005B5BAB" w:rsidRPr="00F03917">
        <w:t>. Changes to the</w:t>
      </w:r>
      <w:r w:rsidR="00C746F8" w:rsidRPr="00F03917">
        <w:t> </w:t>
      </w:r>
      <w:r w:rsidR="005B5BAB" w:rsidRPr="00F03917">
        <w:t>bracketed time</w:t>
      </w:r>
      <w:r w:rsidR="0010466E" w:rsidRPr="00F03917">
        <w:t xml:space="preserve"> windows </w:t>
      </w:r>
      <w:r w:rsidR="00D4615C" w:rsidRPr="00F03917">
        <w:t xml:space="preserve">directly </w:t>
      </w:r>
      <w:r w:rsidR="0010466E" w:rsidRPr="00F03917">
        <w:t xml:space="preserve">inform whether </w:t>
      </w:r>
      <w:r w:rsidR="0074705A" w:rsidRPr="00F03917">
        <w:t xml:space="preserve">adaptive </w:t>
      </w:r>
      <w:r w:rsidR="0010466E" w:rsidRPr="00F03917">
        <w:t>planning should be brought forward (allowing for sufficient lead time) or slowed if the timing of each RSLR increment may</w:t>
      </w:r>
      <w:r w:rsidR="00C746F8" w:rsidRPr="00F03917">
        <w:t> </w:t>
      </w:r>
      <w:r w:rsidR="0010466E" w:rsidRPr="00F03917">
        <w:t xml:space="preserve">occur later. </w:t>
      </w:r>
    </w:p>
    <w:p w14:paraId="65F28A76" w14:textId="5ED5FDF4" w:rsidR="0079386D" w:rsidRPr="00F03917" w:rsidRDefault="006069FA" w:rsidP="00C746F8">
      <w:pPr>
        <w:pStyle w:val="BodyText"/>
      </w:pPr>
      <w:r w:rsidRPr="00F03917">
        <w:lastRenderedPageBreak/>
        <w:t>T</w:t>
      </w:r>
      <w:r w:rsidR="00EC3F8D" w:rsidRPr="00F03917">
        <w:t>imeframes</w:t>
      </w:r>
      <w:r w:rsidR="00E206EC" w:rsidRPr="00F03917">
        <w:t xml:space="preserve"> </w:t>
      </w:r>
      <w:r w:rsidR="00FE61EF" w:rsidRPr="00F03917">
        <w:t xml:space="preserve">can be </w:t>
      </w:r>
      <w:r w:rsidR="00976377" w:rsidRPr="00F03917">
        <w:t>estimated</w:t>
      </w:r>
      <w:r w:rsidR="008828C9" w:rsidRPr="00F03917">
        <w:t xml:space="preserve"> with or without VLM</w:t>
      </w:r>
      <w:r w:rsidR="00976377" w:rsidRPr="00F03917">
        <w:t>, providing RSLR or SLR</w:t>
      </w:r>
      <w:r w:rsidRPr="00F03917">
        <w:t xml:space="preserve"> increments respectively. </w:t>
      </w:r>
      <w:r w:rsidR="00823EFB" w:rsidRPr="00F03917">
        <w:t>It is worth not</w:t>
      </w:r>
      <w:r w:rsidR="005C22CE" w:rsidRPr="00F03917">
        <w:t>ing</w:t>
      </w:r>
      <w:r w:rsidR="00F5571D" w:rsidRPr="00F03917">
        <w:t xml:space="preserve"> </w:t>
      </w:r>
      <w:r w:rsidR="00823EFB" w:rsidRPr="00F03917">
        <w:t>t</w:t>
      </w:r>
      <w:r w:rsidR="008975AA" w:rsidRPr="00F03917">
        <w:t>he RSLR projections in the NZ SeaRise platform that exclude VLM (</w:t>
      </w:r>
      <w:hyperlink w:anchor="figure10">
        <w:r w:rsidR="008975AA" w:rsidRPr="00F03917">
          <w:rPr>
            <w:rStyle w:val="Hyperlink"/>
          </w:rPr>
          <w:t>figure 10</w:t>
        </w:r>
      </w:hyperlink>
      <w:r w:rsidR="008975AA" w:rsidRPr="00F03917">
        <w:t xml:space="preserve">, </w:t>
      </w:r>
      <w:hyperlink w:anchor="table6">
        <w:r w:rsidR="008975AA" w:rsidRPr="00F03917">
          <w:rPr>
            <w:rStyle w:val="Hyperlink"/>
          </w:rPr>
          <w:t>table 6</w:t>
        </w:r>
      </w:hyperlink>
      <w:r w:rsidR="008975AA" w:rsidRPr="00F03917">
        <w:t xml:space="preserve">) do </w:t>
      </w:r>
      <w:r w:rsidR="00823EFB" w:rsidRPr="00F03917">
        <w:t xml:space="preserve">already </w:t>
      </w:r>
      <w:r w:rsidR="008975AA" w:rsidRPr="00F03917">
        <w:t>include the wider national effects of glacio-isostatic adjustment as well as regional variations in gravitational, rotational and deformational changes</w:t>
      </w:r>
      <w:r w:rsidR="00C746F8" w:rsidRPr="00F03917">
        <w:t> </w:t>
      </w:r>
      <w:r w:rsidR="008975AA" w:rsidRPr="00F03917">
        <w:t xml:space="preserve">of the land across Aotearoa. </w:t>
      </w:r>
      <w:r w:rsidR="000D17F3" w:rsidRPr="00F03917">
        <w:t>There are some situations</w:t>
      </w:r>
      <w:r w:rsidR="00F04DAA" w:rsidRPr="00F03917">
        <w:t xml:space="preserve"> and locations</w:t>
      </w:r>
      <w:r w:rsidR="000D17F3" w:rsidRPr="00F03917">
        <w:t xml:space="preserve"> where it might be appropriate</w:t>
      </w:r>
      <w:r w:rsidR="00061E32" w:rsidRPr="00F03917">
        <w:t xml:space="preserve"> to </w:t>
      </w:r>
      <w:r w:rsidR="00F04DAA" w:rsidRPr="00F03917">
        <w:t xml:space="preserve">only </w:t>
      </w:r>
      <w:r w:rsidR="00061E32" w:rsidRPr="00F03917">
        <w:t>estimate SLR increments</w:t>
      </w:r>
      <w:r w:rsidR="00F60D1E" w:rsidRPr="00F03917">
        <w:t>, for example</w:t>
      </w:r>
      <w:r w:rsidR="001F4608" w:rsidRPr="00F03917">
        <w:t>,</w:t>
      </w:r>
      <w:r w:rsidR="00F60D1E" w:rsidRPr="00F03917">
        <w:t xml:space="preserve"> if the satellite</w:t>
      </w:r>
      <w:r w:rsidR="002D79B5" w:rsidRPr="00F03917">
        <w:t>-</w:t>
      </w:r>
      <w:r w:rsidR="00F60D1E" w:rsidRPr="00F03917">
        <w:t xml:space="preserve">derived VLM rate </w:t>
      </w:r>
      <w:r w:rsidR="002334DE" w:rsidRPr="00F03917">
        <w:t>has</w:t>
      </w:r>
      <w:r w:rsidR="00FB68C5" w:rsidRPr="00F03917">
        <w:t xml:space="preserve"> a </w:t>
      </w:r>
      <w:r w:rsidR="0059034A" w:rsidRPr="00F03917">
        <w:t>poor</w:t>
      </w:r>
      <w:r w:rsidR="00FB68C5" w:rsidRPr="00F03917">
        <w:t xml:space="preserve"> quality </w:t>
      </w:r>
      <w:r w:rsidR="00F87BDA" w:rsidRPr="00F03917">
        <w:t>factor</w:t>
      </w:r>
      <w:r w:rsidR="00DB21F3" w:rsidRPr="00F03917">
        <w:t xml:space="preserve"> (ie</w:t>
      </w:r>
      <w:r w:rsidR="00FF6391" w:rsidRPr="00F03917">
        <w:t>,</w:t>
      </w:r>
      <w:r w:rsidR="00DB21F3" w:rsidRPr="00F03917">
        <w:t xml:space="preserve"> </w:t>
      </w:r>
      <w:r w:rsidR="00C85031" w:rsidRPr="00F03917">
        <w:t>4</w:t>
      </w:r>
      <w:r w:rsidR="004431ED" w:rsidRPr="00F03917">
        <w:rPr>
          <w:rStyle w:val="cf01"/>
        </w:rPr>
        <w:t>–</w:t>
      </w:r>
      <w:r w:rsidR="00C85031" w:rsidRPr="00F03917">
        <w:t>5)</w:t>
      </w:r>
      <w:r w:rsidR="008401C3" w:rsidRPr="00F03917">
        <w:t xml:space="preserve">, recent seismic uplift or subsidence </w:t>
      </w:r>
      <w:r w:rsidR="00F24A3F" w:rsidRPr="00F03917">
        <w:t xml:space="preserve">has occurred, </w:t>
      </w:r>
      <w:r w:rsidR="008C53CF" w:rsidRPr="00F03917">
        <w:t xml:space="preserve">or locally measured VLM </w:t>
      </w:r>
      <w:r w:rsidR="00E96A92" w:rsidRPr="00F03917">
        <w:t>has shown that the</w:t>
      </w:r>
      <w:r w:rsidR="00172852" w:rsidRPr="00F03917">
        <w:t xml:space="preserve"> satellite</w:t>
      </w:r>
      <w:r w:rsidR="002D79B5" w:rsidRPr="00F03917">
        <w:t>-</w:t>
      </w:r>
      <w:r w:rsidR="00172852" w:rsidRPr="00F03917">
        <w:t>derived VLM</w:t>
      </w:r>
      <w:r w:rsidR="00E96A92" w:rsidRPr="00F03917">
        <w:t xml:space="preserve"> rate is inaccurate</w:t>
      </w:r>
      <w:r w:rsidR="00172852" w:rsidRPr="00F03917">
        <w:t>.</w:t>
      </w:r>
      <w:r w:rsidR="00E62F75" w:rsidRPr="00F03917">
        <w:t xml:space="preserve"> </w:t>
      </w:r>
      <w:r w:rsidR="009C621A" w:rsidRPr="00F03917">
        <w:t>Excluding VLM</w:t>
      </w:r>
      <w:r w:rsidR="00562526" w:rsidRPr="00F03917">
        <w:t>, however,</w:t>
      </w:r>
      <w:r w:rsidR="009C621A" w:rsidRPr="00F03917">
        <w:t xml:space="preserve"> means</w:t>
      </w:r>
      <w:r w:rsidR="00042304" w:rsidRPr="00F03917">
        <w:t xml:space="preserve"> </w:t>
      </w:r>
      <w:r w:rsidR="00A54194" w:rsidRPr="00F03917">
        <w:t xml:space="preserve">the timeframes associated with </w:t>
      </w:r>
      <w:r w:rsidR="00042304" w:rsidRPr="00F03917">
        <w:t xml:space="preserve">SLR increments </w:t>
      </w:r>
      <w:r w:rsidR="00617E09" w:rsidRPr="00F03917">
        <w:t xml:space="preserve">are </w:t>
      </w:r>
      <w:r w:rsidR="00042304" w:rsidRPr="00F03917">
        <w:t>implicitly more uncertain</w:t>
      </w:r>
      <w:r w:rsidR="00617E09" w:rsidRPr="00F03917">
        <w:t xml:space="preserve">, and this </w:t>
      </w:r>
      <w:r w:rsidR="000E57E6" w:rsidRPr="00F03917">
        <w:t xml:space="preserve">uncertainty will need to be incorporated into </w:t>
      </w:r>
      <w:r w:rsidR="00D57BA5" w:rsidRPr="00F03917">
        <w:t xml:space="preserve">hazard and risk assessments, as well as </w:t>
      </w:r>
      <w:r w:rsidR="005158FA" w:rsidRPr="00F03917">
        <w:t>a</w:t>
      </w:r>
      <w:r w:rsidR="00D57BA5" w:rsidRPr="00F03917">
        <w:t xml:space="preserve">ny adaptive planning strategy. </w:t>
      </w:r>
    </w:p>
    <w:p w14:paraId="7D154F6F" w14:textId="5A7F6BB7" w:rsidR="007B2A22" w:rsidRPr="00F03917" w:rsidRDefault="00A97F87" w:rsidP="00040498">
      <w:pPr>
        <w:pStyle w:val="BodyText"/>
      </w:pPr>
      <w:r w:rsidRPr="00F03917">
        <w:t xml:space="preserve">Excluding VLM </w:t>
      </w:r>
      <w:r w:rsidR="006557AC" w:rsidRPr="00F03917">
        <w:t xml:space="preserve">when </w:t>
      </w:r>
      <w:r w:rsidR="00CF4D66" w:rsidRPr="00F03917">
        <w:t>uplift or subsidence</w:t>
      </w:r>
      <w:r w:rsidR="006557AC" w:rsidRPr="00F03917">
        <w:t xml:space="preserve"> rates are above </w:t>
      </w:r>
      <w:r w:rsidR="00AB52D6" w:rsidRPr="00F03917">
        <w:t>0.5</w:t>
      </w:r>
      <w:r w:rsidR="006557AC" w:rsidRPr="00F03917">
        <w:t xml:space="preserve"> </w:t>
      </w:r>
      <w:r w:rsidR="706910A3" w:rsidRPr="00F03917">
        <w:t>millimetre</w:t>
      </w:r>
      <w:r w:rsidR="1442CCB0" w:rsidRPr="00F03917">
        <w:t>s</w:t>
      </w:r>
      <w:r w:rsidR="327C42E5" w:rsidRPr="00F03917">
        <w:t xml:space="preserve"> per</w:t>
      </w:r>
      <w:r w:rsidR="6DDDCF9B" w:rsidRPr="00F03917">
        <w:t xml:space="preserve"> </w:t>
      </w:r>
      <w:r w:rsidR="006557AC" w:rsidRPr="00F03917">
        <w:t>y</w:t>
      </w:r>
      <w:r w:rsidR="6DDDCF9B" w:rsidRPr="00F03917">
        <w:t>ea</w:t>
      </w:r>
      <w:r w:rsidR="006557AC" w:rsidRPr="00F03917">
        <w:t xml:space="preserve">r leads to more uncertainty about timeframes and associated risks, particularly the timing of when different levels of RSLR will occur. This is especially </w:t>
      </w:r>
      <w:r w:rsidR="003E0DAA" w:rsidRPr="00F03917">
        <w:t xml:space="preserve">critical for areas with ongoing subsidence. For example, for Petone (median VLM rate of </w:t>
      </w:r>
      <w:r w:rsidR="00707782" w:rsidRPr="00F03917">
        <w:t>–</w:t>
      </w:r>
      <w:r w:rsidR="003E0DAA" w:rsidRPr="00F03917">
        <w:t>2.</w:t>
      </w:r>
      <w:r w:rsidR="002029DD" w:rsidRPr="00F03917">
        <w:t xml:space="preserve">86 </w:t>
      </w:r>
      <w:r w:rsidR="0EE2F601" w:rsidRPr="00F03917">
        <w:t>millimetres</w:t>
      </w:r>
      <w:r w:rsidR="14180A61" w:rsidRPr="00F03917">
        <w:t xml:space="preserve"> </w:t>
      </w:r>
      <w:r w:rsidR="45BA399C" w:rsidRPr="00F03917">
        <w:t>per</w:t>
      </w:r>
      <w:r w:rsidR="3FF54EEA" w:rsidRPr="00F03917">
        <w:t xml:space="preserve"> </w:t>
      </w:r>
      <w:r w:rsidR="002029DD" w:rsidRPr="00F03917">
        <w:t>y</w:t>
      </w:r>
      <w:r w:rsidR="3FF54EEA" w:rsidRPr="00F03917">
        <w:t>ea</w:t>
      </w:r>
      <w:r w:rsidR="002029DD" w:rsidRPr="00F03917">
        <w:t>r), a 0.4 m</w:t>
      </w:r>
      <w:r w:rsidR="1333FDAD" w:rsidRPr="00F03917">
        <w:t>etre</w:t>
      </w:r>
      <w:r w:rsidR="002029DD" w:rsidRPr="00F03917">
        <w:t xml:space="preserve"> SLR threshold would be reached two decades earlier for a SS</w:t>
      </w:r>
      <w:r w:rsidR="00E648C1" w:rsidRPr="00F03917">
        <w:t>P</w:t>
      </w:r>
      <w:r w:rsidR="002029DD" w:rsidRPr="00F03917">
        <w:t>2-4.5</w:t>
      </w:r>
      <w:r w:rsidR="001A74B0" w:rsidRPr="00F03917">
        <w:t xml:space="preserve"> M</w:t>
      </w:r>
      <w:r w:rsidR="002029DD" w:rsidRPr="00F03917">
        <w:t xml:space="preserve"> scenario compared with not</w:t>
      </w:r>
      <w:r w:rsidR="002356C9" w:rsidRPr="00F03917">
        <w:t> </w:t>
      </w:r>
      <w:r w:rsidR="002029DD" w:rsidRPr="00F03917">
        <w:t xml:space="preserve">including VLM. </w:t>
      </w:r>
      <w:r w:rsidR="00C97ACA" w:rsidRPr="00F03917">
        <w:t xml:space="preserve">Therefore, </w:t>
      </w:r>
      <w:r w:rsidR="003716CC" w:rsidRPr="00F03917">
        <w:t xml:space="preserve">RSLR is the recommended </w:t>
      </w:r>
      <w:r w:rsidR="000F4D2E" w:rsidRPr="00F03917">
        <w:t xml:space="preserve">increment </w:t>
      </w:r>
      <w:r w:rsidR="003716CC" w:rsidRPr="00F03917">
        <w:t>approach</w:t>
      </w:r>
      <w:r w:rsidR="00356BBC" w:rsidRPr="00F03917">
        <w:t xml:space="preserve"> (over SLR increments)</w:t>
      </w:r>
      <w:r w:rsidR="003716CC" w:rsidRPr="00F03917">
        <w:t xml:space="preserve"> </w:t>
      </w:r>
      <w:r w:rsidR="00707782" w:rsidRPr="00F03917">
        <w:t>because</w:t>
      </w:r>
      <w:r w:rsidR="003716CC" w:rsidRPr="00F03917">
        <w:t xml:space="preserve"> it includ</w:t>
      </w:r>
      <w:r w:rsidR="00304986" w:rsidRPr="00F03917">
        <w:t>es</w:t>
      </w:r>
      <w:r w:rsidR="00F162BF" w:rsidRPr="00F03917">
        <w:t xml:space="preserve"> rates of</w:t>
      </w:r>
      <w:r w:rsidR="003716CC" w:rsidRPr="00F03917">
        <w:t xml:space="preserve"> </w:t>
      </w:r>
      <w:r w:rsidR="00C97ACA" w:rsidRPr="00F03917">
        <w:t>VLM</w:t>
      </w:r>
      <w:r w:rsidR="00417404" w:rsidRPr="00F03917">
        <w:t xml:space="preserve"> </w:t>
      </w:r>
      <w:r w:rsidR="00707782" w:rsidRPr="00F03917">
        <w:t xml:space="preserve">that </w:t>
      </w:r>
      <w:r w:rsidR="00DD0F83" w:rsidRPr="00F03917">
        <w:t>provide</w:t>
      </w:r>
      <w:r w:rsidR="00963645" w:rsidRPr="00F03917">
        <w:t xml:space="preserve"> more accurate time brackets</w:t>
      </w:r>
      <w:r w:rsidR="00C85282" w:rsidRPr="00F03917">
        <w:t xml:space="preserve"> for hazard and risk assessments, as well as </w:t>
      </w:r>
      <w:r w:rsidR="00513859" w:rsidRPr="00F03917">
        <w:t xml:space="preserve">any </w:t>
      </w:r>
      <w:r w:rsidR="00C85282" w:rsidRPr="00F03917">
        <w:t xml:space="preserve">adaptive planning </w:t>
      </w:r>
      <w:r w:rsidR="00513859" w:rsidRPr="00F03917">
        <w:t>strategy.</w:t>
      </w:r>
      <w:r w:rsidR="00800A4A" w:rsidRPr="00F03917">
        <w:t xml:space="preserve"> </w:t>
      </w:r>
    </w:p>
    <w:p w14:paraId="680CCAAD" w14:textId="5F3F9885" w:rsidR="00A97F87" w:rsidRPr="00F03917" w:rsidRDefault="00C81A7F" w:rsidP="00040498">
      <w:pPr>
        <w:pStyle w:val="BodyText"/>
      </w:pPr>
      <w:r w:rsidRPr="00F03917">
        <w:t>A</w:t>
      </w:r>
      <w:r w:rsidR="00800A4A" w:rsidRPr="00F03917">
        <w:t xml:space="preserve"> monitoring and evaluation system within a DAPP approach (</w:t>
      </w:r>
      <w:hyperlink w:anchor="_11_Monitoring_and" w:history="1">
        <w:r w:rsidR="00800A4A" w:rsidRPr="00F03917">
          <w:rPr>
            <w:rStyle w:val="Hyperlink"/>
          </w:rPr>
          <w:t>step 9</w:t>
        </w:r>
      </w:hyperlink>
      <w:r w:rsidR="00800A4A" w:rsidRPr="00F03917">
        <w:t xml:space="preserve"> </w:t>
      </w:r>
      <w:r w:rsidR="00D15B67" w:rsidRPr="00F03917">
        <w:t xml:space="preserve">and </w:t>
      </w:r>
      <w:hyperlink w:anchor="_Step_10:_Review" w:history="1">
        <w:r w:rsidR="00D15B67" w:rsidRPr="00F03917">
          <w:rPr>
            <w:rStyle w:val="Hyperlink"/>
          </w:rPr>
          <w:t>step</w:t>
        </w:r>
        <w:r w:rsidR="00800A4A" w:rsidRPr="00F03917">
          <w:rPr>
            <w:rStyle w:val="Hyperlink"/>
          </w:rPr>
          <w:t xml:space="preserve"> 10</w:t>
        </w:r>
      </w:hyperlink>
      <w:r w:rsidR="00800A4A" w:rsidRPr="00F03917">
        <w:t xml:space="preserve">) should explicitly include updates on any changes in VLM rates over time (including new coastal </w:t>
      </w:r>
      <w:r w:rsidR="00C472C5" w:rsidRPr="00F03917">
        <w:t>global navigation satellite system (</w:t>
      </w:r>
      <w:r w:rsidR="00800A4A" w:rsidRPr="00F03917">
        <w:t>GNSS</w:t>
      </w:r>
      <w:r w:rsidR="00C472C5" w:rsidRPr="00F03917">
        <w:t>)</w:t>
      </w:r>
      <w:r w:rsidR="00800A4A" w:rsidRPr="00F03917">
        <w:t xml:space="preserve"> stations</w:t>
      </w:r>
      <w:r w:rsidR="003C474B" w:rsidRPr="00F03917">
        <w:rPr>
          <w:rStyle w:val="FootnoteReference"/>
        </w:rPr>
        <w:footnoteReference w:id="33"/>
      </w:r>
      <w:r w:rsidR="00800A4A" w:rsidRPr="00F03917">
        <w:t xml:space="preserve">) </w:t>
      </w:r>
      <w:r w:rsidRPr="00F03917">
        <w:rPr>
          <w:spacing w:val="-2"/>
        </w:rPr>
        <w:t xml:space="preserve">for both subsiding and uplifting coasts, </w:t>
      </w:r>
      <w:r w:rsidR="00800A4A" w:rsidRPr="00F03917">
        <w:rPr>
          <w:spacing w:val="-2"/>
        </w:rPr>
        <w:t xml:space="preserve">and the adaptive </w:t>
      </w:r>
      <w:r w:rsidR="00796137" w:rsidRPr="00F03917">
        <w:rPr>
          <w:spacing w:val="-2"/>
        </w:rPr>
        <w:t xml:space="preserve">planning </w:t>
      </w:r>
      <w:r w:rsidR="00800A4A" w:rsidRPr="00F03917">
        <w:rPr>
          <w:spacing w:val="-2"/>
        </w:rPr>
        <w:t>strategy adjusted accordingly</w:t>
      </w:r>
      <w:r w:rsidR="00800A4A" w:rsidRPr="00F03917">
        <w:t xml:space="preserve">. </w:t>
      </w:r>
      <w:r w:rsidR="00B738EC" w:rsidRPr="00F03917">
        <w:t>An adjunct to ongoing monitoring</w:t>
      </w:r>
      <w:r w:rsidR="00010F29" w:rsidRPr="00F03917">
        <w:t xml:space="preserve"> and </w:t>
      </w:r>
      <w:r w:rsidR="00B738EC" w:rsidRPr="00F03917">
        <w:t xml:space="preserve">evaluation is to also use RSLR height increments (0.1 </w:t>
      </w:r>
      <w:r w:rsidR="00010F29" w:rsidRPr="00F03917">
        <w:t xml:space="preserve">metres </w:t>
      </w:r>
      <w:r w:rsidR="00B738EC" w:rsidRPr="00F03917">
        <w:t>or 0.2</w:t>
      </w:r>
      <w:r w:rsidR="00C746F8" w:rsidRPr="00F03917">
        <w:t> </w:t>
      </w:r>
      <w:r w:rsidR="00B738EC" w:rsidRPr="00F03917">
        <w:t>m</w:t>
      </w:r>
      <w:r w:rsidR="00EA02A1" w:rsidRPr="00F03917">
        <w:t>etres</w:t>
      </w:r>
      <w:r w:rsidR="00B738EC" w:rsidRPr="00F03917">
        <w:t xml:space="preserve">) for hazard and risk assessments and to determine adaptation thresholds. </w:t>
      </w:r>
      <w:hyperlink w:anchor="table5" w:history="1">
        <w:r w:rsidR="00B738EC" w:rsidRPr="00F03917">
          <w:rPr>
            <w:rStyle w:val="Hyperlink"/>
          </w:rPr>
          <w:t>Table 5</w:t>
        </w:r>
      </w:hyperlink>
      <w:r w:rsidR="00B738EC" w:rsidRPr="00F03917">
        <w:t xml:space="preserve"> outlines the advantage of this approach, where the incremental changes in RSLR heights (and the assessments) still apply if VLM changes – only the bracketed time period for </w:t>
      </w:r>
      <w:r w:rsidR="00FE2F36" w:rsidRPr="00F03917">
        <w:t>reaching that increment</w:t>
      </w:r>
      <w:r w:rsidR="00B738EC" w:rsidRPr="00F03917">
        <w:t xml:space="preserve"> changes</w:t>
      </w:r>
      <w:r w:rsidR="001102CA" w:rsidRPr="00F03917">
        <w:t>.</w:t>
      </w:r>
      <w:r w:rsidR="00800A4A" w:rsidRPr="00F03917">
        <w:t xml:space="preserve"> </w:t>
      </w:r>
    </w:p>
    <w:p w14:paraId="1DF1A3E5" w14:textId="3731A19F" w:rsidR="00771290" w:rsidRPr="00F03917" w:rsidRDefault="00000000" w:rsidP="67ECA7B6">
      <w:pPr>
        <w:pStyle w:val="BodyText"/>
        <w:spacing w:after="240"/>
      </w:pPr>
      <w:hyperlink w:anchor="table6" w:history="1">
        <w:r w:rsidR="68C23318" w:rsidRPr="00F03917">
          <w:rPr>
            <w:rStyle w:val="Hyperlink"/>
          </w:rPr>
          <w:t xml:space="preserve">Table </w:t>
        </w:r>
        <w:r w:rsidR="2F6690A7" w:rsidRPr="00F03917">
          <w:rPr>
            <w:rStyle w:val="Hyperlink"/>
          </w:rPr>
          <w:t>6</w:t>
        </w:r>
      </w:hyperlink>
      <w:r w:rsidR="00E31722" w:rsidRPr="00F03917">
        <w:t xml:space="preserve"> </w:t>
      </w:r>
      <w:r w:rsidR="68C23318" w:rsidRPr="00F03917">
        <w:t xml:space="preserve">shows the </w:t>
      </w:r>
      <w:r w:rsidR="434D5FBD" w:rsidRPr="00F03917">
        <w:t xml:space="preserve">indicative </w:t>
      </w:r>
      <w:r w:rsidR="68C23318" w:rsidRPr="00F03917">
        <w:t xml:space="preserve">timeframes </w:t>
      </w:r>
      <w:r w:rsidR="434D5FBD" w:rsidRPr="00F03917">
        <w:t xml:space="preserve">(to the nearest </w:t>
      </w:r>
      <w:r w:rsidR="7293EA7E" w:rsidRPr="00F03917">
        <w:t>five</w:t>
      </w:r>
      <w:r w:rsidR="434D5FBD" w:rsidRPr="00F03917">
        <w:t xml:space="preserve"> years) </w:t>
      </w:r>
      <w:r w:rsidR="68C23318" w:rsidRPr="00F03917">
        <w:t xml:space="preserve">for reaching </w:t>
      </w:r>
      <w:r w:rsidR="434D5FBD" w:rsidRPr="00F03917">
        <w:t xml:space="preserve">various </w:t>
      </w:r>
      <w:r w:rsidR="393E86EC" w:rsidRPr="00F03917">
        <w:t>absolute</w:t>
      </w:r>
      <w:r w:rsidR="434D5FBD" w:rsidRPr="00F03917">
        <w:t xml:space="preserve"> </w:t>
      </w:r>
      <w:r w:rsidR="68C23318" w:rsidRPr="00F03917">
        <w:t xml:space="preserve">SLR </w:t>
      </w:r>
      <w:r w:rsidR="434D5FBD" w:rsidRPr="00F03917">
        <w:t>heights</w:t>
      </w:r>
      <w:r w:rsidR="68C23318" w:rsidRPr="00F03917">
        <w:t xml:space="preserve">, </w:t>
      </w:r>
      <w:r w:rsidR="393E86EC" w:rsidRPr="00F03917">
        <w:rPr>
          <w:b/>
        </w:rPr>
        <w:t>for a central location</w:t>
      </w:r>
      <w:r w:rsidR="00A371A7" w:rsidRPr="00F03917">
        <w:rPr>
          <w:b/>
        </w:rPr>
        <w:t xml:space="preserve"> in Aotearoa</w:t>
      </w:r>
      <w:r w:rsidR="393E86EC" w:rsidRPr="00F03917">
        <w:t>,</w:t>
      </w:r>
      <w:r w:rsidR="68C23318" w:rsidRPr="00F03917">
        <w:t xml:space="preserve"> </w:t>
      </w:r>
      <w:r w:rsidR="68C23318" w:rsidRPr="00F03917">
        <w:rPr>
          <w:b/>
        </w:rPr>
        <w:t>excluding VLM</w:t>
      </w:r>
      <w:r w:rsidR="68C23318" w:rsidRPr="00F03917">
        <w:t>. The left</w:t>
      </w:r>
      <w:r w:rsidR="58DF2A33" w:rsidRPr="00F03917">
        <w:t>-</w:t>
      </w:r>
      <w:r w:rsidR="68C23318" w:rsidRPr="00F03917">
        <w:t xml:space="preserve">hand column lists the earliest year when that </w:t>
      </w:r>
      <w:r w:rsidR="633D2A5A" w:rsidRPr="00F03917">
        <w:t>SLR</w:t>
      </w:r>
      <w:r w:rsidR="23668D73" w:rsidRPr="00F03917">
        <w:t xml:space="preserve"> height</w:t>
      </w:r>
      <w:r w:rsidR="68C23318" w:rsidRPr="00F03917">
        <w:t xml:space="preserve"> could be reached (based on the </w:t>
      </w:r>
      <w:r w:rsidR="309F59FB" w:rsidRPr="00F03917">
        <w:t>SSP5-</w:t>
      </w:r>
      <w:r w:rsidR="68C23318" w:rsidRPr="00F03917">
        <w:t xml:space="preserve">8.5 H+ projection) through to the latest year it could be exceeded (using a </w:t>
      </w:r>
      <w:r w:rsidR="45FF453F" w:rsidRPr="00F03917">
        <w:t>SSP1-2</w:t>
      </w:r>
      <w:r w:rsidR="68C23318" w:rsidRPr="00F03917">
        <w:t xml:space="preserve">.6 </w:t>
      </w:r>
      <w:r w:rsidR="00D72A5E" w:rsidRPr="00F03917">
        <w:t xml:space="preserve">M </w:t>
      </w:r>
      <w:r w:rsidR="68C23318" w:rsidRPr="00F03917">
        <w:t>projection) at</w:t>
      </w:r>
      <w:r w:rsidR="0043468C" w:rsidRPr="00F03917">
        <w:t> </w:t>
      </w:r>
      <w:r w:rsidR="68C23318" w:rsidRPr="00F03917">
        <w:t>the right.</w:t>
      </w:r>
      <w:r w:rsidR="512A72F1" w:rsidRPr="00F03917">
        <w:t xml:space="preserve">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5D2F72" w:rsidRPr="00F03917" w14:paraId="4CDAE296" w14:textId="77777777" w:rsidTr="0036266A">
        <w:tc>
          <w:tcPr>
            <w:tcW w:w="8505" w:type="dxa"/>
            <w:shd w:val="clear" w:color="auto" w:fill="D5EBE8" w:themeFill="accent3"/>
          </w:tcPr>
          <w:p w14:paraId="5BB1B5FB" w14:textId="3B5AA645" w:rsidR="00F43D66" w:rsidRPr="00F03917" w:rsidRDefault="10578890" w:rsidP="0043468C">
            <w:pPr>
              <w:pStyle w:val="Boxheading"/>
              <w:keepNext w:val="0"/>
            </w:pPr>
            <w:r w:rsidRPr="00F03917">
              <w:t xml:space="preserve">Example to generate time brackets for </w:t>
            </w:r>
            <w:r w:rsidR="63118499" w:rsidRPr="00F03917">
              <w:t>relative sea-level rise</w:t>
            </w:r>
            <w:r w:rsidRPr="00F03917">
              <w:t xml:space="preserve"> increments at regional or local scales</w:t>
            </w:r>
          </w:p>
          <w:p w14:paraId="48908C76" w14:textId="6BDD7685" w:rsidR="00F66B2B" w:rsidRPr="00F03917" w:rsidRDefault="003813F6" w:rsidP="0043468C">
            <w:pPr>
              <w:pStyle w:val="Boxtext"/>
            </w:pPr>
            <w:r w:rsidRPr="00F03917">
              <w:t xml:space="preserve">To generate </w:t>
            </w:r>
            <w:r w:rsidR="005D2F72" w:rsidRPr="00F03917">
              <w:t xml:space="preserve">time brackets covering local or regional </w:t>
            </w:r>
            <w:r w:rsidR="429A5FD6" w:rsidRPr="00F03917">
              <w:t>relative sea-level rise (</w:t>
            </w:r>
            <w:r w:rsidR="005D2F72" w:rsidRPr="00F03917">
              <w:t>RSLR</w:t>
            </w:r>
            <w:r w:rsidR="334DD07F" w:rsidRPr="00F03917">
              <w:t>)</w:t>
            </w:r>
            <w:r w:rsidR="005D2F72" w:rsidRPr="00F03917">
              <w:t xml:space="preserve"> projections for your </w:t>
            </w:r>
            <w:r w:rsidR="00D35626" w:rsidRPr="00F03917">
              <w:t>location</w:t>
            </w:r>
            <w:r w:rsidR="005D2F72" w:rsidRPr="00F03917">
              <w:t xml:space="preserve">, use the NZ SeaRise graphs and </w:t>
            </w:r>
            <w:r w:rsidR="00A52C18" w:rsidRPr="00F03917">
              <w:t xml:space="preserve">downloadable </w:t>
            </w:r>
            <w:r w:rsidR="005D2F72" w:rsidRPr="00F03917">
              <w:t>tables</w:t>
            </w:r>
            <w:r w:rsidR="005D2F72" w:rsidRPr="00F03917" w:rsidDel="00502CC7">
              <w:t xml:space="preserve"> </w:t>
            </w:r>
            <w:r w:rsidR="00502CC7" w:rsidRPr="00F03917">
              <w:t xml:space="preserve">from the platform </w:t>
            </w:r>
            <w:r w:rsidR="005D2F72" w:rsidRPr="00F03917">
              <w:t xml:space="preserve">to create a similar table </w:t>
            </w:r>
            <w:r w:rsidR="03B210FF" w:rsidRPr="00F03917">
              <w:t xml:space="preserve">(to </w:t>
            </w:r>
            <w:r w:rsidR="4727D74F" w:rsidRPr="00F03917">
              <w:t>t</w:t>
            </w:r>
            <w:r w:rsidR="004551FF" w:rsidRPr="00F03917">
              <w:t>able</w:t>
            </w:r>
            <w:r w:rsidR="03B210FF" w:rsidRPr="00F03917">
              <w:t xml:space="preserve"> 6) </w:t>
            </w:r>
            <w:r w:rsidR="2CEDDF39" w:rsidRPr="00F03917">
              <w:rPr>
                <w:b/>
              </w:rPr>
              <w:t xml:space="preserve">with </w:t>
            </w:r>
            <w:r w:rsidR="46B4E4B0" w:rsidRPr="00F03917">
              <w:rPr>
                <w:b/>
              </w:rPr>
              <w:t>vertical land movement (</w:t>
            </w:r>
            <w:r w:rsidR="005D2F72" w:rsidRPr="00F03917">
              <w:rPr>
                <w:b/>
              </w:rPr>
              <w:t>VLM</w:t>
            </w:r>
            <w:r w:rsidR="080ABD97" w:rsidRPr="00F03917">
              <w:rPr>
                <w:b/>
              </w:rPr>
              <w:t>)</w:t>
            </w:r>
            <w:r w:rsidR="005D2F72" w:rsidRPr="00F03917">
              <w:rPr>
                <w:b/>
              </w:rPr>
              <w:t xml:space="preserve"> included</w:t>
            </w:r>
            <w:r w:rsidR="005D2F72" w:rsidRPr="00F03917">
              <w:t xml:space="preserve"> (especially if </w:t>
            </w:r>
            <w:r w:rsidR="5BA89F3D" w:rsidRPr="00F03917">
              <w:t>the</w:t>
            </w:r>
            <w:r w:rsidR="2CEDDF39" w:rsidRPr="00F03917">
              <w:t xml:space="preserve"> </w:t>
            </w:r>
            <w:r w:rsidR="005D2F72" w:rsidRPr="00F03917">
              <w:t>VLM rate is above 0</w:t>
            </w:r>
            <w:r w:rsidR="008A2155" w:rsidRPr="00F03917">
              <w:t>.5</w:t>
            </w:r>
            <w:r w:rsidR="005D2F72" w:rsidRPr="00F03917">
              <w:t xml:space="preserve"> </w:t>
            </w:r>
            <w:r w:rsidR="72B75A06" w:rsidRPr="00F03917">
              <w:t>millimetres</w:t>
            </w:r>
            <w:r w:rsidR="1A3CD24D" w:rsidRPr="00F03917">
              <w:t xml:space="preserve"> per </w:t>
            </w:r>
            <w:r w:rsidR="2CEDDF39" w:rsidRPr="00F03917">
              <w:t>y</w:t>
            </w:r>
            <w:r w:rsidR="0D67E945" w:rsidRPr="00F03917">
              <w:t>ea</w:t>
            </w:r>
            <w:r w:rsidR="2CEDDF39" w:rsidRPr="00F03917">
              <w:t>r).</w:t>
            </w:r>
            <w:r w:rsidR="03B210FF" w:rsidRPr="00F03917">
              <w:t xml:space="preserve"> </w:t>
            </w:r>
          </w:p>
          <w:p w14:paraId="52CAE5B3" w14:textId="2AAE2878" w:rsidR="005D2F72" w:rsidRPr="00F03917" w:rsidRDefault="00000000" w:rsidP="0043468C">
            <w:pPr>
              <w:pStyle w:val="Boxtext"/>
              <w:spacing w:before="0" w:after="240"/>
            </w:pPr>
            <w:hyperlink w:anchor="table7" w:history="1">
              <w:r w:rsidR="03B210FF" w:rsidRPr="00F03917">
                <w:rPr>
                  <w:rStyle w:val="Hyperlink"/>
                </w:rPr>
                <w:t xml:space="preserve">Table </w:t>
              </w:r>
              <w:r w:rsidR="062F0526" w:rsidRPr="00F03917">
                <w:rPr>
                  <w:rStyle w:val="Hyperlink"/>
                </w:rPr>
                <w:t>7</w:t>
              </w:r>
            </w:hyperlink>
            <w:r w:rsidR="03B210FF" w:rsidRPr="00F03917">
              <w:t xml:space="preserve"> shows an example for Nelson using the </w:t>
            </w:r>
            <w:r w:rsidR="00E32CCF" w:rsidRPr="00F03917">
              <w:t xml:space="preserve">recommended </w:t>
            </w:r>
            <w:r w:rsidR="03B210FF" w:rsidRPr="00F03917">
              <w:t>RSLR projections from the NZ</w:t>
            </w:r>
            <w:r w:rsidR="0043468C" w:rsidRPr="00F03917">
              <w:t> </w:t>
            </w:r>
            <w:r w:rsidR="03B210FF" w:rsidRPr="00F03917">
              <w:t xml:space="preserve">SeaRise </w:t>
            </w:r>
            <w:r w:rsidR="00710BDA" w:rsidRPr="00F03917">
              <w:t>platform</w:t>
            </w:r>
            <w:r w:rsidR="00C827B1" w:rsidRPr="00F03917">
              <w:t>.</w:t>
            </w:r>
            <w:r w:rsidR="03B210FF" w:rsidRPr="00F03917">
              <w:t xml:space="preserve"> </w:t>
            </w:r>
            <w:r w:rsidR="00C827B1" w:rsidRPr="00F03917">
              <w:t>T</w:t>
            </w:r>
            <w:r w:rsidR="03B210FF" w:rsidRPr="00F03917">
              <w:t xml:space="preserve">he average VLM rate is </w:t>
            </w:r>
            <w:r w:rsidR="00A0387B" w:rsidRPr="00F03917">
              <w:t>approximately</w:t>
            </w:r>
            <w:r w:rsidR="03B210FF" w:rsidRPr="00F03917">
              <w:t xml:space="preserve"> 2</w:t>
            </w:r>
            <w:r w:rsidR="007A6D93" w:rsidRPr="00F03917">
              <w:t>.0</w:t>
            </w:r>
            <w:r w:rsidR="03B210FF" w:rsidRPr="00F03917">
              <w:t xml:space="preserve"> </w:t>
            </w:r>
            <w:r w:rsidR="0210C6E7" w:rsidRPr="00F03917">
              <w:t>millimetres</w:t>
            </w:r>
            <w:r w:rsidR="2717504E" w:rsidRPr="00F03917">
              <w:t xml:space="preserve"> per </w:t>
            </w:r>
            <w:r w:rsidR="03B210FF" w:rsidRPr="00F03917">
              <w:t>y</w:t>
            </w:r>
            <w:r w:rsidR="222D6DB1" w:rsidRPr="00F03917">
              <w:t>ea</w:t>
            </w:r>
            <w:r w:rsidR="03B210FF" w:rsidRPr="00F03917">
              <w:t xml:space="preserve">r subsidence </w:t>
            </w:r>
            <w:r w:rsidR="00AE01BC" w:rsidRPr="00F03917">
              <w:t xml:space="preserve">near </w:t>
            </w:r>
            <w:r w:rsidR="03B210FF" w:rsidRPr="00F03917">
              <w:t>the urban area of Nelson.</w:t>
            </w:r>
          </w:p>
        </w:tc>
      </w:tr>
    </w:tbl>
    <w:p w14:paraId="22172BF4" w14:textId="45DDCEE4" w:rsidR="005E15B8" w:rsidRPr="00F03917" w:rsidRDefault="00A31F3E" w:rsidP="006258D2">
      <w:pPr>
        <w:pStyle w:val="Tableheading"/>
      </w:pPr>
      <w:bookmarkStart w:id="65" w:name="table6"/>
      <w:bookmarkStart w:id="66" w:name="_Toc160098400"/>
      <w:bookmarkEnd w:id="65"/>
      <w:r w:rsidRPr="00F03917">
        <w:lastRenderedPageBreak/>
        <w:t>Summary</w:t>
      </w:r>
      <w:r w:rsidR="00A20BE0" w:rsidRPr="00F03917">
        <w:t xml:space="preserve"> of </w:t>
      </w:r>
      <w:r w:rsidR="00DF00CB" w:rsidRPr="00F03917">
        <w:t xml:space="preserve">approximate year when </w:t>
      </w:r>
      <w:r w:rsidR="00A20BE0" w:rsidRPr="00F03917">
        <w:t>absolute</w:t>
      </w:r>
      <w:r w:rsidR="00B257C0" w:rsidRPr="00F03917">
        <w:t xml:space="preserve"> </w:t>
      </w:r>
      <w:r w:rsidR="75166662" w:rsidRPr="00F03917">
        <w:t>sea-level rise (</w:t>
      </w:r>
      <w:r w:rsidR="00B257C0" w:rsidRPr="00F03917">
        <w:t>SLR</w:t>
      </w:r>
      <w:r w:rsidR="117D5DDB" w:rsidRPr="00F03917">
        <w:t>)</w:t>
      </w:r>
      <w:r w:rsidR="00B257C0" w:rsidRPr="00F03917">
        <w:t xml:space="preserve"> heights </w:t>
      </w:r>
      <w:r w:rsidR="00EA5F52" w:rsidRPr="00F03917">
        <w:t xml:space="preserve">could </w:t>
      </w:r>
      <w:r w:rsidR="00B257C0" w:rsidRPr="00F03917">
        <w:t xml:space="preserve">be reached </w:t>
      </w:r>
      <w:r w:rsidR="00E20104" w:rsidRPr="00F03917">
        <w:t>using</w:t>
      </w:r>
      <w:r w:rsidR="00B257C0" w:rsidRPr="00F03917">
        <w:t xml:space="preserve"> the </w:t>
      </w:r>
      <w:r w:rsidR="007168B9" w:rsidRPr="00F03917">
        <w:t>recommended projections</w:t>
      </w:r>
      <w:r w:rsidR="00B257C0" w:rsidRPr="00F03917">
        <w:t xml:space="preserve"> </w:t>
      </w:r>
      <w:r w:rsidR="00AF25A0" w:rsidRPr="00F03917">
        <w:t>for a central</w:t>
      </w:r>
      <w:r w:rsidR="00287529" w:rsidRPr="00F03917">
        <w:t xml:space="preserve"> location in</w:t>
      </w:r>
      <w:r w:rsidR="00B257C0" w:rsidRPr="00F03917">
        <w:t xml:space="preserve"> </w:t>
      </w:r>
      <w:r w:rsidR="005D0B45" w:rsidRPr="00F03917">
        <w:t xml:space="preserve">Aotearoa </w:t>
      </w:r>
      <w:r w:rsidR="00B257C0" w:rsidRPr="00F03917">
        <w:t>New</w:t>
      </w:r>
      <w:r w:rsidR="0043468C" w:rsidRPr="00F03917">
        <w:t> </w:t>
      </w:r>
      <w:r w:rsidR="00B257C0" w:rsidRPr="00F03917">
        <w:t>Zealand</w:t>
      </w:r>
      <w:bookmarkEnd w:id="66"/>
      <w:r w:rsidR="00B257C0" w:rsidRPr="00F03917">
        <w:t xml:space="preserve"> </w:t>
      </w:r>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CellMar>
          <w:left w:w="85" w:type="dxa"/>
          <w:right w:w="85" w:type="dxa"/>
        </w:tblCellMar>
        <w:tblLook w:val="04A0" w:firstRow="1" w:lastRow="0" w:firstColumn="1" w:lastColumn="0" w:noHBand="0" w:noVBand="1"/>
      </w:tblPr>
      <w:tblGrid>
        <w:gridCol w:w="993"/>
        <w:gridCol w:w="1560"/>
        <w:gridCol w:w="1558"/>
        <w:gridCol w:w="1560"/>
        <w:gridCol w:w="1417"/>
        <w:gridCol w:w="1417"/>
      </w:tblGrid>
      <w:tr w:rsidR="00F36E52" w:rsidRPr="00F03917" w14:paraId="0FC2369D" w14:textId="77777777" w:rsidTr="00DE5102">
        <w:trPr>
          <w:tblHeader/>
        </w:trPr>
        <w:tc>
          <w:tcPr>
            <w:tcW w:w="584" w:type="pct"/>
            <w:shd w:val="clear" w:color="auto" w:fill="1B556B" w:themeFill="text2"/>
            <w:vAlign w:val="bottom"/>
          </w:tcPr>
          <w:p w14:paraId="6DFDF2D9" w14:textId="18EAF0FD" w:rsidR="005E15B8" w:rsidRPr="00F03917" w:rsidRDefault="005E15B8" w:rsidP="00A61540">
            <w:pPr>
              <w:pStyle w:val="TableTextbold"/>
              <w:spacing w:before="30" w:after="30"/>
              <w:rPr>
                <w:color w:val="FFFFFF" w:themeColor="background1"/>
              </w:rPr>
            </w:pPr>
            <w:r w:rsidRPr="00F03917">
              <w:rPr>
                <w:color w:val="FFFFFF" w:themeColor="background1"/>
              </w:rPr>
              <w:t>SLR (m</w:t>
            </w:r>
            <w:r w:rsidR="35E354E3" w:rsidRPr="00F03917">
              <w:rPr>
                <w:color w:val="FFFFFF" w:themeColor="background1"/>
              </w:rPr>
              <w:t>etres</w:t>
            </w:r>
            <w:r w:rsidRPr="00F03917">
              <w:rPr>
                <w:color w:val="FFFFFF" w:themeColor="background1"/>
              </w:rPr>
              <w:t>)</w:t>
            </w:r>
          </w:p>
        </w:tc>
        <w:tc>
          <w:tcPr>
            <w:tcW w:w="917" w:type="pct"/>
            <w:shd w:val="clear" w:color="auto" w:fill="1B556B" w:themeFill="text2"/>
            <w:vAlign w:val="bottom"/>
          </w:tcPr>
          <w:p w14:paraId="425A6C69" w14:textId="3C169427" w:rsidR="005E15B8" w:rsidRPr="00F03917" w:rsidRDefault="005E15B8" w:rsidP="00A61540">
            <w:pPr>
              <w:pStyle w:val="TableTextbold"/>
              <w:spacing w:before="30" w:after="30"/>
              <w:rPr>
                <w:color w:val="FFFFFF" w:themeColor="background1"/>
              </w:rPr>
            </w:pPr>
            <w:r w:rsidRPr="00F03917">
              <w:rPr>
                <w:color w:val="FFFFFF" w:themeColor="background1"/>
              </w:rPr>
              <w:t>Year achieved for SSP5-8.5 H+ (83rd percentile)</w:t>
            </w:r>
          </w:p>
        </w:tc>
        <w:tc>
          <w:tcPr>
            <w:tcW w:w="916" w:type="pct"/>
            <w:shd w:val="clear" w:color="auto" w:fill="1B556B" w:themeFill="text2"/>
            <w:vAlign w:val="bottom"/>
          </w:tcPr>
          <w:p w14:paraId="21FDE278" w14:textId="77777777" w:rsidR="005E15B8" w:rsidRPr="00F03917" w:rsidRDefault="005E15B8" w:rsidP="00A61540">
            <w:pPr>
              <w:pStyle w:val="TableTextbold"/>
              <w:spacing w:before="30" w:after="30"/>
              <w:rPr>
                <w:color w:val="FFFFFF" w:themeColor="background1"/>
              </w:rPr>
            </w:pPr>
            <w:r w:rsidRPr="00F03917">
              <w:rPr>
                <w:color w:val="FFFFFF" w:themeColor="background1"/>
              </w:rPr>
              <w:t>Year achieved for SSP5-8.5 (median)</w:t>
            </w:r>
          </w:p>
        </w:tc>
        <w:tc>
          <w:tcPr>
            <w:tcW w:w="917" w:type="pct"/>
            <w:shd w:val="clear" w:color="auto" w:fill="1B556B" w:themeFill="text2"/>
            <w:vAlign w:val="bottom"/>
          </w:tcPr>
          <w:p w14:paraId="23E5E5C5" w14:textId="77777777" w:rsidR="005E15B8" w:rsidRPr="00F03917" w:rsidRDefault="005E15B8" w:rsidP="00A61540">
            <w:pPr>
              <w:pStyle w:val="TableTextbold"/>
              <w:spacing w:before="30" w:after="30"/>
              <w:rPr>
                <w:color w:val="FFFFFF" w:themeColor="background1"/>
              </w:rPr>
            </w:pPr>
            <w:r w:rsidRPr="00F03917">
              <w:rPr>
                <w:color w:val="FFFFFF" w:themeColor="background1"/>
              </w:rPr>
              <w:t>Year achieved for SSP3-7.0 (median)</w:t>
            </w:r>
          </w:p>
        </w:tc>
        <w:tc>
          <w:tcPr>
            <w:tcW w:w="833" w:type="pct"/>
            <w:shd w:val="clear" w:color="auto" w:fill="1B556B" w:themeFill="text2"/>
            <w:vAlign w:val="bottom"/>
          </w:tcPr>
          <w:p w14:paraId="45AC77AE" w14:textId="77777777" w:rsidR="005E15B8" w:rsidRPr="00F03917" w:rsidRDefault="005E15B8" w:rsidP="00A61540">
            <w:pPr>
              <w:pStyle w:val="TableTextbold"/>
              <w:spacing w:before="30" w:after="30"/>
              <w:rPr>
                <w:color w:val="FFFFFF" w:themeColor="background1"/>
              </w:rPr>
            </w:pPr>
            <w:r w:rsidRPr="00F03917">
              <w:rPr>
                <w:color w:val="FFFFFF" w:themeColor="background1"/>
              </w:rPr>
              <w:t>Year achieved for SSP2-4.5 (median)</w:t>
            </w:r>
          </w:p>
        </w:tc>
        <w:tc>
          <w:tcPr>
            <w:tcW w:w="833" w:type="pct"/>
            <w:shd w:val="clear" w:color="auto" w:fill="1B556B" w:themeFill="text2"/>
            <w:vAlign w:val="bottom"/>
          </w:tcPr>
          <w:p w14:paraId="04782222" w14:textId="77777777" w:rsidR="005E15B8" w:rsidRPr="00F03917" w:rsidRDefault="005E15B8" w:rsidP="00A61540">
            <w:pPr>
              <w:pStyle w:val="TableTextbold"/>
              <w:spacing w:before="30" w:after="30"/>
              <w:rPr>
                <w:color w:val="FFFFFF" w:themeColor="background1"/>
              </w:rPr>
            </w:pPr>
            <w:r w:rsidRPr="00F03917">
              <w:rPr>
                <w:color w:val="FFFFFF" w:themeColor="background1"/>
              </w:rPr>
              <w:t>Year achieved for SSP1-2.6 (median)</w:t>
            </w:r>
          </w:p>
        </w:tc>
      </w:tr>
      <w:tr w:rsidR="005E15B8" w:rsidRPr="00F03917" w14:paraId="1A46C264" w14:textId="77777777" w:rsidTr="00DE5102">
        <w:tc>
          <w:tcPr>
            <w:tcW w:w="584" w:type="pct"/>
            <w:shd w:val="clear" w:color="auto" w:fill="auto"/>
          </w:tcPr>
          <w:p w14:paraId="28B5EAB8" w14:textId="0E981B2D" w:rsidR="005E15B8" w:rsidRPr="00F03917" w:rsidRDefault="005E15B8" w:rsidP="00A61540">
            <w:pPr>
              <w:pStyle w:val="TableTextbold"/>
              <w:spacing w:before="30" w:after="30"/>
            </w:pPr>
            <w:r w:rsidRPr="00F03917">
              <w:t>0.</w:t>
            </w:r>
            <w:r w:rsidR="00130C40" w:rsidRPr="00F03917">
              <w:t>2</w:t>
            </w:r>
          </w:p>
        </w:tc>
        <w:tc>
          <w:tcPr>
            <w:tcW w:w="917" w:type="pct"/>
          </w:tcPr>
          <w:p w14:paraId="65FA6BD5" w14:textId="51E94E06" w:rsidR="005E15B8" w:rsidRPr="00F03917" w:rsidRDefault="009F0AF3" w:rsidP="00A61540">
            <w:pPr>
              <w:pStyle w:val="TableText"/>
              <w:spacing w:before="30" w:after="30"/>
            </w:pPr>
            <w:r w:rsidRPr="00F03917">
              <w:t>2035</w:t>
            </w:r>
          </w:p>
        </w:tc>
        <w:tc>
          <w:tcPr>
            <w:tcW w:w="916" w:type="pct"/>
          </w:tcPr>
          <w:p w14:paraId="5307C629" w14:textId="7E632B25" w:rsidR="005E15B8" w:rsidRPr="00F03917" w:rsidRDefault="009F0AF3" w:rsidP="00A61540">
            <w:pPr>
              <w:pStyle w:val="TableText"/>
              <w:spacing w:before="30" w:after="30"/>
            </w:pPr>
            <w:r w:rsidRPr="00F03917">
              <w:t>2040</w:t>
            </w:r>
          </w:p>
        </w:tc>
        <w:tc>
          <w:tcPr>
            <w:tcW w:w="917" w:type="pct"/>
          </w:tcPr>
          <w:p w14:paraId="6C49EF6E" w14:textId="3D7B2B05" w:rsidR="005E15B8" w:rsidRPr="00F03917" w:rsidRDefault="009F0AF3" w:rsidP="00A61540">
            <w:pPr>
              <w:pStyle w:val="TableText"/>
              <w:spacing w:before="30" w:after="30"/>
            </w:pPr>
            <w:r w:rsidRPr="00F03917">
              <w:t>2045</w:t>
            </w:r>
          </w:p>
        </w:tc>
        <w:tc>
          <w:tcPr>
            <w:tcW w:w="833" w:type="pct"/>
          </w:tcPr>
          <w:p w14:paraId="6B733550" w14:textId="392E2CF8" w:rsidR="005E15B8" w:rsidRPr="00F03917" w:rsidRDefault="009F0AF3" w:rsidP="00A61540">
            <w:pPr>
              <w:pStyle w:val="TableText"/>
              <w:spacing w:before="30" w:after="30"/>
            </w:pPr>
            <w:r w:rsidRPr="00F03917">
              <w:t>2045</w:t>
            </w:r>
          </w:p>
        </w:tc>
        <w:tc>
          <w:tcPr>
            <w:tcW w:w="833" w:type="pct"/>
            <w:shd w:val="clear" w:color="auto" w:fill="auto"/>
          </w:tcPr>
          <w:p w14:paraId="3DD11CB3" w14:textId="3B7FEAE1" w:rsidR="005E15B8" w:rsidRPr="00F03917" w:rsidRDefault="009F0AF3" w:rsidP="00A61540">
            <w:pPr>
              <w:pStyle w:val="TableText"/>
              <w:spacing w:before="30" w:after="30"/>
            </w:pPr>
            <w:r w:rsidRPr="00F03917">
              <w:t>2050</w:t>
            </w:r>
          </w:p>
        </w:tc>
      </w:tr>
      <w:tr w:rsidR="00130C40" w:rsidRPr="00F03917" w14:paraId="45F3EC7E" w14:textId="77777777" w:rsidTr="00DE5102">
        <w:tc>
          <w:tcPr>
            <w:tcW w:w="584" w:type="pct"/>
            <w:shd w:val="clear" w:color="auto" w:fill="auto"/>
          </w:tcPr>
          <w:p w14:paraId="61B9ED8D" w14:textId="72C264AE" w:rsidR="00130C40" w:rsidRPr="00F03917" w:rsidRDefault="00130C40" w:rsidP="00A61540">
            <w:pPr>
              <w:pStyle w:val="TableTextbold"/>
              <w:spacing w:before="30" w:after="30"/>
            </w:pPr>
            <w:r w:rsidRPr="00F03917">
              <w:t>0.3</w:t>
            </w:r>
          </w:p>
        </w:tc>
        <w:tc>
          <w:tcPr>
            <w:tcW w:w="917" w:type="pct"/>
          </w:tcPr>
          <w:p w14:paraId="34DB345B" w14:textId="269D50C9" w:rsidR="00130C40" w:rsidRPr="00F03917" w:rsidRDefault="00130C40" w:rsidP="00A61540">
            <w:pPr>
              <w:pStyle w:val="TableText"/>
              <w:spacing w:before="30" w:after="30"/>
            </w:pPr>
            <w:r w:rsidRPr="00F03917">
              <w:t>2050</w:t>
            </w:r>
          </w:p>
        </w:tc>
        <w:tc>
          <w:tcPr>
            <w:tcW w:w="916" w:type="pct"/>
          </w:tcPr>
          <w:p w14:paraId="587463BE" w14:textId="7C31064F" w:rsidR="00130C40" w:rsidRPr="00F03917" w:rsidRDefault="00130C40" w:rsidP="00A61540">
            <w:pPr>
              <w:pStyle w:val="TableText"/>
              <w:spacing w:before="30" w:after="30"/>
            </w:pPr>
            <w:r w:rsidRPr="00F03917">
              <w:t>2055</w:t>
            </w:r>
          </w:p>
        </w:tc>
        <w:tc>
          <w:tcPr>
            <w:tcW w:w="917" w:type="pct"/>
          </w:tcPr>
          <w:p w14:paraId="04236451" w14:textId="7FCBF5FD" w:rsidR="00130C40" w:rsidRPr="00F03917" w:rsidRDefault="00130C40" w:rsidP="00A61540">
            <w:pPr>
              <w:pStyle w:val="TableText"/>
              <w:spacing w:before="30" w:after="30"/>
            </w:pPr>
            <w:r w:rsidRPr="00F03917">
              <w:t>2060</w:t>
            </w:r>
          </w:p>
        </w:tc>
        <w:tc>
          <w:tcPr>
            <w:tcW w:w="833" w:type="pct"/>
          </w:tcPr>
          <w:p w14:paraId="5CCC274E" w14:textId="4EA8DD53" w:rsidR="00130C40" w:rsidRPr="00F03917" w:rsidRDefault="00130C40" w:rsidP="00A61540">
            <w:pPr>
              <w:pStyle w:val="TableText"/>
              <w:spacing w:before="30" w:after="30"/>
            </w:pPr>
            <w:r w:rsidRPr="00F03917">
              <w:t>2060</w:t>
            </w:r>
          </w:p>
        </w:tc>
        <w:tc>
          <w:tcPr>
            <w:tcW w:w="833" w:type="pct"/>
            <w:shd w:val="clear" w:color="auto" w:fill="auto"/>
          </w:tcPr>
          <w:p w14:paraId="1F0CB7CD" w14:textId="3F3FA114" w:rsidR="00130C40" w:rsidRPr="00F03917" w:rsidRDefault="00130C40" w:rsidP="00A61540">
            <w:pPr>
              <w:pStyle w:val="TableText"/>
              <w:spacing w:before="30" w:after="30"/>
            </w:pPr>
            <w:r w:rsidRPr="00F03917">
              <w:t>2070</w:t>
            </w:r>
          </w:p>
        </w:tc>
      </w:tr>
      <w:tr w:rsidR="005E15B8" w:rsidRPr="00F03917" w14:paraId="53943E93" w14:textId="77777777" w:rsidTr="00DE5102">
        <w:tc>
          <w:tcPr>
            <w:tcW w:w="584" w:type="pct"/>
            <w:shd w:val="clear" w:color="auto" w:fill="auto"/>
          </w:tcPr>
          <w:p w14:paraId="279C351F" w14:textId="77777777" w:rsidR="005E15B8" w:rsidRPr="00F03917" w:rsidRDefault="005E15B8" w:rsidP="00A61540">
            <w:pPr>
              <w:pStyle w:val="TableTextbold"/>
              <w:spacing w:before="30" w:after="30"/>
            </w:pPr>
            <w:r w:rsidRPr="00F03917">
              <w:t>0.4</w:t>
            </w:r>
          </w:p>
        </w:tc>
        <w:tc>
          <w:tcPr>
            <w:tcW w:w="917" w:type="pct"/>
          </w:tcPr>
          <w:p w14:paraId="2EAEA1FB" w14:textId="2E5DDB6D" w:rsidR="005E15B8" w:rsidRPr="00F03917" w:rsidRDefault="009F0AF3" w:rsidP="00A61540">
            <w:pPr>
              <w:pStyle w:val="TableText"/>
              <w:spacing w:before="30" w:after="30"/>
            </w:pPr>
            <w:r w:rsidRPr="00F03917">
              <w:t>2055</w:t>
            </w:r>
          </w:p>
        </w:tc>
        <w:tc>
          <w:tcPr>
            <w:tcW w:w="916" w:type="pct"/>
          </w:tcPr>
          <w:p w14:paraId="7C88EB1A" w14:textId="77777777" w:rsidR="005E15B8" w:rsidRPr="00F03917" w:rsidRDefault="005E15B8" w:rsidP="00A61540">
            <w:pPr>
              <w:pStyle w:val="TableText"/>
              <w:spacing w:before="30" w:after="30"/>
            </w:pPr>
            <w:r w:rsidRPr="00F03917">
              <w:t>2065</w:t>
            </w:r>
          </w:p>
        </w:tc>
        <w:tc>
          <w:tcPr>
            <w:tcW w:w="917" w:type="pct"/>
          </w:tcPr>
          <w:p w14:paraId="2BB04B3E" w14:textId="77777777" w:rsidR="005E15B8" w:rsidRPr="00F03917" w:rsidRDefault="005E15B8" w:rsidP="00A61540">
            <w:pPr>
              <w:pStyle w:val="TableText"/>
              <w:spacing w:before="30" w:after="30"/>
            </w:pPr>
            <w:r w:rsidRPr="00F03917">
              <w:t>2070</w:t>
            </w:r>
          </w:p>
        </w:tc>
        <w:tc>
          <w:tcPr>
            <w:tcW w:w="833" w:type="pct"/>
          </w:tcPr>
          <w:p w14:paraId="25435AAC" w14:textId="77777777" w:rsidR="005E15B8" w:rsidRPr="00F03917" w:rsidRDefault="005E15B8" w:rsidP="00A61540">
            <w:pPr>
              <w:pStyle w:val="TableText"/>
              <w:spacing w:before="30" w:after="30"/>
            </w:pPr>
            <w:r w:rsidRPr="00F03917">
              <w:t>2080</w:t>
            </w:r>
          </w:p>
        </w:tc>
        <w:tc>
          <w:tcPr>
            <w:tcW w:w="833" w:type="pct"/>
            <w:shd w:val="clear" w:color="auto" w:fill="auto"/>
          </w:tcPr>
          <w:p w14:paraId="23FA4776" w14:textId="77777777" w:rsidR="005E15B8" w:rsidRPr="00F03917" w:rsidRDefault="005E15B8" w:rsidP="00A61540">
            <w:pPr>
              <w:pStyle w:val="TableText"/>
              <w:spacing w:before="30" w:after="30"/>
            </w:pPr>
            <w:r w:rsidRPr="00F03917">
              <w:t>2090</w:t>
            </w:r>
          </w:p>
        </w:tc>
      </w:tr>
      <w:tr w:rsidR="005E15B8" w:rsidRPr="00F03917" w14:paraId="2D189183" w14:textId="77777777" w:rsidTr="00DE5102">
        <w:tc>
          <w:tcPr>
            <w:tcW w:w="584" w:type="pct"/>
          </w:tcPr>
          <w:p w14:paraId="79317CE4" w14:textId="77777777" w:rsidR="005E15B8" w:rsidRPr="00F03917" w:rsidRDefault="005E15B8" w:rsidP="00A61540">
            <w:pPr>
              <w:pStyle w:val="TableTextbold"/>
              <w:spacing w:before="30" w:after="30"/>
            </w:pPr>
            <w:r w:rsidRPr="00F03917">
              <w:t>0.5</w:t>
            </w:r>
          </w:p>
        </w:tc>
        <w:tc>
          <w:tcPr>
            <w:tcW w:w="917" w:type="pct"/>
          </w:tcPr>
          <w:p w14:paraId="7A9141D1" w14:textId="77777777" w:rsidR="005E15B8" w:rsidRPr="00F03917" w:rsidRDefault="005E15B8" w:rsidP="00A61540">
            <w:pPr>
              <w:pStyle w:val="TableText"/>
              <w:spacing w:before="30" w:after="30"/>
            </w:pPr>
            <w:r w:rsidRPr="00F03917">
              <w:t>2065</w:t>
            </w:r>
          </w:p>
        </w:tc>
        <w:tc>
          <w:tcPr>
            <w:tcW w:w="916" w:type="pct"/>
          </w:tcPr>
          <w:p w14:paraId="3196ED08" w14:textId="77777777" w:rsidR="005E15B8" w:rsidRPr="00F03917" w:rsidRDefault="005E15B8" w:rsidP="00A61540">
            <w:pPr>
              <w:pStyle w:val="TableText"/>
              <w:spacing w:before="30" w:after="30"/>
            </w:pPr>
            <w:r w:rsidRPr="00F03917">
              <w:t>2075</w:t>
            </w:r>
          </w:p>
        </w:tc>
        <w:tc>
          <w:tcPr>
            <w:tcW w:w="917" w:type="pct"/>
          </w:tcPr>
          <w:p w14:paraId="06101A5C" w14:textId="77777777" w:rsidR="005E15B8" w:rsidRPr="00F03917" w:rsidRDefault="005E15B8" w:rsidP="00A61540">
            <w:pPr>
              <w:pStyle w:val="TableText"/>
              <w:spacing w:before="30" w:after="30"/>
            </w:pPr>
            <w:r w:rsidRPr="00F03917">
              <w:t>2080</w:t>
            </w:r>
          </w:p>
        </w:tc>
        <w:tc>
          <w:tcPr>
            <w:tcW w:w="833" w:type="pct"/>
          </w:tcPr>
          <w:p w14:paraId="32CFF5B8" w14:textId="77777777" w:rsidR="005E15B8" w:rsidRPr="00F03917" w:rsidRDefault="005E15B8" w:rsidP="00A61540">
            <w:pPr>
              <w:pStyle w:val="TableText"/>
              <w:spacing w:before="30" w:after="30"/>
            </w:pPr>
            <w:r w:rsidRPr="00F03917">
              <w:t>2090</w:t>
            </w:r>
          </w:p>
        </w:tc>
        <w:tc>
          <w:tcPr>
            <w:tcW w:w="833" w:type="pct"/>
          </w:tcPr>
          <w:p w14:paraId="6F125375" w14:textId="77777777" w:rsidR="005E15B8" w:rsidRPr="00F03917" w:rsidRDefault="005E15B8" w:rsidP="00A61540">
            <w:pPr>
              <w:pStyle w:val="TableText"/>
              <w:spacing w:before="30" w:after="30"/>
            </w:pPr>
            <w:r w:rsidRPr="00F03917">
              <w:t>2110</w:t>
            </w:r>
          </w:p>
        </w:tc>
      </w:tr>
      <w:tr w:rsidR="005E15B8" w:rsidRPr="00F03917" w14:paraId="0DD1A541" w14:textId="77777777" w:rsidTr="00DE5102">
        <w:tc>
          <w:tcPr>
            <w:tcW w:w="584" w:type="pct"/>
          </w:tcPr>
          <w:p w14:paraId="2293188C" w14:textId="77777777" w:rsidR="005E15B8" w:rsidRPr="00F03917" w:rsidRDefault="005E15B8" w:rsidP="00A61540">
            <w:pPr>
              <w:pStyle w:val="TableTextbold"/>
              <w:spacing w:before="30" w:after="30"/>
            </w:pPr>
            <w:r w:rsidRPr="00F03917">
              <w:t>0.6</w:t>
            </w:r>
          </w:p>
        </w:tc>
        <w:tc>
          <w:tcPr>
            <w:tcW w:w="917" w:type="pct"/>
          </w:tcPr>
          <w:p w14:paraId="0021710E" w14:textId="77777777" w:rsidR="005E15B8" w:rsidRPr="00F03917" w:rsidRDefault="005E15B8" w:rsidP="00A61540">
            <w:pPr>
              <w:pStyle w:val="TableText"/>
              <w:spacing w:before="30" w:after="30"/>
            </w:pPr>
            <w:r w:rsidRPr="00F03917">
              <w:t>2070</w:t>
            </w:r>
          </w:p>
        </w:tc>
        <w:tc>
          <w:tcPr>
            <w:tcW w:w="916" w:type="pct"/>
          </w:tcPr>
          <w:p w14:paraId="1DFAD06C" w14:textId="77777777" w:rsidR="005E15B8" w:rsidRPr="00F03917" w:rsidRDefault="005E15B8" w:rsidP="00A61540">
            <w:pPr>
              <w:pStyle w:val="TableText"/>
              <w:spacing w:before="30" w:after="30"/>
            </w:pPr>
            <w:r w:rsidRPr="00F03917">
              <w:t>2080</w:t>
            </w:r>
          </w:p>
        </w:tc>
        <w:tc>
          <w:tcPr>
            <w:tcW w:w="917" w:type="pct"/>
          </w:tcPr>
          <w:p w14:paraId="3A1A8AC4" w14:textId="77777777" w:rsidR="005E15B8" w:rsidRPr="00F03917" w:rsidRDefault="005E15B8" w:rsidP="00A61540">
            <w:pPr>
              <w:pStyle w:val="TableText"/>
              <w:spacing w:before="30" w:after="30"/>
            </w:pPr>
            <w:r w:rsidRPr="00F03917">
              <w:t>2090</w:t>
            </w:r>
          </w:p>
        </w:tc>
        <w:tc>
          <w:tcPr>
            <w:tcW w:w="833" w:type="pct"/>
          </w:tcPr>
          <w:p w14:paraId="274A46AA" w14:textId="77777777" w:rsidR="005E15B8" w:rsidRPr="00F03917" w:rsidRDefault="005E15B8" w:rsidP="00A61540">
            <w:pPr>
              <w:pStyle w:val="TableText"/>
              <w:spacing w:before="30" w:after="30"/>
            </w:pPr>
            <w:r w:rsidRPr="00F03917">
              <w:t>2100</w:t>
            </w:r>
          </w:p>
        </w:tc>
        <w:tc>
          <w:tcPr>
            <w:tcW w:w="833" w:type="pct"/>
          </w:tcPr>
          <w:p w14:paraId="6785A9D8" w14:textId="77777777" w:rsidR="005E15B8" w:rsidRPr="00F03917" w:rsidRDefault="005E15B8" w:rsidP="00A61540">
            <w:pPr>
              <w:pStyle w:val="TableText"/>
              <w:spacing w:before="30" w:after="30"/>
            </w:pPr>
            <w:r w:rsidRPr="00F03917">
              <w:t>2130</w:t>
            </w:r>
          </w:p>
        </w:tc>
      </w:tr>
      <w:tr w:rsidR="005E15B8" w:rsidRPr="00F03917" w14:paraId="4D1C0C2B" w14:textId="77777777" w:rsidTr="00DE5102">
        <w:tc>
          <w:tcPr>
            <w:tcW w:w="584" w:type="pct"/>
          </w:tcPr>
          <w:p w14:paraId="3EBD63AA" w14:textId="77777777" w:rsidR="005E15B8" w:rsidRPr="00F03917" w:rsidRDefault="005E15B8" w:rsidP="00A61540">
            <w:pPr>
              <w:pStyle w:val="TableTextbold"/>
              <w:spacing w:before="30" w:after="30"/>
            </w:pPr>
            <w:r w:rsidRPr="00F03917">
              <w:t>0.7</w:t>
            </w:r>
          </w:p>
        </w:tc>
        <w:tc>
          <w:tcPr>
            <w:tcW w:w="917" w:type="pct"/>
          </w:tcPr>
          <w:p w14:paraId="02A53B51" w14:textId="77777777" w:rsidR="005E15B8" w:rsidRPr="00F03917" w:rsidRDefault="005E15B8" w:rsidP="00A61540">
            <w:pPr>
              <w:pStyle w:val="TableText"/>
              <w:spacing w:before="30" w:after="30"/>
            </w:pPr>
            <w:r w:rsidRPr="00F03917">
              <w:t>2080</w:t>
            </w:r>
          </w:p>
        </w:tc>
        <w:tc>
          <w:tcPr>
            <w:tcW w:w="916" w:type="pct"/>
          </w:tcPr>
          <w:p w14:paraId="17E13BA4" w14:textId="77777777" w:rsidR="005E15B8" w:rsidRPr="00F03917" w:rsidRDefault="005E15B8" w:rsidP="00A61540">
            <w:pPr>
              <w:pStyle w:val="TableText"/>
              <w:spacing w:before="30" w:after="30"/>
            </w:pPr>
            <w:r w:rsidRPr="00F03917">
              <w:t>2090</w:t>
            </w:r>
          </w:p>
        </w:tc>
        <w:tc>
          <w:tcPr>
            <w:tcW w:w="917" w:type="pct"/>
          </w:tcPr>
          <w:p w14:paraId="36B9B250" w14:textId="77777777" w:rsidR="005E15B8" w:rsidRPr="00F03917" w:rsidRDefault="005E15B8" w:rsidP="00A61540">
            <w:pPr>
              <w:pStyle w:val="TableText"/>
              <w:spacing w:before="30" w:after="30"/>
            </w:pPr>
            <w:r w:rsidRPr="00F03917">
              <w:t>2100</w:t>
            </w:r>
          </w:p>
        </w:tc>
        <w:tc>
          <w:tcPr>
            <w:tcW w:w="833" w:type="pct"/>
          </w:tcPr>
          <w:p w14:paraId="0CFA663B" w14:textId="77777777" w:rsidR="005E15B8" w:rsidRPr="00F03917" w:rsidRDefault="005E15B8" w:rsidP="00A61540">
            <w:pPr>
              <w:pStyle w:val="TableText"/>
              <w:spacing w:before="30" w:after="30"/>
            </w:pPr>
            <w:r w:rsidRPr="00F03917">
              <w:t>2115</w:t>
            </w:r>
          </w:p>
        </w:tc>
        <w:tc>
          <w:tcPr>
            <w:tcW w:w="833" w:type="pct"/>
          </w:tcPr>
          <w:p w14:paraId="7D309DA0" w14:textId="77777777" w:rsidR="005E15B8" w:rsidRPr="00F03917" w:rsidRDefault="005E15B8" w:rsidP="00A61540">
            <w:pPr>
              <w:pStyle w:val="TableText"/>
              <w:spacing w:before="30" w:after="30"/>
            </w:pPr>
            <w:r w:rsidRPr="00F03917">
              <w:t>2150</w:t>
            </w:r>
          </w:p>
        </w:tc>
      </w:tr>
      <w:tr w:rsidR="005E15B8" w:rsidRPr="00F03917" w14:paraId="0491D462" w14:textId="77777777" w:rsidTr="00DE5102">
        <w:tc>
          <w:tcPr>
            <w:tcW w:w="584" w:type="pct"/>
          </w:tcPr>
          <w:p w14:paraId="480BB000" w14:textId="77777777" w:rsidR="005E15B8" w:rsidRPr="00F03917" w:rsidRDefault="005E15B8" w:rsidP="00A61540">
            <w:pPr>
              <w:pStyle w:val="TableTextbold"/>
              <w:spacing w:before="30" w:after="30"/>
            </w:pPr>
            <w:r w:rsidRPr="00F03917">
              <w:t>0.8</w:t>
            </w:r>
          </w:p>
        </w:tc>
        <w:tc>
          <w:tcPr>
            <w:tcW w:w="917" w:type="pct"/>
          </w:tcPr>
          <w:p w14:paraId="036BDCCD" w14:textId="77777777" w:rsidR="005E15B8" w:rsidRPr="00F03917" w:rsidRDefault="005E15B8" w:rsidP="00A61540">
            <w:pPr>
              <w:pStyle w:val="TableText"/>
              <w:spacing w:before="30" w:after="30"/>
            </w:pPr>
            <w:r w:rsidRPr="00F03917">
              <w:t>2085</w:t>
            </w:r>
          </w:p>
        </w:tc>
        <w:tc>
          <w:tcPr>
            <w:tcW w:w="916" w:type="pct"/>
          </w:tcPr>
          <w:p w14:paraId="5C024E0E" w14:textId="77777777" w:rsidR="005E15B8" w:rsidRPr="00F03917" w:rsidRDefault="005E15B8" w:rsidP="00A61540">
            <w:pPr>
              <w:pStyle w:val="TableText"/>
              <w:spacing w:before="30" w:after="30"/>
            </w:pPr>
            <w:r w:rsidRPr="00F03917">
              <w:t>2100</w:t>
            </w:r>
          </w:p>
        </w:tc>
        <w:tc>
          <w:tcPr>
            <w:tcW w:w="917" w:type="pct"/>
          </w:tcPr>
          <w:p w14:paraId="5F796805" w14:textId="77777777" w:rsidR="005E15B8" w:rsidRPr="00F03917" w:rsidRDefault="005E15B8" w:rsidP="00A61540">
            <w:pPr>
              <w:pStyle w:val="TableText"/>
              <w:spacing w:before="30" w:after="30"/>
            </w:pPr>
            <w:r w:rsidRPr="00F03917">
              <w:t>2110</w:t>
            </w:r>
          </w:p>
        </w:tc>
        <w:tc>
          <w:tcPr>
            <w:tcW w:w="833" w:type="pct"/>
          </w:tcPr>
          <w:p w14:paraId="4F986819" w14:textId="77777777" w:rsidR="005E15B8" w:rsidRPr="00F03917" w:rsidRDefault="005E15B8" w:rsidP="00A61540">
            <w:pPr>
              <w:pStyle w:val="TableText"/>
              <w:spacing w:before="30" w:after="30"/>
            </w:pPr>
            <w:r w:rsidRPr="00F03917">
              <w:t>2130</w:t>
            </w:r>
          </w:p>
        </w:tc>
        <w:tc>
          <w:tcPr>
            <w:tcW w:w="833" w:type="pct"/>
          </w:tcPr>
          <w:p w14:paraId="24DE7095" w14:textId="77777777" w:rsidR="005E15B8" w:rsidRPr="00F03917" w:rsidRDefault="005E15B8" w:rsidP="00A61540">
            <w:pPr>
              <w:pStyle w:val="TableText"/>
              <w:spacing w:before="30" w:after="30"/>
            </w:pPr>
            <w:r w:rsidRPr="00F03917">
              <w:t>2180</w:t>
            </w:r>
          </w:p>
        </w:tc>
      </w:tr>
      <w:tr w:rsidR="005E15B8" w:rsidRPr="00F03917" w14:paraId="69907497" w14:textId="77777777" w:rsidTr="00DE5102">
        <w:tc>
          <w:tcPr>
            <w:tcW w:w="584" w:type="pct"/>
          </w:tcPr>
          <w:p w14:paraId="698D5551" w14:textId="77777777" w:rsidR="005E15B8" w:rsidRPr="00F03917" w:rsidRDefault="005E15B8" w:rsidP="00A61540">
            <w:pPr>
              <w:pStyle w:val="TableTextbold"/>
              <w:spacing w:before="30" w:after="30"/>
            </w:pPr>
            <w:r w:rsidRPr="00F03917">
              <w:t>0.9</w:t>
            </w:r>
          </w:p>
        </w:tc>
        <w:tc>
          <w:tcPr>
            <w:tcW w:w="917" w:type="pct"/>
          </w:tcPr>
          <w:p w14:paraId="6E0EFA96" w14:textId="77777777" w:rsidR="005E15B8" w:rsidRPr="00F03917" w:rsidRDefault="005E15B8" w:rsidP="00A61540">
            <w:pPr>
              <w:pStyle w:val="TableText"/>
              <w:spacing w:before="30" w:after="30"/>
            </w:pPr>
            <w:r w:rsidRPr="00F03917">
              <w:t>2090</w:t>
            </w:r>
          </w:p>
        </w:tc>
        <w:tc>
          <w:tcPr>
            <w:tcW w:w="916" w:type="pct"/>
          </w:tcPr>
          <w:p w14:paraId="4FB0377D" w14:textId="77777777" w:rsidR="005E15B8" w:rsidRPr="00F03917" w:rsidRDefault="005E15B8" w:rsidP="00A61540">
            <w:pPr>
              <w:pStyle w:val="TableText"/>
              <w:spacing w:before="30" w:after="30"/>
            </w:pPr>
            <w:r w:rsidRPr="00F03917">
              <w:t>2105</w:t>
            </w:r>
          </w:p>
        </w:tc>
        <w:tc>
          <w:tcPr>
            <w:tcW w:w="917" w:type="pct"/>
          </w:tcPr>
          <w:p w14:paraId="364D9EF0" w14:textId="77777777" w:rsidR="005E15B8" w:rsidRPr="00F03917" w:rsidRDefault="005E15B8" w:rsidP="00A61540">
            <w:pPr>
              <w:pStyle w:val="TableText"/>
              <w:spacing w:before="30" w:after="30"/>
            </w:pPr>
            <w:r w:rsidRPr="00F03917">
              <w:t>2115</w:t>
            </w:r>
          </w:p>
        </w:tc>
        <w:tc>
          <w:tcPr>
            <w:tcW w:w="833" w:type="pct"/>
          </w:tcPr>
          <w:p w14:paraId="5AD71F93" w14:textId="77777777" w:rsidR="005E15B8" w:rsidRPr="00F03917" w:rsidRDefault="005E15B8" w:rsidP="00A61540">
            <w:pPr>
              <w:pStyle w:val="TableText"/>
              <w:spacing w:before="30" w:after="30"/>
            </w:pPr>
            <w:r w:rsidRPr="00F03917">
              <w:t>2140</w:t>
            </w:r>
          </w:p>
        </w:tc>
        <w:tc>
          <w:tcPr>
            <w:tcW w:w="833" w:type="pct"/>
          </w:tcPr>
          <w:p w14:paraId="09E321B3" w14:textId="77777777" w:rsidR="005E15B8" w:rsidRPr="00F03917" w:rsidRDefault="005E15B8" w:rsidP="00A61540">
            <w:pPr>
              <w:pStyle w:val="TableText"/>
              <w:spacing w:before="30" w:after="30"/>
            </w:pPr>
            <w:r w:rsidRPr="00F03917">
              <w:t>2200</w:t>
            </w:r>
          </w:p>
        </w:tc>
      </w:tr>
      <w:tr w:rsidR="005E15B8" w:rsidRPr="00F03917" w14:paraId="2BB05A4B" w14:textId="77777777" w:rsidTr="00DE5102">
        <w:tc>
          <w:tcPr>
            <w:tcW w:w="584" w:type="pct"/>
          </w:tcPr>
          <w:p w14:paraId="65D5B745" w14:textId="77777777" w:rsidR="005E15B8" w:rsidRPr="00F03917" w:rsidRDefault="005E15B8" w:rsidP="00A61540">
            <w:pPr>
              <w:pStyle w:val="TableTextbold"/>
              <w:spacing w:before="30" w:after="30"/>
            </w:pPr>
            <w:r w:rsidRPr="00F03917">
              <w:t>1.0</w:t>
            </w:r>
          </w:p>
        </w:tc>
        <w:tc>
          <w:tcPr>
            <w:tcW w:w="917" w:type="pct"/>
          </w:tcPr>
          <w:p w14:paraId="52E4B9EB" w14:textId="77777777" w:rsidR="005E15B8" w:rsidRPr="00F03917" w:rsidRDefault="005E15B8" w:rsidP="00A61540">
            <w:pPr>
              <w:pStyle w:val="TableText"/>
              <w:spacing w:before="30" w:after="30"/>
            </w:pPr>
            <w:r w:rsidRPr="00F03917">
              <w:t>2095</w:t>
            </w:r>
          </w:p>
        </w:tc>
        <w:tc>
          <w:tcPr>
            <w:tcW w:w="916" w:type="pct"/>
          </w:tcPr>
          <w:p w14:paraId="2BBD3CC5" w14:textId="77777777" w:rsidR="005E15B8" w:rsidRPr="00F03917" w:rsidRDefault="005E15B8" w:rsidP="00A61540">
            <w:pPr>
              <w:pStyle w:val="TableText"/>
              <w:spacing w:before="30" w:after="30"/>
            </w:pPr>
            <w:r w:rsidRPr="00F03917">
              <w:t>2115</w:t>
            </w:r>
          </w:p>
        </w:tc>
        <w:tc>
          <w:tcPr>
            <w:tcW w:w="917" w:type="pct"/>
          </w:tcPr>
          <w:p w14:paraId="15D12796" w14:textId="77777777" w:rsidR="005E15B8" w:rsidRPr="00F03917" w:rsidRDefault="005E15B8" w:rsidP="00A61540">
            <w:pPr>
              <w:pStyle w:val="TableText"/>
              <w:spacing w:before="30" w:after="30"/>
            </w:pPr>
            <w:r w:rsidRPr="00F03917">
              <w:t>2125</w:t>
            </w:r>
          </w:p>
        </w:tc>
        <w:tc>
          <w:tcPr>
            <w:tcW w:w="833" w:type="pct"/>
          </w:tcPr>
          <w:p w14:paraId="13E86D0D" w14:textId="77777777" w:rsidR="005E15B8" w:rsidRPr="00F03917" w:rsidRDefault="005E15B8" w:rsidP="00A61540">
            <w:pPr>
              <w:pStyle w:val="TableText"/>
              <w:spacing w:before="30" w:after="30"/>
            </w:pPr>
            <w:r w:rsidRPr="00F03917">
              <w:t>2155</w:t>
            </w:r>
          </w:p>
        </w:tc>
        <w:tc>
          <w:tcPr>
            <w:tcW w:w="833" w:type="pct"/>
          </w:tcPr>
          <w:p w14:paraId="56AC511B" w14:textId="77777777" w:rsidR="005E15B8" w:rsidRPr="00F03917" w:rsidRDefault="005E15B8" w:rsidP="00A61540">
            <w:pPr>
              <w:pStyle w:val="TableText"/>
              <w:spacing w:before="30" w:after="30"/>
            </w:pPr>
            <w:r w:rsidRPr="00F03917">
              <w:t>&gt;2200</w:t>
            </w:r>
          </w:p>
        </w:tc>
      </w:tr>
      <w:tr w:rsidR="005E15B8" w:rsidRPr="00F03917" w14:paraId="2A271542" w14:textId="77777777" w:rsidTr="00DE5102">
        <w:tc>
          <w:tcPr>
            <w:tcW w:w="584" w:type="pct"/>
          </w:tcPr>
          <w:p w14:paraId="2784AEC9" w14:textId="77777777" w:rsidR="005E15B8" w:rsidRPr="00F03917" w:rsidRDefault="005E15B8" w:rsidP="00A61540">
            <w:pPr>
              <w:pStyle w:val="TableTextbold"/>
              <w:spacing w:before="30" w:after="30"/>
            </w:pPr>
            <w:r w:rsidRPr="00F03917">
              <w:t>1.2</w:t>
            </w:r>
          </w:p>
        </w:tc>
        <w:tc>
          <w:tcPr>
            <w:tcW w:w="917" w:type="pct"/>
          </w:tcPr>
          <w:p w14:paraId="2832300F" w14:textId="77777777" w:rsidR="005E15B8" w:rsidRPr="00F03917" w:rsidRDefault="005E15B8" w:rsidP="00A61540">
            <w:pPr>
              <w:pStyle w:val="TableText"/>
              <w:spacing w:before="30" w:after="30"/>
            </w:pPr>
            <w:r w:rsidRPr="00F03917">
              <w:t>2105</w:t>
            </w:r>
          </w:p>
        </w:tc>
        <w:tc>
          <w:tcPr>
            <w:tcW w:w="916" w:type="pct"/>
          </w:tcPr>
          <w:p w14:paraId="286A7D87" w14:textId="77777777" w:rsidR="005E15B8" w:rsidRPr="00F03917" w:rsidRDefault="005E15B8" w:rsidP="00A61540">
            <w:pPr>
              <w:pStyle w:val="TableText"/>
              <w:spacing w:before="30" w:after="30"/>
            </w:pPr>
            <w:r w:rsidRPr="00F03917">
              <w:t>2130</w:t>
            </w:r>
          </w:p>
        </w:tc>
        <w:tc>
          <w:tcPr>
            <w:tcW w:w="917" w:type="pct"/>
          </w:tcPr>
          <w:p w14:paraId="185E61DD" w14:textId="77777777" w:rsidR="005E15B8" w:rsidRPr="00F03917" w:rsidRDefault="005E15B8" w:rsidP="00A61540">
            <w:pPr>
              <w:pStyle w:val="TableText"/>
              <w:spacing w:before="30" w:after="30"/>
            </w:pPr>
            <w:r w:rsidRPr="00F03917">
              <w:t>2140</w:t>
            </w:r>
          </w:p>
        </w:tc>
        <w:tc>
          <w:tcPr>
            <w:tcW w:w="833" w:type="pct"/>
          </w:tcPr>
          <w:p w14:paraId="77DD0923" w14:textId="77777777" w:rsidR="005E15B8" w:rsidRPr="00F03917" w:rsidRDefault="005E15B8" w:rsidP="00A61540">
            <w:pPr>
              <w:pStyle w:val="TableText"/>
              <w:spacing w:before="30" w:after="30"/>
            </w:pPr>
            <w:r w:rsidRPr="00F03917">
              <w:t>2185</w:t>
            </w:r>
          </w:p>
        </w:tc>
        <w:tc>
          <w:tcPr>
            <w:tcW w:w="833" w:type="pct"/>
          </w:tcPr>
          <w:p w14:paraId="75B48A35" w14:textId="77777777" w:rsidR="005E15B8" w:rsidRPr="00F03917" w:rsidRDefault="005E15B8" w:rsidP="00A61540">
            <w:pPr>
              <w:pStyle w:val="TableText"/>
              <w:spacing w:before="30" w:after="30"/>
            </w:pPr>
            <w:r w:rsidRPr="00F03917">
              <w:t>&gt;2200</w:t>
            </w:r>
          </w:p>
        </w:tc>
      </w:tr>
      <w:tr w:rsidR="005E15B8" w:rsidRPr="00F03917" w14:paraId="4BC59168" w14:textId="77777777" w:rsidTr="00DE5102">
        <w:tc>
          <w:tcPr>
            <w:tcW w:w="584" w:type="pct"/>
          </w:tcPr>
          <w:p w14:paraId="38673E26" w14:textId="77777777" w:rsidR="005E15B8" w:rsidRPr="00F03917" w:rsidRDefault="005E15B8" w:rsidP="00A61540">
            <w:pPr>
              <w:pStyle w:val="TableTextbold"/>
              <w:spacing w:before="30" w:after="30"/>
            </w:pPr>
            <w:r w:rsidRPr="00F03917">
              <w:t>1.4</w:t>
            </w:r>
          </w:p>
        </w:tc>
        <w:tc>
          <w:tcPr>
            <w:tcW w:w="917" w:type="pct"/>
          </w:tcPr>
          <w:p w14:paraId="6BC801FB" w14:textId="77777777" w:rsidR="005E15B8" w:rsidRPr="00F03917" w:rsidRDefault="005E15B8" w:rsidP="00A61540">
            <w:pPr>
              <w:pStyle w:val="TableText"/>
              <w:spacing w:before="30" w:after="30"/>
            </w:pPr>
            <w:r w:rsidRPr="00F03917">
              <w:t>2115</w:t>
            </w:r>
          </w:p>
        </w:tc>
        <w:tc>
          <w:tcPr>
            <w:tcW w:w="916" w:type="pct"/>
          </w:tcPr>
          <w:p w14:paraId="7300F3A4" w14:textId="77777777" w:rsidR="005E15B8" w:rsidRPr="00F03917" w:rsidRDefault="005E15B8" w:rsidP="00A61540">
            <w:pPr>
              <w:pStyle w:val="TableText"/>
              <w:spacing w:before="30" w:after="30"/>
            </w:pPr>
            <w:r w:rsidRPr="00F03917">
              <w:t>2145</w:t>
            </w:r>
          </w:p>
        </w:tc>
        <w:tc>
          <w:tcPr>
            <w:tcW w:w="917" w:type="pct"/>
          </w:tcPr>
          <w:p w14:paraId="068FC55B" w14:textId="77777777" w:rsidR="005E15B8" w:rsidRPr="00F03917" w:rsidRDefault="005E15B8" w:rsidP="00A61540">
            <w:pPr>
              <w:pStyle w:val="TableText"/>
              <w:spacing w:before="30" w:after="30"/>
            </w:pPr>
            <w:r w:rsidRPr="00F03917">
              <w:t>2160</w:t>
            </w:r>
          </w:p>
        </w:tc>
        <w:tc>
          <w:tcPr>
            <w:tcW w:w="833" w:type="pct"/>
          </w:tcPr>
          <w:p w14:paraId="5492E164" w14:textId="77777777" w:rsidR="005E15B8" w:rsidRPr="00F03917" w:rsidRDefault="005E15B8" w:rsidP="00A61540">
            <w:pPr>
              <w:pStyle w:val="TableText"/>
              <w:spacing w:before="30" w:after="30"/>
            </w:pPr>
            <w:r w:rsidRPr="00F03917">
              <w:t>&gt;2200</w:t>
            </w:r>
          </w:p>
        </w:tc>
        <w:tc>
          <w:tcPr>
            <w:tcW w:w="833" w:type="pct"/>
          </w:tcPr>
          <w:p w14:paraId="21DD8F0C" w14:textId="77777777" w:rsidR="005E15B8" w:rsidRPr="00F03917" w:rsidRDefault="005E15B8" w:rsidP="00A61540">
            <w:pPr>
              <w:pStyle w:val="TableText"/>
              <w:spacing w:before="30" w:after="30"/>
            </w:pPr>
            <w:r w:rsidRPr="00F03917">
              <w:t>&gt;2200</w:t>
            </w:r>
          </w:p>
        </w:tc>
      </w:tr>
      <w:tr w:rsidR="005E15B8" w:rsidRPr="00F03917" w14:paraId="5BA18B40" w14:textId="77777777" w:rsidTr="00DE5102">
        <w:tc>
          <w:tcPr>
            <w:tcW w:w="584" w:type="pct"/>
          </w:tcPr>
          <w:p w14:paraId="756818A5" w14:textId="77777777" w:rsidR="005E15B8" w:rsidRPr="00F03917" w:rsidRDefault="005E15B8" w:rsidP="00A61540">
            <w:pPr>
              <w:pStyle w:val="TableTextbold"/>
              <w:spacing w:before="30" w:after="30"/>
            </w:pPr>
            <w:r w:rsidRPr="00F03917">
              <w:t>1.6</w:t>
            </w:r>
          </w:p>
        </w:tc>
        <w:tc>
          <w:tcPr>
            <w:tcW w:w="917" w:type="pct"/>
          </w:tcPr>
          <w:p w14:paraId="3586784A" w14:textId="77777777" w:rsidR="005E15B8" w:rsidRPr="00F03917" w:rsidRDefault="005E15B8" w:rsidP="00A61540">
            <w:pPr>
              <w:pStyle w:val="TableText"/>
              <w:spacing w:before="30" w:after="30"/>
            </w:pPr>
            <w:r w:rsidRPr="00F03917">
              <w:t>2130</w:t>
            </w:r>
          </w:p>
        </w:tc>
        <w:tc>
          <w:tcPr>
            <w:tcW w:w="916" w:type="pct"/>
          </w:tcPr>
          <w:p w14:paraId="02C17C96" w14:textId="77777777" w:rsidR="005E15B8" w:rsidRPr="00F03917" w:rsidRDefault="005E15B8" w:rsidP="00A61540">
            <w:pPr>
              <w:pStyle w:val="TableText"/>
              <w:spacing w:before="30" w:after="30"/>
            </w:pPr>
            <w:r w:rsidRPr="00F03917">
              <w:t>2160</w:t>
            </w:r>
          </w:p>
        </w:tc>
        <w:tc>
          <w:tcPr>
            <w:tcW w:w="917" w:type="pct"/>
          </w:tcPr>
          <w:p w14:paraId="53D547D4" w14:textId="77777777" w:rsidR="005E15B8" w:rsidRPr="00F03917" w:rsidRDefault="005E15B8" w:rsidP="00A61540">
            <w:pPr>
              <w:pStyle w:val="TableText"/>
              <w:spacing w:before="30" w:after="30"/>
            </w:pPr>
            <w:r w:rsidRPr="00F03917">
              <w:t>2175</w:t>
            </w:r>
          </w:p>
        </w:tc>
        <w:tc>
          <w:tcPr>
            <w:tcW w:w="833" w:type="pct"/>
          </w:tcPr>
          <w:p w14:paraId="383178D8" w14:textId="77777777" w:rsidR="005E15B8" w:rsidRPr="00F03917" w:rsidRDefault="005E15B8" w:rsidP="00A61540">
            <w:pPr>
              <w:pStyle w:val="TableText"/>
              <w:spacing w:before="30" w:after="30"/>
            </w:pPr>
            <w:r w:rsidRPr="00F03917">
              <w:t>&gt;2200</w:t>
            </w:r>
          </w:p>
        </w:tc>
        <w:tc>
          <w:tcPr>
            <w:tcW w:w="833" w:type="pct"/>
          </w:tcPr>
          <w:p w14:paraId="5CF5C55E" w14:textId="77777777" w:rsidR="005E15B8" w:rsidRPr="00F03917" w:rsidRDefault="005E15B8" w:rsidP="00A61540">
            <w:pPr>
              <w:pStyle w:val="TableText"/>
              <w:spacing w:before="30" w:after="30"/>
            </w:pPr>
            <w:r w:rsidRPr="00F03917">
              <w:t>&gt;2200</w:t>
            </w:r>
          </w:p>
        </w:tc>
      </w:tr>
      <w:tr w:rsidR="005E15B8" w:rsidRPr="00F03917" w14:paraId="63E15FC6" w14:textId="77777777" w:rsidTr="00DE5102">
        <w:tc>
          <w:tcPr>
            <w:tcW w:w="584" w:type="pct"/>
          </w:tcPr>
          <w:p w14:paraId="5F6809DD" w14:textId="77777777" w:rsidR="005E15B8" w:rsidRPr="00F03917" w:rsidRDefault="005E15B8" w:rsidP="00A61540">
            <w:pPr>
              <w:pStyle w:val="TableTextbold"/>
              <w:spacing w:before="30" w:after="30"/>
            </w:pPr>
            <w:r w:rsidRPr="00F03917">
              <w:t>1.8</w:t>
            </w:r>
          </w:p>
        </w:tc>
        <w:tc>
          <w:tcPr>
            <w:tcW w:w="917" w:type="pct"/>
          </w:tcPr>
          <w:p w14:paraId="354F478A" w14:textId="77777777" w:rsidR="005E15B8" w:rsidRPr="00F03917" w:rsidRDefault="005E15B8" w:rsidP="00A61540">
            <w:pPr>
              <w:pStyle w:val="TableText"/>
              <w:spacing w:before="30" w:after="30"/>
            </w:pPr>
            <w:r w:rsidRPr="00F03917">
              <w:t>2140</w:t>
            </w:r>
          </w:p>
        </w:tc>
        <w:tc>
          <w:tcPr>
            <w:tcW w:w="916" w:type="pct"/>
          </w:tcPr>
          <w:p w14:paraId="3D785452" w14:textId="77777777" w:rsidR="005E15B8" w:rsidRPr="00F03917" w:rsidRDefault="005E15B8" w:rsidP="00A61540">
            <w:pPr>
              <w:pStyle w:val="TableText"/>
              <w:spacing w:before="30" w:after="30"/>
            </w:pPr>
            <w:r w:rsidRPr="00F03917">
              <w:t>2180</w:t>
            </w:r>
          </w:p>
        </w:tc>
        <w:tc>
          <w:tcPr>
            <w:tcW w:w="917" w:type="pct"/>
          </w:tcPr>
          <w:p w14:paraId="4C47A9CD" w14:textId="77777777" w:rsidR="005E15B8" w:rsidRPr="00F03917" w:rsidRDefault="005E15B8" w:rsidP="00A61540">
            <w:pPr>
              <w:pStyle w:val="TableText"/>
              <w:spacing w:before="30" w:after="30"/>
            </w:pPr>
            <w:r w:rsidRPr="00F03917">
              <w:t>2200</w:t>
            </w:r>
          </w:p>
        </w:tc>
        <w:tc>
          <w:tcPr>
            <w:tcW w:w="833" w:type="pct"/>
          </w:tcPr>
          <w:p w14:paraId="7449F968" w14:textId="77777777" w:rsidR="005E15B8" w:rsidRPr="00F03917" w:rsidRDefault="005E15B8" w:rsidP="00A61540">
            <w:pPr>
              <w:pStyle w:val="TableText"/>
              <w:spacing w:before="30" w:after="30"/>
            </w:pPr>
            <w:r w:rsidRPr="00F03917">
              <w:t>&gt;2200</w:t>
            </w:r>
          </w:p>
        </w:tc>
        <w:tc>
          <w:tcPr>
            <w:tcW w:w="833" w:type="pct"/>
          </w:tcPr>
          <w:p w14:paraId="54F2061D" w14:textId="77777777" w:rsidR="005E15B8" w:rsidRPr="00F03917" w:rsidRDefault="005E15B8" w:rsidP="00A61540">
            <w:pPr>
              <w:pStyle w:val="TableText"/>
              <w:spacing w:before="30" w:after="30"/>
            </w:pPr>
            <w:r w:rsidRPr="00F03917">
              <w:t>&gt;2200</w:t>
            </w:r>
          </w:p>
        </w:tc>
      </w:tr>
      <w:tr w:rsidR="005E15B8" w:rsidRPr="00F03917" w14:paraId="4FAD4DF8" w14:textId="77777777" w:rsidTr="00DE5102">
        <w:tc>
          <w:tcPr>
            <w:tcW w:w="584" w:type="pct"/>
          </w:tcPr>
          <w:p w14:paraId="58241595" w14:textId="77777777" w:rsidR="005E15B8" w:rsidRPr="00F03917" w:rsidRDefault="005E15B8" w:rsidP="00A61540">
            <w:pPr>
              <w:pStyle w:val="TableTextbold"/>
              <w:spacing w:before="30" w:after="30"/>
            </w:pPr>
            <w:r w:rsidRPr="00F03917">
              <w:t xml:space="preserve">2.0 </w:t>
            </w:r>
          </w:p>
        </w:tc>
        <w:tc>
          <w:tcPr>
            <w:tcW w:w="917" w:type="pct"/>
          </w:tcPr>
          <w:p w14:paraId="7B5CC91F" w14:textId="77777777" w:rsidR="005E15B8" w:rsidRPr="00F03917" w:rsidRDefault="005E15B8" w:rsidP="00A61540">
            <w:pPr>
              <w:pStyle w:val="TableText"/>
              <w:spacing w:before="30" w:after="30"/>
            </w:pPr>
            <w:r w:rsidRPr="00F03917">
              <w:t>2150</w:t>
            </w:r>
          </w:p>
        </w:tc>
        <w:tc>
          <w:tcPr>
            <w:tcW w:w="916" w:type="pct"/>
          </w:tcPr>
          <w:p w14:paraId="319C9BDB" w14:textId="77777777" w:rsidR="005E15B8" w:rsidRPr="00F03917" w:rsidRDefault="005E15B8" w:rsidP="00A61540">
            <w:pPr>
              <w:pStyle w:val="TableText"/>
              <w:spacing w:before="30" w:after="30"/>
            </w:pPr>
            <w:r w:rsidRPr="00F03917">
              <w:t>2195</w:t>
            </w:r>
          </w:p>
        </w:tc>
        <w:tc>
          <w:tcPr>
            <w:tcW w:w="917" w:type="pct"/>
          </w:tcPr>
          <w:p w14:paraId="6013E21F" w14:textId="77777777" w:rsidR="005E15B8" w:rsidRPr="00F03917" w:rsidRDefault="005E15B8" w:rsidP="00A61540">
            <w:pPr>
              <w:pStyle w:val="TableText"/>
              <w:spacing w:before="30" w:after="30"/>
            </w:pPr>
            <w:r w:rsidRPr="00F03917">
              <w:t>&gt;2200</w:t>
            </w:r>
          </w:p>
        </w:tc>
        <w:tc>
          <w:tcPr>
            <w:tcW w:w="833" w:type="pct"/>
          </w:tcPr>
          <w:p w14:paraId="75D696A0" w14:textId="77777777" w:rsidR="005E15B8" w:rsidRPr="00F03917" w:rsidRDefault="005E15B8" w:rsidP="00A61540">
            <w:pPr>
              <w:pStyle w:val="TableText"/>
              <w:spacing w:before="30" w:after="30"/>
            </w:pPr>
            <w:r w:rsidRPr="00F03917">
              <w:t>&gt;2200</w:t>
            </w:r>
          </w:p>
        </w:tc>
        <w:tc>
          <w:tcPr>
            <w:tcW w:w="833" w:type="pct"/>
          </w:tcPr>
          <w:p w14:paraId="445D7063" w14:textId="77777777" w:rsidR="005E15B8" w:rsidRPr="00F03917" w:rsidRDefault="005E15B8" w:rsidP="00A61540">
            <w:pPr>
              <w:pStyle w:val="TableText"/>
              <w:spacing w:before="30" w:after="30"/>
            </w:pPr>
            <w:r w:rsidRPr="00F03917">
              <w:t>&gt;2200</w:t>
            </w:r>
          </w:p>
        </w:tc>
      </w:tr>
    </w:tbl>
    <w:p w14:paraId="02487B83" w14:textId="4F747510" w:rsidR="0021524B" w:rsidRPr="00F03917" w:rsidRDefault="771F9632" w:rsidP="00AC2969">
      <w:pPr>
        <w:pStyle w:val="Source"/>
      </w:pPr>
      <w:r w:rsidRPr="00F03917">
        <w:t>Note</w:t>
      </w:r>
      <w:r w:rsidR="00865A6D" w:rsidRPr="00F03917">
        <w:t>s</w:t>
      </w:r>
      <w:r w:rsidRPr="00F03917">
        <w:t xml:space="preserve">: </w:t>
      </w:r>
      <w:r w:rsidR="005E15B8" w:rsidRPr="00F03917">
        <w:t xml:space="preserve">Approximate year (to the nearest five-year value) when each </w:t>
      </w:r>
      <w:r w:rsidR="001309A7" w:rsidRPr="00F03917">
        <w:t>absolute</w:t>
      </w:r>
      <w:r w:rsidR="005E15B8" w:rsidRPr="00F03917">
        <w:t xml:space="preserve"> </w:t>
      </w:r>
      <w:r w:rsidR="6C07D37B" w:rsidRPr="00F03917">
        <w:t>sea-level rise (</w:t>
      </w:r>
      <w:r w:rsidR="005E15B8" w:rsidRPr="00F03917">
        <w:t>SLR</w:t>
      </w:r>
      <w:r w:rsidR="323E6482" w:rsidRPr="00F03917">
        <w:t>)</w:t>
      </w:r>
      <w:r w:rsidR="005E15B8" w:rsidRPr="00F03917">
        <w:t xml:space="preserve"> </w:t>
      </w:r>
      <w:r w:rsidR="008C62A5" w:rsidRPr="00F03917">
        <w:t>height</w:t>
      </w:r>
      <w:r w:rsidR="005E15B8" w:rsidRPr="00F03917">
        <w:t xml:space="preserve"> could be reached </w:t>
      </w:r>
      <w:r w:rsidR="002E2AC2" w:rsidRPr="00F03917">
        <w:t>f</w:t>
      </w:r>
      <w:r w:rsidR="00D90C3C" w:rsidRPr="00F03917">
        <w:t>rom</w:t>
      </w:r>
      <w:r w:rsidR="002E2AC2" w:rsidRPr="00F03917">
        <w:t xml:space="preserve"> a central location from </w:t>
      </w:r>
      <w:r w:rsidR="00865A6D" w:rsidRPr="00F03917">
        <w:t xml:space="preserve">the </w:t>
      </w:r>
      <w:r w:rsidR="002E2AC2" w:rsidRPr="00F03917">
        <w:t>NZ SeaRise platform</w:t>
      </w:r>
      <w:r w:rsidR="005E15B8" w:rsidRPr="00F03917" w:rsidDel="006F1827">
        <w:t>,</w:t>
      </w:r>
      <w:r w:rsidR="005E15B8" w:rsidRPr="00F03917">
        <w:t xml:space="preserve"> under the </w:t>
      </w:r>
      <w:r w:rsidR="005E15B8" w:rsidRPr="00F03917">
        <w:rPr>
          <w:i/>
          <w:iCs/>
        </w:rPr>
        <w:t>medium confidence</w:t>
      </w:r>
      <w:r w:rsidR="005E15B8" w:rsidRPr="00F03917">
        <w:t xml:space="preserve"> SLR projections,</w:t>
      </w:r>
      <w:r w:rsidR="005E15B8" w:rsidRPr="00F03917" w:rsidDel="0017085C">
        <w:t xml:space="preserve"> </w:t>
      </w:r>
      <w:r w:rsidR="005E15B8" w:rsidRPr="00F03917">
        <w:t>relative to the 1995–2014 baseline (mid</w:t>
      </w:r>
      <w:r w:rsidR="00E6277B" w:rsidRPr="00F03917">
        <w:t>-</w:t>
      </w:r>
      <w:r w:rsidR="005E15B8" w:rsidRPr="00F03917">
        <w:t xml:space="preserve">point 2005). Excludes </w:t>
      </w:r>
      <w:r w:rsidR="274C3545" w:rsidRPr="00F03917">
        <w:t>vertical land movement</w:t>
      </w:r>
      <w:r w:rsidR="005E15B8" w:rsidRPr="00F03917">
        <w:t xml:space="preserve"> and the </w:t>
      </w:r>
      <w:r w:rsidR="005E15B8" w:rsidRPr="00F03917">
        <w:rPr>
          <w:i/>
          <w:iCs/>
        </w:rPr>
        <w:t>low confidence</w:t>
      </w:r>
      <w:r w:rsidR="005E15B8" w:rsidRPr="00F03917">
        <w:t xml:space="preserve"> </w:t>
      </w:r>
      <w:r w:rsidR="002C1EB9" w:rsidRPr="00F03917">
        <w:t xml:space="preserve">SLR </w:t>
      </w:r>
      <w:r w:rsidR="005E15B8" w:rsidRPr="00F03917">
        <w:t xml:space="preserve">projections. </w:t>
      </w:r>
      <w:r w:rsidR="008F21E2" w:rsidRPr="00F03917">
        <w:t>The table uses 0.1 m</w:t>
      </w:r>
      <w:r w:rsidR="23B7F5FB" w:rsidRPr="00F03917">
        <w:t>etre</w:t>
      </w:r>
      <w:r w:rsidR="008F21E2" w:rsidRPr="00F03917">
        <w:t xml:space="preserve"> SLR </w:t>
      </w:r>
      <w:r w:rsidR="002C1EB9" w:rsidRPr="00F03917">
        <w:t>height</w:t>
      </w:r>
      <w:r w:rsidR="008F21E2" w:rsidRPr="00F03917">
        <w:t xml:space="preserve"> increments up to 1 metre, thereafter 0.2 m</w:t>
      </w:r>
      <w:r w:rsidR="0B4029F1" w:rsidRPr="00F03917">
        <w:t>etre</w:t>
      </w:r>
      <w:r w:rsidR="008F21E2" w:rsidRPr="00F03917">
        <w:t xml:space="preserve"> </w:t>
      </w:r>
      <w:r w:rsidR="002C1EB9" w:rsidRPr="00F03917">
        <w:t>height</w:t>
      </w:r>
      <w:r w:rsidR="008F21E2" w:rsidRPr="00F03917">
        <w:t xml:space="preserve"> increments.</w:t>
      </w:r>
      <w:r w:rsidR="00FB7D30" w:rsidRPr="00F03917">
        <w:t xml:space="preserve"> </w:t>
      </w:r>
    </w:p>
    <w:p w14:paraId="38D8D8D8" w14:textId="5564206D" w:rsidR="00AD40D8" w:rsidRPr="00F03917" w:rsidRDefault="00B91B07" w:rsidP="009F084C">
      <w:pPr>
        <w:pStyle w:val="Source"/>
        <w:spacing w:before="0"/>
      </w:pPr>
      <w:r w:rsidRPr="00F03917">
        <w:t xml:space="preserve">Can be considered </w:t>
      </w:r>
      <w:r w:rsidR="007E1426" w:rsidRPr="00F03917">
        <w:t xml:space="preserve">broadly </w:t>
      </w:r>
      <w:r w:rsidR="0072494F" w:rsidRPr="00F03917">
        <w:t>representative</w:t>
      </w:r>
      <w:r w:rsidRPr="00F03917">
        <w:t xml:space="preserve"> across Aotearoa New Zeal</w:t>
      </w:r>
      <w:r w:rsidR="00CA6D8B" w:rsidRPr="00F03917">
        <w:t xml:space="preserve">and, </w:t>
      </w:r>
      <w:r w:rsidR="0073711B" w:rsidRPr="00F03917">
        <w:t xml:space="preserve">because </w:t>
      </w:r>
      <w:r w:rsidR="004905CE" w:rsidRPr="00F03917">
        <w:t xml:space="preserve">the absolute SLR from </w:t>
      </w:r>
      <w:r w:rsidR="007E1426" w:rsidRPr="00F03917">
        <w:t>n</w:t>
      </w:r>
      <w:r w:rsidR="004905CE" w:rsidRPr="00F03917">
        <w:t xml:space="preserve">orth to </w:t>
      </w:r>
      <w:r w:rsidR="007E1426" w:rsidRPr="00F03917">
        <w:t>south</w:t>
      </w:r>
      <w:r w:rsidR="004905CE" w:rsidRPr="00F03917">
        <w:t xml:space="preserve"> only varies by </w:t>
      </w:r>
      <w:r w:rsidR="004905CE" w:rsidRPr="00F03917">
        <w:rPr>
          <w:rFonts w:cs="Calibri"/>
          <w:bdr w:val="none" w:sz="0" w:space="0" w:color="auto" w:frame="1"/>
        </w:rPr>
        <w:t>±</w:t>
      </w:r>
      <w:r w:rsidR="004905CE" w:rsidRPr="00F03917">
        <w:t xml:space="preserve"> 0.025 metres</w:t>
      </w:r>
      <w:r w:rsidR="00B4201B" w:rsidRPr="00F03917">
        <w:t xml:space="preserve"> </w:t>
      </w:r>
      <w:r w:rsidR="00745921" w:rsidRPr="00F03917">
        <w:t>by</w:t>
      </w:r>
      <w:r w:rsidR="004905CE" w:rsidRPr="00F03917">
        <w:t xml:space="preserve"> 2150</w:t>
      </w:r>
      <w:r w:rsidR="00456603" w:rsidRPr="00F03917">
        <w:t xml:space="preserve"> (</w:t>
      </w:r>
      <w:r w:rsidR="004905CE" w:rsidRPr="00F03917">
        <w:t>relative to the central location</w:t>
      </w:r>
      <w:r w:rsidR="00456603" w:rsidRPr="00F03917">
        <w:t>)</w:t>
      </w:r>
      <w:r w:rsidR="0072595D" w:rsidRPr="00F03917">
        <w:t>.</w:t>
      </w:r>
    </w:p>
    <w:p w14:paraId="285AAC63" w14:textId="7A84DEC5" w:rsidR="002D6607" w:rsidRPr="00F03917" w:rsidRDefault="002D6607" w:rsidP="006258D2">
      <w:pPr>
        <w:pStyle w:val="Tableheading"/>
      </w:pPr>
      <w:bookmarkStart w:id="67" w:name="table7"/>
      <w:bookmarkStart w:id="68" w:name="_Toc160098401"/>
      <w:bookmarkEnd w:id="67"/>
      <w:r w:rsidRPr="00F03917">
        <w:rPr>
          <w:i/>
        </w:rPr>
        <w:t>Example:</w:t>
      </w:r>
      <w:r w:rsidRPr="00F03917">
        <w:t xml:space="preserve"> </w:t>
      </w:r>
      <w:r w:rsidR="00ED7923" w:rsidRPr="00F03917">
        <w:t>Approximate y</w:t>
      </w:r>
      <w:r w:rsidRPr="00F03917">
        <w:t xml:space="preserve">ear when </w:t>
      </w:r>
      <w:r w:rsidR="6FB103E4" w:rsidRPr="00F03917">
        <w:t>relative sea-level rise</w:t>
      </w:r>
      <w:r w:rsidRPr="00F03917">
        <w:t xml:space="preserve"> </w:t>
      </w:r>
      <w:r w:rsidR="751FEA5B" w:rsidRPr="00F03917">
        <w:t>(</w:t>
      </w:r>
      <w:r w:rsidRPr="00F03917">
        <w:t>RSLR</w:t>
      </w:r>
      <w:r w:rsidR="718582E0" w:rsidRPr="00F03917">
        <w:t>)</w:t>
      </w:r>
      <w:r w:rsidRPr="00F03917">
        <w:t xml:space="preserve"> increments </w:t>
      </w:r>
      <w:r w:rsidR="00707943" w:rsidRPr="00F03917">
        <w:t xml:space="preserve">could </w:t>
      </w:r>
      <w:r w:rsidRPr="00F03917">
        <w:t xml:space="preserve">be reached </w:t>
      </w:r>
      <w:r w:rsidR="00E20104" w:rsidRPr="00F03917">
        <w:t>using recommended projections</w:t>
      </w:r>
      <w:r w:rsidRPr="00F03917">
        <w:t xml:space="preserve"> for the Nelson urban area (compared </w:t>
      </w:r>
      <w:r w:rsidR="3EA2ED3F" w:rsidRPr="00F03917">
        <w:t>with</w:t>
      </w:r>
      <w:r w:rsidRPr="00F03917">
        <w:t xml:space="preserve"> </w:t>
      </w:r>
      <w:r w:rsidR="5831DFBC" w:rsidRPr="00F03917">
        <w:t>t</w:t>
      </w:r>
      <w:r w:rsidRPr="00F03917">
        <w:t xml:space="preserve">able 6 where </w:t>
      </w:r>
      <w:r w:rsidR="016DD616" w:rsidRPr="00F03917">
        <w:t xml:space="preserve">vertical land movement </w:t>
      </w:r>
      <w:r w:rsidRPr="00F03917">
        <w:t>is not included)</w:t>
      </w:r>
      <w:bookmarkEnd w:id="68"/>
      <w:r w:rsidRPr="00F03917">
        <w:t xml:space="preserve"> </w:t>
      </w:r>
    </w:p>
    <w:tbl>
      <w:tblPr>
        <w:tblW w:w="8505" w:type="dxa"/>
        <w:tblBorders>
          <w:top w:val="outset" w:sz="6" w:space="0" w:color="auto"/>
          <w:left w:val="outset" w:sz="6" w:space="0" w:color="auto"/>
          <w:bottom w:val="outset" w:sz="6" w:space="0" w:color="auto"/>
          <w:right w:val="outset" w:sz="6" w:space="0" w:color="auto"/>
        </w:tblBorders>
        <w:tblCellMar>
          <w:left w:w="85" w:type="dxa"/>
          <w:right w:w="85" w:type="dxa"/>
        </w:tblCellMar>
        <w:tblLook w:val="04A0" w:firstRow="1" w:lastRow="0" w:firstColumn="1" w:lastColumn="0" w:noHBand="0" w:noVBand="1"/>
      </w:tblPr>
      <w:tblGrid>
        <w:gridCol w:w="993"/>
        <w:gridCol w:w="1566"/>
        <w:gridCol w:w="1550"/>
        <w:gridCol w:w="1703"/>
        <w:gridCol w:w="1278"/>
        <w:gridCol w:w="1415"/>
      </w:tblGrid>
      <w:tr w:rsidR="00664A36" w:rsidRPr="00F03917" w14:paraId="7089B7CB" w14:textId="77777777" w:rsidTr="007F2DAE">
        <w:trPr>
          <w:trHeight w:val="300"/>
          <w:tblHeader/>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1B556B" w:themeFill="text2"/>
            <w:vAlign w:val="bottom"/>
            <w:hideMark/>
          </w:tcPr>
          <w:p w14:paraId="45EE0EF0" w14:textId="01258595" w:rsidR="00664A36" w:rsidRPr="00F03917" w:rsidRDefault="067E809B" w:rsidP="00A61540">
            <w:pPr>
              <w:pStyle w:val="TableTextbold"/>
              <w:spacing w:before="30" w:after="30"/>
              <w:rPr>
                <w:rFonts w:ascii="Segoe UI" w:eastAsia="Times New Roman" w:hAnsi="Segoe UI" w:cs="Segoe UI"/>
                <w:color w:val="FFFFFF" w:themeColor="background1"/>
                <w:szCs w:val="18"/>
              </w:rPr>
            </w:pPr>
            <w:r w:rsidRPr="00F03917">
              <w:rPr>
                <w:color w:val="FFFFFF" w:themeColor="background1"/>
              </w:rPr>
              <w:t>RSLR (</w:t>
            </w:r>
            <w:r w:rsidRPr="00F03917">
              <w:rPr>
                <w:rFonts w:eastAsia="Times New Roman"/>
                <w:color w:val="FFFFFF" w:themeColor="background1"/>
                <w:szCs w:val="18"/>
              </w:rPr>
              <w:t>m</w:t>
            </w:r>
            <w:r w:rsidR="4BB50F45" w:rsidRPr="00F03917">
              <w:rPr>
                <w:rFonts w:eastAsia="Times New Roman"/>
                <w:color w:val="FFFFFF" w:themeColor="background1"/>
                <w:szCs w:val="18"/>
              </w:rPr>
              <w:t>etres</w:t>
            </w:r>
            <w:r w:rsidRPr="00F03917">
              <w:rPr>
                <w:rFonts w:eastAsia="Times New Roman"/>
                <w:color w:val="FFFFFF" w:themeColor="background1"/>
                <w:szCs w:val="18"/>
              </w:rPr>
              <w:t>)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1B556B" w:themeFill="text2"/>
            <w:vAlign w:val="bottom"/>
            <w:hideMark/>
          </w:tcPr>
          <w:p w14:paraId="58BFD92A" w14:textId="44C7FF78" w:rsidR="00664A36" w:rsidRPr="00F03917" w:rsidRDefault="00664A36" w:rsidP="00A61540">
            <w:pPr>
              <w:pStyle w:val="TableTextbold"/>
              <w:spacing w:before="30" w:after="30"/>
              <w:rPr>
                <w:rFonts w:ascii="Segoe UI" w:eastAsia="Times New Roman" w:hAnsi="Segoe UI" w:cs="Segoe UI"/>
                <w:color w:val="FFFFFF" w:themeColor="background1"/>
                <w:szCs w:val="18"/>
              </w:rPr>
            </w:pPr>
            <w:r w:rsidRPr="00F03917">
              <w:rPr>
                <w:rFonts w:cs="Calibri"/>
                <w:color w:val="FFFFFF" w:themeColor="background1"/>
              </w:rPr>
              <w:t>Year achieved for SSP5-8.5</w:t>
            </w:r>
            <w:r w:rsidRPr="00F03917">
              <w:rPr>
                <w:rFonts w:cs="Calibri"/>
                <w:color w:val="FFFFFF" w:themeColor="background1"/>
                <w:vertAlign w:val="superscript"/>
              </w:rPr>
              <w:t xml:space="preserve"> </w:t>
            </w:r>
            <w:r w:rsidRPr="00F03917">
              <w:rPr>
                <w:rFonts w:cs="Calibri"/>
                <w:color w:val="FFFFFF" w:themeColor="background1"/>
              </w:rPr>
              <w:t>H+ (83rd</w:t>
            </w:r>
            <w:r w:rsidR="0073711B" w:rsidRPr="00F03917">
              <w:rPr>
                <w:rFonts w:cs="Calibri"/>
                <w:color w:val="FFFFFF" w:themeColor="background1"/>
              </w:rPr>
              <w:t> </w:t>
            </w:r>
            <w:r w:rsidRPr="00F03917">
              <w:rPr>
                <w:rFonts w:cs="Calibri"/>
                <w:color w:val="FFFFFF" w:themeColor="background1"/>
              </w:rPr>
              <w:t>percentile)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1B556B" w:themeFill="text2"/>
            <w:hideMark/>
          </w:tcPr>
          <w:p w14:paraId="52FB0124" w14:textId="77777777" w:rsidR="00664A36" w:rsidRPr="00F03917" w:rsidRDefault="00664A36" w:rsidP="00A61540">
            <w:pPr>
              <w:pStyle w:val="TableTextbold"/>
              <w:spacing w:before="30" w:after="30"/>
              <w:rPr>
                <w:rFonts w:ascii="Segoe UI" w:eastAsia="Times New Roman" w:hAnsi="Segoe UI" w:cs="Segoe UI"/>
                <w:color w:val="FFFFFF" w:themeColor="background1"/>
                <w:szCs w:val="18"/>
              </w:rPr>
            </w:pPr>
            <w:r w:rsidRPr="00F03917">
              <w:rPr>
                <w:rFonts w:cs="Calibri"/>
                <w:color w:val="FFFFFF" w:themeColor="background1"/>
              </w:rPr>
              <w:t xml:space="preserve">Year </w:t>
            </w:r>
            <w:r w:rsidRPr="00F03917">
              <w:rPr>
                <w:rFonts w:eastAsia="Times New Roman" w:cs="Calibri"/>
                <w:color w:val="FFFFFF" w:themeColor="background1"/>
                <w:szCs w:val="18"/>
              </w:rPr>
              <w:t>achieved for SSP5-8.5 (median)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1B556B" w:themeFill="text2"/>
            <w:hideMark/>
          </w:tcPr>
          <w:p w14:paraId="0267969A" w14:textId="77777777" w:rsidR="00664A36" w:rsidRPr="00F03917" w:rsidRDefault="00664A36" w:rsidP="00A61540">
            <w:pPr>
              <w:pStyle w:val="TableTextbold"/>
              <w:spacing w:before="30" w:after="30"/>
              <w:rPr>
                <w:rFonts w:ascii="Segoe UI" w:eastAsia="Times New Roman" w:hAnsi="Segoe UI" w:cs="Segoe UI"/>
                <w:color w:val="FFFFFF" w:themeColor="background1"/>
                <w:szCs w:val="18"/>
              </w:rPr>
            </w:pPr>
            <w:r w:rsidRPr="00F03917">
              <w:rPr>
                <w:rFonts w:cs="Calibri"/>
                <w:color w:val="FFFFFF" w:themeColor="background1"/>
              </w:rPr>
              <w:t>Year achieved for SSP3-7.0 (median)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1B556B" w:themeFill="text2"/>
            <w:vAlign w:val="bottom"/>
            <w:hideMark/>
          </w:tcPr>
          <w:p w14:paraId="5B094139" w14:textId="77777777" w:rsidR="00664A36" w:rsidRPr="00F03917" w:rsidRDefault="00664A36" w:rsidP="00A61540">
            <w:pPr>
              <w:pStyle w:val="TableTextbold"/>
              <w:spacing w:before="30" w:after="30"/>
              <w:rPr>
                <w:rFonts w:ascii="Segoe UI" w:eastAsia="Times New Roman" w:hAnsi="Segoe UI" w:cs="Segoe UI"/>
                <w:color w:val="FFFFFF" w:themeColor="background1"/>
                <w:szCs w:val="18"/>
              </w:rPr>
            </w:pPr>
            <w:r w:rsidRPr="00F03917">
              <w:rPr>
                <w:rFonts w:cs="Calibri"/>
                <w:color w:val="FFFFFF" w:themeColor="background1"/>
              </w:rPr>
              <w:t>Year achieved for SSP2-4.5 (median)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1B556B" w:themeFill="text2"/>
            <w:vAlign w:val="bottom"/>
            <w:hideMark/>
          </w:tcPr>
          <w:p w14:paraId="0D181927" w14:textId="77777777" w:rsidR="00664A36" w:rsidRPr="00F03917" w:rsidRDefault="00664A36" w:rsidP="00A61540">
            <w:pPr>
              <w:pStyle w:val="TableTextbold"/>
              <w:spacing w:before="30" w:after="30"/>
              <w:rPr>
                <w:rFonts w:ascii="Segoe UI" w:eastAsia="Times New Roman" w:hAnsi="Segoe UI" w:cs="Segoe UI"/>
                <w:color w:val="FFFFFF" w:themeColor="background1"/>
                <w:szCs w:val="18"/>
              </w:rPr>
            </w:pPr>
            <w:r w:rsidRPr="00F03917">
              <w:rPr>
                <w:rFonts w:cs="Calibri"/>
                <w:color w:val="FFFFFF" w:themeColor="background1"/>
              </w:rPr>
              <w:t>Year achieved for SSP1-2.6 (median) </w:t>
            </w:r>
          </w:p>
        </w:tc>
      </w:tr>
      <w:tr w:rsidR="00664A36" w:rsidRPr="00F03917" w14:paraId="398C69A9"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6E5CE3A6" w14:textId="77777777" w:rsidR="00664A36" w:rsidRPr="00F03917" w:rsidRDefault="00664A36" w:rsidP="00A61540">
            <w:pPr>
              <w:pStyle w:val="TableText"/>
              <w:spacing w:before="30" w:after="30"/>
              <w:rPr>
                <w:rFonts w:ascii="Segoe UI" w:hAnsi="Segoe UI" w:cs="Segoe UI"/>
                <w:b/>
                <w:bCs/>
              </w:rPr>
            </w:pPr>
            <w:r w:rsidRPr="00F03917">
              <w:rPr>
                <w:b/>
                <w:bCs/>
              </w:rPr>
              <w:t>0.2 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7C964FB6" w14:textId="77777777" w:rsidR="00664A36" w:rsidRPr="00F03917" w:rsidRDefault="00664A36" w:rsidP="00A61540">
            <w:pPr>
              <w:pStyle w:val="TableText"/>
              <w:spacing w:before="30" w:after="30"/>
              <w:rPr>
                <w:rFonts w:ascii="Segoe UI" w:hAnsi="Segoe UI" w:cs="Segoe UI"/>
              </w:rPr>
            </w:pPr>
            <w:r w:rsidRPr="00F03917">
              <w:t>2030 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2D7CF56D" w14:textId="77777777" w:rsidR="00664A36" w:rsidRPr="00F03917" w:rsidRDefault="00664A36" w:rsidP="00A61540">
            <w:pPr>
              <w:pStyle w:val="TableText"/>
              <w:spacing w:before="30" w:after="30"/>
              <w:rPr>
                <w:rFonts w:ascii="Segoe UI" w:hAnsi="Segoe UI" w:cs="Segoe UI"/>
              </w:rPr>
            </w:pPr>
            <w:r w:rsidRPr="00F03917">
              <w:t>2035 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2DE01743" w14:textId="77777777" w:rsidR="00664A36" w:rsidRPr="00F03917" w:rsidRDefault="00664A36" w:rsidP="00A61540">
            <w:pPr>
              <w:pStyle w:val="TableText"/>
              <w:spacing w:before="30" w:after="30"/>
              <w:rPr>
                <w:rFonts w:ascii="Segoe UI" w:hAnsi="Segoe UI" w:cs="Segoe UI"/>
              </w:rPr>
            </w:pPr>
            <w:r w:rsidRPr="00F03917">
              <w:t>2035 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08E935D1" w14:textId="77777777" w:rsidR="00664A36" w:rsidRPr="00F03917" w:rsidRDefault="00664A36" w:rsidP="00A61540">
            <w:pPr>
              <w:pStyle w:val="TableText"/>
              <w:spacing w:before="30" w:after="30"/>
              <w:rPr>
                <w:rFonts w:ascii="Segoe UI" w:hAnsi="Segoe UI" w:cs="Segoe UI"/>
              </w:rPr>
            </w:pPr>
            <w:r w:rsidRPr="00F03917">
              <w:t>2035 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75C2498C" w14:textId="77777777" w:rsidR="00664A36" w:rsidRPr="00F03917" w:rsidRDefault="00664A36" w:rsidP="00A61540">
            <w:pPr>
              <w:pStyle w:val="TableText"/>
              <w:spacing w:before="30" w:after="30"/>
              <w:rPr>
                <w:rFonts w:ascii="Segoe UI" w:hAnsi="Segoe UI" w:cs="Segoe UI"/>
              </w:rPr>
            </w:pPr>
            <w:r w:rsidRPr="00F03917">
              <w:t>2035 </w:t>
            </w:r>
          </w:p>
        </w:tc>
      </w:tr>
      <w:tr w:rsidR="00664A36" w:rsidRPr="00F03917" w14:paraId="5AAF8694"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5ABE3E27" w14:textId="77777777" w:rsidR="00664A36" w:rsidRPr="00F03917" w:rsidRDefault="00664A36" w:rsidP="00A61540">
            <w:pPr>
              <w:pStyle w:val="TableText"/>
              <w:spacing w:before="30" w:after="30"/>
              <w:rPr>
                <w:rFonts w:ascii="Segoe UI" w:hAnsi="Segoe UI" w:cs="Segoe UI"/>
                <w:b/>
                <w:bCs/>
              </w:rPr>
            </w:pPr>
            <w:r w:rsidRPr="00F03917">
              <w:rPr>
                <w:b/>
                <w:bCs/>
              </w:rPr>
              <w:t>0.3 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4F633C21" w14:textId="77777777" w:rsidR="00664A36" w:rsidRPr="00F03917" w:rsidRDefault="00664A36" w:rsidP="00A61540">
            <w:pPr>
              <w:pStyle w:val="TableText"/>
              <w:spacing w:before="30" w:after="30"/>
              <w:rPr>
                <w:rFonts w:ascii="Segoe UI" w:hAnsi="Segoe UI" w:cs="Segoe UI"/>
              </w:rPr>
            </w:pPr>
            <w:r w:rsidRPr="00F03917">
              <w:t>2040 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2D068F49" w14:textId="77777777" w:rsidR="00664A36" w:rsidRPr="00F03917" w:rsidRDefault="00664A36" w:rsidP="00A61540">
            <w:pPr>
              <w:pStyle w:val="TableText"/>
              <w:spacing w:before="30" w:after="30"/>
              <w:rPr>
                <w:rFonts w:ascii="Segoe UI" w:hAnsi="Segoe UI" w:cs="Segoe UI"/>
              </w:rPr>
            </w:pPr>
            <w:r w:rsidRPr="00F03917">
              <w:t>2045 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6FB3C06E" w14:textId="77777777" w:rsidR="00664A36" w:rsidRPr="00F03917" w:rsidRDefault="00664A36" w:rsidP="00A61540">
            <w:pPr>
              <w:pStyle w:val="TableText"/>
              <w:spacing w:before="30" w:after="30"/>
              <w:rPr>
                <w:rFonts w:ascii="Segoe UI" w:hAnsi="Segoe UI" w:cs="Segoe UI"/>
              </w:rPr>
            </w:pPr>
            <w:r w:rsidRPr="00F03917">
              <w:t>2045 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5DEA1ECA" w14:textId="77777777" w:rsidR="00664A36" w:rsidRPr="00F03917" w:rsidRDefault="00664A36" w:rsidP="00A61540">
            <w:pPr>
              <w:pStyle w:val="TableText"/>
              <w:spacing w:before="30" w:after="30"/>
              <w:rPr>
                <w:rFonts w:ascii="Segoe UI" w:hAnsi="Segoe UI" w:cs="Segoe UI"/>
              </w:rPr>
            </w:pPr>
            <w:r w:rsidRPr="00F03917">
              <w:t>2050 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79AC1BB2" w14:textId="77777777" w:rsidR="00664A36" w:rsidRPr="00F03917" w:rsidRDefault="00664A36" w:rsidP="00A61540">
            <w:pPr>
              <w:pStyle w:val="TableText"/>
              <w:spacing w:before="30" w:after="30"/>
              <w:rPr>
                <w:rFonts w:ascii="Segoe UI" w:hAnsi="Segoe UI" w:cs="Segoe UI"/>
              </w:rPr>
            </w:pPr>
            <w:r w:rsidRPr="00F03917">
              <w:t>2050 </w:t>
            </w:r>
          </w:p>
        </w:tc>
      </w:tr>
      <w:tr w:rsidR="00664A36" w:rsidRPr="00F03917" w14:paraId="55C64122"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1ACAD2FB" w14:textId="77777777" w:rsidR="00664A36" w:rsidRPr="00F03917" w:rsidRDefault="00664A36" w:rsidP="00A61540">
            <w:pPr>
              <w:pStyle w:val="TableText"/>
              <w:spacing w:before="30" w:after="30"/>
              <w:rPr>
                <w:rFonts w:ascii="Segoe UI" w:hAnsi="Segoe UI" w:cs="Segoe UI"/>
                <w:b/>
                <w:bCs/>
              </w:rPr>
            </w:pPr>
            <w:r w:rsidRPr="00F03917">
              <w:rPr>
                <w:b/>
                <w:bCs/>
              </w:rPr>
              <w:t>0.4 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720C9A48" w14:textId="77777777" w:rsidR="00664A36" w:rsidRPr="00F03917" w:rsidRDefault="00664A36" w:rsidP="00A61540">
            <w:pPr>
              <w:pStyle w:val="TableText"/>
              <w:spacing w:before="30" w:after="30"/>
              <w:rPr>
                <w:rFonts w:ascii="Segoe UI" w:hAnsi="Segoe UI" w:cs="Segoe UI"/>
              </w:rPr>
            </w:pPr>
            <w:r w:rsidRPr="00F03917">
              <w:t>2045 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6887B7B6" w14:textId="77777777" w:rsidR="00664A36" w:rsidRPr="00F03917" w:rsidRDefault="00664A36" w:rsidP="00A61540">
            <w:pPr>
              <w:pStyle w:val="TableText"/>
              <w:spacing w:before="30" w:after="30"/>
              <w:rPr>
                <w:rFonts w:ascii="Segoe UI" w:hAnsi="Segoe UI" w:cs="Segoe UI"/>
              </w:rPr>
            </w:pPr>
            <w:r w:rsidRPr="00F03917">
              <w:t>2055 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399FAF30" w14:textId="77777777" w:rsidR="00664A36" w:rsidRPr="00F03917" w:rsidRDefault="00664A36" w:rsidP="00A61540">
            <w:pPr>
              <w:pStyle w:val="TableText"/>
              <w:spacing w:before="30" w:after="30"/>
              <w:rPr>
                <w:rFonts w:ascii="Segoe UI" w:hAnsi="Segoe UI" w:cs="Segoe UI"/>
              </w:rPr>
            </w:pPr>
            <w:r w:rsidRPr="00F03917">
              <w:t>2055 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3E1097C2" w14:textId="77777777" w:rsidR="00664A36" w:rsidRPr="00F03917" w:rsidRDefault="00664A36" w:rsidP="00A61540">
            <w:pPr>
              <w:pStyle w:val="TableText"/>
              <w:spacing w:before="30" w:after="30"/>
              <w:rPr>
                <w:rFonts w:ascii="Segoe UI" w:hAnsi="Segoe UI" w:cs="Segoe UI"/>
              </w:rPr>
            </w:pPr>
            <w:r w:rsidRPr="00F03917">
              <w:t>2060 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1D9AC6B8" w14:textId="77777777" w:rsidR="00664A36" w:rsidRPr="00F03917" w:rsidRDefault="00664A36" w:rsidP="00A61540">
            <w:pPr>
              <w:pStyle w:val="TableText"/>
              <w:spacing w:before="30" w:after="30"/>
              <w:rPr>
                <w:rFonts w:ascii="Segoe UI" w:hAnsi="Segoe UI" w:cs="Segoe UI"/>
              </w:rPr>
            </w:pPr>
            <w:r w:rsidRPr="00F03917">
              <w:t>2065 </w:t>
            </w:r>
          </w:p>
        </w:tc>
      </w:tr>
      <w:tr w:rsidR="00664A36" w:rsidRPr="00F03917" w14:paraId="7BD047FB"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31BD8959" w14:textId="77777777" w:rsidR="00664A36" w:rsidRPr="00F03917" w:rsidRDefault="00664A36" w:rsidP="00A61540">
            <w:pPr>
              <w:pStyle w:val="TableText"/>
              <w:spacing w:before="30" w:after="30"/>
              <w:rPr>
                <w:rFonts w:ascii="Segoe UI" w:hAnsi="Segoe UI" w:cs="Segoe UI"/>
                <w:b/>
                <w:bCs/>
              </w:rPr>
            </w:pPr>
            <w:r w:rsidRPr="00F03917">
              <w:rPr>
                <w:b/>
                <w:bCs/>
              </w:rPr>
              <w:t>0.5 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4F4AE68F" w14:textId="77777777" w:rsidR="00664A36" w:rsidRPr="00F03917" w:rsidRDefault="00664A36" w:rsidP="00A61540">
            <w:pPr>
              <w:pStyle w:val="TableText"/>
              <w:spacing w:before="30" w:after="30"/>
              <w:rPr>
                <w:rFonts w:ascii="Segoe UI" w:hAnsi="Segoe UI" w:cs="Segoe UI"/>
              </w:rPr>
            </w:pPr>
            <w:r w:rsidRPr="00F03917">
              <w:t>2055 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077BE3E1" w14:textId="77777777" w:rsidR="00664A36" w:rsidRPr="00F03917" w:rsidRDefault="00664A36" w:rsidP="00A61540">
            <w:pPr>
              <w:pStyle w:val="TableText"/>
              <w:spacing w:before="30" w:after="30"/>
              <w:rPr>
                <w:rFonts w:ascii="Segoe UI" w:hAnsi="Segoe UI" w:cs="Segoe UI"/>
              </w:rPr>
            </w:pPr>
            <w:r w:rsidRPr="00F03917">
              <w:t>2065 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36E1DFBE" w14:textId="77777777" w:rsidR="00664A36" w:rsidRPr="00F03917" w:rsidRDefault="00664A36" w:rsidP="00A61540">
            <w:pPr>
              <w:pStyle w:val="TableText"/>
              <w:spacing w:before="30" w:after="30"/>
              <w:rPr>
                <w:rFonts w:ascii="Segoe UI" w:hAnsi="Segoe UI" w:cs="Segoe UI"/>
              </w:rPr>
            </w:pPr>
            <w:r w:rsidRPr="00F03917">
              <w:t>2065 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12514DEC" w14:textId="77777777" w:rsidR="00664A36" w:rsidRPr="00F03917" w:rsidRDefault="00664A36" w:rsidP="00A61540">
            <w:pPr>
              <w:pStyle w:val="TableText"/>
              <w:spacing w:before="30" w:after="30"/>
              <w:rPr>
                <w:rFonts w:ascii="Segoe UI" w:hAnsi="Segoe UI" w:cs="Segoe UI"/>
              </w:rPr>
            </w:pPr>
            <w:r w:rsidRPr="00F03917">
              <w:t>2070 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54271EAA" w14:textId="77777777" w:rsidR="00664A36" w:rsidRPr="00F03917" w:rsidRDefault="00664A36" w:rsidP="00A61540">
            <w:pPr>
              <w:pStyle w:val="TableText"/>
              <w:spacing w:before="30" w:after="30"/>
              <w:rPr>
                <w:rFonts w:ascii="Segoe UI" w:hAnsi="Segoe UI" w:cs="Segoe UI"/>
              </w:rPr>
            </w:pPr>
            <w:r w:rsidRPr="00F03917">
              <w:t>2080 </w:t>
            </w:r>
          </w:p>
        </w:tc>
      </w:tr>
      <w:tr w:rsidR="00664A36" w:rsidRPr="00F03917" w14:paraId="67157BEF"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00665B6D" w14:textId="77777777" w:rsidR="00664A36" w:rsidRPr="00F03917" w:rsidRDefault="00664A36" w:rsidP="00A61540">
            <w:pPr>
              <w:pStyle w:val="TableText"/>
              <w:spacing w:before="30" w:after="30"/>
              <w:rPr>
                <w:rFonts w:ascii="Segoe UI" w:hAnsi="Segoe UI" w:cs="Segoe UI"/>
                <w:b/>
                <w:bCs/>
              </w:rPr>
            </w:pPr>
            <w:r w:rsidRPr="00F03917">
              <w:rPr>
                <w:b/>
                <w:bCs/>
              </w:rPr>
              <w:t>0.6 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71CE2628" w14:textId="77777777" w:rsidR="00664A36" w:rsidRPr="00F03917" w:rsidRDefault="00664A36" w:rsidP="00A61540">
            <w:pPr>
              <w:pStyle w:val="TableText"/>
              <w:spacing w:before="30" w:after="30"/>
              <w:rPr>
                <w:rFonts w:ascii="Segoe UI" w:hAnsi="Segoe UI" w:cs="Segoe UI"/>
              </w:rPr>
            </w:pPr>
            <w:r w:rsidRPr="00F03917">
              <w:t>2060 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0C9ACA44" w14:textId="77777777" w:rsidR="00664A36" w:rsidRPr="00F03917" w:rsidRDefault="00664A36" w:rsidP="00A61540">
            <w:pPr>
              <w:pStyle w:val="TableText"/>
              <w:spacing w:before="30" w:after="30"/>
              <w:rPr>
                <w:rFonts w:ascii="Segoe UI" w:hAnsi="Segoe UI" w:cs="Segoe UI"/>
              </w:rPr>
            </w:pPr>
            <w:r w:rsidRPr="00F03917">
              <w:t>2070 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294E4CA0" w14:textId="77777777" w:rsidR="00664A36" w:rsidRPr="00F03917" w:rsidRDefault="00664A36" w:rsidP="00A61540">
            <w:pPr>
              <w:pStyle w:val="TableText"/>
              <w:spacing w:before="30" w:after="30"/>
              <w:rPr>
                <w:rFonts w:ascii="Segoe UI" w:hAnsi="Segoe UI" w:cs="Segoe UI"/>
              </w:rPr>
            </w:pPr>
            <w:r w:rsidRPr="00F03917">
              <w:t>2075 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3BDE5943" w14:textId="77777777" w:rsidR="00664A36" w:rsidRPr="00F03917" w:rsidRDefault="00664A36" w:rsidP="00A61540">
            <w:pPr>
              <w:pStyle w:val="TableText"/>
              <w:spacing w:before="30" w:after="30"/>
              <w:rPr>
                <w:rFonts w:ascii="Segoe UI" w:hAnsi="Segoe UI" w:cs="Segoe UI"/>
              </w:rPr>
            </w:pPr>
            <w:r w:rsidRPr="00F03917">
              <w:t>2080 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5C132F96" w14:textId="77777777" w:rsidR="00664A36" w:rsidRPr="00F03917" w:rsidRDefault="00664A36" w:rsidP="00A61540">
            <w:pPr>
              <w:pStyle w:val="TableText"/>
              <w:spacing w:before="30" w:after="30"/>
              <w:rPr>
                <w:rFonts w:ascii="Segoe UI" w:hAnsi="Segoe UI" w:cs="Segoe UI"/>
              </w:rPr>
            </w:pPr>
            <w:r w:rsidRPr="00F03917">
              <w:t>2095 </w:t>
            </w:r>
          </w:p>
        </w:tc>
      </w:tr>
      <w:tr w:rsidR="00664A36" w:rsidRPr="00F03917" w14:paraId="52EBA43B"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3E4075FD" w14:textId="77777777" w:rsidR="00664A36" w:rsidRPr="00F03917" w:rsidRDefault="00664A36" w:rsidP="00A61540">
            <w:pPr>
              <w:pStyle w:val="TableText"/>
              <w:spacing w:before="30" w:after="30"/>
              <w:rPr>
                <w:rFonts w:ascii="Segoe UI" w:hAnsi="Segoe UI" w:cs="Segoe UI"/>
                <w:b/>
                <w:bCs/>
              </w:rPr>
            </w:pPr>
            <w:r w:rsidRPr="00F03917">
              <w:rPr>
                <w:b/>
                <w:bCs/>
              </w:rPr>
              <w:t>0.7 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49FB2F8B" w14:textId="77777777" w:rsidR="00664A36" w:rsidRPr="00F03917" w:rsidRDefault="00664A36" w:rsidP="00A61540">
            <w:pPr>
              <w:pStyle w:val="TableText"/>
              <w:spacing w:before="30" w:after="30"/>
              <w:rPr>
                <w:rFonts w:ascii="Segoe UI" w:hAnsi="Segoe UI" w:cs="Segoe UI"/>
              </w:rPr>
            </w:pPr>
            <w:r w:rsidRPr="00F03917">
              <w:t>2070 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445BD005" w14:textId="77777777" w:rsidR="00664A36" w:rsidRPr="00F03917" w:rsidRDefault="00664A36" w:rsidP="00A61540">
            <w:pPr>
              <w:pStyle w:val="TableText"/>
              <w:spacing w:before="30" w:after="30"/>
              <w:rPr>
                <w:rFonts w:ascii="Segoe UI" w:hAnsi="Segoe UI" w:cs="Segoe UI"/>
              </w:rPr>
            </w:pPr>
            <w:r w:rsidRPr="00F03917">
              <w:t>2080 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11483892" w14:textId="77777777" w:rsidR="00664A36" w:rsidRPr="00F03917" w:rsidRDefault="00664A36" w:rsidP="00A61540">
            <w:pPr>
              <w:pStyle w:val="TableText"/>
              <w:spacing w:before="30" w:after="30"/>
              <w:rPr>
                <w:rFonts w:ascii="Segoe UI" w:hAnsi="Segoe UI" w:cs="Segoe UI"/>
              </w:rPr>
            </w:pPr>
            <w:r w:rsidRPr="00F03917">
              <w:t>2085 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1AAEE9F8" w14:textId="77777777" w:rsidR="00664A36" w:rsidRPr="00F03917" w:rsidRDefault="00664A36" w:rsidP="00A61540">
            <w:pPr>
              <w:pStyle w:val="TableText"/>
              <w:spacing w:before="30" w:after="30"/>
              <w:rPr>
                <w:rFonts w:ascii="Segoe UI" w:hAnsi="Segoe UI" w:cs="Segoe UI"/>
              </w:rPr>
            </w:pPr>
            <w:r w:rsidRPr="00F03917">
              <w:t>2090 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43529A06" w14:textId="77777777" w:rsidR="00664A36" w:rsidRPr="00F03917" w:rsidRDefault="00664A36" w:rsidP="00A61540">
            <w:pPr>
              <w:pStyle w:val="TableText"/>
              <w:spacing w:before="30" w:after="30"/>
              <w:rPr>
                <w:rFonts w:ascii="Segoe UI" w:hAnsi="Segoe UI" w:cs="Segoe UI"/>
              </w:rPr>
            </w:pPr>
            <w:r w:rsidRPr="00F03917">
              <w:t>2105 </w:t>
            </w:r>
          </w:p>
        </w:tc>
      </w:tr>
      <w:tr w:rsidR="00664A36" w:rsidRPr="00F03917" w14:paraId="3F71090A"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35085349" w14:textId="77777777" w:rsidR="00664A36" w:rsidRPr="00F03917" w:rsidRDefault="00664A36" w:rsidP="00A61540">
            <w:pPr>
              <w:pStyle w:val="TableText"/>
              <w:spacing w:before="30" w:after="30"/>
              <w:rPr>
                <w:rFonts w:ascii="Segoe UI" w:hAnsi="Segoe UI" w:cs="Segoe UI"/>
                <w:b/>
                <w:bCs/>
              </w:rPr>
            </w:pPr>
            <w:r w:rsidRPr="00F03917">
              <w:rPr>
                <w:b/>
                <w:bCs/>
              </w:rPr>
              <w:t>0.8 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1B6FE7EC" w14:textId="77777777" w:rsidR="00664A36" w:rsidRPr="00F03917" w:rsidRDefault="00664A36" w:rsidP="00A61540">
            <w:pPr>
              <w:pStyle w:val="TableText"/>
              <w:spacing w:before="30" w:after="30"/>
              <w:rPr>
                <w:rFonts w:ascii="Segoe UI" w:hAnsi="Segoe UI" w:cs="Segoe UI"/>
              </w:rPr>
            </w:pPr>
            <w:r w:rsidRPr="00F03917">
              <w:t>2075 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2F20F864" w14:textId="77777777" w:rsidR="00664A36" w:rsidRPr="00F03917" w:rsidRDefault="00664A36" w:rsidP="00A61540">
            <w:pPr>
              <w:pStyle w:val="TableText"/>
              <w:spacing w:before="30" w:after="30"/>
              <w:rPr>
                <w:rFonts w:ascii="Segoe UI" w:hAnsi="Segoe UI" w:cs="Segoe UI"/>
              </w:rPr>
            </w:pPr>
            <w:r w:rsidRPr="00F03917">
              <w:t>2085 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1EE5DBE3" w14:textId="77777777" w:rsidR="00664A36" w:rsidRPr="00F03917" w:rsidRDefault="00664A36" w:rsidP="00A61540">
            <w:pPr>
              <w:pStyle w:val="TableText"/>
              <w:spacing w:before="30" w:after="30"/>
              <w:rPr>
                <w:rFonts w:ascii="Segoe UI" w:hAnsi="Segoe UI" w:cs="Segoe UI"/>
              </w:rPr>
            </w:pPr>
            <w:r w:rsidRPr="00F03917">
              <w:t>2090 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733158D8" w14:textId="77777777" w:rsidR="00664A36" w:rsidRPr="00F03917" w:rsidRDefault="00664A36" w:rsidP="00A61540">
            <w:pPr>
              <w:pStyle w:val="TableText"/>
              <w:spacing w:before="30" w:after="30"/>
              <w:rPr>
                <w:rFonts w:ascii="Segoe UI" w:hAnsi="Segoe UI" w:cs="Segoe UI"/>
              </w:rPr>
            </w:pPr>
            <w:r w:rsidRPr="00F03917">
              <w:t>2100 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472A5E50" w14:textId="77777777" w:rsidR="00664A36" w:rsidRPr="00F03917" w:rsidRDefault="00664A36" w:rsidP="00A61540">
            <w:pPr>
              <w:pStyle w:val="TableText"/>
              <w:spacing w:before="30" w:after="30"/>
              <w:rPr>
                <w:rFonts w:ascii="Segoe UI" w:hAnsi="Segoe UI" w:cs="Segoe UI"/>
              </w:rPr>
            </w:pPr>
            <w:r w:rsidRPr="00F03917">
              <w:t>2120 </w:t>
            </w:r>
          </w:p>
        </w:tc>
      </w:tr>
      <w:tr w:rsidR="00664A36" w:rsidRPr="00F03917" w14:paraId="654C7A44"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6E74A6A3" w14:textId="77777777" w:rsidR="00664A36" w:rsidRPr="00F03917" w:rsidRDefault="00664A36" w:rsidP="00A61540">
            <w:pPr>
              <w:pStyle w:val="TableText"/>
              <w:spacing w:before="30" w:after="30"/>
              <w:rPr>
                <w:rFonts w:ascii="Segoe UI" w:hAnsi="Segoe UI" w:cs="Segoe UI"/>
                <w:b/>
                <w:bCs/>
              </w:rPr>
            </w:pPr>
            <w:r w:rsidRPr="00F03917">
              <w:rPr>
                <w:b/>
                <w:bCs/>
              </w:rPr>
              <w:t>0.9 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0C29AB89" w14:textId="77777777" w:rsidR="00664A36" w:rsidRPr="00F03917" w:rsidRDefault="00664A36" w:rsidP="00A61540">
            <w:pPr>
              <w:pStyle w:val="TableText"/>
              <w:spacing w:before="30" w:after="30"/>
              <w:rPr>
                <w:rFonts w:ascii="Segoe UI" w:hAnsi="Segoe UI" w:cs="Segoe UI"/>
              </w:rPr>
            </w:pPr>
            <w:r w:rsidRPr="00F03917">
              <w:t>2080 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35A66509" w14:textId="77777777" w:rsidR="00664A36" w:rsidRPr="00F03917" w:rsidRDefault="00664A36" w:rsidP="00A61540">
            <w:pPr>
              <w:pStyle w:val="TableText"/>
              <w:spacing w:before="30" w:after="30"/>
              <w:rPr>
                <w:rFonts w:ascii="Segoe UI" w:hAnsi="Segoe UI" w:cs="Segoe UI"/>
              </w:rPr>
            </w:pPr>
            <w:r w:rsidRPr="00F03917">
              <w:t>2090 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4B7EE1EF" w14:textId="77777777" w:rsidR="00664A36" w:rsidRPr="00F03917" w:rsidRDefault="00664A36" w:rsidP="00A61540">
            <w:pPr>
              <w:pStyle w:val="TableText"/>
              <w:spacing w:before="30" w:after="30"/>
              <w:rPr>
                <w:rFonts w:ascii="Segoe UI" w:hAnsi="Segoe UI" w:cs="Segoe UI"/>
              </w:rPr>
            </w:pPr>
            <w:r w:rsidRPr="00F03917">
              <w:t>2100 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5DAE7B98" w14:textId="77777777" w:rsidR="00664A36" w:rsidRPr="00F03917" w:rsidRDefault="00664A36" w:rsidP="00A61540">
            <w:pPr>
              <w:pStyle w:val="TableText"/>
              <w:spacing w:before="30" w:after="30"/>
              <w:rPr>
                <w:rFonts w:ascii="Segoe UI" w:hAnsi="Segoe UI" w:cs="Segoe UI"/>
              </w:rPr>
            </w:pPr>
            <w:r w:rsidRPr="00F03917">
              <w:t>2110 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09C85408" w14:textId="77777777" w:rsidR="00664A36" w:rsidRPr="00F03917" w:rsidRDefault="00664A36" w:rsidP="00A61540">
            <w:pPr>
              <w:pStyle w:val="TableText"/>
              <w:spacing w:before="30" w:after="30"/>
              <w:rPr>
                <w:rFonts w:ascii="Segoe UI" w:hAnsi="Segoe UI" w:cs="Segoe UI"/>
              </w:rPr>
            </w:pPr>
            <w:r w:rsidRPr="00F03917">
              <w:t>2135 </w:t>
            </w:r>
          </w:p>
        </w:tc>
      </w:tr>
      <w:tr w:rsidR="00664A36" w:rsidRPr="00F03917" w14:paraId="4A045924"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41FB67DB" w14:textId="77777777" w:rsidR="00664A36" w:rsidRPr="00F03917" w:rsidRDefault="00664A36" w:rsidP="00A61540">
            <w:pPr>
              <w:pStyle w:val="TableText"/>
              <w:spacing w:before="30" w:after="30"/>
              <w:rPr>
                <w:rFonts w:ascii="Segoe UI" w:hAnsi="Segoe UI" w:cs="Segoe UI"/>
                <w:b/>
                <w:bCs/>
              </w:rPr>
            </w:pPr>
            <w:r w:rsidRPr="00F03917">
              <w:rPr>
                <w:b/>
                <w:bCs/>
              </w:rPr>
              <w:t>1.0 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64CC1EA3" w14:textId="77777777" w:rsidR="00664A36" w:rsidRPr="00F03917" w:rsidRDefault="00664A36" w:rsidP="00A61540">
            <w:pPr>
              <w:pStyle w:val="TableText"/>
              <w:spacing w:before="30" w:after="30"/>
              <w:rPr>
                <w:rFonts w:ascii="Segoe UI" w:hAnsi="Segoe UI" w:cs="Segoe UI"/>
              </w:rPr>
            </w:pPr>
            <w:r w:rsidRPr="00F03917">
              <w:t>2085 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05C04A81" w14:textId="77777777" w:rsidR="00664A36" w:rsidRPr="00F03917" w:rsidRDefault="00664A36" w:rsidP="00A61540">
            <w:pPr>
              <w:pStyle w:val="TableText"/>
              <w:spacing w:before="30" w:after="30"/>
              <w:rPr>
                <w:rFonts w:ascii="Segoe UI" w:hAnsi="Segoe UI" w:cs="Segoe UI"/>
              </w:rPr>
            </w:pPr>
            <w:r w:rsidRPr="00F03917">
              <w:t>2100 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3CF6F0EF" w14:textId="77777777" w:rsidR="00664A36" w:rsidRPr="00F03917" w:rsidRDefault="00664A36" w:rsidP="00A61540">
            <w:pPr>
              <w:pStyle w:val="TableText"/>
              <w:spacing w:before="30" w:after="30"/>
              <w:rPr>
                <w:rFonts w:ascii="Segoe UI" w:hAnsi="Segoe UI" w:cs="Segoe UI"/>
              </w:rPr>
            </w:pPr>
            <w:r w:rsidRPr="00F03917">
              <w:t>2105 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6885D1E5" w14:textId="77777777" w:rsidR="00664A36" w:rsidRPr="00F03917" w:rsidRDefault="00664A36" w:rsidP="00A61540">
            <w:pPr>
              <w:pStyle w:val="TableText"/>
              <w:spacing w:before="30" w:after="30"/>
              <w:rPr>
                <w:rFonts w:ascii="Segoe UI" w:hAnsi="Segoe UI" w:cs="Segoe UI"/>
              </w:rPr>
            </w:pPr>
            <w:r w:rsidRPr="00F03917">
              <w:t>2120 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70D22C8F" w14:textId="77777777" w:rsidR="00664A36" w:rsidRPr="00F03917" w:rsidRDefault="00664A36" w:rsidP="00A61540">
            <w:pPr>
              <w:pStyle w:val="TableText"/>
              <w:spacing w:before="30" w:after="30"/>
              <w:rPr>
                <w:rFonts w:ascii="Segoe UI" w:hAnsi="Segoe UI" w:cs="Segoe UI"/>
              </w:rPr>
            </w:pPr>
            <w:r w:rsidRPr="00F03917">
              <w:t>2150 </w:t>
            </w:r>
          </w:p>
        </w:tc>
      </w:tr>
      <w:tr w:rsidR="00664A36" w:rsidRPr="00F03917" w14:paraId="0CAB7602"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23DCA933" w14:textId="77777777" w:rsidR="00664A36" w:rsidRPr="00F03917" w:rsidRDefault="00664A36" w:rsidP="00A61540">
            <w:pPr>
              <w:pStyle w:val="TableText"/>
              <w:spacing w:before="30" w:after="30"/>
              <w:rPr>
                <w:rFonts w:ascii="Segoe UI" w:hAnsi="Segoe UI" w:cs="Segoe UI"/>
                <w:b/>
                <w:bCs/>
              </w:rPr>
            </w:pPr>
            <w:r w:rsidRPr="00F03917">
              <w:rPr>
                <w:b/>
                <w:bCs/>
              </w:rPr>
              <w:t>1.2 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6353CB50" w14:textId="77777777" w:rsidR="00664A36" w:rsidRPr="00F03917" w:rsidRDefault="00664A36" w:rsidP="00A61540">
            <w:pPr>
              <w:pStyle w:val="TableText"/>
              <w:spacing w:before="30" w:after="30"/>
              <w:rPr>
                <w:rFonts w:ascii="Segoe UI" w:hAnsi="Segoe UI" w:cs="Segoe UI"/>
              </w:rPr>
            </w:pPr>
            <w:r w:rsidRPr="00F03917">
              <w:t>2095 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20ABA856" w14:textId="77777777" w:rsidR="00664A36" w:rsidRPr="00F03917" w:rsidRDefault="00664A36" w:rsidP="00A61540">
            <w:pPr>
              <w:pStyle w:val="TableText"/>
              <w:spacing w:before="30" w:after="30"/>
              <w:rPr>
                <w:rFonts w:ascii="Segoe UI" w:hAnsi="Segoe UI" w:cs="Segoe UI"/>
              </w:rPr>
            </w:pPr>
            <w:r w:rsidRPr="00F03917">
              <w:t>2110 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7465B0C6" w14:textId="77777777" w:rsidR="00664A36" w:rsidRPr="00F03917" w:rsidRDefault="00664A36" w:rsidP="00A61540">
            <w:pPr>
              <w:pStyle w:val="TableText"/>
              <w:spacing w:before="30" w:after="30"/>
              <w:rPr>
                <w:rFonts w:ascii="Segoe UI" w:hAnsi="Segoe UI" w:cs="Segoe UI"/>
              </w:rPr>
            </w:pPr>
            <w:r w:rsidRPr="00F03917">
              <w:t>2120 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7C3B8B58" w14:textId="77777777" w:rsidR="00664A36" w:rsidRPr="00F03917" w:rsidRDefault="00664A36" w:rsidP="00A61540">
            <w:pPr>
              <w:pStyle w:val="TableText"/>
              <w:spacing w:before="30" w:after="30"/>
              <w:rPr>
                <w:rFonts w:ascii="Segoe UI" w:hAnsi="Segoe UI" w:cs="Segoe UI"/>
              </w:rPr>
            </w:pPr>
            <w:r w:rsidRPr="00F03917">
              <w:t>2145 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135DB312" w14:textId="77777777" w:rsidR="00664A36" w:rsidRPr="00F03917" w:rsidRDefault="00664A36" w:rsidP="00A61540">
            <w:pPr>
              <w:pStyle w:val="TableText"/>
              <w:spacing w:before="30" w:after="30"/>
              <w:rPr>
                <w:rFonts w:ascii="Segoe UI" w:hAnsi="Segoe UI" w:cs="Segoe UI"/>
              </w:rPr>
            </w:pPr>
            <w:r w:rsidRPr="00F03917">
              <w:t>2180 </w:t>
            </w:r>
          </w:p>
        </w:tc>
      </w:tr>
      <w:tr w:rsidR="00664A36" w:rsidRPr="00F03917" w14:paraId="1FFD6982"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28DAF49C" w14:textId="77777777" w:rsidR="00664A36" w:rsidRPr="00F03917" w:rsidRDefault="00664A36" w:rsidP="00A61540">
            <w:pPr>
              <w:pStyle w:val="TableText"/>
              <w:spacing w:before="30" w:after="30"/>
              <w:rPr>
                <w:rFonts w:ascii="Segoe UI" w:hAnsi="Segoe UI" w:cs="Segoe UI"/>
                <w:b/>
                <w:bCs/>
              </w:rPr>
            </w:pPr>
            <w:r w:rsidRPr="00F03917">
              <w:rPr>
                <w:b/>
                <w:bCs/>
              </w:rPr>
              <w:t>1.4 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72E6BBE4" w14:textId="77777777" w:rsidR="00664A36" w:rsidRPr="00F03917" w:rsidRDefault="00664A36" w:rsidP="00A61540">
            <w:pPr>
              <w:pStyle w:val="TableText"/>
              <w:spacing w:before="30" w:after="30"/>
              <w:rPr>
                <w:rFonts w:ascii="Segoe UI" w:hAnsi="Segoe UI" w:cs="Segoe UI"/>
              </w:rPr>
            </w:pPr>
            <w:r w:rsidRPr="00F03917">
              <w:t>2105 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18C31503" w14:textId="77777777" w:rsidR="00664A36" w:rsidRPr="00F03917" w:rsidRDefault="00664A36" w:rsidP="00A61540">
            <w:pPr>
              <w:pStyle w:val="TableText"/>
              <w:spacing w:before="30" w:after="30"/>
              <w:rPr>
                <w:rFonts w:ascii="Segoe UI" w:hAnsi="Segoe UI" w:cs="Segoe UI"/>
              </w:rPr>
            </w:pPr>
            <w:r w:rsidRPr="00F03917">
              <w:t>2125 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0F09DF3F" w14:textId="77777777" w:rsidR="00664A36" w:rsidRPr="00F03917" w:rsidRDefault="00664A36" w:rsidP="00A61540">
            <w:pPr>
              <w:pStyle w:val="TableText"/>
              <w:spacing w:before="30" w:after="30"/>
              <w:rPr>
                <w:rFonts w:ascii="Segoe UI" w:hAnsi="Segoe UI" w:cs="Segoe UI"/>
              </w:rPr>
            </w:pPr>
            <w:r w:rsidRPr="00F03917">
              <w:t>2135 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08C62E7C" w14:textId="77777777" w:rsidR="00664A36" w:rsidRPr="00F03917" w:rsidRDefault="00664A36" w:rsidP="00A61540">
            <w:pPr>
              <w:pStyle w:val="TableText"/>
              <w:spacing w:before="30" w:after="30"/>
              <w:rPr>
                <w:rFonts w:ascii="Segoe UI" w:hAnsi="Segoe UI" w:cs="Segoe UI"/>
              </w:rPr>
            </w:pPr>
            <w:r w:rsidRPr="00F03917">
              <w:t>2165 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35F2002C" w14:textId="77777777" w:rsidR="00664A36" w:rsidRPr="00F03917" w:rsidRDefault="00664A36" w:rsidP="00A61540">
            <w:pPr>
              <w:pStyle w:val="TableText"/>
              <w:spacing w:before="30" w:after="30"/>
              <w:rPr>
                <w:rFonts w:ascii="Segoe UI" w:hAnsi="Segoe UI" w:cs="Segoe UI"/>
              </w:rPr>
            </w:pPr>
            <w:r w:rsidRPr="00F03917">
              <w:t>&gt;2200 </w:t>
            </w:r>
          </w:p>
        </w:tc>
      </w:tr>
      <w:tr w:rsidR="00664A36" w:rsidRPr="00F03917" w14:paraId="588EA640"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57C56BAE" w14:textId="77777777" w:rsidR="00664A36" w:rsidRPr="00F03917" w:rsidRDefault="00664A36" w:rsidP="00A61540">
            <w:pPr>
              <w:pStyle w:val="TableText"/>
              <w:spacing w:before="30" w:after="30"/>
              <w:rPr>
                <w:rFonts w:ascii="Segoe UI" w:hAnsi="Segoe UI" w:cs="Segoe UI"/>
                <w:b/>
                <w:bCs/>
              </w:rPr>
            </w:pPr>
            <w:r w:rsidRPr="00F03917">
              <w:rPr>
                <w:b/>
                <w:bCs/>
              </w:rPr>
              <w:t>1.6 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4BC0C8AE" w14:textId="77777777" w:rsidR="00664A36" w:rsidRPr="00F03917" w:rsidRDefault="00664A36" w:rsidP="00A61540">
            <w:pPr>
              <w:pStyle w:val="TableText"/>
              <w:spacing w:before="30" w:after="30"/>
              <w:rPr>
                <w:rFonts w:ascii="Segoe UI" w:hAnsi="Segoe UI" w:cs="Segoe UI"/>
              </w:rPr>
            </w:pPr>
            <w:r w:rsidRPr="00F03917">
              <w:t>2115 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3DDF8637" w14:textId="77777777" w:rsidR="00664A36" w:rsidRPr="00F03917" w:rsidRDefault="00664A36" w:rsidP="00A61540">
            <w:pPr>
              <w:pStyle w:val="TableText"/>
              <w:spacing w:before="30" w:after="30"/>
              <w:rPr>
                <w:rFonts w:ascii="Segoe UI" w:hAnsi="Segoe UI" w:cs="Segoe UI"/>
              </w:rPr>
            </w:pPr>
            <w:r w:rsidRPr="00F03917">
              <w:t>2140 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432CBF00" w14:textId="77777777" w:rsidR="00664A36" w:rsidRPr="00F03917" w:rsidRDefault="00664A36" w:rsidP="00A61540">
            <w:pPr>
              <w:pStyle w:val="TableText"/>
              <w:spacing w:before="30" w:after="30"/>
              <w:rPr>
                <w:rFonts w:ascii="Segoe UI" w:hAnsi="Segoe UI" w:cs="Segoe UI"/>
              </w:rPr>
            </w:pPr>
            <w:r w:rsidRPr="00F03917">
              <w:t>2150 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26A846BB" w14:textId="77777777" w:rsidR="00664A36" w:rsidRPr="00F03917" w:rsidRDefault="00664A36" w:rsidP="00A61540">
            <w:pPr>
              <w:pStyle w:val="TableText"/>
              <w:spacing w:before="30" w:after="30"/>
              <w:rPr>
                <w:rFonts w:ascii="Segoe UI" w:hAnsi="Segoe UI" w:cs="Segoe UI"/>
              </w:rPr>
            </w:pPr>
            <w:r w:rsidRPr="00F03917">
              <w:t>2185 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20AE44B5" w14:textId="77777777" w:rsidR="00664A36" w:rsidRPr="00F03917" w:rsidRDefault="00664A36" w:rsidP="00A61540">
            <w:pPr>
              <w:pStyle w:val="TableText"/>
              <w:spacing w:before="30" w:after="30"/>
              <w:rPr>
                <w:rFonts w:ascii="Segoe UI" w:hAnsi="Segoe UI" w:cs="Segoe UI"/>
              </w:rPr>
            </w:pPr>
            <w:r w:rsidRPr="00F03917">
              <w:t>&gt;2200 </w:t>
            </w:r>
          </w:p>
        </w:tc>
      </w:tr>
      <w:tr w:rsidR="00664A36" w:rsidRPr="00F03917" w14:paraId="0569B207"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738CBE90" w14:textId="77777777" w:rsidR="00664A36" w:rsidRPr="00F03917" w:rsidRDefault="00664A36" w:rsidP="00A61540">
            <w:pPr>
              <w:pStyle w:val="TableText"/>
              <w:spacing w:before="30" w:after="30"/>
              <w:rPr>
                <w:rFonts w:ascii="Segoe UI" w:hAnsi="Segoe UI" w:cs="Segoe UI"/>
                <w:b/>
                <w:bCs/>
              </w:rPr>
            </w:pPr>
            <w:r w:rsidRPr="00F03917">
              <w:rPr>
                <w:b/>
                <w:bCs/>
              </w:rPr>
              <w:t>1.8 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797787EE" w14:textId="77777777" w:rsidR="00664A36" w:rsidRPr="00F03917" w:rsidRDefault="00664A36" w:rsidP="00A61540">
            <w:pPr>
              <w:pStyle w:val="TableText"/>
              <w:spacing w:before="30" w:after="30"/>
              <w:rPr>
                <w:rFonts w:ascii="Segoe UI" w:hAnsi="Segoe UI" w:cs="Segoe UI"/>
              </w:rPr>
            </w:pPr>
            <w:r w:rsidRPr="00F03917">
              <w:t>2125 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79A6ABC5" w14:textId="77777777" w:rsidR="00664A36" w:rsidRPr="00F03917" w:rsidRDefault="00664A36" w:rsidP="00A61540">
            <w:pPr>
              <w:pStyle w:val="TableText"/>
              <w:spacing w:before="30" w:after="30"/>
              <w:rPr>
                <w:rFonts w:ascii="Segoe UI" w:hAnsi="Segoe UI" w:cs="Segoe UI"/>
              </w:rPr>
            </w:pPr>
            <w:r w:rsidRPr="00F03917">
              <w:t>2150 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0A189D94" w14:textId="77777777" w:rsidR="00664A36" w:rsidRPr="00F03917" w:rsidRDefault="00664A36" w:rsidP="00A61540">
            <w:pPr>
              <w:pStyle w:val="TableText"/>
              <w:spacing w:before="30" w:after="30"/>
              <w:rPr>
                <w:rFonts w:ascii="Segoe UI" w:hAnsi="Segoe UI" w:cs="Segoe UI"/>
              </w:rPr>
            </w:pPr>
            <w:r w:rsidRPr="00F03917">
              <w:t>2165 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6D61F7BA" w14:textId="77777777" w:rsidR="00664A36" w:rsidRPr="00F03917" w:rsidRDefault="00664A36" w:rsidP="00A61540">
            <w:pPr>
              <w:pStyle w:val="TableText"/>
              <w:spacing w:before="30" w:after="30"/>
              <w:rPr>
                <w:rFonts w:ascii="Segoe UI" w:hAnsi="Segoe UI" w:cs="Segoe UI"/>
              </w:rPr>
            </w:pPr>
            <w:r w:rsidRPr="00F03917">
              <w:t>&gt;2200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626986EA" w14:textId="77777777" w:rsidR="00664A36" w:rsidRPr="00F03917" w:rsidRDefault="00664A36" w:rsidP="00A61540">
            <w:pPr>
              <w:pStyle w:val="TableText"/>
              <w:spacing w:before="30" w:after="30"/>
              <w:rPr>
                <w:rFonts w:ascii="Segoe UI" w:hAnsi="Segoe UI" w:cs="Segoe UI"/>
              </w:rPr>
            </w:pPr>
            <w:r w:rsidRPr="00F03917">
              <w:t>&gt;2200 </w:t>
            </w:r>
          </w:p>
        </w:tc>
      </w:tr>
      <w:tr w:rsidR="00664A36" w:rsidRPr="00F03917" w14:paraId="021E0E6A" w14:textId="77777777" w:rsidTr="00E44547">
        <w:trPr>
          <w:trHeight w:val="300"/>
        </w:trPr>
        <w:tc>
          <w:tcPr>
            <w:tcW w:w="993" w:type="dxa"/>
            <w:tcBorders>
              <w:top w:val="single" w:sz="6" w:space="0" w:color="1B556B" w:themeColor="text2"/>
              <w:left w:val="nil"/>
              <w:bottom w:val="single" w:sz="6" w:space="0" w:color="1B556B" w:themeColor="text2"/>
              <w:right w:val="single" w:sz="6" w:space="0" w:color="1B556B" w:themeColor="text2"/>
            </w:tcBorders>
            <w:shd w:val="clear" w:color="auto" w:fill="auto"/>
            <w:hideMark/>
          </w:tcPr>
          <w:p w14:paraId="42DF630D" w14:textId="20AEC6EB" w:rsidR="00664A36" w:rsidRPr="00F03917" w:rsidRDefault="00664A36" w:rsidP="00A61540">
            <w:pPr>
              <w:pStyle w:val="TableText"/>
              <w:spacing w:before="30" w:after="30"/>
              <w:rPr>
                <w:rFonts w:ascii="Segoe UI" w:hAnsi="Segoe UI" w:cs="Segoe UI"/>
                <w:b/>
                <w:bCs/>
              </w:rPr>
            </w:pPr>
            <w:r w:rsidRPr="00F03917">
              <w:rPr>
                <w:b/>
                <w:bCs/>
              </w:rPr>
              <w:t>2.0</w:t>
            </w:r>
            <w:r w:rsidR="00977ED4" w:rsidRPr="00F03917">
              <w:rPr>
                <w:b/>
                <w:bCs/>
              </w:rPr>
              <w:t xml:space="preserve"> </w:t>
            </w:r>
          </w:p>
        </w:tc>
        <w:tc>
          <w:tcPr>
            <w:tcW w:w="1566"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0EE7BF85" w14:textId="77777777" w:rsidR="00664A36" w:rsidRPr="00F03917" w:rsidRDefault="00664A36" w:rsidP="00A61540">
            <w:pPr>
              <w:pStyle w:val="TableText"/>
              <w:spacing w:before="30" w:after="30"/>
              <w:rPr>
                <w:rFonts w:ascii="Segoe UI" w:hAnsi="Segoe UI" w:cs="Segoe UI"/>
              </w:rPr>
            </w:pPr>
            <w:r w:rsidRPr="00F03917">
              <w:t>2130 </w:t>
            </w:r>
          </w:p>
        </w:tc>
        <w:tc>
          <w:tcPr>
            <w:tcW w:w="1550"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6BAB03F7" w14:textId="77777777" w:rsidR="00664A36" w:rsidRPr="00F03917" w:rsidRDefault="00664A36" w:rsidP="00A61540">
            <w:pPr>
              <w:pStyle w:val="TableText"/>
              <w:spacing w:before="30" w:after="30"/>
              <w:rPr>
                <w:rFonts w:ascii="Segoe UI" w:hAnsi="Segoe UI" w:cs="Segoe UI"/>
              </w:rPr>
            </w:pPr>
            <w:r w:rsidRPr="00F03917">
              <w:t>2170 </w:t>
            </w:r>
          </w:p>
        </w:tc>
        <w:tc>
          <w:tcPr>
            <w:tcW w:w="1703"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1AC412D8" w14:textId="77777777" w:rsidR="00664A36" w:rsidRPr="00F03917" w:rsidRDefault="00664A36" w:rsidP="00A61540">
            <w:pPr>
              <w:pStyle w:val="TableText"/>
              <w:spacing w:before="30" w:after="30"/>
              <w:rPr>
                <w:rFonts w:ascii="Segoe UI" w:hAnsi="Segoe UI" w:cs="Segoe UI"/>
              </w:rPr>
            </w:pPr>
            <w:r w:rsidRPr="00F03917">
              <w:t>2180 </w:t>
            </w:r>
          </w:p>
        </w:tc>
        <w:tc>
          <w:tcPr>
            <w:tcW w:w="1278" w:type="dxa"/>
            <w:tcBorders>
              <w:top w:val="single" w:sz="6" w:space="0" w:color="1B556B" w:themeColor="text2"/>
              <w:left w:val="single" w:sz="6" w:space="0" w:color="1B556B" w:themeColor="text2"/>
              <w:bottom w:val="single" w:sz="6" w:space="0" w:color="1B556B" w:themeColor="text2"/>
              <w:right w:val="single" w:sz="6" w:space="0" w:color="1B556B" w:themeColor="text2"/>
            </w:tcBorders>
            <w:shd w:val="clear" w:color="auto" w:fill="auto"/>
            <w:hideMark/>
          </w:tcPr>
          <w:p w14:paraId="6F13A289" w14:textId="77777777" w:rsidR="00664A36" w:rsidRPr="00F03917" w:rsidRDefault="00664A36" w:rsidP="00A61540">
            <w:pPr>
              <w:pStyle w:val="TableText"/>
              <w:spacing w:before="30" w:after="30"/>
              <w:rPr>
                <w:rFonts w:ascii="Segoe UI" w:hAnsi="Segoe UI" w:cs="Segoe UI"/>
              </w:rPr>
            </w:pPr>
            <w:r w:rsidRPr="00F03917">
              <w:t>&gt;2200 </w:t>
            </w:r>
          </w:p>
        </w:tc>
        <w:tc>
          <w:tcPr>
            <w:tcW w:w="1415" w:type="dxa"/>
            <w:tcBorders>
              <w:top w:val="single" w:sz="6" w:space="0" w:color="1B556B" w:themeColor="text2"/>
              <w:left w:val="single" w:sz="6" w:space="0" w:color="1B556B" w:themeColor="text2"/>
              <w:bottom w:val="single" w:sz="6" w:space="0" w:color="1B556B" w:themeColor="text2"/>
              <w:right w:val="nil"/>
            </w:tcBorders>
            <w:shd w:val="clear" w:color="auto" w:fill="auto"/>
            <w:hideMark/>
          </w:tcPr>
          <w:p w14:paraId="5F4F5934" w14:textId="77777777" w:rsidR="00664A36" w:rsidRPr="00F03917" w:rsidRDefault="00664A36" w:rsidP="00A61540">
            <w:pPr>
              <w:pStyle w:val="TableText"/>
              <w:spacing w:before="30" w:after="30"/>
              <w:rPr>
                <w:rFonts w:ascii="Segoe UI" w:hAnsi="Segoe UI" w:cs="Segoe UI"/>
              </w:rPr>
            </w:pPr>
            <w:r w:rsidRPr="00F03917">
              <w:t>&gt;2200 </w:t>
            </w:r>
          </w:p>
        </w:tc>
      </w:tr>
    </w:tbl>
    <w:p w14:paraId="722BA204" w14:textId="14A491A0" w:rsidR="00D311FF" w:rsidRPr="00F03917" w:rsidRDefault="00F46128" w:rsidP="00E44547">
      <w:pPr>
        <w:pStyle w:val="Source"/>
        <w:spacing w:after="0"/>
        <w:rPr>
          <w:rFonts w:ascii="Segoe UI" w:hAnsi="Segoe UI" w:cs="Segoe UI"/>
          <w:szCs w:val="18"/>
        </w:rPr>
      </w:pPr>
      <w:r w:rsidRPr="00F03917">
        <w:lastRenderedPageBreak/>
        <w:t xml:space="preserve">Note: </w:t>
      </w:r>
      <w:r w:rsidR="00FE316A" w:rsidRPr="00F03917">
        <w:t>Approximate y</w:t>
      </w:r>
      <w:r w:rsidRPr="00F03917">
        <w:t>ear</w:t>
      </w:r>
      <w:r w:rsidR="007528A6" w:rsidRPr="00F03917">
        <w:t xml:space="preserve"> (to the nearest five-year value)</w:t>
      </w:r>
      <w:r w:rsidRPr="00F03917">
        <w:t xml:space="preserve"> </w:t>
      </w:r>
      <w:r w:rsidR="00C7366B" w:rsidRPr="00F03917">
        <w:t>when</w:t>
      </w:r>
      <w:r w:rsidRPr="00F03917">
        <w:t xml:space="preserve"> the </w:t>
      </w:r>
      <w:r w:rsidR="59D54435" w:rsidRPr="00F03917">
        <w:rPr>
          <w:rFonts w:cs="Calibri"/>
          <w:szCs w:val="18"/>
        </w:rPr>
        <w:t>relative sea-level rise (</w:t>
      </w:r>
      <w:r w:rsidRPr="00F03917">
        <w:rPr>
          <w:rFonts w:cs="Calibri"/>
          <w:szCs w:val="18"/>
        </w:rPr>
        <w:t>RSLR</w:t>
      </w:r>
      <w:r w:rsidR="3FE93710" w:rsidRPr="00F03917">
        <w:rPr>
          <w:rFonts w:cs="Calibri"/>
          <w:szCs w:val="18"/>
        </w:rPr>
        <w:t>)</w:t>
      </w:r>
      <w:r w:rsidRPr="00F03917">
        <w:rPr>
          <w:rFonts w:cs="Calibri"/>
          <w:szCs w:val="18"/>
        </w:rPr>
        <w:t xml:space="preserve"> increment </w:t>
      </w:r>
      <w:r w:rsidR="00643FDB" w:rsidRPr="00F03917">
        <w:rPr>
          <w:rFonts w:cs="Calibri"/>
          <w:szCs w:val="18"/>
        </w:rPr>
        <w:t>could be reached</w:t>
      </w:r>
      <w:r w:rsidRPr="00F03917">
        <w:rPr>
          <w:rFonts w:cs="Calibri"/>
          <w:szCs w:val="18"/>
        </w:rPr>
        <w:t xml:space="preserve">. The average </w:t>
      </w:r>
      <w:r w:rsidR="646B87D2" w:rsidRPr="00F03917">
        <w:rPr>
          <w:rFonts w:cs="Calibri"/>
          <w:szCs w:val="18"/>
        </w:rPr>
        <w:t>mean sea level (</w:t>
      </w:r>
      <w:r w:rsidRPr="00F03917">
        <w:rPr>
          <w:rFonts w:cs="Calibri"/>
          <w:szCs w:val="18"/>
        </w:rPr>
        <w:t>MSL</w:t>
      </w:r>
      <w:r w:rsidR="63B1F8FB" w:rsidRPr="00F03917">
        <w:rPr>
          <w:rFonts w:cs="Calibri"/>
          <w:szCs w:val="18"/>
        </w:rPr>
        <w:t>)</w:t>
      </w:r>
      <w:r w:rsidRPr="00F03917">
        <w:rPr>
          <w:rFonts w:cs="Calibri"/>
          <w:szCs w:val="18"/>
        </w:rPr>
        <w:t xml:space="preserve"> for Port Nelson over the baseline period 1995</w:t>
      </w:r>
      <w:r w:rsidR="5FB7A877" w:rsidRPr="00F03917">
        <w:rPr>
          <w:rFonts w:cs="Calibri"/>
          <w:szCs w:val="18"/>
        </w:rPr>
        <w:t>–</w:t>
      </w:r>
      <w:r w:rsidRPr="00F03917">
        <w:rPr>
          <w:rFonts w:cs="Calibri"/>
          <w:szCs w:val="18"/>
        </w:rPr>
        <w:t>2014 is 2.335 m</w:t>
      </w:r>
      <w:r w:rsidR="118C9713" w:rsidRPr="00F03917">
        <w:rPr>
          <w:rFonts w:cs="Calibri"/>
          <w:szCs w:val="18"/>
        </w:rPr>
        <w:t>etres</w:t>
      </w:r>
      <w:r w:rsidRPr="00F03917">
        <w:rPr>
          <w:rFonts w:cs="Calibri"/>
          <w:szCs w:val="18"/>
        </w:rPr>
        <w:t xml:space="preserve"> above Chart Datum. In terms of survey levels, N</w:t>
      </w:r>
      <w:r w:rsidR="6A82F1CA" w:rsidRPr="00F03917">
        <w:rPr>
          <w:rFonts w:cs="Calibri"/>
          <w:szCs w:val="18"/>
        </w:rPr>
        <w:t xml:space="preserve">ew </w:t>
      </w:r>
      <w:r w:rsidRPr="00F03917">
        <w:rPr>
          <w:rFonts w:cs="Calibri"/>
          <w:szCs w:val="18"/>
        </w:rPr>
        <w:t>Z</w:t>
      </w:r>
      <w:r w:rsidR="0CB02840" w:rsidRPr="00F03917">
        <w:rPr>
          <w:rFonts w:cs="Calibri"/>
          <w:szCs w:val="18"/>
        </w:rPr>
        <w:t>ealand</w:t>
      </w:r>
      <w:r w:rsidRPr="00F03917">
        <w:rPr>
          <w:rFonts w:cs="Calibri"/>
          <w:szCs w:val="18"/>
        </w:rPr>
        <w:t xml:space="preserve"> Vertical Datum-2016 is 2.578 m</w:t>
      </w:r>
      <w:r w:rsidR="0B10D780" w:rsidRPr="00F03917">
        <w:rPr>
          <w:rFonts w:cs="Calibri"/>
          <w:szCs w:val="18"/>
        </w:rPr>
        <w:t>etres</w:t>
      </w:r>
      <w:r w:rsidRPr="00F03917">
        <w:rPr>
          <w:rFonts w:cs="Calibri"/>
          <w:szCs w:val="18"/>
        </w:rPr>
        <w:t xml:space="preserve"> above Chart Datum. This means the 1995</w:t>
      </w:r>
      <w:r w:rsidR="48D88772" w:rsidRPr="00F03917">
        <w:rPr>
          <w:rFonts w:cs="Calibri"/>
          <w:szCs w:val="18"/>
        </w:rPr>
        <w:t>–</w:t>
      </w:r>
      <w:r w:rsidRPr="00F03917">
        <w:rPr>
          <w:rFonts w:cs="Calibri"/>
          <w:szCs w:val="18"/>
        </w:rPr>
        <w:t>2014 MSL is –0.243 m</w:t>
      </w:r>
      <w:r w:rsidR="0F48D6DA" w:rsidRPr="00F03917">
        <w:rPr>
          <w:rFonts w:cs="Calibri"/>
          <w:szCs w:val="18"/>
        </w:rPr>
        <w:t>etres</w:t>
      </w:r>
      <w:r w:rsidRPr="00F03917">
        <w:rPr>
          <w:rFonts w:cs="Calibri"/>
          <w:szCs w:val="18"/>
        </w:rPr>
        <w:t xml:space="preserve"> (</w:t>
      </w:r>
      <w:r w:rsidR="0275BFC5" w:rsidRPr="00F03917">
        <w:rPr>
          <w:rFonts w:cs="Calibri"/>
          <w:szCs w:val="18"/>
        </w:rPr>
        <w:t>a</w:t>
      </w:r>
      <w:r w:rsidRPr="00F03917">
        <w:rPr>
          <w:rFonts w:cs="Calibri"/>
          <w:szCs w:val="18"/>
        </w:rPr>
        <w:t xml:space="preserve">ppendix </w:t>
      </w:r>
      <w:r w:rsidR="003D7502" w:rsidRPr="00F03917">
        <w:rPr>
          <w:rFonts w:cs="Calibri"/>
          <w:szCs w:val="18"/>
        </w:rPr>
        <w:t>D</w:t>
      </w:r>
      <w:r w:rsidRPr="00F03917">
        <w:rPr>
          <w:rFonts w:cs="Calibri"/>
          <w:szCs w:val="18"/>
        </w:rPr>
        <w:t>), to which the RSLR increments can be added to translate to MSL in N</w:t>
      </w:r>
      <w:r w:rsidR="4E8D7D75" w:rsidRPr="00F03917">
        <w:rPr>
          <w:rFonts w:cs="Calibri"/>
          <w:szCs w:val="18"/>
        </w:rPr>
        <w:t xml:space="preserve">ew </w:t>
      </w:r>
      <w:r w:rsidRPr="00F03917">
        <w:rPr>
          <w:rFonts w:cs="Calibri"/>
          <w:szCs w:val="18"/>
        </w:rPr>
        <w:t>Z</w:t>
      </w:r>
      <w:r w:rsidR="78F208DC" w:rsidRPr="00F03917">
        <w:rPr>
          <w:rFonts w:cs="Calibri"/>
          <w:szCs w:val="18"/>
        </w:rPr>
        <w:t xml:space="preserve">ealand </w:t>
      </w:r>
      <w:r w:rsidRPr="00F03917">
        <w:rPr>
          <w:rFonts w:cs="Calibri"/>
          <w:szCs w:val="18"/>
        </w:rPr>
        <w:t>V</w:t>
      </w:r>
      <w:r w:rsidR="469F0BBF" w:rsidRPr="00F03917">
        <w:rPr>
          <w:rFonts w:cs="Calibri"/>
          <w:szCs w:val="18"/>
        </w:rPr>
        <w:t xml:space="preserve">ertical </w:t>
      </w:r>
      <w:r w:rsidRPr="00F03917">
        <w:rPr>
          <w:rFonts w:cs="Calibri"/>
          <w:szCs w:val="18"/>
        </w:rPr>
        <w:t>D</w:t>
      </w:r>
      <w:r w:rsidR="589297B8" w:rsidRPr="00F03917">
        <w:rPr>
          <w:rFonts w:cs="Calibri"/>
          <w:szCs w:val="18"/>
        </w:rPr>
        <w:t>atum</w:t>
      </w:r>
      <w:r w:rsidRPr="00F03917">
        <w:rPr>
          <w:rFonts w:cs="Calibri"/>
          <w:szCs w:val="18"/>
        </w:rPr>
        <w:t>-2016 levels into the future for each time bracket.</w:t>
      </w:r>
    </w:p>
    <w:p w14:paraId="0ABD0795" w14:textId="3F740500" w:rsidR="310C1EB3" w:rsidRPr="00F03917" w:rsidRDefault="4AC1093B" w:rsidP="005316CC">
      <w:pPr>
        <w:pStyle w:val="Source"/>
        <w:rPr>
          <w:rFonts w:cs="Calibri"/>
          <w:szCs w:val="18"/>
        </w:rPr>
      </w:pPr>
      <w:r w:rsidRPr="00F03917">
        <w:rPr>
          <w:rFonts w:cs="Calibri"/>
          <w:szCs w:val="18"/>
        </w:rPr>
        <w:t>Sourc</w:t>
      </w:r>
      <w:r w:rsidR="15E68628" w:rsidRPr="00F03917">
        <w:rPr>
          <w:rFonts w:cs="Calibri"/>
          <w:szCs w:val="18"/>
        </w:rPr>
        <w:t>ed from the</w:t>
      </w:r>
      <w:r w:rsidRPr="00F03917">
        <w:rPr>
          <w:rFonts w:cs="Calibri"/>
          <w:szCs w:val="18"/>
        </w:rPr>
        <w:t xml:space="preserve"> NZ SeaRise platform that includes </w:t>
      </w:r>
      <w:r w:rsidR="2A95214D" w:rsidRPr="00F03917">
        <w:rPr>
          <w:rFonts w:cs="Calibri"/>
          <w:szCs w:val="18"/>
        </w:rPr>
        <w:t>VLM</w:t>
      </w:r>
      <w:r w:rsidRPr="00F03917">
        <w:rPr>
          <w:rFonts w:cs="Calibri"/>
          <w:szCs w:val="18"/>
        </w:rPr>
        <w:t xml:space="preserve"> for an average subsidence rate of 2 </w:t>
      </w:r>
      <w:r w:rsidR="670FAD43" w:rsidRPr="00F03917">
        <w:rPr>
          <w:rFonts w:cs="Calibri"/>
          <w:szCs w:val="18"/>
        </w:rPr>
        <w:t>millimetres</w:t>
      </w:r>
      <w:r w:rsidRPr="00F03917">
        <w:rPr>
          <w:rFonts w:cs="Calibri"/>
          <w:szCs w:val="18"/>
        </w:rPr>
        <w:t xml:space="preserve"> per year. Increments are relative to the Port Nelson average </w:t>
      </w:r>
      <w:r w:rsidR="76B06C4B" w:rsidRPr="00F03917">
        <w:rPr>
          <w:rFonts w:cs="Calibri"/>
          <w:szCs w:val="18"/>
        </w:rPr>
        <w:t>MSL</w:t>
      </w:r>
      <w:r w:rsidRPr="00F03917">
        <w:rPr>
          <w:rFonts w:cs="Calibri"/>
          <w:szCs w:val="18"/>
        </w:rPr>
        <w:t xml:space="preserve"> over a 1995–2014 baseline. </w:t>
      </w:r>
    </w:p>
    <w:p w14:paraId="66996732" w14:textId="54A153DE" w:rsidR="00613B51" w:rsidRPr="00F03917" w:rsidRDefault="005A5965" w:rsidP="00C826EA">
      <w:pPr>
        <w:pStyle w:val="Heading5"/>
      </w:pPr>
      <w:r w:rsidRPr="00F03917">
        <w:t xml:space="preserve">Projections of </w:t>
      </w:r>
      <w:r w:rsidR="001979DA" w:rsidRPr="00F03917">
        <w:t>r</w:t>
      </w:r>
      <w:r w:rsidR="1FF2A2D9" w:rsidRPr="00F03917">
        <w:t>elative sea-level rise</w:t>
      </w:r>
      <w:r w:rsidR="00613B51" w:rsidRPr="00F03917">
        <w:t xml:space="preserve"> </w:t>
      </w:r>
    </w:p>
    <w:p w14:paraId="614971EE" w14:textId="01F4C669" w:rsidR="0036498D" w:rsidRPr="00F03917" w:rsidRDefault="0036498D" w:rsidP="00E44547">
      <w:pPr>
        <w:pStyle w:val="BodyText"/>
      </w:pPr>
      <w:r w:rsidRPr="00F03917">
        <w:t>At the local and regional scale, it is recommended to use the five RSLR projections (or at least the range) for planning, especially where subsidence or uplift is more</w:t>
      </w:r>
      <w:r w:rsidR="00E44547" w:rsidRPr="00F03917">
        <w:t> </w:t>
      </w:r>
      <w:r w:rsidRPr="00F03917">
        <w:t>than 0.5 millimetres per year. Below this rate, RSLR projections can still be used, but the</w:t>
      </w:r>
      <w:r w:rsidR="00E44547" w:rsidRPr="00F03917">
        <w:t> </w:t>
      </w:r>
      <w:r w:rsidRPr="00F03917">
        <w:t>difference between including or excluding VLM is less sensitive to when a</w:t>
      </w:r>
      <w:r w:rsidR="00E178A0" w:rsidRPr="00F03917">
        <w:t>n</w:t>
      </w:r>
      <w:r w:rsidRPr="00F03917">
        <w:t xml:space="preserve"> SLR threshold is</w:t>
      </w:r>
      <w:r w:rsidR="00E44547" w:rsidRPr="00F03917">
        <w:t> </w:t>
      </w:r>
      <w:r w:rsidRPr="00F03917">
        <w:t xml:space="preserve">reached. </w:t>
      </w:r>
    </w:p>
    <w:p w14:paraId="213646EE" w14:textId="41440731" w:rsidR="00722113" w:rsidRPr="00F03917" w:rsidRDefault="00722113" w:rsidP="00E44547">
      <w:pPr>
        <w:pStyle w:val="Heading5"/>
      </w:pPr>
      <w:r w:rsidRPr="00F03917">
        <w:t>Satellite-derived vertical land movement</w:t>
      </w:r>
    </w:p>
    <w:p w14:paraId="12109EEE" w14:textId="32482C20" w:rsidR="00444B9E" w:rsidRPr="00F03917" w:rsidRDefault="00B57283" w:rsidP="00E44547">
      <w:pPr>
        <w:pStyle w:val="BodyText"/>
      </w:pPr>
      <w:r w:rsidRPr="00F03917">
        <w:t xml:space="preserve">To incorporate </w:t>
      </w:r>
      <w:r w:rsidR="00EF4BFF" w:rsidRPr="00F03917">
        <w:t>satellite</w:t>
      </w:r>
      <w:r w:rsidR="00260020" w:rsidRPr="00F03917">
        <w:t>-</w:t>
      </w:r>
      <w:r w:rsidR="416778DF" w:rsidRPr="00F03917">
        <w:t>derived</w:t>
      </w:r>
      <w:r w:rsidR="00EF4BFF" w:rsidRPr="00F03917">
        <w:t xml:space="preserve"> </w:t>
      </w:r>
      <w:r w:rsidRPr="00F03917">
        <w:t>VLM, select the nearest node on the NZ</w:t>
      </w:r>
      <w:r w:rsidR="000028DB" w:rsidRPr="00F03917">
        <w:t xml:space="preserve"> </w:t>
      </w:r>
      <w:r w:rsidRPr="00F03917">
        <w:t>SeaRise platform</w:t>
      </w:r>
      <w:r w:rsidRPr="00F03917">
        <w:rPr>
          <w:vertAlign w:val="superscript"/>
        </w:rPr>
        <w:footnoteReference w:id="34"/>
      </w:r>
      <w:r w:rsidRPr="00F03917">
        <w:t xml:space="preserve"> (</w:t>
      </w:r>
      <w:hyperlink w:anchor="figure9" w:history="1">
        <w:r w:rsidRPr="00F03917">
          <w:rPr>
            <w:rStyle w:val="Hyperlink"/>
          </w:rPr>
          <w:t xml:space="preserve">figure </w:t>
        </w:r>
        <w:r w:rsidR="00EA1704" w:rsidRPr="00F03917">
          <w:rPr>
            <w:rStyle w:val="Hyperlink"/>
          </w:rPr>
          <w:t>9</w:t>
        </w:r>
      </w:hyperlink>
      <w:r w:rsidR="7FAAFD13" w:rsidRPr="00F03917">
        <w:t>)</w:t>
      </w:r>
      <w:r w:rsidR="38B124C1" w:rsidRPr="00F03917">
        <w:t xml:space="preserve"> for RSLR, which will plot as a heavy line for the median projection (compared </w:t>
      </w:r>
      <w:r w:rsidR="7E97A2A9" w:rsidRPr="00F03917">
        <w:t>with</w:t>
      </w:r>
      <w:r w:rsidR="38B124C1" w:rsidRPr="00F03917">
        <w:t xml:space="preserve"> the dashed line for the absolute SLR)</w:t>
      </w:r>
      <w:r w:rsidR="7FAAFD13" w:rsidRPr="00F03917">
        <w:t>.</w:t>
      </w:r>
      <w:r w:rsidRPr="00F03917">
        <w:t xml:space="preserve"> </w:t>
      </w:r>
      <w:r w:rsidR="00490054" w:rsidRPr="00F03917">
        <w:t>A VLM error estimate and a quality factor</w:t>
      </w:r>
      <w:r w:rsidR="00490054" w:rsidRPr="00F03917">
        <w:rPr>
          <w:rStyle w:val="FootnoteReference"/>
        </w:rPr>
        <w:footnoteReference w:id="35"/>
      </w:r>
      <w:r w:rsidR="00490054" w:rsidRPr="00F03917">
        <w:t xml:space="preserve"> (1 = good, 5</w:t>
      </w:r>
      <w:r w:rsidR="00E44547" w:rsidRPr="00F03917">
        <w:t> </w:t>
      </w:r>
      <w:r w:rsidR="00490054" w:rsidRPr="00F03917">
        <w:t>=</w:t>
      </w:r>
      <w:r w:rsidR="00E44547" w:rsidRPr="00F03917">
        <w:t> </w:t>
      </w:r>
      <w:r w:rsidR="00490054" w:rsidRPr="00F03917">
        <w:t xml:space="preserve">poor) is generated for each location on the NZ SeaRise platform (see </w:t>
      </w:r>
      <w:hyperlink w:anchor="box3" w:history="1">
        <w:r w:rsidR="00490054" w:rsidRPr="00F03917">
          <w:rPr>
            <w:rStyle w:val="Hyperlink"/>
          </w:rPr>
          <w:t>box 3</w:t>
        </w:r>
      </w:hyperlink>
      <w:r w:rsidR="00490054" w:rsidRPr="00F03917">
        <w:t xml:space="preserve">). </w:t>
      </w:r>
      <w:r w:rsidRPr="00F03917">
        <w:t xml:space="preserve">To check the quality </w:t>
      </w:r>
      <w:r w:rsidR="00BA1787" w:rsidRPr="00F03917">
        <w:t>factor</w:t>
      </w:r>
      <w:r w:rsidRPr="00F03917">
        <w:t xml:space="preserve"> and averaging distance for VLM rates, download a </w:t>
      </w:r>
      <w:r w:rsidRPr="00F03917">
        <w:rPr>
          <w:b/>
          <w:bCs/>
          <w:i/>
          <w:iCs/>
        </w:rPr>
        <w:t>.csv</w:t>
      </w:r>
      <w:r w:rsidRPr="00F03917">
        <w:t xml:space="preserve"> attribute file</w:t>
      </w:r>
      <w:r w:rsidR="70CB0755" w:rsidRPr="00F03917">
        <w:t>(s) under the Download button</w:t>
      </w:r>
      <w:r w:rsidR="7FAAFD13" w:rsidRPr="00F03917">
        <w:t xml:space="preserve"> for the relevant site</w:t>
      </w:r>
      <w:r w:rsidR="70CB0755" w:rsidRPr="00F03917">
        <w:t>(s) by ring-fencing them with a mouse-driven polygon</w:t>
      </w:r>
      <w:r w:rsidR="7FAAFD13" w:rsidRPr="00F03917" w:rsidDel="00AF2E7F">
        <w:t>.</w:t>
      </w:r>
      <w:r w:rsidR="7FAAFD13" w:rsidRPr="00F03917">
        <w:t xml:space="preserve"> </w:t>
      </w:r>
      <w:r w:rsidR="00444B9E" w:rsidRPr="00F03917">
        <w:t xml:space="preserve">If the </w:t>
      </w:r>
      <w:r w:rsidR="00B90FEF" w:rsidRPr="00F03917">
        <w:t>quality factor</w:t>
      </w:r>
      <w:r w:rsidR="00444B9E" w:rsidRPr="00F03917">
        <w:t xml:space="preserve"> value is at the poor end of the scale</w:t>
      </w:r>
      <w:r w:rsidR="0012180F" w:rsidRPr="00F03917">
        <w:t xml:space="preserve"> (4-5)</w:t>
      </w:r>
      <w:r w:rsidR="00444B9E" w:rsidRPr="00F03917">
        <w:t xml:space="preserve">, or the error estimate is high, then a sensitivity test </w:t>
      </w:r>
      <w:r w:rsidR="029780B0" w:rsidRPr="00F03917">
        <w:t>may be required until a data update with more accuracy becomes available.</w:t>
      </w:r>
      <w:r w:rsidR="6CD57BFC" w:rsidRPr="00F03917">
        <w:t xml:space="preserve"> </w:t>
      </w:r>
      <w:r w:rsidR="029780B0" w:rsidRPr="00F03917">
        <w:t>Use</w:t>
      </w:r>
      <w:r w:rsidR="00444B9E" w:rsidRPr="00F03917">
        <w:t xml:space="preserve"> different </w:t>
      </w:r>
      <w:r w:rsidR="00976369" w:rsidRPr="00F03917">
        <w:t>RSLR projections covering the shaded likely range (not just the median)</w:t>
      </w:r>
      <w:r w:rsidR="00444B9E" w:rsidRPr="00F03917">
        <w:t xml:space="preserve"> to test the adaptation </w:t>
      </w:r>
      <w:r w:rsidR="00BE5BA4" w:rsidRPr="00F03917">
        <w:t>option</w:t>
      </w:r>
      <w:r w:rsidR="00444B9E" w:rsidRPr="00F03917">
        <w:t xml:space="preserve">, </w:t>
      </w:r>
      <w:r w:rsidR="00056A27" w:rsidRPr="00F03917">
        <w:t>along</w:t>
      </w:r>
      <w:r w:rsidR="00444B9E" w:rsidRPr="00F03917">
        <w:t xml:space="preserve"> with local</w:t>
      </w:r>
      <w:r w:rsidR="005309CF" w:rsidRPr="00F03917">
        <w:t>ly monitored</w:t>
      </w:r>
      <w:r w:rsidR="00444B9E" w:rsidRPr="00F03917">
        <w:t xml:space="preserve"> VLM</w:t>
      </w:r>
      <w:r w:rsidR="00050CCE" w:rsidRPr="00F03917">
        <w:t xml:space="preserve"> rates (if available)</w:t>
      </w:r>
      <w:r w:rsidR="00FA7E28" w:rsidRPr="00F03917">
        <w:t xml:space="preserve"> and checking neighbo</w:t>
      </w:r>
      <w:r w:rsidR="00243244" w:rsidRPr="00F03917">
        <w:t>u</w:t>
      </w:r>
      <w:r w:rsidR="00FA7E28" w:rsidRPr="00F03917">
        <w:t>ring nodes</w:t>
      </w:r>
      <w:r w:rsidR="00243244" w:rsidRPr="00F03917">
        <w:t xml:space="preserve"> with higher quality </w:t>
      </w:r>
      <w:r w:rsidR="00E211A9" w:rsidRPr="00F03917">
        <w:t>factors</w:t>
      </w:r>
      <w:r w:rsidR="34B53333" w:rsidRPr="00F03917">
        <w:t>.</w:t>
      </w:r>
      <w:r w:rsidR="00444B9E" w:rsidRPr="00F03917">
        <w:t xml:space="preserve"> </w:t>
      </w:r>
    </w:p>
    <w:p w14:paraId="7E9FE57B" w14:textId="3C158B61" w:rsidR="00B66FD6" w:rsidRPr="00F03917" w:rsidRDefault="00B57283" w:rsidP="00F36E52">
      <w:pPr>
        <w:pStyle w:val="BodyText"/>
      </w:pPr>
      <w:r w:rsidRPr="00F03917">
        <w:t>Where the VLM rates are broadly similar</w:t>
      </w:r>
      <w:r w:rsidR="001D6B5E" w:rsidRPr="00F03917">
        <w:t xml:space="preserve"> (eg, less than </w:t>
      </w:r>
      <w:r w:rsidR="004A3A59" w:rsidRPr="00F03917">
        <w:rPr>
          <w:rStyle w:val="normaltextrun"/>
          <w:rFonts w:cs="Calibri"/>
          <w:bdr w:val="none" w:sz="0" w:space="0" w:color="auto" w:frame="1"/>
        </w:rPr>
        <w:t>±</w:t>
      </w:r>
      <w:r w:rsidR="00311034" w:rsidRPr="00F03917">
        <w:rPr>
          <w:rFonts w:cs="Calibri"/>
          <w:bdr w:val="none" w:sz="0" w:space="0" w:color="auto" w:frame="1"/>
        </w:rPr>
        <w:t>0</w:t>
      </w:r>
      <w:r w:rsidR="00D46D3F" w:rsidRPr="00F03917">
        <w:rPr>
          <w:rFonts w:cs="Calibri"/>
          <w:bdr w:val="none" w:sz="0" w:space="0" w:color="auto" w:frame="1"/>
        </w:rPr>
        <w:t>.5</w:t>
      </w:r>
      <w:r w:rsidR="00311034" w:rsidRPr="00F03917">
        <w:rPr>
          <w:rFonts w:cs="Calibri"/>
          <w:bdr w:val="none" w:sz="0" w:space="0" w:color="auto" w:frame="1"/>
        </w:rPr>
        <w:t xml:space="preserve"> </w:t>
      </w:r>
      <w:r w:rsidR="77FE20BA" w:rsidRPr="00F03917">
        <w:rPr>
          <w:rFonts w:cs="Calibri"/>
          <w:bdr w:val="none" w:sz="0" w:space="0" w:color="auto" w:frame="1"/>
        </w:rPr>
        <w:t>millimetre</w:t>
      </w:r>
      <w:r w:rsidR="004A3A59" w:rsidRPr="00F03917">
        <w:rPr>
          <w:rFonts w:cs="Calibri"/>
          <w:bdr w:val="none" w:sz="0" w:space="0" w:color="auto" w:frame="1"/>
        </w:rPr>
        <w:t>s</w:t>
      </w:r>
      <w:r w:rsidR="4BED35DC" w:rsidRPr="00F03917">
        <w:rPr>
          <w:rFonts w:cs="Calibri"/>
        </w:rPr>
        <w:t xml:space="preserve"> per</w:t>
      </w:r>
      <w:r w:rsidR="77E41763" w:rsidRPr="00F03917">
        <w:rPr>
          <w:rFonts w:cs="Calibri"/>
        </w:rPr>
        <w:t xml:space="preserve"> </w:t>
      </w:r>
      <w:r w:rsidR="00311034" w:rsidRPr="00F03917">
        <w:rPr>
          <w:rFonts w:cs="Calibri"/>
          <w:bdr w:val="none" w:sz="0" w:space="0" w:color="auto" w:frame="1"/>
        </w:rPr>
        <w:t>y</w:t>
      </w:r>
      <w:r w:rsidR="0AA5E322" w:rsidRPr="00F03917">
        <w:rPr>
          <w:rFonts w:cs="Calibri"/>
        </w:rPr>
        <w:t>ea</w:t>
      </w:r>
      <w:r w:rsidR="00311034" w:rsidRPr="00F03917">
        <w:rPr>
          <w:rFonts w:cs="Calibri"/>
          <w:bdr w:val="none" w:sz="0" w:space="0" w:color="auto" w:frame="1"/>
        </w:rPr>
        <w:t>r</w:t>
      </w:r>
      <w:r w:rsidR="00310BC0" w:rsidRPr="00F03917">
        <w:rPr>
          <w:rFonts w:cs="Calibri"/>
          <w:bdr w:val="none" w:sz="0" w:space="0" w:color="auto" w:frame="1"/>
        </w:rPr>
        <w:t xml:space="preserve"> </w:t>
      </w:r>
      <w:r w:rsidR="006C35BF" w:rsidRPr="00F03917">
        <w:rPr>
          <w:rFonts w:cs="Calibri"/>
          <w:bdr w:val="none" w:sz="0" w:space="0" w:color="auto" w:frame="1"/>
        </w:rPr>
        <w:t xml:space="preserve">difference </w:t>
      </w:r>
      <w:r w:rsidR="004A3A59" w:rsidRPr="00F03917">
        <w:rPr>
          <w:rFonts w:cs="Calibri"/>
          <w:bdr w:val="none" w:sz="0" w:space="0" w:color="auto" w:frame="1"/>
        </w:rPr>
        <w:t>from a</w:t>
      </w:r>
      <w:r w:rsidR="00310BC0" w:rsidRPr="00F03917">
        <w:rPr>
          <w:rFonts w:cs="Calibri"/>
          <w:bdr w:val="none" w:sz="0" w:space="0" w:color="auto" w:frame="1"/>
        </w:rPr>
        <w:t xml:space="preserve"> </w:t>
      </w:r>
      <w:r w:rsidR="00477CAF" w:rsidRPr="00F03917">
        <w:rPr>
          <w:rFonts w:cs="Calibri"/>
          <w:bdr w:val="none" w:sz="0" w:space="0" w:color="auto" w:frame="1"/>
        </w:rPr>
        <w:t xml:space="preserve">spatial </w:t>
      </w:r>
      <w:r w:rsidR="00310BC0" w:rsidRPr="00F03917">
        <w:rPr>
          <w:rFonts w:cs="Calibri"/>
          <w:bdr w:val="none" w:sz="0" w:space="0" w:color="auto" w:frame="1"/>
        </w:rPr>
        <w:t>average</w:t>
      </w:r>
      <w:r w:rsidR="00311034" w:rsidRPr="00F03917">
        <w:rPr>
          <w:rFonts w:cs="Calibri"/>
          <w:bdr w:val="none" w:sz="0" w:space="0" w:color="auto" w:frame="1"/>
        </w:rPr>
        <w:t>),</w:t>
      </w:r>
      <w:r w:rsidRPr="00F03917">
        <w:t xml:space="preserve"> RSLR projections could be averaged across a region</w:t>
      </w:r>
      <w:r w:rsidR="00311034" w:rsidRPr="00F03917">
        <w:t>, checking and noting what the variation means in terms of the bracketed time windows or RSLR in a planning time horizon</w:t>
      </w:r>
      <w:r w:rsidRPr="00F03917">
        <w:t>. As an example,</w:t>
      </w:r>
      <w:r w:rsidRPr="00F03917" w:rsidDel="00055163">
        <w:t xml:space="preserve"> </w:t>
      </w:r>
      <w:r w:rsidRPr="00F03917">
        <w:t xml:space="preserve">the subsidence rate around the coastal margin of the Nelson urban area is </w:t>
      </w:r>
      <w:r w:rsidR="007E38AF" w:rsidRPr="00F03917">
        <w:t xml:space="preserve">relatively </w:t>
      </w:r>
      <w:r w:rsidRPr="00F03917">
        <w:t xml:space="preserve">consistent, </w:t>
      </w:r>
      <w:r w:rsidR="00A1161A" w:rsidRPr="00F03917">
        <w:t xml:space="preserve">in a range </w:t>
      </w:r>
      <w:r w:rsidR="1C25C7A0" w:rsidRPr="00F03917">
        <w:t>–</w:t>
      </w:r>
      <w:r w:rsidR="00A1161A" w:rsidRPr="00F03917">
        <w:t xml:space="preserve">1.67 </w:t>
      </w:r>
      <w:r w:rsidR="57A08061" w:rsidRPr="00F03917">
        <w:t>m</w:t>
      </w:r>
      <w:r w:rsidR="5C7A76EA" w:rsidRPr="00F03917">
        <w:t>illimetres</w:t>
      </w:r>
      <w:r w:rsidR="57A08061" w:rsidRPr="00F03917">
        <w:t xml:space="preserve"> </w:t>
      </w:r>
      <w:r w:rsidR="00A1161A" w:rsidRPr="00F03917">
        <w:t xml:space="preserve">to </w:t>
      </w:r>
      <w:r w:rsidR="00E44547" w:rsidRPr="00F03917">
        <w:br/>
      </w:r>
      <w:r w:rsidR="65AC3125" w:rsidRPr="00F03917">
        <w:t>–</w:t>
      </w:r>
      <w:r w:rsidRPr="00F03917">
        <w:t>2.</w:t>
      </w:r>
      <w:r w:rsidR="00A1161A" w:rsidRPr="00F03917">
        <w:t>79 m</w:t>
      </w:r>
      <w:r w:rsidR="15D5D461" w:rsidRPr="00F03917">
        <w:t>illi</w:t>
      </w:r>
      <w:r w:rsidR="00A1161A" w:rsidRPr="00F03917">
        <w:t>m</w:t>
      </w:r>
      <w:r w:rsidR="54882765" w:rsidRPr="00F03917">
        <w:t>etres</w:t>
      </w:r>
      <w:r w:rsidR="5475D2D1" w:rsidRPr="00F03917">
        <w:t xml:space="preserve"> per </w:t>
      </w:r>
      <w:r w:rsidR="00A1161A" w:rsidRPr="00F03917">
        <w:t>y</w:t>
      </w:r>
      <w:r w:rsidR="400850FF" w:rsidRPr="00F03917">
        <w:t>ea</w:t>
      </w:r>
      <w:r w:rsidR="00A1161A" w:rsidRPr="00F03917">
        <w:rPr>
          <w:bdr w:val="none" w:sz="0" w:space="0" w:color="auto" w:frame="1"/>
        </w:rPr>
        <w:t>r</w:t>
      </w:r>
      <w:r w:rsidR="00F61F1F" w:rsidRPr="00F03917">
        <w:rPr>
          <w:bdr w:val="none" w:sz="0" w:space="0" w:color="auto" w:frame="1"/>
        </w:rPr>
        <w:t xml:space="preserve">. </w:t>
      </w:r>
      <w:r w:rsidRPr="00F03917">
        <w:t>Therefore, the RSLR projections from site #6488 (Neale Park – SH6)</w:t>
      </w:r>
      <w:r w:rsidR="00E8659F" w:rsidRPr="00F03917">
        <w:t xml:space="preserve">, which has a VLM rate at the spatially averaged Nelson urban rate of </w:t>
      </w:r>
      <w:r w:rsidR="06369739" w:rsidRPr="00F03917">
        <w:t>–</w:t>
      </w:r>
      <w:r w:rsidR="00E8659F" w:rsidRPr="00F03917">
        <w:t xml:space="preserve">2.1 </w:t>
      </w:r>
      <w:r w:rsidR="02684981" w:rsidRPr="00F03917">
        <w:t>millimetres</w:t>
      </w:r>
      <w:r w:rsidR="6051C89D" w:rsidRPr="00F03917">
        <w:t xml:space="preserve"> per </w:t>
      </w:r>
      <w:r w:rsidR="00E8659F" w:rsidRPr="00F03917">
        <w:t>y</w:t>
      </w:r>
      <w:r w:rsidR="5FCB9EB5" w:rsidRPr="00F03917">
        <w:t>ea</w:t>
      </w:r>
      <w:r w:rsidR="00E8659F" w:rsidRPr="00F03917">
        <w:t>r,</w:t>
      </w:r>
      <w:r w:rsidRPr="00F03917">
        <w:t xml:space="preserve"> would suffice for the entire urban area</w:t>
      </w:r>
      <w:r w:rsidR="00E8659F" w:rsidRPr="00F03917">
        <w:t xml:space="preserve"> and is used to generate </w:t>
      </w:r>
      <w:hyperlink w:anchor="table7" w:history="1">
        <w:r w:rsidR="5FE6DFB4" w:rsidRPr="00F03917">
          <w:rPr>
            <w:rStyle w:val="Hyperlink"/>
          </w:rPr>
          <w:t>t</w:t>
        </w:r>
        <w:r w:rsidR="00E8659F" w:rsidRPr="00F03917">
          <w:rPr>
            <w:rStyle w:val="Hyperlink"/>
          </w:rPr>
          <w:t xml:space="preserve">able </w:t>
        </w:r>
        <w:r w:rsidR="00B627A6" w:rsidRPr="00F03917">
          <w:rPr>
            <w:rStyle w:val="Hyperlink"/>
          </w:rPr>
          <w:t>7</w:t>
        </w:r>
      </w:hyperlink>
      <w:r w:rsidRPr="00F03917">
        <w:t>.</w:t>
      </w:r>
      <w:r w:rsidR="00FB7D30" w:rsidRPr="00F03917">
        <w:t xml:space="preserve"> </w:t>
      </w:r>
    </w:p>
    <w:p w14:paraId="1F88CAB4" w14:textId="6D67F2F7" w:rsidR="00410523" w:rsidRPr="00F03917" w:rsidRDefault="00410523" w:rsidP="00F36E52">
      <w:pPr>
        <w:pStyle w:val="BodyText"/>
      </w:pPr>
      <w:r w:rsidRPr="00F03917">
        <w:t xml:space="preserve">Across some regions, districts or cities, VLM can vary markedly over relatively short distances. In that case, care is needed if using RSLR projections with an average VLM rate across a region </w:t>
      </w:r>
      <w:r w:rsidR="00E83FF4" w:rsidRPr="00F03917">
        <w:t>or district</w:t>
      </w:r>
      <w:r w:rsidRPr="00F03917">
        <w:t xml:space="preserve"> for</w:t>
      </w:r>
      <w:r w:rsidRPr="00F03917" w:rsidDel="009F62F2">
        <w:t xml:space="preserve"> </w:t>
      </w:r>
      <w:r w:rsidRPr="00F03917">
        <w:t>resource management plans</w:t>
      </w:r>
      <w:r w:rsidR="00A83BDA" w:rsidRPr="00F03917">
        <w:t>,</w:t>
      </w:r>
      <w:r w:rsidRPr="00F03917">
        <w:t xml:space="preserve"> or council building or engineering standards. </w:t>
      </w:r>
      <w:r w:rsidR="005336B6" w:rsidRPr="00F03917">
        <w:t>In this situation</w:t>
      </w:r>
      <w:r w:rsidR="00762AA6" w:rsidRPr="00F03917">
        <w:t>,</w:t>
      </w:r>
      <w:r w:rsidR="005336B6" w:rsidRPr="00F03917">
        <w:t xml:space="preserve"> c</w:t>
      </w:r>
      <w:r w:rsidRPr="00F03917">
        <w:t xml:space="preserve">ouncils </w:t>
      </w:r>
      <w:r w:rsidR="0083694A" w:rsidRPr="00F03917">
        <w:t>c</w:t>
      </w:r>
      <w:r w:rsidR="005336B6" w:rsidRPr="00F03917">
        <w:t>ould use</w:t>
      </w:r>
      <w:r w:rsidRPr="00F03917">
        <w:t xml:space="preserve"> </w:t>
      </w:r>
      <w:r w:rsidR="0083694A" w:rsidRPr="00F03917">
        <w:t>different VLM rates for sub-regions or precincts for setting</w:t>
      </w:r>
      <w:r w:rsidRPr="00F03917">
        <w:t xml:space="preserve"> minimum floor and ground levels. For example, as set in </w:t>
      </w:r>
      <w:r w:rsidR="00130677" w:rsidRPr="00F03917">
        <w:t>council</w:t>
      </w:r>
      <w:r w:rsidRPr="00F03917">
        <w:t xml:space="preserve"> inundation practice notes </w:t>
      </w:r>
      <w:r w:rsidR="00AE4177" w:rsidRPr="00F03917">
        <w:t>(eg</w:t>
      </w:r>
      <w:r w:rsidR="00217129" w:rsidRPr="00F03917">
        <w:t>,</w:t>
      </w:r>
      <w:r w:rsidR="00E44547" w:rsidRPr="00F03917">
        <w:t> </w:t>
      </w:r>
      <w:r w:rsidRPr="00F03917">
        <w:t>in district plans</w:t>
      </w:r>
      <w:r w:rsidR="002179DA" w:rsidRPr="00F03917">
        <w:t>,</w:t>
      </w:r>
      <w:r w:rsidRPr="00F03917" w:rsidDel="002179DA">
        <w:t xml:space="preserve"> </w:t>
      </w:r>
      <w:r w:rsidRPr="00F03917">
        <w:t>engineering standards or</w:t>
      </w:r>
      <w:r w:rsidRPr="00F03917" w:rsidDel="00F12305">
        <w:t xml:space="preserve"> </w:t>
      </w:r>
      <w:r w:rsidRPr="00F03917">
        <w:t>land-use plans</w:t>
      </w:r>
      <w:r w:rsidR="00AE4177" w:rsidRPr="00F03917">
        <w:t>)</w:t>
      </w:r>
      <w:r w:rsidRPr="00F03917">
        <w:t xml:space="preserve"> where the planning rules for managing significant risk may differ spatially by us</w:t>
      </w:r>
      <w:r w:rsidR="008A5E51" w:rsidRPr="00F03917">
        <w:t>ing</w:t>
      </w:r>
      <w:r w:rsidRPr="00F03917">
        <w:t xml:space="preserve"> an overlay show</w:t>
      </w:r>
      <w:r w:rsidR="008E015C" w:rsidRPr="00F03917">
        <w:t>ing</w:t>
      </w:r>
      <w:r w:rsidRPr="00F03917">
        <w:t xml:space="preserve"> different colours for varying rules for subdivision, relocation or earthworks </w:t>
      </w:r>
      <w:r w:rsidR="00AE53AE" w:rsidRPr="00F03917">
        <w:t>by location</w:t>
      </w:r>
      <w:r w:rsidRPr="00F03917">
        <w:t>.</w:t>
      </w:r>
    </w:p>
    <w:p w14:paraId="6565356B" w14:textId="4F905927" w:rsidR="00B8779D" w:rsidRPr="00F03917" w:rsidRDefault="00B8779D" w:rsidP="00F36E52">
      <w:pPr>
        <w:pStyle w:val="BodyText"/>
      </w:pPr>
      <w:r w:rsidRPr="00F03917">
        <w:t>Sampling and averaging the VLM rates on a 2 kilometre grid (</w:t>
      </w:r>
      <w:hyperlink w:anchor="figure9" w:history="1">
        <w:r w:rsidRPr="00F03917">
          <w:rPr>
            <w:rStyle w:val="Hyperlink"/>
          </w:rPr>
          <w:t>figure 9</w:t>
        </w:r>
      </w:hyperlink>
      <w:r w:rsidRPr="00F03917">
        <w:t xml:space="preserve">) mean spatial variability is captured within the uncertainties of each of the VLM estimates in RSLR projections. An error </w:t>
      </w:r>
      <w:r w:rsidRPr="00F03917">
        <w:lastRenderedPageBreak/>
        <w:t xml:space="preserve">and a quality factor (1 = good, 5 = poor) </w:t>
      </w:r>
      <w:r w:rsidR="007A166C" w:rsidRPr="00F03917">
        <w:t>are</w:t>
      </w:r>
      <w:r w:rsidRPr="00F03917">
        <w:t xml:space="preserve"> generated for each location that consider the number of satellite observations available for each coastal location, the radial distance used to</w:t>
      </w:r>
      <w:r w:rsidR="009D1247" w:rsidRPr="00F03917">
        <w:t> </w:t>
      </w:r>
      <w:r w:rsidRPr="00F03917">
        <w:t xml:space="preserve">bin (sample) the observations and the distance to the nearest GNSS station. If a quality factor is poor, and/or a locally monitored VLM rate is available and is considerably different </w:t>
      </w:r>
      <w:r w:rsidR="00752654" w:rsidRPr="00F03917">
        <w:t>from</w:t>
      </w:r>
      <w:r w:rsidRPr="00F03917">
        <w:t xml:space="preserve"> the satellite</w:t>
      </w:r>
      <w:r w:rsidR="00752654" w:rsidRPr="00F03917">
        <w:t>-</w:t>
      </w:r>
      <w:r w:rsidRPr="00F03917">
        <w:t>derived VLM rate, then the latter can be used instead. If the quality factor value is at the poor end of the scale, or the error estimate is high, then a sensitivity test with different VLM rates to test the DAPP options and pathways, coupled with local knowledge of VLM, may be required until a data update with more accuracy becomes available. More information on the quality factor and range of VLM variability for each site is available in Naish et al (in review) and on the NZ SeaRise website.</w:t>
      </w:r>
    </w:p>
    <w:p w14:paraId="6430D474" w14:textId="7759A498" w:rsidR="00EC3043" w:rsidRPr="00F03917" w:rsidRDefault="00E41A99" w:rsidP="009D1247">
      <w:pPr>
        <w:pStyle w:val="Heading5"/>
      </w:pPr>
      <w:r w:rsidRPr="00F03917">
        <w:rPr>
          <w:bCs/>
        </w:rPr>
        <w:t>L</w:t>
      </w:r>
      <w:r w:rsidR="000C4B32" w:rsidRPr="00F03917">
        <w:t>ocally</w:t>
      </w:r>
      <w:r w:rsidR="76812184" w:rsidRPr="00F03917">
        <w:t xml:space="preserve"> </w:t>
      </w:r>
      <w:r w:rsidR="000C4B32" w:rsidRPr="00F03917">
        <w:t>monitored</w:t>
      </w:r>
      <w:r w:rsidR="00E13BF4" w:rsidRPr="00F03917">
        <w:t xml:space="preserve"> </w:t>
      </w:r>
      <w:r w:rsidR="30EDCE0C" w:rsidRPr="00F03917">
        <w:t>vertical land movement</w:t>
      </w:r>
    </w:p>
    <w:p w14:paraId="29402B66" w14:textId="1B5712A9" w:rsidR="00E13BF4" w:rsidRPr="00F03917" w:rsidRDefault="000641BE" w:rsidP="009D1247">
      <w:pPr>
        <w:pStyle w:val="BodyText"/>
      </w:pPr>
      <w:r w:rsidRPr="00F03917">
        <w:t xml:space="preserve">In areas where the </w:t>
      </w:r>
      <w:r w:rsidR="19634C66" w:rsidRPr="00F03917">
        <w:t>local</w:t>
      </w:r>
      <w:r w:rsidR="098A8EE1" w:rsidRPr="00F03917">
        <w:t>ised</w:t>
      </w:r>
      <w:r w:rsidRPr="00F03917">
        <w:t xml:space="preserve"> subsidence </w:t>
      </w:r>
      <w:r w:rsidR="006C25C6" w:rsidRPr="00F03917">
        <w:t xml:space="preserve">(negative VLM rate) </w:t>
      </w:r>
      <w:r w:rsidRPr="00F03917">
        <w:t>or uplift</w:t>
      </w:r>
      <w:r w:rsidR="006C25C6" w:rsidRPr="00F03917">
        <w:t xml:space="preserve"> (positive VLM rate)</w:t>
      </w:r>
      <w:r w:rsidRPr="00F03917">
        <w:t xml:space="preserve"> is being </w:t>
      </w:r>
      <w:r w:rsidRPr="00F03917" w:rsidDel="00B91B36">
        <w:t xml:space="preserve">monitored </w:t>
      </w:r>
      <w:r w:rsidR="098A8EE1" w:rsidRPr="00F03917">
        <w:t xml:space="preserve">over time </w:t>
      </w:r>
      <w:r w:rsidRPr="00F03917">
        <w:t xml:space="preserve">and </w:t>
      </w:r>
      <w:r w:rsidR="043BED34" w:rsidRPr="00F03917">
        <w:t xml:space="preserve">is </w:t>
      </w:r>
      <w:r w:rsidR="00AC7346" w:rsidRPr="00F03917">
        <w:t xml:space="preserve">considerably </w:t>
      </w:r>
      <w:r w:rsidR="043BED34" w:rsidRPr="00F03917">
        <w:t xml:space="preserve">different from the </w:t>
      </w:r>
      <w:r w:rsidRPr="00F03917">
        <w:t>NZ</w:t>
      </w:r>
      <w:r w:rsidR="000028DB" w:rsidRPr="00F03917">
        <w:t xml:space="preserve"> </w:t>
      </w:r>
      <w:r w:rsidRPr="00F03917">
        <w:t>SeaRise</w:t>
      </w:r>
      <w:r w:rsidR="00BF0AC0" w:rsidRPr="00F03917">
        <w:t xml:space="preserve"> satellite</w:t>
      </w:r>
      <w:r w:rsidR="00A97B63" w:rsidRPr="00F03917">
        <w:t>-</w:t>
      </w:r>
      <w:r w:rsidR="00BF0AC0" w:rsidRPr="00F03917">
        <w:t>derived</w:t>
      </w:r>
      <w:r w:rsidRPr="00F03917">
        <w:t xml:space="preserve"> </w:t>
      </w:r>
      <w:r w:rsidR="00E24849" w:rsidRPr="00F03917">
        <w:t>VLM</w:t>
      </w:r>
      <w:r w:rsidRPr="00F03917">
        <w:t xml:space="preserve"> rate, use the SSP </w:t>
      </w:r>
      <w:r w:rsidR="00F81077" w:rsidRPr="00F03917">
        <w:t>scenario</w:t>
      </w:r>
      <w:r w:rsidR="00421A39" w:rsidRPr="00F03917">
        <w:t>-</w:t>
      </w:r>
      <w:r w:rsidR="00F81077" w:rsidRPr="00F03917">
        <w:t>based</w:t>
      </w:r>
      <w:r w:rsidRPr="00F03917">
        <w:t xml:space="preserve"> </w:t>
      </w:r>
      <w:r w:rsidR="078ED358" w:rsidRPr="00F03917">
        <w:t>SLR projections</w:t>
      </w:r>
      <w:r w:rsidRPr="00F03917">
        <w:t xml:space="preserve"> in </w:t>
      </w:r>
      <w:r w:rsidR="00D92F24" w:rsidRPr="00F03917">
        <w:t>the NZ SeaRise platform</w:t>
      </w:r>
      <w:r w:rsidRPr="00F03917">
        <w:t xml:space="preserve"> without VLM</w:t>
      </w:r>
      <w:r w:rsidR="00076B8F" w:rsidRPr="00F03917">
        <w:t xml:space="preserve"> </w:t>
      </w:r>
      <w:r w:rsidR="1B040C0A" w:rsidRPr="00F03917">
        <w:t>(median line is dashed)</w:t>
      </w:r>
      <w:r w:rsidR="19634C66" w:rsidRPr="00F03917">
        <w:t>.</w:t>
      </w:r>
      <w:r w:rsidRPr="00F03917">
        <w:t xml:space="preserve"> Then add on the contribution </w:t>
      </w:r>
      <w:r w:rsidR="1B040C0A" w:rsidRPr="00F03917">
        <w:t>(in metres)</w:t>
      </w:r>
      <w:r w:rsidR="19634C66" w:rsidRPr="00F03917">
        <w:t xml:space="preserve"> from the </w:t>
      </w:r>
      <w:r w:rsidR="6A90AE7F" w:rsidRPr="00F03917" w:rsidDel="00BD66A1">
        <w:t>monitored</w:t>
      </w:r>
      <w:r w:rsidR="19634C66" w:rsidRPr="00F03917" w:rsidDel="00BD66A1">
        <w:t xml:space="preserve"> </w:t>
      </w:r>
      <w:r w:rsidR="19634C66" w:rsidRPr="00F03917">
        <w:t>VLM rate</w:t>
      </w:r>
      <w:r w:rsidR="6A90AE7F" w:rsidRPr="00F03917">
        <w:t xml:space="preserve"> (mm</w:t>
      </w:r>
      <w:r w:rsidR="549BDEC0" w:rsidRPr="00F03917">
        <w:t xml:space="preserve"> per</w:t>
      </w:r>
      <w:r w:rsidR="1C48D217" w:rsidRPr="00F03917">
        <w:t xml:space="preserve"> </w:t>
      </w:r>
      <w:r w:rsidR="6A90AE7F" w:rsidRPr="00F03917">
        <w:t>y</w:t>
      </w:r>
      <w:r w:rsidR="1C48D217" w:rsidRPr="00F03917">
        <w:t>ea</w:t>
      </w:r>
      <w:r w:rsidR="6A90AE7F" w:rsidRPr="00F03917">
        <w:t>r)</w:t>
      </w:r>
      <w:r w:rsidR="19634C66" w:rsidRPr="00F03917">
        <w:t xml:space="preserve"> using this formula</w:t>
      </w:r>
      <w:r w:rsidR="6A90AE7F" w:rsidRPr="00F03917">
        <w:t xml:space="preserve"> to the non-VLM </w:t>
      </w:r>
      <w:r w:rsidR="00201414" w:rsidRPr="00F03917">
        <w:t xml:space="preserve">SLR </w:t>
      </w:r>
      <w:r w:rsidR="6A90AE7F" w:rsidRPr="00F03917">
        <w:t xml:space="preserve">projections from </w:t>
      </w:r>
      <w:r w:rsidR="00D92F24" w:rsidRPr="00F03917">
        <w:t>the platform</w:t>
      </w:r>
      <w:r w:rsidR="6A90AE7F" w:rsidRPr="00F03917">
        <w:t xml:space="preserve"> (also</w:t>
      </w:r>
      <w:r w:rsidR="00076B8F" w:rsidRPr="00F03917">
        <w:t> </w:t>
      </w:r>
      <w:r w:rsidR="6A90AE7F" w:rsidRPr="00F03917">
        <w:t>in metres)</w:t>
      </w:r>
      <w:r w:rsidR="19634C66" w:rsidRPr="00F03917">
        <w:t>:</w:t>
      </w:r>
      <w:r w:rsidR="1141B79A" w:rsidRPr="00F03917">
        <w:t xml:space="preserve"> </w:t>
      </w:r>
    </w:p>
    <w:p w14:paraId="60B90B89" w14:textId="02EC44C9" w:rsidR="00356217" w:rsidRPr="00F03917" w:rsidRDefault="00356217" w:rsidP="00E95628">
      <w:pPr>
        <w:pStyle w:val="BodyText"/>
        <w:jc w:val="center"/>
      </w:pPr>
      <w:r w:rsidRPr="00F03917">
        <w:t>–</w:t>
      </w:r>
      <w:r w:rsidR="00B42FF6" w:rsidRPr="00F03917">
        <w:t>1.0</w:t>
      </w:r>
      <w:r w:rsidRPr="00F03917">
        <w:t xml:space="preserve"> × VLM rate</w:t>
      </w:r>
      <w:r w:rsidR="000001C8" w:rsidRPr="00F03917">
        <w:t xml:space="preserve"> </w:t>
      </w:r>
      <w:r w:rsidRPr="00F03917">
        <w:t>[</w:t>
      </w:r>
      <w:r w:rsidRPr="00F03917">
        <w:rPr>
          <w:i/>
          <w:iCs/>
        </w:rPr>
        <w:t>mm/yr</w:t>
      </w:r>
      <w:r w:rsidRPr="00F03917">
        <w:t>] × (Future Year – 2005)/1000 [</w:t>
      </w:r>
      <w:r w:rsidRPr="00F03917">
        <w:rPr>
          <w:i/>
          <w:iCs/>
        </w:rPr>
        <w:t>metres</w:t>
      </w:r>
      <w:r w:rsidRPr="00F03917">
        <w:t>]</w:t>
      </w:r>
    </w:p>
    <w:p w14:paraId="0215E7A7" w14:textId="1E0E4CE2" w:rsidR="00CB259C" w:rsidRPr="00F03917" w:rsidRDefault="00356217" w:rsidP="00E95628">
      <w:pPr>
        <w:pStyle w:val="BodyText"/>
      </w:pPr>
      <w:r w:rsidRPr="00F03917">
        <w:t xml:space="preserve">An example is the </w:t>
      </w:r>
      <w:r w:rsidR="4A4FBB39" w:rsidRPr="00F03917">
        <w:t xml:space="preserve">historically </w:t>
      </w:r>
      <w:r w:rsidRPr="00F03917">
        <w:t xml:space="preserve">reclaimed coastal </w:t>
      </w:r>
      <w:r w:rsidR="4A4FBB39" w:rsidRPr="00F03917">
        <w:t>margin</w:t>
      </w:r>
      <w:r w:rsidRPr="00F03917">
        <w:t xml:space="preserve"> along the Thames</w:t>
      </w:r>
      <w:r w:rsidR="6CA1F88E" w:rsidRPr="00F03917">
        <w:t xml:space="preserve"> </w:t>
      </w:r>
      <w:r w:rsidR="4A4FBB39" w:rsidRPr="00F03917">
        <w:t>(</w:t>
      </w:r>
      <w:r w:rsidRPr="00F03917">
        <w:t>Coromandel</w:t>
      </w:r>
      <w:r w:rsidR="4A4FBB39" w:rsidRPr="00F03917">
        <w:t>)</w:t>
      </w:r>
      <w:r w:rsidRPr="00F03917">
        <w:t xml:space="preserve"> foreshore</w:t>
      </w:r>
      <w:r w:rsidR="00AD76D9" w:rsidRPr="00F03917">
        <w:t>,</w:t>
      </w:r>
      <w:r w:rsidRPr="00F03917">
        <w:t xml:space="preserve"> </w:t>
      </w:r>
      <w:r w:rsidR="00E15874" w:rsidRPr="00F03917">
        <w:t xml:space="preserve">which </w:t>
      </w:r>
      <w:r w:rsidRPr="00F03917">
        <w:t>is subsiding at rates</w:t>
      </w:r>
      <w:r w:rsidR="00014C01" w:rsidRPr="00F03917">
        <w:t xml:space="preserve"> known</w:t>
      </w:r>
      <w:r w:rsidR="3BA30B73" w:rsidRPr="00F03917">
        <w:t xml:space="preserve"> f</w:t>
      </w:r>
      <w:r w:rsidR="7B63BEAD" w:rsidRPr="00F03917">
        <w:t>r</w:t>
      </w:r>
      <w:r w:rsidR="3BA30B73" w:rsidRPr="00F03917">
        <w:t>om a</w:t>
      </w:r>
      <w:r w:rsidR="00FE6D84" w:rsidRPr="00F03917">
        <w:t xml:space="preserve"> local</w:t>
      </w:r>
      <w:r w:rsidR="3BA30B73" w:rsidRPr="00F03917">
        <w:t xml:space="preserve"> monitoring programme</w:t>
      </w:r>
      <w:r w:rsidRPr="00F03917">
        <w:t xml:space="preserve"> whereas the main landward part of Thames is uplifting</w:t>
      </w:r>
      <w:r w:rsidR="00E0197C" w:rsidRPr="00F03917">
        <w:t>.</w:t>
      </w:r>
      <w:r w:rsidR="0063243A" w:rsidRPr="00F03917">
        <w:rPr>
          <w:rStyle w:val="FootnoteReference"/>
        </w:rPr>
        <w:footnoteReference w:id="36"/>
      </w:r>
      <w:r w:rsidRPr="00F03917">
        <w:t xml:space="preserve"> </w:t>
      </w:r>
    </w:p>
    <w:p w14:paraId="55E1E893" w14:textId="14C86C7A" w:rsidR="005474C1" w:rsidRPr="00F03917" w:rsidRDefault="00356217" w:rsidP="00E95628">
      <w:pPr>
        <w:pStyle w:val="BodyText"/>
      </w:pPr>
      <w:r w:rsidRPr="00F03917">
        <w:t xml:space="preserve">Independently determining </w:t>
      </w:r>
      <w:r w:rsidR="004666C4" w:rsidRPr="00F03917">
        <w:t>loca</w:t>
      </w:r>
      <w:r w:rsidR="0052277C" w:rsidRPr="00F03917">
        <w:t xml:space="preserve">lly measured </w:t>
      </w:r>
      <w:r w:rsidRPr="00F03917">
        <w:t xml:space="preserve">VLM </w:t>
      </w:r>
      <w:r w:rsidR="00CB259C" w:rsidRPr="00F03917">
        <w:t xml:space="preserve">rates </w:t>
      </w:r>
      <w:r w:rsidRPr="00F03917">
        <w:t>may also be relevant for Christchurch</w:t>
      </w:r>
      <w:r w:rsidR="00A66C75" w:rsidRPr="00F03917">
        <w:t>, North Canterbury</w:t>
      </w:r>
      <w:r w:rsidRPr="00F03917">
        <w:t xml:space="preserve"> and Kaikōura, once monitoring establishes a consistent post-earthquake trend in VLM.</w:t>
      </w:r>
    </w:p>
    <w:p w14:paraId="7477016E" w14:textId="0203025D" w:rsidR="00331E7B" w:rsidRPr="00F03917" w:rsidRDefault="00331E7B" w:rsidP="00E95628">
      <w:pPr>
        <w:pStyle w:val="BodyText"/>
      </w:pPr>
      <w:r w:rsidRPr="00F03917">
        <w:t>Some c</w:t>
      </w:r>
      <w:r w:rsidR="066969B6" w:rsidRPr="00F03917">
        <w:t>aution</w:t>
      </w:r>
      <w:r w:rsidRPr="00F03917">
        <w:t xml:space="preserve"> is still need</w:t>
      </w:r>
      <w:r w:rsidR="00046806" w:rsidRPr="00F03917">
        <w:t>ed</w:t>
      </w:r>
      <w:r w:rsidRPr="00F03917">
        <w:t xml:space="preserve"> to </w:t>
      </w:r>
      <w:r w:rsidR="758FCB25" w:rsidRPr="00F03917">
        <w:t>appraise how widely</w:t>
      </w:r>
      <w:r w:rsidR="00BF3302" w:rsidRPr="00F03917">
        <w:t xml:space="preserve"> the </w:t>
      </w:r>
      <w:r w:rsidR="7FBE4B38" w:rsidRPr="00F03917">
        <w:t>monitored</w:t>
      </w:r>
      <w:r w:rsidR="00BF3302" w:rsidRPr="00F03917">
        <w:t xml:space="preserve"> VLM </w:t>
      </w:r>
      <w:r w:rsidR="003E1711" w:rsidRPr="00F03917">
        <w:t xml:space="preserve">at a site </w:t>
      </w:r>
      <w:r w:rsidR="00BF3302" w:rsidRPr="00F03917">
        <w:t xml:space="preserve">is </w:t>
      </w:r>
      <w:r w:rsidR="0DBE95B5" w:rsidRPr="00F03917">
        <w:t>representative</w:t>
      </w:r>
      <w:r w:rsidR="6C1700C3" w:rsidRPr="00F03917">
        <w:t xml:space="preserve"> of the </w:t>
      </w:r>
      <w:r w:rsidR="062AA3DA" w:rsidRPr="00F03917">
        <w:t>movement</w:t>
      </w:r>
      <w:r w:rsidR="78CFD4E6" w:rsidRPr="00F03917">
        <w:t xml:space="preserve"> </w:t>
      </w:r>
      <w:r w:rsidR="0874C72C" w:rsidRPr="00F03917">
        <w:t>of</w:t>
      </w:r>
      <w:r w:rsidR="00046806" w:rsidRPr="00F03917">
        <w:t xml:space="preserve"> </w:t>
      </w:r>
      <w:r w:rsidR="003E1711" w:rsidRPr="00F03917">
        <w:t xml:space="preserve">the </w:t>
      </w:r>
      <w:r w:rsidR="00993DC6" w:rsidRPr="00F03917">
        <w:t xml:space="preserve">surrounding </w:t>
      </w:r>
      <w:r w:rsidR="0874C72C" w:rsidRPr="00F03917">
        <w:t>area.</w:t>
      </w:r>
    </w:p>
    <w:p w14:paraId="6BDA3923" w14:textId="78153C45" w:rsidR="00994E8A" w:rsidRPr="00F03917" w:rsidRDefault="7068586A" w:rsidP="00B765D7">
      <w:pPr>
        <w:pStyle w:val="Heading3"/>
        <w:numPr>
          <w:ilvl w:val="0"/>
          <w:numId w:val="22"/>
        </w:numPr>
        <w:spacing w:before="240"/>
      </w:pPr>
      <w:bookmarkStart w:id="69" w:name="_Interim_allowances_for"/>
      <w:bookmarkEnd w:id="69"/>
      <w:r w:rsidRPr="00F03917">
        <w:t xml:space="preserve">Interim allowances for </w:t>
      </w:r>
      <w:r w:rsidR="7D128205" w:rsidRPr="00F03917">
        <w:t>relative sea-level rise</w:t>
      </w:r>
      <w:r w:rsidRPr="00F03917">
        <w:t xml:space="preserve"> </w:t>
      </w:r>
    </w:p>
    <w:p w14:paraId="370345DD" w14:textId="5FE70A63" w:rsidR="00E352C0" w:rsidRPr="00F03917" w:rsidRDefault="172BBD4F" w:rsidP="00E0197C">
      <w:pPr>
        <w:pStyle w:val="BodyText"/>
      </w:pPr>
      <w:r w:rsidRPr="00F03917">
        <w:t>Interim RSLR allowances are provided as guidance for plan making and land-use decisions (eg, intensification, change in land</w:t>
      </w:r>
      <w:r w:rsidR="4635A0CB" w:rsidRPr="00F03917">
        <w:t xml:space="preserve"> </w:t>
      </w:r>
      <w:r w:rsidRPr="00F03917">
        <w:t>use) for coastal areas</w:t>
      </w:r>
      <w:r w:rsidR="0049645E" w:rsidRPr="00F03917">
        <w:t>.</w:t>
      </w:r>
      <w:r w:rsidRPr="00F03917">
        <w:t xml:space="preserve"> They form a precautionary initial planning</w:t>
      </w:r>
      <w:r w:rsidR="3FB385D3" w:rsidRPr="00F03917">
        <w:t xml:space="preserve"> and </w:t>
      </w:r>
      <w:r w:rsidRPr="00F03917">
        <w:t xml:space="preserve">design response, </w:t>
      </w:r>
      <w:r w:rsidR="6B71BFA6" w:rsidRPr="00F03917">
        <w:t>before</w:t>
      </w:r>
      <w:r w:rsidRPr="00F03917">
        <w:t xml:space="preserve"> undertaking </w:t>
      </w:r>
      <w:r w:rsidR="00FB7D8C" w:rsidRPr="00F03917">
        <w:t xml:space="preserve">a </w:t>
      </w:r>
      <w:r w:rsidRPr="00F03917">
        <w:t>detailed risk assessment (</w:t>
      </w:r>
      <w:hyperlink w:anchor="_Step_4:_Assess" w:history="1">
        <w:r w:rsidR="465F995D" w:rsidRPr="00F03917">
          <w:rPr>
            <w:rStyle w:val="Hyperlink"/>
          </w:rPr>
          <w:t>s</w:t>
        </w:r>
        <w:r w:rsidR="00E352C0" w:rsidRPr="00F03917">
          <w:rPr>
            <w:rStyle w:val="Hyperlink"/>
          </w:rPr>
          <w:t>tep</w:t>
        </w:r>
        <w:r w:rsidRPr="00F03917">
          <w:rPr>
            <w:rStyle w:val="Hyperlink"/>
          </w:rPr>
          <w:t xml:space="preserve"> 4</w:t>
        </w:r>
      </w:hyperlink>
      <w:r w:rsidRPr="00F03917">
        <w:t>)</w:t>
      </w:r>
      <w:r w:rsidR="5D822B84" w:rsidRPr="00F03917">
        <w:t>,</w:t>
      </w:r>
      <w:r w:rsidRPr="00F03917">
        <w:t xml:space="preserve"> followed by </w:t>
      </w:r>
      <w:r w:rsidR="0004188A" w:rsidRPr="00F03917">
        <w:t>the</w:t>
      </w:r>
      <w:r w:rsidR="008B4E57" w:rsidRPr="00F03917">
        <w:t> </w:t>
      </w:r>
      <w:r w:rsidR="0004188A" w:rsidRPr="00F03917">
        <w:t>development of</w:t>
      </w:r>
      <w:r w:rsidRPr="00F03917">
        <w:t xml:space="preserve"> a</w:t>
      </w:r>
      <w:r w:rsidR="0004188A" w:rsidRPr="00F03917">
        <w:t>n adaptive planning strategy based on the</w:t>
      </w:r>
      <w:r w:rsidRPr="00F03917">
        <w:t xml:space="preserve"> </w:t>
      </w:r>
      <w:r w:rsidR="00F62722" w:rsidRPr="00F03917">
        <w:t>DAPP</w:t>
      </w:r>
      <w:r w:rsidRPr="00F03917">
        <w:t xml:space="preserve"> </w:t>
      </w:r>
      <w:r w:rsidR="00944303" w:rsidRPr="00F03917">
        <w:t>approach</w:t>
      </w:r>
      <w:r w:rsidRPr="00F03917">
        <w:t xml:space="preserve"> (</w:t>
      </w:r>
      <w:hyperlink w:anchor="_Step_6:_Evaluate" w:history="1">
        <w:r w:rsidR="35E09677" w:rsidRPr="00F03917">
          <w:rPr>
            <w:rStyle w:val="Hyperlink"/>
          </w:rPr>
          <w:t>s</w:t>
        </w:r>
        <w:r w:rsidRPr="00F03917">
          <w:rPr>
            <w:rStyle w:val="Hyperlink"/>
          </w:rPr>
          <w:t>tep</w:t>
        </w:r>
        <w:r w:rsidR="00E352C0" w:rsidRPr="00F03917">
          <w:rPr>
            <w:rStyle w:val="Hyperlink"/>
          </w:rPr>
          <w:t xml:space="preserve"> </w:t>
        </w:r>
        <w:r w:rsidRPr="00F03917">
          <w:rPr>
            <w:rStyle w:val="Hyperlink"/>
          </w:rPr>
          <w:t>6</w:t>
        </w:r>
      </w:hyperlink>
      <w:r w:rsidR="6F2198F3" w:rsidRPr="00F03917">
        <w:t xml:space="preserve"> and </w:t>
      </w:r>
      <w:hyperlink w:anchor="_Step_7:_D" w:history="1">
        <w:r w:rsidR="6F2198F3" w:rsidRPr="00F03917">
          <w:rPr>
            <w:rStyle w:val="Hyperlink"/>
          </w:rPr>
          <w:t xml:space="preserve">step </w:t>
        </w:r>
        <w:r w:rsidRPr="00F03917">
          <w:rPr>
            <w:rStyle w:val="Hyperlink"/>
          </w:rPr>
          <w:t>7</w:t>
        </w:r>
      </w:hyperlink>
      <w:r w:rsidR="00740B70" w:rsidRPr="00F03917">
        <w:t>). T</w:t>
      </w:r>
      <w:r w:rsidR="00145171" w:rsidRPr="00F03917">
        <w:t>he DAPP approach</w:t>
      </w:r>
      <w:r w:rsidRPr="00F03917">
        <w:t xml:space="preserve"> takes a system view </w:t>
      </w:r>
      <w:r w:rsidR="2F20E2D6" w:rsidRPr="00F03917">
        <w:t xml:space="preserve">to </w:t>
      </w:r>
      <w:r w:rsidRPr="00F03917">
        <w:t xml:space="preserve">evaluating cascading impacts. This approach is consistent with council planning decisions </w:t>
      </w:r>
      <w:r w:rsidR="3A633636" w:rsidRPr="00F03917">
        <w:t>that</w:t>
      </w:r>
      <w:r w:rsidRPr="00F03917">
        <w:t xml:space="preserve"> implement other</w:t>
      </w:r>
      <w:r w:rsidR="6CCB9A1E" w:rsidRPr="00F03917">
        <w:t xml:space="preserve"> Resource Management Act 1991</w:t>
      </w:r>
      <w:r w:rsidRPr="00F03917">
        <w:t xml:space="preserve"> requirements and policies</w:t>
      </w:r>
      <w:r w:rsidR="2A32991E" w:rsidRPr="00F03917">
        <w:t>,</w:t>
      </w:r>
      <w:r w:rsidRPr="00F03917">
        <w:t xml:space="preserve"> such as the precautionary approach (Policy</w:t>
      </w:r>
      <w:r w:rsidR="000815DC" w:rsidRPr="00F03917">
        <w:t> </w:t>
      </w:r>
      <w:r w:rsidRPr="00F03917">
        <w:t>3</w:t>
      </w:r>
      <w:r w:rsidR="028D66D0" w:rsidRPr="00F03917">
        <w:t>, NZCPS</w:t>
      </w:r>
      <w:r w:rsidR="006445BF" w:rsidRPr="00F03917">
        <w:t>,</w:t>
      </w:r>
      <w:r w:rsidR="002E6AD2" w:rsidRPr="00F03917">
        <w:t xml:space="preserve"> DOC, 2</w:t>
      </w:r>
      <w:r w:rsidR="004C329C" w:rsidRPr="00F03917">
        <w:t>01</w:t>
      </w:r>
      <w:r w:rsidR="00653301" w:rsidRPr="00F03917">
        <w:t>0</w:t>
      </w:r>
      <w:r w:rsidR="009A3025" w:rsidRPr="00F03917">
        <w:t>).</w:t>
      </w:r>
    </w:p>
    <w:p w14:paraId="139C0F6C" w14:textId="78726843" w:rsidR="00E352C0" w:rsidRPr="00F03917" w:rsidRDefault="172BBD4F" w:rsidP="00C0088C">
      <w:pPr>
        <w:pStyle w:val="BodyText"/>
      </w:pPr>
      <w:r w:rsidRPr="00F03917">
        <w:t>For making interim decisions on new coastal development or infrastructure and changes in</w:t>
      </w:r>
      <w:r w:rsidR="00C0088C" w:rsidRPr="00F03917">
        <w:t> </w:t>
      </w:r>
      <w:r w:rsidRPr="00F03917">
        <w:t>land use</w:t>
      </w:r>
      <w:r w:rsidR="4C0F2C32" w:rsidRPr="00F03917">
        <w:t>,</w:t>
      </w:r>
      <w:r w:rsidRPr="00F03917">
        <w:t xml:space="preserve"> such as intensification and upzoning, the precautionary interim allowance </w:t>
      </w:r>
      <w:r w:rsidR="3447E770" w:rsidRPr="00F03917">
        <w:t>recommended</w:t>
      </w:r>
      <w:r w:rsidRPr="00F03917">
        <w:t xml:space="preserve"> (</w:t>
      </w:r>
      <w:r w:rsidR="3527FBE2" w:rsidRPr="00F03917">
        <w:t>before</w:t>
      </w:r>
      <w:r w:rsidRPr="00F03917">
        <w:t xml:space="preserve"> a</w:t>
      </w:r>
      <w:r w:rsidR="00C7009A" w:rsidRPr="00F03917">
        <w:t>n</w:t>
      </w:r>
      <w:r w:rsidR="00AC3848" w:rsidRPr="00F03917">
        <w:t xml:space="preserve"> adaptive planning strategy</w:t>
      </w:r>
      <w:r w:rsidRPr="00F03917">
        <w:t xml:space="preserve"> </w:t>
      </w:r>
      <w:r w:rsidR="1BEC43E9" w:rsidRPr="00F03917">
        <w:t>is</w:t>
      </w:r>
      <w:r w:rsidRPr="00F03917">
        <w:t xml:space="preserve"> developed) is to use the SSP5</w:t>
      </w:r>
      <w:r w:rsidR="006F3074" w:rsidRPr="00F03917">
        <w:noBreakHyphen/>
      </w:r>
      <w:r w:rsidRPr="00F03917">
        <w:t>8.5</w:t>
      </w:r>
      <w:r w:rsidR="006F3074" w:rsidRPr="00F03917">
        <w:t> </w:t>
      </w:r>
      <w:r w:rsidRPr="00F03917">
        <w:t>H+</w:t>
      </w:r>
      <w:r w:rsidR="00C0088C" w:rsidRPr="00F03917">
        <w:t> </w:t>
      </w:r>
      <w:r w:rsidR="00686CE9" w:rsidRPr="00F03917">
        <w:t xml:space="preserve">based </w:t>
      </w:r>
      <w:r w:rsidRPr="00F03917">
        <w:t xml:space="preserve">RSLR </w:t>
      </w:r>
      <w:r w:rsidR="00E352C0" w:rsidRPr="00F03917">
        <w:t>projection</w:t>
      </w:r>
      <w:r w:rsidRPr="00F03917">
        <w:t xml:space="preserve"> to identify areas ‘potentially affected’ by coastal hazards and climate change. Timeframes are also informed by the risk of being affected by coastal </w:t>
      </w:r>
      <w:r w:rsidRPr="00F03917">
        <w:lastRenderedPageBreak/>
        <w:t>hazards, with greater or longer</w:t>
      </w:r>
      <w:r w:rsidR="00331CC1" w:rsidRPr="00F03917">
        <w:t xml:space="preserve"> </w:t>
      </w:r>
      <w:r w:rsidRPr="00F03917">
        <w:t>term investments, such as infrastructure or new suburbs, needing assessment over at least a 100-year period out to 2130</w:t>
      </w:r>
      <w:r w:rsidR="00C0088C" w:rsidRPr="00F03917">
        <w:t>.</w:t>
      </w:r>
      <w:r w:rsidR="00B266D5" w:rsidRPr="00F03917">
        <w:rPr>
          <w:rStyle w:val="FootnoteReference"/>
        </w:rPr>
        <w:footnoteReference w:id="37"/>
      </w:r>
    </w:p>
    <w:p w14:paraId="6508576E" w14:textId="4750D7F4" w:rsidR="00E352C0" w:rsidRPr="00F03917" w:rsidRDefault="00940B8B" w:rsidP="00C0088C">
      <w:pPr>
        <w:pStyle w:val="BodyText"/>
        <w:spacing w:after="240"/>
      </w:pPr>
      <w:r w:rsidRPr="00F03917">
        <w:t>D</w:t>
      </w:r>
      <w:r w:rsidR="00C1271B" w:rsidRPr="00F03917">
        <w:t>eveloping</w:t>
      </w:r>
      <w:r w:rsidR="0069230C" w:rsidRPr="00F03917" w:rsidDel="001C1A89">
        <w:t xml:space="preserve"> </w:t>
      </w:r>
      <w:r w:rsidR="0069230C" w:rsidRPr="00F03917">
        <w:t>a</w:t>
      </w:r>
      <w:r w:rsidR="00FC20C9" w:rsidRPr="00F03917">
        <w:t>n adaptive planning strategy</w:t>
      </w:r>
      <w:r w:rsidR="0069230C" w:rsidRPr="00F03917">
        <w:t xml:space="preserve"> </w:t>
      </w:r>
      <w:r w:rsidRPr="00F03917">
        <w:t xml:space="preserve">(based on the </w:t>
      </w:r>
      <w:r w:rsidR="0069230C" w:rsidRPr="00F03917">
        <w:t xml:space="preserve">DAPP </w:t>
      </w:r>
      <w:r w:rsidRPr="00F03917">
        <w:t>approach)</w:t>
      </w:r>
      <w:r w:rsidR="0069230C" w:rsidRPr="00F03917">
        <w:t xml:space="preserve"> is </w:t>
      </w:r>
      <w:r w:rsidR="172BBD4F" w:rsidRPr="00F03917">
        <w:t>strongly encourage</w:t>
      </w:r>
      <w:r w:rsidR="00761314" w:rsidRPr="00F03917">
        <w:t>d</w:t>
      </w:r>
      <w:r w:rsidR="172BBD4F" w:rsidRPr="00F03917" w:rsidDel="00DF0015">
        <w:t xml:space="preserve"> </w:t>
      </w:r>
      <w:r w:rsidR="172BBD4F" w:rsidRPr="00F03917">
        <w:t xml:space="preserve">to move past the need for </w:t>
      </w:r>
      <w:r w:rsidR="002B46A1" w:rsidRPr="00F03917">
        <w:t>precautionary</w:t>
      </w:r>
      <w:r w:rsidR="172BBD4F" w:rsidRPr="00F03917">
        <w:t xml:space="preserve"> interim allowances</w:t>
      </w:r>
      <w:r w:rsidR="00907A8B" w:rsidRPr="00F03917">
        <w:t>. This is</w:t>
      </w:r>
      <w:r w:rsidR="172BBD4F" w:rsidRPr="00F03917">
        <w:t xml:space="preserve"> so</w:t>
      </w:r>
      <w:r w:rsidR="000E35BC" w:rsidRPr="00F03917">
        <w:t xml:space="preserve"> that</w:t>
      </w:r>
      <w:r w:rsidR="172BBD4F" w:rsidRPr="00F03917">
        <w:t xml:space="preserve"> communities, iwi/hapū and other stakeholders can move to more sustainable options that have been stress-tested and evaluated across a range of RSLR projections. </w:t>
      </w:r>
      <w:r w:rsidR="005406AE" w:rsidRPr="00F03917">
        <w:t>In general, p</w:t>
      </w:r>
      <w:r w:rsidR="172BBD4F" w:rsidRPr="00F03917">
        <w:t>lanning to transition to more sustainable adaptation options over time is consistent with policies managing coastal hazard and risk in the NZCPS (Policy 27</w:t>
      </w:r>
      <w:r w:rsidR="006445BF" w:rsidRPr="00F03917">
        <w:t>,</w:t>
      </w:r>
      <w:r w:rsidR="00126628" w:rsidRPr="00F03917">
        <w:t xml:space="preserve"> DOC, 2010</w:t>
      </w:r>
      <w:r w:rsidR="172BBD4F" w:rsidRPr="00F03917">
        <w:t>).</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tblBorders>
        <w:shd w:val="clear" w:color="auto" w:fill="D5EBE8" w:themeFill="accent3"/>
        <w:tblLook w:val="04A0" w:firstRow="1" w:lastRow="0" w:firstColumn="1" w:lastColumn="0" w:noHBand="0" w:noVBand="1"/>
      </w:tblPr>
      <w:tblGrid>
        <w:gridCol w:w="8505"/>
      </w:tblGrid>
      <w:tr w:rsidR="00E352C0" w:rsidRPr="00F03917" w14:paraId="7DE8F957" w14:textId="77777777" w:rsidTr="00C0088C">
        <w:trPr>
          <w:cantSplit/>
        </w:trPr>
        <w:tc>
          <w:tcPr>
            <w:tcW w:w="8505" w:type="dxa"/>
            <w:shd w:val="clear" w:color="auto" w:fill="D5EBE8" w:themeFill="accent3"/>
          </w:tcPr>
          <w:p w14:paraId="0C0F15D1" w14:textId="08B89319" w:rsidR="00E352C0" w:rsidRPr="00F03917" w:rsidRDefault="172BBD4F" w:rsidP="00C0088C">
            <w:pPr>
              <w:pStyle w:val="Boxtext"/>
              <w:spacing w:after="0"/>
            </w:pPr>
            <w:r w:rsidRPr="00F03917">
              <w:t>Policy 27(1)(e) of the 2010 N</w:t>
            </w:r>
            <w:r w:rsidR="15575E68" w:rsidRPr="00F03917">
              <w:t xml:space="preserve">ew </w:t>
            </w:r>
            <w:r w:rsidRPr="00F03917">
              <w:t>Z</w:t>
            </w:r>
            <w:r w:rsidR="77B140D8" w:rsidRPr="00F03917">
              <w:t xml:space="preserve">ealand </w:t>
            </w:r>
            <w:r w:rsidRPr="00F03917">
              <w:t>C</w:t>
            </w:r>
            <w:r w:rsidR="200AE9F0" w:rsidRPr="00F03917">
              <w:t xml:space="preserve">oastal </w:t>
            </w:r>
            <w:r w:rsidRPr="00F03917">
              <w:t>P</w:t>
            </w:r>
            <w:r w:rsidR="61609937" w:rsidRPr="00F03917">
              <w:t xml:space="preserve">olicy </w:t>
            </w:r>
            <w:r w:rsidRPr="00F03917">
              <w:t>S</w:t>
            </w:r>
            <w:r w:rsidR="19A5012D" w:rsidRPr="00F03917">
              <w:t>tatement</w:t>
            </w:r>
            <w:r w:rsidRPr="00F03917">
              <w:t>, which should be followed in coastal areas, states</w:t>
            </w:r>
            <w:r w:rsidR="10BAB9FA" w:rsidRPr="00F03917">
              <w:t xml:space="preserve"> (DOC, 201</w:t>
            </w:r>
            <w:r w:rsidR="00C842DB" w:rsidRPr="00F03917">
              <w:t>0</w:t>
            </w:r>
            <w:r w:rsidR="10BAB9FA" w:rsidRPr="00F03917">
              <w:t xml:space="preserve">, p </w:t>
            </w:r>
            <w:r w:rsidR="767D577E" w:rsidRPr="00F03917">
              <w:t>24)</w:t>
            </w:r>
            <w:r w:rsidRPr="00F03917">
              <w:t>:</w:t>
            </w:r>
            <w:r w:rsidR="00977ED4" w:rsidRPr="00F03917">
              <w:t xml:space="preserve"> </w:t>
            </w:r>
          </w:p>
          <w:p w14:paraId="39C4BA42" w14:textId="7E34D7BD" w:rsidR="00E352C0" w:rsidRPr="00F03917" w:rsidRDefault="00E352C0" w:rsidP="00146893">
            <w:pPr>
              <w:pStyle w:val="Boxtext"/>
              <w:tabs>
                <w:tab w:val="left" w:pos="1134"/>
              </w:tabs>
              <w:spacing w:after="0"/>
              <w:ind w:left="1134" w:right="567" w:hanging="567"/>
              <w:rPr>
                <w:color w:val="1B556B" w:themeColor="text2"/>
                <w:sz w:val="18"/>
                <w:szCs w:val="20"/>
              </w:rPr>
            </w:pPr>
            <w:r w:rsidRPr="00F03917">
              <w:rPr>
                <w:sz w:val="18"/>
                <w:szCs w:val="20"/>
              </w:rPr>
              <w:t>[27](1)</w:t>
            </w:r>
            <w:r w:rsidR="00621583" w:rsidRPr="00F03917">
              <w:rPr>
                <w:sz w:val="18"/>
                <w:szCs w:val="20"/>
              </w:rPr>
              <w:tab/>
            </w:r>
            <w:r w:rsidRPr="00F03917">
              <w:rPr>
                <w:sz w:val="18"/>
                <w:szCs w:val="20"/>
              </w:rPr>
              <w:t xml:space="preserve">In areas of significant existing development likely to be affected by coastal hazards, the </w:t>
            </w:r>
            <w:r w:rsidRPr="00F03917">
              <w:rPr>
                <w:color w:val="1B556B" w:themeColor="text2"/>
                <w:sz w:val="18"/>
                <w:szCs w:val="20"/>
              </w:rPr>
              <w:t>range of options for reducing coastal hazard risk that should be assessed includes:</w:t>
            </w:r>
            <w:r w:rsidR="00977ED4" w:rsidRPr="00F03917">
              <w:rPr>
                <w:color w:val="1B556B" w:themeColor="text2"/>
                <w:sz w:val="18"/>
                <w:szCs w:val="20"/>
              </w:rPr>
              <w:t xml:space="preserve"> </w:t>
            </w:r>
          </w:p>
          <w:p w14:paraId="4B2A4CD1" w14:textId="46C6B91D" w:rsidR="00E352C0" w:rsidRPr="00F03917" w:rsidRDefault="00E352C0" w:rsidP="00A073D7">
            <w:pPr>
              <w:pStyle w:val="Boxtext"/>
              <w:spacing w:before="0" w:after="0"/>
              <w:ind w:left="1158" w:right="567"/>
              <w:rPr>
                <w:color w:val="1B556B" w:themeColor="text2"/>
                <w:sz w:val="18"/>
                <w:szCs w:val="20"/>
              </w:rPr>
            </w:pPr>
            <w:r w:rsidRPr="00F03917">
              <w:rPr>
                <w:color w:val="1B556B" w:themeColor="text2"/>
                <w:sz w:val="18"/>
                <w:szCs w:val="20"/>
              </w:rPr>
              <w:t>…</w:t>
            </w:r>
          </w:p>
          <w:p w14:paraId="30D1DBC6" w14:textId="738883F7" w:rsidR="00E352C0" w:rsidRPr="00F03917" w:rsidRDefault="00E352C0" w:rsidP="00A073D7">
            <w:pPr>
              <w:pStyle w:val="Boxtext"/>
              <w:spacing w:before="0" w:after="240"/>
              <w:ind w:left="1442" w:right="567" w:hanging="308"/>
            </w:pPr>
            <w:r w:rsidRPr="00F03917">
              <w:rPr>
                <w:color w:val="1B556B" w:themeColor="text2"/>
                <w:sz w:val="18"/>
                <w:szCs w:val="20"/>
              </w:rPr>
              <w:t>(e)</w:t>
            </w:r>
            <w:r w:rsidR="00A073D7" w:rsidRPr="00F03917">
              <w:rPr>
                <w:color w:val="1B556B" w:themeColor="text2"/>
                <w:sz w:val="18"/>
                <w:szCs w:val="20"/>
              </w:rPr>
              <w:tab/>
            </w:r>
            <w:r w:rsidRPr="00F03917">
              <w:rPr>
                <w:color w:val="1B556B" w:themeColor="text2"/>
                <w:sz w:val="18"/>
                <w:szCs w:val="20"/>
              </w:rPr>
              <w:t xml:space="preserve"> identifying and planning for transition mechanisms and timeframes for moving to more sustainable </w:t>
            </w:r>
            <w:r w:rsidR="00D24ECB" w:rsidRPr="00F03917">
              <w:rPr>
                <w:color w:val="1B556B" w:themeColor="text2"/>
                <w:sz w:val="18"/>
                <w:szCs w:val="20"/>
              </w:rPr>
              <w:t>approaches</w:t>
            </w:r>
            <w:r w:rsidRPr="00F03917">
              <w:rPr>
                <w:color w:val="1B556B" w:themeColor="text2"/>
                <w:sz w:val="18"/>
                <w:szCs w:val="20"/>
              </w:rPr>
              <w:t>.</w:t>
            </w:r>
          </w:p>
        </w:tc>
      </w:tr>
    </w:tbl>
    <w:p w14:paraId="757AE890" w14:textId="2AF25CA2" w:rsidR="00E352C0" w:rsidRPr="00F03917" w:rsidRDefault="172BBD4F" w:rsidP="003A530B">
      <w:pPr>
        <w:pStyle w:val="BodyText"/>
        <w:spacing w:before="240"/>
      </w:pPr>
      <w:r w:rsidRPr="00F03917">
        <w:rPr>
          <w:rFonts w:eastAsia="Times New Roman"/>
        </w:rPr>
        <w:t xml:space="preserve">Table </w:t>
      </w:r>
      <w:r w:rsidR="00F44371" w:rsidRPr="00F03917">
        <w:t>8</w:t>
      </w:r>
      <w:r w:rsidRPr="00F03917">
        <w:t xml:space="preserve"> shows the recommended precautionary RSLR projections to use as interim allowances for plan revisions and land-use decisions for coastal areas </w:t>
      </w:r>
      <w:r w:rsidR="00E352C0" w:rsidRPr="00F03917" w:rsidDel="00E352C0">
        <w:t xml:space="preserve">prior </w:t>
      </w:r>
      <w:r w:rsidR="00E87B80" w:rsidRPr="00F03917">
        <w:t>to</w:t>
      </w:r>
      <w:r w:rsidRPr="00F03917">
        <w:t xml:space="preserve"> the development of a</w:t>
      </w:r>
      <w:r w:rsidR="00AC574F" w:rsidRPr="00F03917">
        <w:t>n adaptive planning</w:t>
      </w:r>
      <w:r w:rsidRPr="00F03917" w:rsidDel="00AC574F">
        <w:t xml:space="preserve"> </w:t>
      </w:r>
      <w:r w:rsidR="00E352C0" w:rsidRPr="00F03917">
        <w:t>strategy</w:t>
      </w:r>
      <w:r w:rsidR="008909E1" w:rsidRPr="00F03917">
        <w:t xml:space="preserve"> based on the DAPP approach</w:t>
      </w:r>
      <w:r w:rsidR="00E352C0" w:rsidRPr="00F03917">
        <w:t>. Determin</w:t>
      </w:r>
      <w:r w:rsidR="0079352F" w:rsidRPr="00F03917">
        <w:t>ation of</w:t>
      </w:r>
      <w:r w:rsidRPr="00F03917">
        <w:t xml:space="preserve"> which planning category a specific application falls within should also </w:t>
      </w:r>
      <w:r w:rsidR="0079352F" w:rsidRPr="00F03917">
        <w:t>include consideration of</w:t>
      </w:r>
      <w:r w:rsidRPr="00F03917">
        <w:t xml:space="preserve"> the implications </w:t>
      </w:r>
      <w:r w:rsidR="3447E770" w:rsidRPr="00F03917">
        <w:t>for</w:t>
      </w:r>
      <w:r w:rsidRPr="00F03917">
        <w:t xml:space="preserve"> an activity, </w:t>
      </w:r>
      <w:r w:rsidR="721C63A2" w:rsidRPr="00F03917">
        <w:t>for example</w:t>
      </w:r>
      <w:r w:rsidRPr="00F03917">
        <w:t>, the effect on increasing overland flow paths and flows to stormwater network</w:t>
      </w:r>
      <w:r w:rsidR="6C3FC3A9" w:rsidRPr="00F03917">
        <w:t>s</w:t>
      </w:r>
      <w:r w:rsidRPr="00F03917">
        <w:t>, residual risk (from protection works), intended usage of ground floors</w:t>
      </w:r>
      <w:r w:rsidR="009623FA" w:rsidRPr="00F03917">
        <w:t> </w:t>
      </w:r>
      <w:r w:rsidRPr="00F03917">
        <w:t>(non-habitable), accessibility from more frequent road outages, long-term viability of</w:t>
      </w:r>
      <w:r w:rsidR="009623FA" w:rsidRPr="00F03917">
        <w:t> </w:t>
      </w:r>
      <w:r w:rsidRPr="00F03917">
        <w:t>maintaining utility services, and availability of alternative locations. The NZCPS provides policies on where to avoid, encourage, discourage or consider the effects of coastal hazards on</w:t>
      </w:r>
      <w:r w:rsidR="009623FA" w:rsidRPr="00F03917">
        <w:t> </w:t>
      </w:r>
      <w:r w:rsidR="00DB1F0C" w:rsidRPr="00F03917">
        <w:t>subdivision</w:t>
      </w:r>
      <w:r w:rsidR="00EF1BED" w:rsidRPr="00F03917">
        <w:t>,</w:t>
      </w:r>
      <w:r w:rsidR="00DB1F0C" w:rsidRPr="00F03917">
        <w:t xml:space="preserve"> use and </w:t>
      </w:r>
      <w:r w:rsidRPr="00F03917">
        <w:t>development over at least the next 100 years (Policy 25</w:t>
      </w:r>
      <w:r w:rsidR="6C675BAB" w:rsidRPr="00F03917">
        <w:t>, NZCPS</w:t>
      </w:r>
      <w:r w:rsidR="0079352F" w:rsidRPr="00F03917">
        <w:t xml:space="preserve">, </w:t>
      </w:r>
      <w:r w:rsidR="00FD69CC" w:rsidRPr="00F03917">
        <w:rPr>
          <w:rFonts w:eastAsia="Calibri"/>
        </w:rPr>
        <w:t>DOC,</w:t>
      </w:r>
      <w:r w:rsidR="009623FA" w:rsidRPr="00F03917">
        <w:rPr>
          <w:rFonts w:eastAsia="Calibri"/>
        </w:rPr>
        <w:t> </w:t>
      </w:r>
      <w:r w:rsidR="00FD69CC" w:rsidRPr="00F03917">
        <w:rPr>
          <w:rFonts w:eastAsia="Calibri"/>
        </w:rPr>
        <w:t>2010).</w:t>
      </w:r>
    </w:p>
    <w:p w14:paraId="4A10D54C" w14:textId="05B3A489" w:rsidR="00F76E26" w:rsidRPr="00F03917" w:rsidRDefault="172BBD4F" w:rsidP="00F76E26">
      <w:pPr>
        <w:pStyle w:val="Tableheading"/>
      </w:pPr>
      <w:bookmarkStart w:id="70" w:name="table8"/>
      <w:bookmarkStart w:id="71" w:name="_Toc160098402"/>
      <w:bookmarkEnd w:id="70"/>
      <w:r w:rsidRPr="00F03917">
        <w:t xml:space="preserve">Interim precautionary </w:t>
      </w:r>
      <w:r w:rsidR="17267AED" w:rsidRPr="00F03917">
        <w:t xml:space="preserve">relative sea-level rise </w:t>
      </w:r>
      <w:r w:rsidRPr="00F03917">
        <w:t xml:space="preserve">allowances recommended to use for coastal planning and policy </w:t>
      </w:r>
      <w:r w:rsidR="1DF18A04" w:rsidRPr="00F03917">
        <w:t>before</w:t>
      </w:r>
      <w:r w:rsidRPr="00F03917">
        <w:t xml:space="preserve"> </w:t>
      </w:r>
      <w:r w:rsidR="005874ED" w:rsidRPr="00F03917">
        <w:t>undertaking</w:t>
      </w:r>
      <w:r w:rsidRPr="00F03917">
        <w:t xml:space="preserve"> a </w:t>
      </w:r>
      <w:r w:rsidR="006A76EB" w:rsidRPr="00F03917">
        <w:t xml:space="preserve">dynamic adaptive pathways planning </w:t>
      </w:r>
      <w:r w:rsidR="005874ED" w:rsidRPr="00F03917">
        <w:t xml:space="preserve">approach </w:t>
      </w:r>
      <w:r w:rsidRPr="00F03917">
        <w:t>for a precinct, district or region</w:t>
      </w:r>
      <w:bookmarkEnd w:id="71"/>
    </w:p>
    <w:tbl>
      <w:tblPr>
        <w:tblStyle w:val="LightList-Accent114"/>
        <w:tblW w:w="0" w:type="dxa"/>
        <w:tblBorders>
          <w:top w:val="none" w:sz="0" w:space="0" w:color="auto"/>
          <w:left w:val="none" w:sz="0" w:space="0" w:color="auto"/>
          <w:bottom w:val="none" w:sz="0" w:space="0" w:color="auto"/>
          <w:right w:val="single" w:sz="4" w:space="0" w:color="1B556B" w:themeColor="text2"/>
          <w:insideH w:val="single" w:sz="4" w:space="0" w:color="1B556B" w:themeColor="text2"/>
          <w:insideV w:val="single" w:sz="4" w:space="0" w:color="1B556B" w:themeColor="text2"/>
        </w:tblBorders>
        <w:tblLook w:val="04A0" w:firstRow="1" w:lastRow="0" w:firstColumn="1" w:lastColumn="0" w:noHBand="0" w:noVBand="1"/>
      </w:tblPr>
      <w:tblGrid>
        <w:gridCol w:w="2665"/>
        <w:gridCol w:w="5840"/>
      </w:tblGrid>
      <w:tr w:rsidR="00DB5508" w:rsidRPr="00F03917" w14:paraId="18B7210C" w14:textId="77777777" w:rsidTr="009F258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dxa"/>
            <w:tcBorders>
              <w:top w:val="nil"/>
              <w:left w:val="nil"/>
            </w:tcBorders>
            <w:hideMark/>
          </w:tcPr>
          <w:p w14:paraId="2C287D6D" w14:textId="77777777" w:rsidR="00E352C0" w:rsidRPr="00F03917" w:rsidRDefault="00E352C0" w:rsidP="005316CC">
            <w:pPr>
              <w:pStyle w:val="TableTextbold"/>
              <w:rPr>
                <w:b/>
                <w:bCs w:val="0"/>
              </w:rPr>
            </w:pPr>
            <w:r w:rsidRPr="00F03917">
              <w:rPr>
                <w:b/>
                <w:bCs w:val="0"/>
              </w:rPr>
              <w:t>Planning category </w:t>
            </w:r>
          </w:p>
        </w:tc>
        <w:tc>
          <w:tcPr>
            <w:tcW w:w="0" w:type="dxa"/>
            <w:tcBorders>
              <w:top w:val="nil"/>
              <w:right w:val="nil"/>
            </w:tcBorders>
            <w:hideMark/>
          </w:tcPr>
          <w:p w14:paraId="28607D64" w14:textId="77777777" w:rsidR="00E352C0" w:rsidRPr="00F03917" w:rsidRDefault="00E352C0" w:rsidP="005316CC">
            <w:pPr>
              <w:pStyle w:val="TableTextbold"/>
              <w:cnfStyle w:val="100000000000" w:firstRow="1" w:lastRow="0" w:firstColumn="0" w:lastColumn="0" w:oddVBand="0" w:evenVBand="0" w:oddHBand="0" w:evenHBand="0" w:firstRowFirstColumn="0" w:firstRowLastColumn="0" w:lastRowFirstColumn="0" w:lastRowLastColumn="0"/>
              <w:rPr>
                <w:b/>
                <w:bCs w:val="0"/>
              </w:rPr>
            </w:pPr>
            <w:r w:rsidRPr="00F03917">
              <w:rPr>
                <w:b/>
                <w:bCs w:val="0"/>
              </w:rPr>
              <w:t>Recommended interim precautionary RSLR allowances </w:t>
            </w:r>
          </w:p>
        </w:tc>
      </w:tr>
      <w:tr w:rsidR="00C841E1" w:rsidRPr="00F03917" w14:paraId="7B09F36C" w14:textId="77777777" w:rsidTr="009F25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tcBorders>
              <w:left w:val="nil"/>
            </w:tcBorders>
            <w:hideMark/>
          </w:tcPr>
          <w:p w14:paraId="447B9A48" w14:textId="7B716D62" w:rsidR="00E352C0" w:rsidRPr="00F03917" w:rsidRDefault="00E352C0" w:rsidP="009623FA">
            <w:pPr>
              <w:pStyle w:val="TableText"/>
              <w:rPr>
                <w:rFonts w:ascii="Times New Roman" w:hAnsi="Times New Roman" w:cs="Times New Roman"/>
                <w:sz w:val="24"/>
                <w:szCs w:val="24"/>
              </w:rPr>
            </w:pPr>
            <w:r w:rsidRPr="00F03917">
              <w:t>A. Coastal subdivision, greenfield developments and major new infrastructure</w:t>
            </w:r>
          </w:p>
        </w:tc>
        <w:tc>
          <w:tcPr>
            <w:tcW w:w="6375" w:type="dxa"/>
            <w:tcBorders>
              <w:right w:val="nil"/>
            </w:tcBorders>
            <w:hideMark/>
          </w:tcPr>
          <w:p w14:paraId="54DA9C97" w14:textId="21ABD881" w:rsidR="00E352C0" w:rsidRPr="00F03917" w:rsidRDefault="172BBD4F" w:rsidP="00F02890">
            <w:pPr>
              <w:pStyle w:val="TableText"/>
              <w:spacing w:after="0"/>
              <w:cnfStyle w:val="000000100000" w:firstRow="0" w:lastRow="0" w:firstColumn="0" w:lastColumn="0" w:oddVBand="0" w:evenVBand="0" w:oddHBand="1" w:evenHBand="0" w:firstRowFirstColumn="0" w:firstRowLastColumn="0" w:lastRowFirstColumn="0" w:lastRowLastColumn="0"/>
            </w:pPr>
            <w:r w:rsidRPr="00F03917">
              <w:t>Using a</w:t>
            </w:r>
            <w:r w:rsidRPr="00F03917">
              <w:rPr>
                <w:b/>
                <w:bCs/>
              </w:rPr>
              <w:t xml:space="preserve"> timeframe </w:t>
            </w:r>
            <w:r w:rsidRPr="00F03917">
              <w:t xml:space="preserve">out to </w:t>
            </w:r>
            <w:r w:rsidRPr="00F03917">
              <w:rPr>
                <w:b/>
                <w:bCs/>
              </w:rPr>
              <w:t>2130</w:t>
            </w:r>
            <w:r w:rsidRPr="00F03917">
              <w:t xml:space="preserve"> (</w:t>
            </w:r>
            <w:r w:rsidRPr="00F03917">
              <w:rPr>
                <w:rFonts w:ascii="Symbol" w:hAnsi="Symbol" w:cs="Times New Roman"/>
              </w:rPr>
              <w:t>³</w:t>
            </w:r>
            <w:r w:rsidRPr="00F03917">
              <w:t xml:space="preserve">100 years), apply the </w:t>
            </w:r>
            <w:r w:rsidRPr="00F03917">
              <w:rPr>
                <w:i/>
                <w:iCs/>
              </w:rPr>
              <w:t>medium confidence</w:t>
            </w:r>
            <w:r w:rsidRPr="00F03917">
              <w:t xml:space="preserve"> </w:t>
            </w:r>
            <w:r w:rsidRPr="00F03917">
              <w:rPr>
                <w:b/>
                <w:bCs/>
              </w:rPr>
              <w:t>SSP5-8.5 H+</w:t>
            </w:r>
            <w:r w:rsidRPr="00F03917">
              <w:t xml:space="preserve"> </w:t>
            </w:r>
            <w:r w:rsidR="005F6220" w:rsidRPr="00F03917">
              <w:t xml:space="preserve">based </w:t>
            </w:r>
            <w:r w:rsidRPr="00F03917">
              <w:t>RSLR projection</w:t>
            </w:r>
            <w:r w:rsidRPr="00F03917">
              <w:rPr>
                <w:szCs w:val="18"/>
              </w:rPr>
              <w:t>*</w:t>
            </w:r>
            <w:r w:rsidRPr="00F03917">
              <w:t xml:space="preserve"> that includes the relevant VLM rate for the local</w:t>
            </w:r>
            <w:r w:rsidR="00321260" w:rsidRPr="00F03917">
              <w:t xml:space="preserve"> and</w:t>
            </w:r>
            <w:r w:rsidR="00E352C0" w:rsidRPr="00F03917" w:rsidDel="172BBD4F">
              <w:t>/</w:t>
            </w:r>
            <w:r w:rsidR="00321260" w:rsidRPr="00F03917">
              <w:t xml:space="preserve">or </w:t>
            </w:r>
            <w:r w:rsidRPr="00F03917">
              <w:t>regional area.</w:t>
            </w:r>
          </w:p>
          <w:p w14:paraId="22A6FB78" w14:textId="7E088435" w:rsidR="00E352C0" w:rsidRPr="00F03917" w:rsidRDefault="172BBD4F" w:rsidP="00F02890">
            <w:pPr>
              <w:pStyle w:val="TableText"/>
              <w:cnfStyle w:val="000000100000" w:firstRow="0" w:lastRow="0" w:firstColumn="0" w:lastColumn="0" w:oddVBand="0" w:evenVBand="0" w:oddHBand="1" w:evenHBand="0" w:firstRowFirstColumn="0" w:firstRowLastColumn="0" w:lastRowFirstColumn="0" w:lastRowLastColumn="0"/>
            </w:pPr>
            <w:r w:rsidRPr="00F03917">
              <w:t xml:space="preserve">(Note: </w:t>
            </w:r>
            <w:r w:rsidR="00E352C0" w:rsidRPr="00F03917" w:rsidDel="00E352C0">
              <w:t>approx</w:t>
            </w:r>
            <w:r w:rsidR="00321260" w:rsidRPr="00F03917">
              <w:t>imately</w:t>
            </w:r>
            <w:r w:rsidR="4FB47A80" w:rsidRPr="00F03917">
              <w:t xml:space="preserve"> </w:t>
            </w:r>
            <w:r w:rsidRPr="00F03917">
              <w:t>1.</w:t>
            </w:r>
            <w:r w:rsidR="001C0ADB" w:rsidRPr="00F03917">
              <w:t>6</w:t>
            </w:r>
            <w:r w:rsidRPr="00F03917">
              <w:t> m</w:t>
            </w:r>
            <w:r w:rsidR="074B1580" w:rsidRPr="00F03917">
              <w:t>etre</w:t>
            </w:r>
            <w:r w:rsidRPr="00F03917">
              <w:t xml:space="preserve"> rise in MSL, before including VLM</w:t>
            </w:r>
            <w:r w:rsidR="0BC9E07C" w:rsidRPr="00F03917">
              <w:t>.</w:t>
            </w:r>
            <w:r w:rsidRPr="00F03917">
              <w:t>)</w:t>
            </w:r>
          </w:p>
        </w:tc>
      </w:tr>
      <w:tr w:rsidR="00E352C0" w:rsidRPr="00F03917" w14:paraId="23F49049" w14:textId="77777777" w:rsidTr="007F2DAE">
        <w:tc>
          <w:tcPr>
            <w:cnfStyle w:val="001000000000" w:firstRow="0" w:lastRow="0" w:firstColumn="1" w:lastColumn="0" w:oddVBand="0" w:evenVBand="0" w:oddHBand="0" w:evenHBand="0" w:firstRowFirstColumn="0" w:firstRowLastColumn="0" w:lastRowFirstColumn="0" w:lastRowLastColumn="0"/>
            <w:tcW w:w="0" w:type="dxa"/>
            <w:tcBorders>
              <w:left w:val="nil"/>
            </w:tcBorders>
            <w:hideMark/>
          </w:tcPr>
          <w:p w14:paraId="47CC655A" w14:textId="6AA5F33D" w:rsidR="00E352C0" w:rsidRPr="00F03917" w:rsidRDefault="00E352C0" w:rsidP="009623FA">
            <w:pPr>
              <w:pStyle w:val="TableText"/>
              <w:rPr>
                <w:rFonts w:ascii="Times New Roman" w:hAnsi="Times New Roman" w:cs="Times New Roman"/>
                <w:sz w:val="24"/>
                <w:szCs w:val="24"/>
              </w:rPr>
            </w:pPr>
            <w:r w:rsidRPr="00F03917">
              <w:t>B. Changes in land use and redevelopment (intensification and upzoning)</w:t>
            </w:r>
          </w:p>
        </w:tc>
        <w:tc>
          <w:tcPr>
            <w:tcW w:w="0" w:type="dxa"/>
            <w:tcBorders>
              <w:right w:val="nil"/>
            </w:tcBorders>
            <w:hideMark/>
          </w:tcPr>
          <w:p w14:paraId="075915ED" w14:textId="5D8E5EA7" w:rsidR="00E352C0" w:rsidRPr="00F03917" w:rsidRDefault="172BBD4F" w:rsidP="00F02890">
            <w:pPr>
              <w:pStyle w:val="TableText"/>
              <w:spacing w:after="0"/>
              <w:cnfStyle w:val="000000000000" w:firstRow="0" w:lastRow="0" w:firstColumn="0" w:lastColumn="0" w:oddVBand="0" w:evenVBand="0" w:oddHBand="0" w:evenHBand="0" w:firstRowFirstColumn="0" w:firstRowLastColumn="0" w:lastRowFirstColumn="0" w:lastRowLastColumn="0"/>
            </w:pPr>
            <w:r w:rsidRPr="00F03917">
              <w:t>Using a</w:t>
            </w:r>
            <w:r w:rsidRPr="00F03917">
              <w:rPr>
                <w:b/>
                <w:bCs/>
              </w:rPr>
              <w:t xml:space="preserve"> timeframe </w:t>
            </w:r>
            <w:r w:rsidRPr="00F03917">
              <w:t xml:space="preserve">out to </w:t>
            </w:r>
            <w:r w:rsidRPr="00F03917">
              <w:rPr>
                <w:b/>
                <w:bCs/>
              </w:rPr>
              <w:t>2130</w:t>
            </w:r>
            <w:r w:rsidRPr="00F03917">
              <w:t xml:space="preserve"> (</w:t>
            </w:r>
            <w:r w:rsidRPr="00F03917">
              <w:rPr>
                <w:rFonts w:ascii="Symbol" w:hAnsi="Symbol" w:cs="Times New Roman"/>
              </w:rPr>
              <w:t>³</w:t>
            </w:r>
            <w:r w:rsidRPr="00F03917">
              <w:t xml:space="preserve">100 years), apply the </w:t>
            </w:r>
            <w:r w:rsidRPr="00F03917">
              <w:rPr>
                <w:i/>
                <w:iCs/>
              </w:rPr>
              <w:t>medium confidence</w:t>
            </w:r>
            <w:r w:rsidRPr="00F03917">
              <w:t xml:space="preserve"> </w:t>
            </w:r>
            <w:r w:rsidRPr="00F03917">
              <w:rPr>
                <w:b/>
                <w:bCs/>
              </w:rPr>
              <w:t>SSP5-8.5 H+</w:t>
            </w:r>
            <w:r w:rsidRPr="00F03917">
              <w:t xml:space="preserve"> </w:t>
            </w:r>
            <w:r w:rsidR="005F6220" w:rsidRPr="00F03917">
              <w:t xml:space="preserve">based </w:t>
            </w:r>
            <w:r w:rsidRPr="00F03917">
              <w:t>RSLR projection</w:t>
            </w:r>
            <w:r w:rsidRPr="00F03917">
              <w:rPr>
                <w:szCs w:val="18"/>
              </w:rPr>
              <w:t>*</w:t>
            </w:r>
            <w:r w:rsidRPr="00F03917">
              <w:t xml:space="preserve"> that includes the relevant VLM rate for the local</w:t>
            </w:r>
            <w:r w:rsidR="00321260" w:rsidRPr="00F03917">
              <w:t xml:space="preserve"> and</w:t>
            </w:r>
            <w:r w:rsidR="00E352C0" w:rsidRPr="00F03917">
              <w:t>/</w:t>
            </w:r>
            <w:r w:rsidR="00321260" w:rsidRPr="00F03917">
              <w:t xml:space="preserve">or </w:t>
            </w:r>
            <w:r w:rsidRPr="00F03917">
              <w:t>regional area.</w:t>
            </w:r>
          </w:p>
          <w:p w14:paraId="56520772" w14:textId="2CCA796F" w:rsidR="00E352C0" w:rsidRPr="00F03917" w:rsidRDefault="172BBD4F" w:rsidP="00F02890">
            <w:pPr>
              <w:pStyle w:val="TableText"/>
              <w:cnfStyle w:val="000000000000" w:firstRow="0" w:lastRow="0" w:firstColumn="0" w:lastColumn="0" w:oddVBand="0" w:evenVBand="0" w:oddHBand="0" w:evenHBand="0" w:firstRowFirstColumn="0" w:firstRowLastColumn="0" w:lastRowFirstColumn="0" w:lastRowLastColumn="0"/>
            </w:pPr>
            <w:r w:rsidRPr="00F03917">
              <w:t xml:space="preserve">(Note: </w:t>
            </w:r>
            <w:r w:rsidR="00E352C0" w:rsidRPr="00F03917" w:rsidDel="00E352C0">
              <w:t>approx</w:t>
            </w:r>
            <w:r w:rsidR="00321260" w:rsidRPr="00F03917">
              <w:t>imately</w:t>
            </w:r>
            <w:r w:rsidR="15DB9830" w:rsidRPr="00F03917">
              <w:t xml:space="preserve"> </w:t>
            </w:r>
            <w:r w:rsidRPr="00F03917">
              <w:t>1.</w:t>
            </w:r>
            <w:r w:rsidR="00754C37" w:rsidRPr="00F03917">
              <w:t>6</w:t>
            </w:r>
            <w:r w:rsidRPr="00F03917">
              <w:t> m</w:t>
            </w:r>
            <w:r w:rsidR="393D7D58" w:rsidRPr="00F03917">
              <w:t>etre</w:t>
            </w:r>
            <w:r w:rsidRPr="00F03917">
              <w:t xml:space="preserve"> rise in MSL, before including VLM</w:t>
            </w:r>
            <w:r w:rsidR="719C5756" w:rsidRPr="00F03917">
              <w:t>.</w:t>
            </w:r>
            <w:r w:rsidRPr="00F03917">
              <w:t>)</w:t>
            </w:r>
          </w:p>
        </w:tc>
      </w:tr>
      <w:tr w:rsidR="008F1EF5" w:rsidRPr="00F03917" w14:paraId="5D5E1F90" w14:textId="77777777" w:rsidTr="007F2D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left w:val="nil"/>
            </w:tcBorders>
            <w:hideMark/>
          </w:tcPr>
          <w:p w14:paraId="784FFB43" w14:textId="3F423988" w:rsidR="00E352C0" w:rsidRPr="00F03917" w:rsidRDefault="00E352C0" w:rsidP="009623FA">
            <w:pPr>
              <w:pStyle w:val="TableText"/>
              <w:rPr>
                <w:rFonts w:ascii="Times New Roman" w:hAnsi="Times New Roman" w:cs="Times New Roman"/>
                <w:sz w:val="24"/>
                <w:szCs w:val="24"/>
              </w:rPr>
            </w:pPr>
            <w:r w:rsidRPr="00F03917">
              <w:t>C. Land-use planning controls for existing coastal uses and assets (building additions)</w:t>
            </w:r>
          </w:p>
        </w:tc>
        <w:tc>
          <w:tcPr>
            <w:tcW w:w="0" w:type="dxa"/>
            <w:tcBorders>
              <w:right w:val="nil"/>
            </w:tcBorders>
            <w:hideMark/>
          </w:tcPr>
          <w:p w14:paraId="2F6722C4" w14:textId="65B33F6C" w:rsidR="00E352C0" w:rsidRPr="00F03917" w:rsidRDefault="172BBD4F" w:rsidP="00F02890">
            <w:pPr>
              <w:pStyle w:val="TableText"/>
              <w:spacing w:after="0"/>
              <w:cnfStyle w:val="000000100000" w:firstRow="0" w:lastRow="0" w:firstColumn="0" w:lastColumn="0" w:oddVBand="0" w:evenVBand="0" w:oddHBand="1" w:evenHBand="0" w:firstRowFirstColumn="0" w:firstRowLastColumn="0" w:lastRowFirstColumn="0" w:lastRowLastColumn="0"/>
            </w:pPr>
            <w:r w:rsidRPr="00F03917">
              <w:t>Using a</w:t>
            </w:r>
            <w:r w:rsidRPr="00F03917">
              <w:rPr>
                <w:b/>
                <w:bCs/>
              </w:rPr>
              <w:t xml:space="preserve"> timeframe </w:t>
            </w:r>
            <w:r w:rsidRPr="00F03917">
              <w:t xml:space="preserve">out to </w:t>
            </w:r>
            <w:r w:rsidRPr="00F03917">
              <w:rPr>
                <w:b/>
                <w:bCs/>
              </w:rPr>
              <w:t>2130</w:t>
            </w:r>
            <w:r w:rsidRPr="00F03917">
              <w:t xml:space="preserve"> (</w:t>
            </w:r>
            <w:r w:rsidRPr="00F03917">
              <w:rPr>
                <w:rFonts w:ascii="Symbol" w:hAnsi="Symbol" w:cs="Times New Roman"/>
              </w:rPr>
              <w:t>³</w:t>
            </w:r>
            <w:r w:rsidRPr="00F03917">
              <w:t xml:space="preserve">100 years), apply the </w:t>
            </w:r>
            <w:r w:rsidRPr="00F03917">
              <w:rPr>
                <w:i/>
                <w:iCs/>
              </w:rPr>
              <w:t>medium confidence</w:t>
            </w:r>
            <w:r w:rsidRPr="00F03917">
              <w:t xml:space="preserve"> </w:t>
            </w:r>
            <w:r w:rsidRPr="00F03917">
              <w:rPr>
                <w:b/>
                <w:bCs/>
              </w:rPr>
              <w:t>SSP5-8.5 M</w:t>
            </w:r>
            <w:r w:rsidRPr="00F03917">
              <w:t xml:space="preserve"> </w:t>
            </w:r>
            <w:r w:rsidR="005F6220" w:rsidRPr="00F03917">
              <w:t xml:space="preserve">based </w:t>
            </w:r>
            <w:r w:rsidRPr="00F03917">
              <w:t>RSLR projection that includes the relevant VLM rate for the local</w:t>
            </w:r>
            <w:r w:rsidR="00321260" w:rsidRPr="00F03917">
              <w:t xml:space="preserve"> and</w:t>
            </w:r>
            <w:r w:rsidR="00E352C0" w:rsidRPr="00F03917" w:rsidDel="172BBD4F">
              <w:t>/</w:t>
            </w:r>
            <w:r w:rsidR="00321260" w:rsidRPr="00F03917">
              <w:t xml:space="preserve">or </w:t>
            </w:r>
            <w:r w:rsidRPr="00F03917">
              <w:t>regional area.</w:t>
            </w:r>
          </w:p>
          <w:p w14:paraId="75767B1E" w14:textId="18908D27" w:rsidR="00E352C0" w:rsidRPr="00F03917" w:rsidRDefault="172BBD4F" w:rsidP="00F02890">
            <w:pPr>
              <w:pStyle w:val="TableTex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03917">
              <w:t xml:space="preserve">(Note: </w:t>
            </w:r>
            <w:r w:rsidR="00E352C0" w:rsidRPr="00F03917" w:rsidDel="00E352C0">
              <w:t>approx</w:t>
            </w:r>
            <w:r w:rsidR="00321260" w:rsidRPr="00F03917">
              <w:t>imately</w:t>
            </w:r>
            <w:r w:rsidRPr="00F03917">
              <w:t xml:space="preserve"> 1.2 m</w:t>
            </w:r>
            <w:r w:rsidR="05B99575" w:rsidRPr="00F03917">
              <w:t>etre</w:t>
            </w:r>
            <w:r w:rsidRPr="00F03917">
              <w:t xml:space="preserve"> rise in MSL, before including VLM</w:t>
            </w:r>
            <w:r w:rsidR="67BA9D5F" w:rsidRPr="00F03917">
              <w:t>.</w:t>
            </w:r>
            <w:r w:rsidRPr="00F03917">
              <w:t>)</w:t>
            </w:r>
          </w:p>
        </w:tc>
      </w:tr>
      <w:tr w:rsidR="00FF0EA2" w:rsidRPr="00F03917" w14:paraId="1035F59A" w14:textId="77777777" w:rsidTr="009F258F">
        <w:tc>
          <w:tcPr>
            <w:cnfStyle w:val="001000000000" w:firstRow="0" w:lastRow="0" w:firstColumn="1" w:lastColumn="0" w:oddVBand="0" w:evenVBand="0" w:oddHBand="0" w:evenHBand="0" w:firstRowFirstColumn="0" w:firstRowLastColumn="0" w:lastRowFirstColumn="0" w:lastRowLastColumn="0"/>
            <w:tcW w:w="0" w:type="dxa"/>
            <w:tcBorders>
              <w:top w:val="single" w:sz="8" w:space="0" w:color="1C556C" w:themeColor="accent1"/>
              <w:left w:val="nil"/>
              <w:bottom w:val="single" w:sz="4" w:space="0" w:color="1B556B" w:themeColor="text2"/>
            </w:tcBorders>
            <w:hideMark/>
          </w:tcPr>
          <w:p w14:paraId="7EEDC647" w14:textId="66AC6BC4" w:rsidR="00E352C0" w:rsidRPr="00F03917" w:rsidRDefault="172BBD4F" w:rsidP="009623FA">
            <w:pPr>
              <w:pStyle w:val="TableText"/>
              <w:rPr>
                <w:rFonts w:ascii="Times New Roman" w:hAnsi="Times New Roman" w:cs="Times New Roman"/>
                <w:sz w:val="24"/>
                <w:szCs w:val="24"/>
              </w:rPr>
            </w:pPr>
            <w:r w:rsidRPr="00F03917">
              <w:lastRenderedPageBreak/>
              <w:t>D. Non-habitable, short-lived assets with a functional need to be at the coast, which are either low</w:t>
            </w:r>
            <w:r w:rsidR="0C043AC8" w:rsidRPr="00F03917">
              <w:t xml:space="preserve"> </w:t>
            </w:r>
            <w:r w:rsidRPr="00F03917">
              <w:t>consequences or readily adaptable (including services)</w:t>
            </w:r>
          </w:p>
        </w:tc>
        <w:tc>
          <w:tcPr>
            <w:tcW w:w="0" w:type="dxa"/>
            <w:tcBorders>
              <w:top w:val="single" w:sz="8" w:space="0" w:color="1C556C" w:themeColor="accent1"/>
              <w:bottom w:val="single" w:sz="4" w:space="0" w:color="1B556B" w:themeColor="text2"/>
              <w:right w:val="nil"/>
            </w:tcBorders>
            <w:hideMark/>
          </w:tcPr>
          <w:p w14:paraId="02DC9260" w14:textId="18B760DC" w:rsidR="00E352C0" w:rsidRPr="00F03917" w:rsidRDefault="172BBD4F" w:rsidP="00F02890">
            <w:pPr>
              <w:pStyle w:val="TableText"/>
              <w:spacing w:after="0"/>
              <w:cnfStyle w:val="000000000000" w:firstRow="0" w:lastRow="0" w:firstColumn="0" w:lastColumn="0" w:oddVBand="0" w:evenVBand="0" w:oddHBand="0" w:evenHBand="0" w:firstRowFirstColumn="0" w:firstRowLastColumn="0" w:lastRowFirstColumn="0" w:lastRowLastColumn="0"/>
            </w:pPr>
            <w:r w:rsidRPr="00F03917">
              <w:t>Using a</w:t>
            </w:r>
            <w:r w:rsidRPr="00F03917">
              <w:rPr>
                <w:b/>
                <w:bCs/>
              </w:rPr>
              <w:t xml:space="preserve"> timeframe </w:t>
            </w:r>
            <w:r w:rsidRPr="00F03917">
              <w:t xml:space="preserve">out to </w:t>
            </w:r>
            <w:r w:rsidRPr="00F03917">
              <w:rPr>
                <w:b/>
                <w:bCs/>
              </w:rPr>
              <w:t>2075</w:t>
            </w:r>
            <w:r w:rsidRPr="00F03917">
              <w:t xml:space="preserve"> (</w:t>
            </w:r>
            <w:r w:rsidRPr="00F03917">
              <w:rPr>
                <w:rFonts w:ascii="Symbol" w:hAnsi="Symbol" w:cs="Times New Roman"/>
              </w:rPr>
              <w:t>³</w:t>
            </w:r>
            <w:r w:rsidRPr="00F03917">
              <w:t xml:space="preserve">50 years), apply the </w:t>
            </w:r>
            <w:r w:rsidRPr="00F03917">
              <w:rPr>
                <w:i/>
                <w:iCs/>
              </w:rPr>
              <w:t>medium confidence</w:t>
            </w:r>
            <w:r w:rsidRPr="00F03917">
              <w:t xml:space="preserve"> </w:t>
            </w:r>
            <w:r w:rsidRPr="00F03917">
              <w:rPr>
                <w:b/>
                <w:bCs/>
              </w:rPr>
              <w:t>SSP5-8.5 M</w:t>
            </w:r>
            <w:r w:rsidRPr="00F03917">
              <w:t xml:space="preserve"> </w:t>
            </w:r>
            <w:r w:rsidR="008B2DB4" w:rsidRPr="00F03917">
              <w:t xml:space="preserve">based </w:t>
            </w:r>
            <w:r w:rsidRPr="00F03917">
              <w:t>RSLR projection that includes the relevant VLM rate for the local</w:t>
            </w:r>
            <w:r w:rsidR="00496A68" w:rsidRPr="00F03917">
              <w:t xml:space="preserve"> and</w:t>
            </w:r>
            <w:r w:rsidR="00E352C0" w:rsidRPr="00F03917" w:rsidDel="172BBD4F">
              <w:t>/</w:t>
            </w:r>
            <w:r w:rsidR="00496A68" w:rsidRPr="00F03917">
              <w:t xml:space="preserve">or </w:t>
            </w:r>
            <w:r w:rsidRPr="00F03917">
              <w:t>regional area.</w:t>
            </w:r>
          </w:p>
          <w:p w14:paraId="7C6D828A" w14:textId="75872B70" w:rsidR="00E352C0" w:rsidRPr="00F03917" w:rsidRDefault="172BBD4F" w:rsidP="00F02890">
            <w:pPr>
              <w:pStyle w:val="TableText"/>
              <w:cnfStyle w:val="000000000000" w:firstRow="0" w:lastRow="0" w:firstColumn="0" w:lastColumn="0" w:oddVBand="0" w:evenVBand="0" w:oddHBand="0" w:evenHBand="0" w:firstRowFirstColumn="0" w:firstRowLastColumn="0" w:lastRowFirstColumn="0" w:lastRowLastColumn="0"/>
            </w:pPr>
            <w:r w:rsidRPr="00F03917">
              <w:t xml:space="preserve">(Note: </w:t>
            </w:r>
            <w:r w:rsidR="00E352C0" w:rsidRPr="00F03917" w:rsidDel="00E352C0">
              <w:t>approx</w:t>
            </w:r>
            <w:r w:rsidR="00496A68" w:rsidRPr="00F03917">
              <w:t>imately</w:t>
            </w:r>
            <w:r w:rsidRPr="00F03917">
              <w:t xml:space="preserve"> 0.5 m</w:t>
            </w:r>
            <w:r w:rsidR="4C6014AE" w:rsidRPr="00F03917">
              <w:t>etre</w:t>
            </w:r>
            <w:r w:rsidRPr="00F03917">
              <w:t xml:space="preserve"> rise in MSL, before including VLM</w:t>
            </w:r>
            <w:r w:rsidR="3D84A151" w:rsidRPr="00F03917">
              <w:t>.</w:t>
            </w:r>
            <w:r w:rsidRPr="00F03917">
              <w:t>)</w:t>
            </w:r>
          </w:p>
        </w:tc>
      </w:tr>
    </w:tbl>
    <w:p w14:paraId="0C1F9DCA" w14:textId="1529743D" w:rsidR="00E352C0" w:rsidRPr="00F03917" w:rsidRDefault="185155BC" w:rsidP="00F02890">
      <w:pPr>
        <w:pStyle w:val="Source"/>
        <w:spacing w:after="0"/>
      </w:pPr>
      <w:r w:rsidRPr="00F03917">
        <w:t>Notes:</w:t>
      </w:r>
    </w:p>
    <w:p w14:paraId="011BC607" w14:textId="0C984290" w:rsidR="00E352C0" w:rsidRPr="00F03917" w:rsidRDefault="172BBD4F" w:rsidP="00F02890">
      <w:pPr>
        <w:pStyle w:val="Source"/>
        <w:spacing w:after="0"/>
      </w:pPr>
      <w:r w:rsidRPr="00F03917">
        <w:t xml:space="preserve">* H+ is the 83rd percentile (or </w:t>
      </w:r>
      <w:r w:rsidRPr="00F03917">
        <w:rPr>
          <w:i/>
        </w:rPr>
        <w:t>p83</w:t>
      </w:r>
      <w:r w:rsidRPr="00F03917">
        <w:t xml:space="preserve"> at the top of the likely range on graphs in the NZ SeaRise</w:t>
      </w:r>
      <w:r w:rsidR="3B405C88" w:rsidRPr="00F03917">
        <w:t xml:space="preserve"> </w:t>
      </w:r>
      <w:r w:rsidRPr="00F03917">
        <w:t>platform).</w:t>
      </w:r>
    </w:p>
    <w:p w14:paraId="2188AD0C" w14:textId="4E3C1835" w:rsidR="00E352C0" w:rsidRPr="00F03917" w:rsidRDefault="172BBD4F" w:rsidP="00221AE5">
      <w:pPr>
        <w:pStyle w:val="Source"/>
        <w:spacing w:before="60" w:after="0"/>
        <w:ind w:left="397" w:hanging="397"/>
      </w:pPr>
      <w:r w:rsidRPr="00F03917">
        <w:t xml:space="preserve">i) </w:t>
      </w:r>
      <w:r w:rsidR="00F02890" w:rsidRPr="00F03917">
        <w:tab/>
      </w:r>
      <w:r w:rsidRPr="00F03917">
        <w:t>R</w:t>
      </w:r>
      <w:r w:rsidR="61263E1C" w:rsidRPr="00F03917">
        <w:t xml:space="preserve">elative sea-level rise </w:t>
      </w:r>
      <w:r w:rsidR="00704E7C" w:rsidRPr="00F03917">
        <w:t xml:space="preserve">(SLR) </w:t>
      </w:r>
      <w:r w:rsidRPr="00F03917">
        <w:t xml:space="preserve">projections that include </w:t>
      </w:r>
      <w:r w:rsidR="004B4AF9" w:rsidRPr="00F03917">
        <w:t>satellite</w:t>
      </w:r>
      <w:r w:rsidR="00496A68" w:rsidRPr="00F03917">
        <w:t>-</w:t>
      </w:r>
      <w:r w:rsidR="004B4AF9" w:rsidRPr="00F03917">
        <w:t xml:space="preserve">derived </w:t>
      </w:r>
      <w:r w:rsidR="11055509" w:rsidRPr="00F03917">
        <w:t>vertical land movement (</w:t>
      </w:r>
      <w:r w:rsidRPr="00F03917">
        <w:t>VLM</w:t>
      </w:r>
      <w:r w:rsidR="01D45EE7" w:rsidRPr="00F03917">
        <w:t>)</w:t>
      </w:r>
      <w:r w:rsidRPr="00F03917">
        <w:t xml:space="preserve"> are available from the </w:t>
      </w:r>
      <w:hyperlink r:id="rId77" w:tgtFrame="_blank" w:history="1">
        <w:r w:rsidRPr="00F03917">
          <w:t>NZ SeaRise</w:t>
        </w:r>
      </w:hyperlink>
      <w:r w:rsidRPr="00F03917">
        <w:t xml:space="preserve"> platform. </w:t>
      </w:r>
      <w:r w:rsidR="00F95479" w:rsidRPr="00F03917">
        <w:t>Alternatively, locally monitored</w:t>
      </w:r>
      <w:r w:rsidRPr="00F03917">
        <w:t xml:space="preserve"> VLM can be applied to the </w:t>
      </w:r>
      <w:r w:rsidR="00A05209" w:rsidRPr="00F03917">
        <w:t>SLR</w:t>
      </w:r>
      <w:r w:rsidRPr="00F03917">
        <w:t xml:space="preserve"> projections.</w:t>
      </w:r>
    </w:p>
    <w:p w14:paraId="67C68AB8" w14:textId="79807E9C" w:rsidR="00E352C0" w:rsidRPr="00F03917" w:rsidRDefault="172BBD4F" w:rsidP="00221AE5">
      <w:pPr>
        <w:pStyle w:val="Source"/>
        <w:spacing w:before="60" w:after="0"/>
        <w:ind w:left="397" w:hanging="397"/>
      </w:pPr>
      <w:r w:rsidRPr="00F03917">
        <w:t xml:space="preserve">ii) </w:t>
      </w:r>
      <w:r w:rsidR="00F02890" w:rsidRPr="00F03917">
        <w:tab/>
      </w:r>
      <w:r w:rsidR="08002843" w:rsidRPr="00F03917">
        <w:t xml:space="preserve">M = median or </w:t>
      </w:r>
      <w:r w:rsidR="08002843" w:rsidRPr="00F03917">
        <w:rPr>
          <w:i/>
        </w:rPr>
        <w:t>p50</w:t>
      </w:r>
      <w:r w:rsidR="08002843" w:rsidRPr="00F03917">
        <w:t xml:space="preserve"> (50</w:t>
      </w:r>
      <w:r w:rsidR="00444AC5" w:rsidRPr="00F03917">
        <w:t xml:space="preserve">th </w:t>
      </w:r>
      <w:r w:rsidR="08002843" w:rsidRPr="00F03917">
        <w:t xml:space="preserve">percentile); </w:t>
      </w:r>
      <w:r w:rsidR="003F2A96" w:rsidRPr="00F03917">
        <w:t>MSL = mean sea level</w:t>
      </w:r>
      <w:r w:rsidR="00F47220" w:rsidRPr="00F03917">
        <w:t>;</w:t>
      </w:r>
      <w:r w:rsidR="009B718F" w:rsidRPr="00F03917">
        <w:t xml:space="preserve"> </w:t>
      </w:r>
      <w:r w:rsidR="08002843" w:rsidRPr="00F03917">
        <w:t xml:space="preserve">RSLR = relative sea-level rise; </w:t>
      </w:r>
      <w:r w:rsidRPr="00F03917">
        <w:t xml:space="preserve">SSP = </w:t>
      </w:r>
      <w:r w:rsidR="11F7D393" w:rsidRPr="00F03917">
        <w:t>s</w:t>
      </w:r>
      <w:r w:rsidRPr="00F03917">
        <w:t xml:space="preserve">hared </w:t>
      </w:r>
      <w:r w:rsidR="7CE27019" w:rsidRPr="00F03917">
        <w:t>s</w:t>
      </w:r>
      <w:r w:rsidRPr="00F03917">
        <w:t xml:space="preserve">ocio-economic </w:t>
      </w:r>
      <w:r w:rsidR="260E84A6" w:rsidRPr="00F03917">
        <w:t>p</w:t>
      </w:r>
      <w:r w:rsidRPr="00F03917">
        <w:t xml:space="preserve">athway used by </w:t>
      </w:r>
      <w:r w:rsidR="5AB705AC" w:rsidRPr="00F03917">
        <w:t>the Intergovernment</w:t>
      </w:r>
      <w:r w:rsidR="4FE241DE" w:rsidRPr="00F03917">
        <w:t>al</w:t>
      </w:r>
      <w:r w:rsidR="5AB705AC" w:rsidRPr="00F03917">
        <w:t xml:space="preserve"> Panel on Climate Change</w:t>
      </w:r>
      <w:r w:rsidRPr="00F03917">
        <w:t xml:space="preserve">; VLM = </w:t>
      </w:r>
      <w:r w:rsidR="5C5A4E91" w:rsidRPr="00F03917">
        <w:t>v</w:t>
      </w:r>
      <w:r w:rsidRPr="00F03917">
        <w:t xml:space="preserve">ertical </w:t>
      </w:r>
      <w:r w:rsidR="2B831B08" w:rsidRPr="00F03917">
        <w:t>l</w:t>
      </w:r>
      <w:r w:rsidRPr="00F03917">
        <w:t xml:space="preserve">and </w:t>
      </w:r>
      <w:r w:rsidR="49A0D2CD" w:rsidRPr="00F03917">
        <w:t>m</w:t>
      </w:r>
      <w:r w:rsidRPr="00F03917">
        <w:t>ovement.</w:t>
      </w:r>
    </w:p>
    <w:p w14:paraId="3AAC3D99" w14:textId="44F8F5A0" w:rsidR="00B3010E" w:rsidRPr="00F03917" w:rsidRDefault="006516A8" w:rsidP="00E004AB">
      <w:pPr>
        <w:pStyle w:val="Source"/>
      </w:pPr>
      <w:r w:rsidRPr="00F03917">
        <w:t xml:space="preserve">The </w:t>
      </w:r>
      <w:r w:rsidR="005F4B99" w:rsidRPr="00F03917">
        <w:t>approx</w:t>
      </w:r>
      <w:r w:rsidRPr="00F03917">
        <w:t>imate</w:t>
      </w:r>
      <w:r w:rsidR="00AC307F" w:rsidRPr="00F03917">
        <w:t xml:space="preserve"> </w:t>
      </w:r>
      <w:r w:rsidR="00C27FF5" w:rsidRPr="00F03917">
        <w:t>rise in MSL c</w:t>
      </w:r>
      <w:r w:rsidR="00B3010E" w:rsidRPr="00F03917">
        <w:t xml:space="preserve">an be considered broadly representative across Aotearoa New Zealand, </w:t>
      </w:r>
      <w:r w:rsidRPr="00F03917">
        <w:t>because</w:t>
      </w:r>
      <w:r w:rsidR="00B3010E" w:rsidRPr="00F03917">
        <w:t xml:space="preserve"> the absolute SLR from north to south only varies by ± 0.025 metres by 2150</w:t>
      </w:r>
      <w:r w:rsidR="00C27FF5" w:rsidRPr="00F03917">
        <w:t xml:space="preserve"> (</w:t>
      </w:r>
      <w:r w:rsidR="00B3010E" w:rsidRPr="00F03917">
        <w:t>relative to the central location</w:t>
      </w:r>
      <w:r w:rsidR="00C27FF5" w:rsidRPr="00F03917">
        <w:t>)</w:t>
      </w:r>
      <w:r w:rsidRPr="00F03917">
        <w:t>.</w:t>
      </w:r>
    </w:p>
    <w:p w14:paraId="46C4B336" w14:textId="48E659A7" w:rsidR="00E352C0" w:rsidRPr="00F03917" w:rsidRDefault="172BBD4F" w:rsidP="00B765D7">
      <w:pPr>
        <w:pStyle w:val="Heading3"/>
        <w:numPr>
          <w:ilvl w:val="0"/>
          <w:numId w:val="22"/>
        </w:numPr>
        <w:spacing w:before="240"/>
      </w:pPr>
      <w:r w:rsidRPr="00F03917">
        <w:t xml:space="preserve">Scenarios and </w:t>
      </w:r>
      <w:r w:rsidR="33AB5B93" w:rsidRPr="00F03917">
        <w:t>relative sea-level rise</w:t>
      </w:r>
      <w:r w:rsidRPr="00F03917">
        <w:t xml:space="preserve"> projections for</w:t>
      </w:r>
      <w:r w:rsidR="00E004AB" w:rsidRPr="00F03917">
        <w:t> </w:t>
      </w:r>
      <w:r w:rsidRPr="00F03917">
        <w:t>hazard and risk assessments</w:t>
      </w:r>
    </w:p>
    <w:p w14:paraId="6228DCE8" w14:textId="4D659BD5" w:rsidR="00E352C0" w:rsidRPr="00F03917" w:rsidRDefault="172BBD4F" w:rsidP="00B64741">
      <w:pPr>
        <w:pStyle w:val="BodyText"/>
      </w:pPr>
      <w:r w:rsidRPr="00F03917">
        <w:t>Hazard and risk assessments and mapping (</w:t>
      </w:r>
      <w:hyperlink w:anchor="_Step_2:_Assess" w:history="1">
        <w:r w:rsidR="3DB03CF5" w:rsidRPr="00F03917">
          <w:rPr>
            <w:rStyle w:val="Hyperlink"/>
          </w:rPr>
          <w:t>s</w:t>
        </w:r>
        <w:r w:rsidRPr="00F03917">
          <w:rPr>
            <w:rStyle w:val="Hyperlink"/>
          </w:rPr>
          <w:t>tep 2</w:t>
        </w:r>
      </w:hyperlink>
      <w:r w:rsidRPr="00F03917">
        <w:t xml:space="preserve"> and </w:t>
      </w:r>
      <w:hyperlink w:anchor="_Step_4:_Assess" w:history="1">
        <w:r w:rsidR="29ABB20A" w:rsidRPr="00F03917">
          <w:rPr>
            <w:rStyle w:val="Hyperlink"/>
          </w:rPr>
          <w:t xml:space="preserve">step </w:t>
        </w:r>
        <w:r w:rsidRPr="00F03917">
          <w:rPr>
            <w:rStyle w:val="Hyperlink"/>
          </w:rPr>
          <w:t>4</w:t>
        </w:r>
      </w:hyperlink>
      <w:r w:rsidRPr="00F03917">
        <w:t>) will need to draw from the RSLR</w:t>
      </w:r>
      <w:r w:rsidR="007D0A82" w:rsidRPr="00F03917">
        <w:t> </w:t>
      </w:r>
      <w:r w:rsidRPr="00F03917">
        <w:t>projections (</w:t>
      </w:r>
      <w:hyperlink w:anchor="_Using_the_recommended" w:history="1">
        <w:r w:rsidRPr="00F03917">
          <w:rPr>
            <w:rStyle w:val="Hyperlink"/>
          </w:rPr>
          <w:t>section 2.1.2</w:t>
        </w:r>
      </w:hyperlink>
      <w:r w:rsidRPr="00F03917">
        <w:t>), or preferably</w:t>
      </w:r>
      <w:r w:rsidR="00D170D1" w:rsidRPr="00F03917">
        <w:rPr>
          <w:rStyle w:val="FootnoteReference"/>
        </w:rPr>
        <w:footnoteReference w:id="38"/>
      </w:r>
      <w:r w:rsidRPr="00F03917">
        <w:t xml:space="preserve"> increments of RSLR heights (eg, 0.1 </w:t>
      </w:r>
      <w:r w:rsidR="66E81E98" w:rsidRPr="00F03917">
        <w:t>m</w:t>
      </w:r>
      <w:r w:rsidR="72B68F0D" w:rsidRPr="00F03917">
        <w:t>etre</w:t>
      </w:r>
      <w:r w:rsidR="66E81E98" w:rsidRPr="00F03917">
        <w:t xml:space="preserve"> </w:t>
      </w:r>
      <w:r w:rsidRPr="00F03917">
        <w:t>or 0.2 m</w:t>
      </w:r>
      <w:r w:rsidR="5D870C48" w:rsidRPr="00F03917">
        <w:t>etre</w:t>
      </w:r>
      <w:r w:rsidRPr="00F03917">
        <w:t xml:space="preserve"> intervals for the first 1 m</w:t>
      </w:r>
      <w:r w:rsidR="00E352C0" w:rsidRPr="00F03917">
        <w:t>etre</w:t>
      </w:r>
      <w:r w:rsidRPr="00F03917">
        <w:t xml:space="preserve"> at least) that cover the range of projections over the planning horizon of at least 100 years.</w:t>
      </w:r>
    </w:p>
    <w:p w14:paraId="54AFACD0" w14:textId="726FFDC5" w:rsidR="00E352C0" w:rsidRPr="00F03917" w:rsidRDefault="172BBD4F" w:rsidP="00F8641D">
      <w:pPr>
        <w:pStyle w:val="BodyText"/>
      </w:pPr>
      <w:r w:rsidRPr="00F03917">
        <w:t xml:space="preserve">Outputs from these assessments, especially maps of coastal hazards and risk under different RSLR, will inform decisions on adaptation thresholds and triggers (decision points) for options and pathways in a DAPP </w:t>
      </w:r>
      <w:r w:rsidR="00A46A93" w:rsidRPr="00F03917">
        <w:t>approach</w:t>
      </w:r>
      <w:r w:rsidRPr="00F03917">
        <w:t xml:space="preserve">. They also create </w:t>
      </w:r>
      <w:r w:rsidR="77BFBB0D" w:rsidRPr="00F03917">
        <w:t xml:space="preserve">an </w:t>
      </w:r>
      <w:r w:rsidRPr="00F03917">
        <w:t>understanding of the sensitivity of impacts to a range of sea-level futures at a locality or district</w:t>
      </w:r>
      <w:r w:rsidR="4181ED0C" w:rsidRPr="00F03917">
        <w:t xml:space="preserve"> or </w:t>
      </w:r>
      <w:r w:rsidRPr="00F03917">
        <w:t>regional scales.</w:t>
      </w:r>
    </w:p>
    <w:p w14:paraId="01F05CAB" w14:textId="0127848D" w:rsidR="00DB55C9" w:rsidRPr="00F03917" w:rsidRDefault="172BBD4F" w:rsidP="00F8641D">
      <w:pPr>
        <w:pStyle w:val="BodyText"/>
      </w:pPr>
      <w:r w:rsidRPr="00F03917">
        <w:t xml:space="preserve">This guidance takes a risk-based approach to the use of </w:t>
      </w:r>
      <w:r w:rsidR="00DC2D6E" w:rsidRPr="00F03917">
        <w:t xml:space="preserve">projections </w:t>
      </w:r>
      <w:r w:rsidRPr="00F03917">
        <w:t xml:space="preserve">and/or increments of RSLR. In this respect, the upper-range </w:t>
      </w:r>
      <w:r w:rsidR="00DA0443" w:rsidRPr="00F03917">
        <w:t>SSP5-8.5</w:t>
      </w:r>
      <w:r w:rsidRPr="00F03917">
        <w:t xml:space="preserve"> H+ should continue to be used in screening and detailed hazard and risk assessments to identify coastal areas potentially affected (Policy 24, NZCPS</w:t>
      </w:r>
      <w:r w:rsidR="00E54D85" w:rsidRPr="00F03917">
        <w:t>, DOC, 2010</w:t>
      </w:r>
      <w:r w:rsidRPr="00F03917">
        <w:t>) and high-end stress testing of adaptation options and pathways (</w:t>
      </w:r>
      <w:hyperlink w:anchor="_Step_6:_Evaluate" w:history="1">
        <w:r w:rsidR="4E83041F" w:rsidRPr="00F03917">
          <w:rPr>
            <w:rStyle w:val="Hyperlink"/>
          </w:rPr>
          <w:t>s</w:t>
        </w:r>
        <w:r w:rsidRPr="00F03917">
          <w:rPr>
            <w:rStyle w:val="Hyperlink"/>
          </w:rPr>
          <w:t>tep 6</w:t>
        </w:r>
      </w:hyperlink>
      <w:r w:rsidRPr="00F03917">
        <w:t>).</w:t>
      </w:r>
      <w:r w:rsidR="00F8641D" w:rsidRPr="00F03917">
        <w:t xml:space="preserve"> </w:t>
      </w:r>
      <w:r w:rsidR="008F740F" w:rsidRPr="00F03917">
        <w:t>Furthermore</w:t>
      </w:r>
      <w:r w:rsidR="009C59CA" w:rsidRPr="00F03917">
        <w:t>, u</w:t>
      </w:r>
      <w:r w:rsidR="000C1CB4" w:rsidRPr="00F03917">
        <w:t xml:space="preserve">sing the </w:t>
      </w:r>
      <w:r w:rsidR="00716BC2" w:rsidRPr="00F03917">
        <w:t xml:space="preserve">RSLR projection based on </w:t>
      </w:r>
      <w:r w:rsidR="001A3DE7" w:rsidRPr="00F03917">
        <w:t>SSP5-8.5 M</w:t>
      </w:r>
      <w:r w:rsidRPr="00F03917">
        <w:t xml:space="preserve"> </w:t>
      </w:r>
      <w:r w:rsidR="00561E7D" w:rsidRPr="00F03917">
        <w:t xml:space="preserve">allows </w:t>
      </w:r>
      <w:r w:rsidR="000A4796" w:rsidRPr="00F03917">
        <w:t>RSLR</w:t>
      </w:r>
      <w:r w:rsidRPr="00F03917">
        <w:t xml:space="preserve"> to be linked to </w:t>
      </w:r>
      <w:r w:rsidR="00FE578B" w:rsidRPr="00F03917">
        <w:t xml:space="preserve">the other climate drivers </w:t>
      </w:r>
      <w:r w:rsidR="00333AE3" w:rsidRPr="00F03917">
        <w:t>(eg</w:t>
      </w:r>
      <w:r w:rsidR="004A7F12" w:rsidRPr="00F03917">
        <w:t>,</w:t>
      </w:r>
      <w:r w:rsidR="00333AE3" w:rsidRPr="00F03917">
        <w:t xml:space="preserve"> rainfall</w:t>
      </w:r>
      <w:r w:rsidR="00D54A4A" w:rsidRPr="00F03917">
        <w:t>)</w:t>
      </w:r>
      <w:r w:rsidR="00FE578B" w:rsidRPr="00F03917">
        <w:t xml:space="preserve"> </w:t>
      </w:r>
      <w:r w:rsidR="005624F7" w:rsidRPr="00F03917">
        <w:t xml:space="preserve">if </w:t>
      </w:r>
      <w:r w:rsidRPr="00F03917">
        <w:t xml:space="preserve">a </w:t>
      </w:r>
      <w:r w:rsidR="005624F7" w:rsidRPr="00F03917">
        <w:t>multi-</w:t>
      </w:r>
      <w:r w:rsidR="00FE578B" w:rsidRPr="00F03917">
        <w:t>hazard and risk assessment</w:t>
      </w:r>
      <w:r w:rsidR="00E773E0" w:rsidRPr="00F03917">
        <w:t xml:space="preserve"> is being done</w:t>
      </w:r>
      <w:r w:rsidR="00FE578B" w:rsidRPr="00F03917">
        <w:t>.</w:t>
      </w:r>
    </w:p>
    <w:p w14:paraId="22863099" w14:textId="3C26C4B0" w:rsidR="00E352C0" w:rsidRPr="00F03917" w:rsidRDefault="172BBD4F" w:rsidP="00F8641D">
      <w:pPr>
        <w:pStyle w:val="BodyText"/>
      </w:pPr>
      <w:r w:rsidRPr="00F03917">
        <w:t xml:space="preserve">The recommended minimum SSP scenarios and RSLR projections for assessments in </w:t>
      </w:r>
      <w:r w:rsidR="5449EC2A" w:rsidRPr="00F03917">
        <w:t>t</w:t>
      </w:r>
      <w:r w:rsidRPr="00F03917">
        <w:t xml:space="preserve">able </w:t>
      </w:r>
      <w:r w:rsidR="006D3885" w:rsidRPr="00F03917">
        <w:t>9</w:t>
      </w:r>
      <w:r w:rsidRPr="00F03917">
        <w:t xml:space="preserve"> generally align with the </w:t>
      </w:r>
      <w:r w:rsidR="00FF6DBD" w:rsidRPr="00F03917">
        <w:t>n</w:t>
      </w:r>
      <w:r w:rsidR="04B67F32" w:rsidRPr="00F03917">
        <w:t xml:space="preserve">ational </w:t>
      </w:r>
      <w:r w:rsidR="00FF6DBD" w:rsidRPr="00F03917">
        <w:t>a</w:t>
      </w:r>
      <w:r w:rsidR="12F15AE8" w:rsidRPr="00F03917">
        <w:t xml:space="preserve">daptation </w:t>
      </w:r>
      <w:r w:rsidR="00FF6DBD" w:rsidRPr="00F03917">
        <w:t>p</w:t>
      </w:r>
      <w:r w:rsidR="27FB31D9" w:rsidRPr="00F03917">
        <w:t>lan</w:t>
      </w:r>
      <w:r w:rsidR="006D61FF" w:rsidRPr="00F03917">
        <w:t xml:space="preserve"> and </w:t>
      </w:r>
      <w:r w:rsidR="00A0755A" w:rsidRPr="00F03917">
        <w:t>Ministry for the Environment</w:t>
      </w:r>
      <w:r w:rsidR="00515EB7" w:rsidRPr="00F03917">
        <w:t xml:space="preserve"> guidance on local climate risk assessment</w:t>
      </w:r>
      <w:r w:rsidR="00E5387C" w:rsidRPr="00F03917">
        <w:t xml:space="preserve"> (MfE, 202</w:t>
      </w:r>
      <w:r w:rsidR="00E52420" w:rsidRPr="00F03917">
        <w:t>1</w:t>
      </w:r>
      <w:r w:rsidR="00A0755A" w:rsidRPr="00F03917">
        <w:t>, 2022</w:t>
      </w:r>
      <w:r w:rsidR="006578D6" w:rsidRPr="00F03917">
        <w:t>a</w:t>
      </w:r>
      <w:r w:rsidR="00E52420" w:rsidRPr="00F03917">
        <w:t>)</w:t>
      </w:r>
      <w:r w:rsidRPr="00F03917">
        <w:t>.</w:t>
      </w:r>
    </w:p>
    <w:p w14:paraId="11031CF9" w14:textId="75A41077" w:rsidR="00E352C0" w:rsidRPr="00F03917" w:rsidRDefault="172BBD4F" w:rsidP="00FF0EA2">
      <w:pPr>
        <w:pStyle w:val="Tableheading"/>
      </w:pPr>
      <w:bookmarkStart w:id="72" w:name="_Toc160098403"/>
      <w:r w:rsidRPr="00F03917">
        <w:lastRenderedPageBreak/>
        <w:t xml:space="preserve">Recommended minimum </w:t>
      </w:r>
      <w:r w:rsidR="3800EBFB" w:rsidRPr="00F03917" w:rsidDel="002E695E">
        <w:t xml:space="preserve">shared socio-economic pathway </w:t>
      </w:r>
      <w:r w:rsidRPr="00F03917" w:rsidDel="002E695E">
        <w:t xml:space="preserve">scenarios for </w:t>
      </w:r>
      <w:r w:rsidR="1812E3EE" w:rsidRPr="00F03917">
        <w:t xml:space="preserve">relative </w:t>
      </w:r>
      <w:r w:rsidR="65C6C51D" w:rsidRPr="00F03917">
        <w:t>sea-level</w:t>
      </w:r>
      <w:r w:rsidR="1812E3EE" w:rsidRPr="00F03917">
        <w:t xml:space="preserve"> rise</w:t>
      </w:r>
      <w:r w:rsidRPr="00F03917">
        <w:t xml:space="preserve"> projections to use for screening and detailed phases of hazard and risk</w:t>
      </w:r>
      <w:r w:rsidR="005521C7" w:rsidRPr="00F03917">
        <w:t> </w:t>
      </w:r>
      <w:r w:rsidRPr="00F03917">
        <w:t>assessments</w:t>
      </w:r>
      <w:bookmarkEnd w:id="72"/>
      <w:r w:rsidRPr="00F03917">
        <w:t> </w:t>
      </w:r>
    </w:p>
    <w:tbl>
      <w:tblPr>
        <w:tblStyle w:val="LightList-Accent113"/>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2648"/>
        <w:gridCol w:w="5857"/>
      </w:tblGrid>
      <w:tr w:rsidR="00E352C0" w:rsidRPr="00F03917" w14:paraId="60531922" w14:textId="77777777" w:rsidTr="00C741D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20" w:type="dxa"/>
            <w:tcBorders>
              <w:bottom w:val="nil"/>
            </w:tcBorders>
            <w:hideMark/>
          </w:tcPr>
          <w:p w14:paraId="3F7B498F" w14:textId="77777777" w:rsidR="00E352C0" w:rsidRPr="00F03917" w:rsidRDefault="00E352C0" w:rsidP="00243106">
            <w:pPr>
              <w:pStyle w:val="TableText"/>
              <w:keepNext/>
            </w:pPr>
            <w:r w:rsidRPr="00F03917">
              <w:t>Assessment phase </w:t>
            </w:r>
          </w:p>
        </w:tc>
        <w:tc>
          <w:tcPr>
            <w:tcW w:w="6375" w:type="dxa"/>
            <w:tcBorders>
              <w:bottom w:val="nil"/>
            </w:tcBorders>
            <w:hideMark/>
          </w:tcPr>
          <w:p w14:paraId="77C1C943" w14:textId="77777777" w:rsidR="00E352C0" w:rsidRPr="00F03917" w:rsidRDefault="00E352C0" w:rsidP="00243106">
            <w:pPr>
              <w:pStyle w:val="TableText"/>
              <w:keepNext/>
              <w:cnfStyle w:val="100000000000" w:firstRow="1" w:lastRow="0" w:firstColumn="0" w:lastColumn="0" w:oddVBand="0" w:evenVBand="0" w:oddHBand="0" w:evenHBand="0" w:firstRowFirstColumn="0" w:firstRowLastColumn="0" w:lastRowFirstColumn="0" w:lastRowLastColumn="0"/>
            </w:pPr>
            <w:r w:rsidRPr="00F03917">
              <w:t>Recommended minimum SSP scenarios to use </w:t>
            </w:r>
          </w:p>
        </w:tc>
      </w:tr>
      <w:tr w:rsidR="00E352C0" w:rsidRPr="00F03917" w14:paraId="412673E7" w14:textId="77777777" w:rsidTr="00C741D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tcBorders>
              <w:top w:val="nil"/>
              <w:left w:val="nil"/>
              <w:bottom w:val="single" w:sz="4" w:space="0" w:color="1C556C" w:themeColor="accent1"/>
              <w:right w:val="single" w:sz="4" w:space="0" w:color="1C556C" w:themeColor="accent1"/>
            </w:tcBorders>
            <w:hideMark/>
          </w:tcPr>
          <w:p w14:paraId="6EF808B0" w14:textId="07298CEF" w:rsidR="00E352C0" w:rsidRPr="00F03917" w:rsidRDefault="00E352C0" w:rsidP="00243106">
            <w:pPr>
              <w:pStyle w:val="TableText"/>
              <w:keepNext/>
              <w:rPr>
                <w:rFonts w:ascii="Times New Roman" w:hAnsi="Times New Roman" w:cs="Times New Roman"/>
                <w:sz w:val="24"/>
                <w:szCs w:val="24"/>
              </w:rPr>
            </w:pPr>
            <w:r w:rsidRPr="00F03917">
              <w:t>Initial screening for coastal hazard or risk assessments</w:t>
            </w:r>
          </w:p>
        </w:tc>
        <w:tc>
          <w:tcPr>
            <w:tcW w:w="6375" w:type="dxa"/>
            <w:tcBorders>
              <w:top w:val="nil"/>
              <w:left w:val="single" w:sz="4" w:space="0" w:color="1C556C" w:themeColor="accent1"/>
              <w:bottom w:val="single" w:sz="4" w:space="0" w:color="1C556C" w:themeColor="accent1"/>
              <w:right w:val="nil"/>
            </w:tcBorders>
            <w:hideMark/>
          </w:tcPr>
          <w:p w14:paraId="3C7231E3" w14:textId="1E99AB08" w:rsidR="00E352C0" w:rsidRPr="00F03917" w:rsidRDefault="172BBD4F" w:rsidP="00243106">
            <w:pPr>
              <w:pStyle w:val="TableText"/>
              <w:keepNext/>
              <w:cnfStyle w:val="000000100000" w:firstRow="0" w:lastRow="0" w:firstColumn="0" w:lastColumn="0" w:oddVBand="0" w:evenVBand="0" w:oddHBand="1" w:evenHBand="0" w:firstRowFirstColumn="0" w:firstRowLastColumn="0" w:lastRowFirstColumn="0" w:lastRowLastColumn="0"/>
            </w:pPr>
            <w:r w:rsidRPr="00F03917">
              <w:t>For a timeframe out to 2130 (</w:t>
            </w:r>
            <w:r w:rsidRPr="00F03917">
              <w:rPr>
                <w:rFonts w:ascii="Symbol" w:hAnsi="Symbol" w:cs="Times New Roman"/>
              </w:rPr>
              <w:t>³</w:t>
            </w:r>
            <w:r w:rsidRPr="00F03917">
              <w:t>100 years), at a minimum:</w:t>
            </w:r>
          </w:p>
          <w:p w14:paraId="7B748BDC" w14:textId="502247D3" w:rsidR="00E352C0" w:rsidRPr="00F03917" w:rsidRDefault="172BBD4F" w:rsidP="00243106">
            <w:pPr>
              <w:pStyle w:val="TableText"/>
              <w:keepNex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03917">
              <w:t xml:space="preserve">For RSLR: use either the </w:t>
            </w:r>
            <w:r w:rsidRPr="00F03917">
              <w:rPr>
                <w:i/>
                <w:iCs/>
              </w:rPr>
              <w:t>medium confidence</w:t>
            </w:r>
            <w:r w:rsidRPr="00F03917">
              <w:t xml:space="preserve"> SSP5-8.5 M or SSP5-8.5 H+ projection</w:t>
            </w:r>
            <w:r w:rsidRPr="00F03917">
              <w:rPr>
                <w:szCs w:val="18"/>
              </w:rPr>
              <w:t>s*</w:t>
            </w:r>
            <w:r w:rsidRPr="00F03917">
              <w:t xml:space="preserve"> that include the relevant VLM rate or preferably increments of RSLR heights, which would be needed later in detailed assessments (eg, 0.1</w:t>
            </w:r>
            <w:r w:rsidR="005521C7" w:rsidRPr="00F03917">
              <w:t> </w:t>
            </w:r>
            <w:r w:rsidR="26EB54FE" w:rsidRPr="00F03917">
              <w:t>m</w:t>
            </w:r>
            <w:r w:rsidR="320B438A" w:rsidRPr="00F03917">
              <w:t>etre</w:t>
            </w:r>
            <w:r w:rsidR="26EB54FE" w:rsidRPr="00F03917">
              <w:t xml:space="preserve"> </w:t>
            </w:r>
            <w:r w:rsidRPr="00F03917">
              <w:t>or 0.2 m</w:t>
            </w:r>
            <w:r w:rsidR="69A60D20" w:rsidRPr="00F03917">
              <w:t>etre</w:t>
            </w:r>
            <w:r w:rsidRPr="00F03917">
              <w:t xml:space="preserve"> covering the full range of RSLR up to SSP5-8.5 H+).</w:t>
            </w:r>
          </w:p>
        </w:tc>
      </w:tr>
      <w:tr w:rsidR="00E352C0" w:rsidRPr="00F03917" w14:paraId="071B0423" w14:textId="77777777" w:rsidTr="00C741D0">
        <w:trPr>
          <w:trHeight w:val="300"/>
        </w:trPr>
        <w:tc>
          <w:tcPr>
            <w:cnfStyle w:val="001000000000" w:firstRow="0" w:lastRow="0" w:firstColumn="1" w:lastColumn="0" w:oddVBand="0" w:evenVBand="0" w:oddHBand="0" w:evenHBand="0" w:firstRowFirstColumn="0" w:firstRowLastColumn="0" w:lastRowFirstColumn="0" w:lastRowLastColumn="0"/>
            <w:tcW w:w="2820" w:type="dxa"/>
            <w:tcBorders>
              <w:top w:val="single" w:sz="4" w:space="0" w:color="1C556C" w:themeColor="accent1"/>
            </w:tcBorders>
            <w:hideMark/>
          </w:tcPr>
          <w:p w14:paraId="7B393DDB" w14:textId="1F1FBE19" w:rsidR="00E352C0" w:rsidRPr="00F03917" w:rsidRDefault="00E352C0" w:rsidP="005521C7">
            <w:pPr>
              <w:pStyle w:val="TableText"/>
              <w:rPr>
                <w:rFonts w:ascii="Times New Roman" w:hAnsi="Times New Roman" w:cs="Times New Roman"/>
                <w:sz w:val="24"/>
                <w:szCs w:val="24"/>
              </w:rPr>
            </w:pPr>
            <w:r w:rsidRPr="00F03917">
              <w:t>Detailed coastal hazard or risk assessments</w:t>
            </w:r>
          </w:p>
        </w:tc>
        <w:tc>
          <w:tcPr>
            <w:tcW w:w="6375" w:type="dxa"/>
            <w:tcBorders>
              <w:top w:val="single" w:sz="4" w:space="0" w:color="1C556C" w:themeColor="accent1"/>
            </w:tcBorders>
            <w:hideMark/>
          </w:tcPr>
          <w:p w14:paraId="5E06EBB3" w14:textId="117EEDA4" w:rsidR="00E352C0" w:rsidRPr="00F03917" w:rsidRDefault="172BBD4F" w:rsidP="005521C7">
            <w:pPr>
              <w:pStyle w:val="TableText"/>
              <w:cnfStyle w:val="000000000000" w:firstRow="0" w:lastRow="0" w:firstColumn="0" w:lastColumn="0" w:oddVBand="0" w:evenVBand="0" w:oddHBand="0" w:evenHBand="0" w:firstRowFirstColumn="0" w:firstRowLastColumn="0" w:lastRowFirstColumn="0" w:lastRowLastColumn="0"/>
            </w:pPr>
            <w:r w:rsidRPr="00F03917">
              <w:t>For a timeframe out to 2130 (</w:t>
            </w:r>
            <w:r w:rsidRPr="00F03917">
              <w:rPr>
                <w:rFonts w:ascii="Symbol" w:hAnsi="Symbol" w:cs="Times New Roman"/>
              </w:rPr>
              <w:t>³</w:t>
            </w:r>
            <w:r w:rsidRPr="00F03917">
              <w:t>100 years), at a minimum:</w:t>
            </w:r>
          </w:p>
          <w:p w14:paraId="3893546F" w14:textId="4C4A0C72" w:rsidR="00E352C0" w:rsidRPr="00F03917" w:rsidRDefault="172BBD4F" w:rsidP="005521C7">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F03917">
              <w:t xml:space="preserve">For RSLR: use both the </w:t>
            </w:r>
            <w:r w:rsidRPr="00F03917">
              <w:rPr>
                <w:i/>
                <w:iCs/>
              </w:rPr>
              <w:t>medium confidence</w:t>
            </w:r>
            <w:r w:rsidRPr="00F03917">
              <w:t xml:space="preserve"> SSP2-4.5 M and SSP5-8.5 M RSLR projections that include the relevant VLM rate or preferably increments of RSLR heights (eg, 0.1 </w:t>
            </w:r>
            <w:r w:rsidR="3A089B24" w:rsidRPr="00F03917">
              <w:t>m</w:t>
            </w:r>
            <w:r w:rsidR="67489C60" w:rsidRPr="00F03917">
              <w:t>etre</w:t>
            </w:r>
            <w:r w:rsidR="3A089B24" w:rsidRPr="00F03917">
              <w:t xml:space="preserve"> </w:t>
            </w:r>
            <w:r w:rsidRPr="00F03917">
              <w:t>or 0.2 m</w:t>
            </w:r>
            <w:r w:rsidR="5545C31C" w:rsidRPr="00F03917">
              <w:t>etre</w:t>
            </w:r>
            <w:r w:rsidRPr="00F03917">
              <w:t xml:space="preserve"> covering the full range of RSLR up to SSP5-8.5 H+).</w:t>
            </w:r>
          </w:p>
        </w:tc>
      </w:tr>
    </w:tbl>
    <w:p w14:paraId="6CE822F8" w14:textId="7231908D" w:rsidR="00E352C0" w:rsidRPr="00F03917" w:rsidRDefault="5F11D308" w:rsidP="00243106">
      <w:pPr>
        <w:pStyle w:val="Source"/>
        <w:spacing w:after="0"/>
      </w:pPr>
      <w:r w:rsidRPr="00F03917">
        <w:t>Notes:</w:t>
      </w:r>
    </w:p>
    <w:p w14:paraId="327A7614" w14:textId="791D19A5" w:rsidR="00E352C0" w:rsidRPr="00F03917" w:rsidRDefault="00E352C0" w:rsidP="00931B8B">
      <w:pPr>
        <w:pStyle w:val="Source"/>
      </w:pPr>
      <w:r w:rsidRPr="00F03917">
        <w:t xml:space="preserve">* H+ is the 83rd percentile (or </w:t>
      </w:r>
      <w:r w:rsidRPr="00F03917">
        <w:rPr>
          <w:i/>
        </w:rPr>
        <w:t>p83</w:t>
      </w:r>
      <w:r w:rsidRPr="00F03917">
        <w:t xml:space="preserve"> at the top of the shaded likely range in </w:t>
      </w:r>
      <w:r w:rsidR="00D92F24" w:rsidRPr="00F03917">
        <w:t>NZ SeaRise</w:t>
      </w:r>
      <w:r w:rsidRPr="00F03917">
        <w:t xml:space="preserve"> graphs).</w:t>
      </w:r>
    </w:p>
    <w:p w14:paraId="1F109C0F" w14:textId="77040CB6" w:rsidR="00E352C0" w:rsidRPr="00F03917" w:rsidRDefault="172BBD4F" w:rsidP="00931B8B">
      <w:pPr>
        <w:pStyle w:val="Source"/>
        <w:spacing w:before="0"/>
        <w:ind w:left="284" w:hanging="284"/>
      </w:pPr>
      <w:r w:rsidRPr="00F03917">
        <w:t xml:space="preserve">i) </w:t>
      </w:r>
      <w:r w:rsidR="00931B8B" w:rsidRPr="00F03917">
        <w:tab/>
      </w:r>
      <w:r w:rsidRPr="00F03917">
        <w:t>R</w:t>
      </w:r>
      <w:r w:rsidR="3B9BC28A" w:rsidRPr="00F03917">
        <w:t>elative sea-level rise</w:t>
      </w:r>
      <w:r w:rsidRPr="00F03917">
        <w:t xml:space="preserve"> projections are available from the </w:t>
      </w:r>
      <w:hyperlink r:id="rId78" w:tgtFrame="_blank" w:history="1">
        <w:r w:rsidRPr="00F03917">
          <w:t>NZ SeaRise</w:t>
        </w:r>
      </w:hyperlink>
      <w:r w:rsidRPr="00F03917">
        <w:t xml:space="preserve"> platform.</w:t>
      </w:r>
    </w:p>
    <w:p w14:paraId="33FCED8B" w14:textId="606E8C64" w:rsidR="00E352C0" w:rsidRPr="00F03917" w:rsidRDefault="172BBD4F" w:rsidP="00931B8B">
      <w:pPr>
        <w:pStyle w:val="Source"/>
        <w:spacing w:before="0"/>
        <w:ind w:left="284" w:hanging="284"/>
      </w:pPr>
      <w:r w:rsidRPr="00F03917">
        <w:t>ii)</w:t>
      </w:r>
      <w:r w:rsidR="00931B8B" w:rsidRPr="00F03917">
        <w:tab/>
      </w:r>
      <w:r w:rsidR="3A5C12CE" w:rsidRPr="00F03917">
        <w:t>M = median</w:t>
      </w:r>
      <w:r w:rsidR="00B74CDF" w:rsidRPr="00F03917">
        <w:t xml:space="preserve"> or 50th percentile</w:t>
      </w:r>
      <w:r w:rsidR="3A5C12CE" w:rsidRPr="00F03917">
        <w:t xml:space="preserve"> </w:t>
      </w:r>
      <w:r w:rsidR="00451684" w:rsidRPr="00F03917">
        <w:t>(</w:t>
      </w:r>
      <w:r w:rsidR="00DD5EEF" w:rsidRPr="00F03917">
        <w:t xml:space="preserve">or </w:t>
      </w:r>
      <w:r w:rsidR="00DD5EEF" w:rsidRPr="00F03917">
        <w:rPr>
          <w:i/>
        </w:rPr>
        <w:t>p</w:t>
      </w:r>
      <w:r w:rsidR="00EF16CD" w:rsidRPr="00F03917">
        <w:rPr>
          <w:i/>
        </w:rPr>
        <w:t>50</w:t>
      </w:r>
      <w:r w:rsidR="00B25ED6" w:rsidRPr="00F03917">
        <w:t xml:space="preserve"> </w:t>
      </w:r>
      <w:r w:rsidR="00206A88" w:rsidRPr="00F03917">
        <w:t xml:space="preserve">at </w:t>
      </w:r>
      <w:r w:rsidR="00B25ED6" w:rsidRPr="00F03917">
        <w:t xml:space="preserve">the middle of </w:t>
      </w:r>
      <w:r w:rsidR="00F97555" w:rsidRPr="00F03917">
        <w:t xml:space="preserve">the shaded likely range in </w:t>
      </w:r>
      <w:r w:rsidR="007C6EE5" w:rsidRPr="00F03917">
        <w:t>NZ SeaRise Platform</w:t>
      </w:r>
      <w:r w:rsidR="00F97555" w:rsidRPr="00F03917">
        <w:t xml:space="preserve"> graphs)</w:t>
      </w:r>
      <w:r w:rsidR="3A5C12CE" w:rsidRPr="00F03917">
        <w:t xml:space="preserve">; RSLR = relative sea-level rise; </w:t>
      </w:r>
      <w:r w:rsidRPr="00F03917">
        <w:t xml:space="preserve">SSP = </w:t>
      </w:r>
      <w:r w:rsidR="078ED159" w:rsidRPr="00F03917">
        <w:t>s</w:t>
      </w:r>
      <w:r w:rsidRPr="00F03917">
        <w:t xml:space="preserve">hared </w:t>
      </w:r>
      <w:r w:rsidR="4D472683" w:rsidRPr="00F03917">
        <w:t>s</w:t>
      </w:r>
      <w:r w:rsidRPr="00F03917">
        <w:t xml:space="preserve">ocio-economic </w:t>
      </w:r>
      <w:r w:rsidR="117C7F23" w:rsidRPr="00F03917">
        <w:t>p</w:t>
      </w:r>
      <w:r w:rsidRPr="00F03917">
        <w:t xml:space="preserve">athway; VLM = </w:t>
      </w:r>
      <w:r w:rsidR="648DB0BF" w:rsidRPr="00F03917">
        <w:t>v</w:t>
      </w:r>
      <w:r w:rsidRPr="00F03917">
        <w:t xml:space="preserve">ertical </w:t>
      </w:r>
      <w:r w:rsidR="757A461F" w:rsidRPr="00F03917">
        <w:t>l</w:t>
      </w:r>
      <w:r w:rsidRPr="00F03917">
        <w:t xml:space="preserve">and </w:t>
      </w:r>
      <w:r w:rsidR="6521E371" w:rsidRPr="00F03917">
        <w:t>m</w:t>
      </w:r>
      <w:r w:rsidRPr="00F03917">
        <w:t>ovement</w:t>
      </w:r>
      <w:r w:rsidR="219014CB" w:rsidRPr="00F03917">
        <w:t>.</w:t>
      </w:r>
      <w:r w:rsidRPr="00F03917">
        <w:t xml:space="preserve"> </w:t>
      </w:r>
    </w:p>
    <w:p w14:paraId="6FC495C8" w14:textId="06F550D9" w:rsidR="005B13C1" w:rsidRPr="00F03917" w:rsidRDefault="00DC6821" w:rsidP="00B765D7">
      <w:pPr>
        <w:pStyle w:val="Heading2"/>
        <w:numPr>
          <w:ilvl w:val="0"/>
          <w:numId w:val="21"/>
        </w:numPr>
      </w:pPr>
      <w:bookmarkStart w:id="73" w:name="_Coastal_hazard_assessment"/>
      <w:bookmarkStart w:id="74" w:name="_Toc160096237"/>
      <w:bookmarkEnd w:id="73"/>
      <w:r w:rsidRPr="00F03917">
        <w:t>C</w:t>
      </w:r>
      <w:r w:rsidR="005B13C1" w:rsidRPr="00F03917">
        <w:t>oastal hazard</w:t>
      </w:r>
      <w:r w:rsidR="00A85954" w:rsidRPr="00F03917">
        <w:t xml:space="preserve"> assessment</w:t>
      </w:r>
      <w:bookmarkEnd w:id="74"/>
    </w:p>
    <w:p w14:paraId="573A9BC1" w14:textId="5D084566" w:rsidR="00E960A4" w:rsidRPr="00F03917" w:rsidRDefault="00E90D93" w:rsidP="00931B8B">
      <w:pPr>
        <w:pStyle w:val="Heading3"/>
        <w:numPr>
          <w:ilvl w:val="0"/>
          <w:numId w:val="23"/>
        </w:numPr>
        <w:spacing w:before="240"/>
      </w:pPr>
      <w:r w:rsidRPr="00F03917">
        <w:t>Types of coastal h</w:t>
      </w:r>
      <w:r w:rsidR="0095211A" w:rsidRPr="00F03917">
        <w:t>azards</w:t>
      </w:r>
    </w:p>
    <w:p w14:paraId="727BD445" w14:textId="5CEE55B2" w:rsidR="00C11609" w:rsidRPr="00F03917" w:rsidRDefault="00C11609" w:rsidP="00931B8B">
      <w:pPr>
        <w:pStyle w:val="BodyText"/>
      </w:pPr>
      <w:r w:rsidRPr="00F03917">
        <w:t>Natural hazards in a changing climate for coastal areas can be related to either:</w:t>
      </w:r>
    </w:p>
    <w:p w14:paraId="138B4731" w14:textId="777D0677" w:rsidR="00C11609" w:rsidRPr="00F03917" w:rsidRDefault="6A01BA97" w:rsidP="00174F6E">
      <w:pPr>
        <w:pStyle w:val="BulletFIX"/>
      </w:pPr>
      <w:r w:rsidRPr="00F03917">
        <w:t>a</w:t>
      </w:r>
      <w:r w:rsidR="55E0F145" w:rsidRPr="00F03917">
        <w:t xml:space="preserve"> worsening of </w:t>
      </w:r>
      <w:r w:rsidR="001121A3" w:rsidRPr="00F03917">
        <w:t xml:space="preserve">the impacts from </w:t>
      </w:r>
      <w:r w:rsidR="55E0F145" w:rsidRPr="00F03917">
        <w:t>coastal hazard events (magnitude, changing frequency, persistence and compound or multiple contributors), or </w:t>
      </w:r>
    </w:p>
    <w:p w14:paraId="6136DA79" w14:textId="321206CD" w:rsidR="00C11609" w:rsidRPr="00F03917" w:rsidRDefault="05F06F2B" w:rsidP="00174F6E">
      <w:pPr>
        <w:pStyle w:val="BulletFIX"/>
      </w:pPr>
      <w:r w:rsidRPr="00F03917">
        <w:t>a</w:t>
      </w:r>
      <w:r w:rsidR="55E0F145" w:rsidRPr="00F03917">
        <w:t xml:space="preserve"> progressive change or trend (eg, high-tide flooding extending intertidal areas, groundwater rise, salini</w:t>
      </w:r>
      <w:r w:rsidR="24A4102E" w:rsidRPr="00F03917">
        <w:t>s</w:t>
      </w:r>
      <w:r w:rsidR="55E0F145" w:rsidRPr="00F03917">
        <w:t xml:space="preserve">ation of land and freshwater) from the ongoing rise in </w:t>
      </w:r>
      <w:r w:rsidR="008D5AE2" w:rsidRPr="00F03917">
        <w:t>MSL</w:t>
      </w:r>
      <w:r w:rsidR="55E0F145" w:rsidRPr="00F03917">
        <w:t xml:space="preserve"> </w:t>
      </w:r>
      <w:r w:rsidR="001121A3" w:rsidRPr="00F03917">
        <w:t>and other climate drivers</w:t>
      </w:r>
      <w:r w:rsidR="55E0F145" w:rsidRPr="00F03917">
        <w:t xml:space="preserve"> (</w:t>
      </w:r>
      <w:hyperlink w:anchor="figure3">
        <w:r w:rsidR="55E0F145" w:rsidRPr="00F03917">
          <w:rPr>
            <w:rStyle w:val="Hyperlink"/>
          </w:rPr>
          <w:t xml:space="preserve">figure </w:t>
        </w:r>
        <w:r w:rsidR="00B227E9" w:rsidRPr="00F03917">
          <w:rPr>
            <w:rStyle w:val="Hyperlink"/>
          </w:rPr>
          <w:t>3</w:t>
        </w:r>
      </w:hyperlink>
      <w:r w:rsidR="55E0F145" w:rsidRPr="00F03917">
        <w:t>).</w:t>
      </w:r>
    </w:p>
    <w:p w14:paraId="6E89175D" w14:textId="121FACD8" w:rsidR="00E76E79" w:rsidRPr="00F03917" w:rsidRDefault="00C11609" w:rsidP="00EA4A09">
      <w:pPr>
        <w:pStyle w:val="BodyText"/>
      </w:pPr>
      <w:r w:rsidRPr="00F03917">
        <w:t xml:space="preserve">Both need to be considered in coastal hazard assessments, rather than the conventional focus on </w:t>
      </w:r>
      <w:r w:rsidR="008A6BF4" w:rsidRPr="00F03917">
        <w:t xml:space="preserve">coastal hazard </w:t>
      </w:r>
      <w:r w:rsidRPr="00F03917">
        <w:t>events.</w:t>
      </w:r>
    </w:p>
    <w:p w14:paraId="63B30B8C" w14:textId="69B0C3A0" w:rsidR="005B13C1" w:rsidRPr="00F03917" w:rsidRDefault="00B71E1F" w:rsidP="00EA4A09">
      <w:pPr>
        <w:pStyle w:val="Heading4"/>
      </w:pPr>
      <w:r w:rsidRPr="00F03917">
        <w:t>Coastal inundation</w:t>
      </w:r>
    </w:p>
    <w:p w14:paraId="46DF0FD1" w14:textId="39FB3316" w:rsidR="00B71E1F" w:rsidRPr="00F03917" w:rsidRDefault="00701CD4" w:rsidP="00931B8B">
      <w:pPr>
        <w:pStyle w:val="Heading5"/>
      </w:pPr>
      <w:r w:rsidRPr="00F03917">
        <w:t>Changes in s</w:t>
      </w:r>
      <w:r w:rsidR="00B71E1F" w:rsidRPr="00F03917">
        <w:t>torm</w:t>
      </w:r>
      <w:r w:rsidR="00C70BD5" w:rsidRPr="00F03917">
        <w:t xml:space="preserve"> </w:t>
      </w:r>
      <w:r w:rsidR="00B71E1F" w:rsidRPr="00F03917">
        <w:t>surge</w:t>
      </w:r>
      <w:r w:rsidRPr="00F03917">
        <w:t>, storm intensity</w:t>
      </w:r>
      <w:r w:rsidR="00B71E1F" w:rsidRPr="00F03917">
        <w:t xml:space="preserve"> and ocean drivers</w:t>
      </w:r>
    </w:p>
    <w:p w14:paraId="2826457E" w14:textId="527C738C" w:rsidR="005B13C1" w:rsidRPr="00F03917" w:rsidRDefault="005B13C1" w:rsidP="00931B8B">
      <w:pPr>
        <w:pStyle w:val="BodyText"/>
      </w:pPr>
      <w:r w:rsidRPr="00F03917">
        <w:t>Trends and projections of future changes in associated coastal and ocean drivers (wind, waves, storm surges and changes to tide range in estuaries</w:t>
      </w:r>
      <w:r w:rsidR="2A812DB1" w:rsidRPr="00F03917">
        <w:t xml:space="preserve"> and </w:t>
      </w:r>
      <w:r w:rsidRPr="00F03917">
        <w:t xml:space="preserve">inlets) are not as clear and consistent as the more dominant </w:t>
      </w:r>
      <w:r w:rsidR="00ED4746" w:rsidRPr="00F03917">
        <w:t xml:space="preserve">rise in </w:t>
      </w:r>
      <w:r w:rsidR="00B047DD" w:rsidRPr="00F03917">
        <w:t>MSL</w:t>
      </w:r>
      <w:r w:rsidR="7A3E1F83" w:rsidRPr="00F03917">
        <w:t xml:space="preserve"> (on which coastal hazard events are exacerbated)</w:t>
      </w:r>
      <w:r w:rsidR="7C6B3AB1" w:rsidRPr="00F03917">
        <w:t>.</w:t>
      </w:r>
      <w:r w:rsidRPr="00F03917">
        <w:t xml:space="preserve"> Projected changes to </w:t>
      </w:r>
      <w:r w:rsidR="194599FB" w:rsidRPr="00F03917">
        <w:t xml:space="preserve">the contributing processes that combine to generate hazard events </w:t>
      </w:r>
      <w:r w:rsidR="194599FB" w:rsidRPr="00F03917">
        <w:rPr>
          <w:spacing w:val="-2"/>
        </w:rPr>
        <w:t>(besides RSLR)</w:t>
      </w:r>
      <w:r w:rsidR="00C94F34" w:rsidRPr="00F03917">
        <w:rPr>
          <w:spacing w:val="-2"/>
        </w:rPr>
        <w:t> </w:t>
      </w:r>
      <w:r w:rsidRPr="00F03917">
        <w:rPr>
          <w:spacing w:val="-2"/>
        </w:rPr>
        <w:t>are likely to vary by region, as storm tracks</w:t>
      </w:r>
      <w:r w:rsidR="405271DA" w:rsidRPr="00F03917">
        <w:rPr>
          <w:spacing w:val="-2"/>
        </w:rPr>
        <w:t>, winds</w:t>
      </w:r>
      <w:r w:rsidRPr="00F03917">
        <w:rPr>
          <w:spacing w:val="-2"/>
        </w:rPr>
        <w:t xml:space="preserve"> </w:t>
      </w:r>
      <w:r w:rsidR="0066206B" w:rsidRPr="00F03917">
        <w:rPr>
          <w:spacing w:val="-2"/>
        </w:rPr>
        <w:t xml:space="preserve">and weather systems </w:t>
      </w:r>
      <w:r w:rsidR="785B1BD4" w:rsidRPr="00F03917">
        <w:rPr>
          <w:spacing w:val="-2"/>
        </w:rPr>
        <w:t>respond</w:t>
      </w:r>
      <w:r w:rsidR="785B1BD4" w:rsidRPr="00F03917">
        <w:t xml:space="preserve"> to climate change</w:t>
      </w:r>
      <w:r w:rsidR="7C6B3AB1" w:rsidRPr="00F03917">
        <w:t>.</w:t>
      </w:r>
      <w:r w:rsidR="00C94F34" w:rsidRPr="00F03917">
        <w:t xml:space="preserve"> </w:t>
      </w:r>
      <w:r w:rsidRPr="00F03917">
        <w:t xml:space="preserve">The projected changes </w:t>
      </w:r>
      <w:r w:rsidR="2358834E" w:rsidRPr="00F03917">
        <w:t xml:space="preserve">across Aotearoa </w:t>
      </w:r>
      <w:r w:rsidR="7C6B3AB1" w:rsidRPr="00F03917">
        <w:t>in</w:t>
      </w:r>
      <w:r w:rsidRPr="00F03917">
        <w:t xml:space="preserve"> wave heights and storm surge with climate change are </w:t>
      </w:r>
      <w:r w:rsidR="51C4987B" w:rsidRPr="00F03917">
        <w:t>likely to be</w:t>
      </w:r>
      <w:r w:rsidRPr="00F03917">
        <w:t xml:space="preserve"> relatively modest</w:t>
      </w:r>
      <w:r w:rsidR="00977ED4" w:rsidRPr="00F03917">
        <w:t xml:space="preserve"> </w:t>
      </w:r>
      <w:r w:rsidR="003158AD" w:rsidRPr="00F03917">
        <w:t>or inconclusive</w:t>
      </w:r>
      <w:r w:rsidR="51C4987B" w:rsidRPr="00F03917">
        <w:t>,</w:t>
      </w:r>
      <w:r w:rsidR="345F1CB8" w:rsidRPr="00F03917">
        <w:t xml:space="preserve"> however</w:t>
      </w:r>
      <w:r w:rsidR="40FF03F5" w:rsidRPr="00F03917">
        <w:t>,</w:t>
      </w:r>
      <w:r w:rsidR="345F1CB8" w:rsidRPr="00F03917">
        <w:t xml:space="preserve"> changes to storm intensity and particularly the frequency of the most extreme events, are more uncertain</w:t>
      </w:r>
      <w:r w:rsidR="7C6B3AB1" w:rsidRPr="00F03917">
        <w:t xml:space="preserve"> </w:t>
      </w:r>
      <w:r w:rsidRPr="00F03917">
        <w:t xml:space="preserve">(see </w:t>
      </w:r>
      <w:hyperlink w:anchor="_Supplements" w:history="1">
        <w:r w:rsidR="008212BE" w:rsidRPr="00F03917">
          <w:rPr>
            <w:rStyle w:val="Hyperlink"/>
            <w:i/>
            <w:iCs/>
          </w:rPr>
          <w:t xml:space="preserve">Climate change, sea-level rise and coastal hazards science: Coastal hazards and climate change </w:t>
        </w:r>
        <w:r w:rsidR="008212BE" w:rsidRPr="00F03917">
          <w:rPr>
            <w:rStyle w:val="Hyperlink"/>
            <w:i/>
            <w:iCs/>
          </w:rPr>
          <w:lastRenderedPageBreak/>
          <w:t>guidance – Supplement A</w:t>
        </w:r>
      </w:hyperlink>
      <w:r w:rsidR="008212BE" w:rsidRPr="00F03917" w:rsidDel="008212BE">
        <w:t xml:space="preserve"> </w:t>
      </w:r>
      <w:r w:rsidRPr="00F03917">
        <w:t xml:space="preserve">for more details). </w:t>
      </w:r>
      <w:r w:rsidR="318DEEDF" w:rsidRPr="00F03917">
        <w:t xml:space="preserve">To cover some of these uncertainties, </w:t>
      </w:r>
      <w:hyperlink w:anchor="_RSLR_and_coastal" w:history="1">
        <w:r w:rsidR="318DEEDF" w:rsidRPr="00F03917">
          <w:rPr>
            <w:rStyle w:val="Hyperlink"/>
          </w:rPr>
          <w:t>section 2.2.2</w:t>
        </w:r>
      </w:hyperlink>
      <w:r w:rsidR="318DEEDF" w:rsidRPr="00F03917">
        <w:t xml:space="preserve"> provides guidance on sensitivity testing of these contributors to coastal hazard events.</w:t>
      </w:r>
    </w:p>
    <w:p w14:paraId="24754CD7" w14:textId="3A6FFD8C" w:rsidR="00C6793A" w:rsidRPr="00F03917" w:rsidRDefault="00C6793A" w:rsidP="00EA4A09">
      <w:pPr>
        <w:pStyle w:val="BodyText"/>
      </w:pPr>
      <w:r w:rsidRPr="00F03917">
        <w:t xml:space="preserve">Increases in tide range </w:t>
      </w:r>
      <w:r w:rsidR="13F59251" w:rsidRPr="00F03917">
        <w:t xml:space="preserve">(and high tide level) </w:t>
      </w:r>
      <w:r w:rsidRPr="00F03917">
        <w:t xml:space="preserve">in estuaries and lowland rivers (from a higher mean sea level) may be more </w:t>
      </w:r>
      <w:r w:rsidR="006F6EE8" w:rsidRPr="00F03917">
        <w:t>impactful</w:t>
      </w:r>
      <w:r w:rsidRPr="00F03917">
        <w:t xml:space="preserve"> for shallow waterbodies that currently dampen (reduce) the tidal range inland from the inlet or where stopbanks or causeways impede </w:t>
      </w:r>
      <w:r w:rsidR="13F59251" w:rsidRPr="00F03917">
        <w:t xml:space="preserve">elevated </w:t>
      </w:r>
      <w:r w:rsidRPr="00F03917">
        <w:t xml:space="preserve">high tides </w:t>
      </w:r>
      <w:r w:rsidR="00FF5AF2" w:rsidRPr="00F03917">
        <w:t xml:space="preserve">from </w:t>
      </w:r>
      <w:r w:rsidRPr="00F03917">
        <w:t>spreading out over the low</w:t>
      </w:r>
      <w:r w:rsidR="00260A4C" w:rsidRPr="00F03917">
        <w:noBreakHyphen/>
      </w:r>
      <w:r w:rsidRPr="00F03917">
        <w:t>lying margins</w:t>
      </w:r>
      <w:r w:rsidR="001371AD" w:rsidRPr="00F03917">
        <w:rPr>
          <w:rStyle w:val="Heading1Char"/>
          <w:rFonts w:ascii="Calibri" w:hAnsi="Calibri" w:cs="Calibri"/>
          <w:color w:val="000000"/>
          <w:sz w:val="22"/>
          <w:shd w:val="clear" w:color="auto" w:fill="FFFFFF"/>
        </w:rPr>
        <w:t xml:space="preserve"> </w:t>
      </w:r>
      <w:r w:rsidR="001371AD" w:rsidRPr="00F03917">
        <w:rPr>
          <w:rStyle w:val="Heading1Char"/>
          <w:rFonts w:ascii="Calibri" w:hAnsi="Calibri" w:cs="Calibri"/>
          <w:b w:val="0"/>
          <w:color w:val="000000"/>
          <w:sz w:val="22"/>
          <w:shd w:val="clear" w:color="auto" w:fill="FFFFFF"/>
        </w:rPr>
        <w:t>(</w:t>
      </w:r>
      <w:r w:rsidR="001371AD" w:rsidRPr="00F03917">
        <w:rPr>
          <w:rFonts w:cs="Calibri"/>
          <w:color w:val="000000"/>
          <w:shd w:val="clear" w:color="auto" w:fill="FFFFFF"/>
        </w:rPr>
        <w:t>Hague et al, 2023)</w:t>
      </w:r>
      <w:r w:rsidRPr="00F03917">
        <w:t>. The future rate of sedimentation in these waterbodies</w:t>
      </w:r>
      <w:r w:rsidR="7F83ECC9" w:rsidRPr="00F03917">
        <w:t>, and whether it keeps pace with RSLR,</w:t>
      </w:r>
      <w:r w:rsidRPr="00F03917">
        <w:t xml:space="preserve"> is a </w:t>
      </w:r>
      <w:r w:rsidR="7F83ECC9" w:rsidRPr="00F03917">
        <w:t xml:space="preserve">critical </w:t>
      </w:r>
      <w:r w:rsidRPr="00F03917">
        <w:t>factor</w:t>
      </w:r>
      <w:r w:rsidR="7F83ECC9" w:rsidRPr="00F03917">
        <w:t xml:space="preserve"> influencing tidal characteristics. Sedimentation processes</w:t>
      </w:r>
      <w:r w:rsidR="3F370B9B" w:rsidRPr="00F03917">
        <w:t>,</w:t>
      </w:r>
      <w:r w:rsidR="7F83ECC9" w:rsidRPr="00F03917">
        <w:t xml:space="preserve"> including catchment runoff</w:t>
      </w:r>
      <w:r w:rsidR="3F370B9B" w:rsidRPr="00F03917">
        <w:t>,</w:t>
      </w:r>
      <w:r w:rsidR="7F83ECC9" w:rsidRPr="00F03917">
        <w:t xml:space="preserve"> are themselves</w:t>
      </w:r>
      <w:r w:rsidRPr="00F03917">
        <w:t xml:space="preserve"> also influenced by climate change.</w:t>
      </w:r>
    </w:p>
    <w:p w14:paraId="16682875" w14:textId="6E6A4882" w:rsidR="001559D5" w:rsidRPr="00F03917" w:rsidRDefault="00744D21" w:rsidP="00EA4A09">
      <w:pPr>
        <w:pStyle w:val="BodyText"/>
      </w:pPr>
      <w:r w:rsidRPr="00F03917">
        <w:t>Compared with the present situation</w:t>
      </w:r>
      <w:r w:rsidR="2FF1D2AD" w:rsidRPr="00F03917">
        <w:t xml:space="preserve"> </w:t>
      </w:r>
      <w:r w:rsidR="4F45F457" w:rsidRPr="00F03917">
        <w:t>–</w:t>
      </w:r>
      <w:r w:rsidR="034E8CD0" w:rsidRPr="00F03917">
        <w:t xml:space="preserve"> </w:t>
      </w:r>
      <w:r w:rsidRPr="00F03917">
        <w:t>where waves and storm</w:t>
      </w:r>
      <w:r w:rsidR="4164B6BE" w:rsidRPr="00F03917">
        <w:t xml:space="preserve"> </w:t>
      </w:r>
      <w:r w:rsidRPr="00F03917">
        <w:t>tides are the main drivers of flooding in coastal areas</w:t>
      </w:r>
      <w:r w:rsidR="3C76BE7C" w:rsidRPr="00F03917">
        <w:t xml:space="preserve"> –</w:t>
      </w:r>
      <w:r w:rsidR="00E725A3" w:rsidRPr="00F03917">
        <w:t xml:space="preserve"> </w:t>
      </w:r>
      <w:r w:rsidRPr="00F03917">
        <w:t xml:space="preserve">later this century and beyond RSLR will increasingly become the dominant contributor </w:t>
      </w:r>
      <w:r w:rsidR="64FDA60A" w:rsidRPr="00F03917">
        <w:t>by elevating coastal hazard events, generating</w:t>
      </w:r>
      <w:r w:rsidRPr="00F03917">
        <w:t xml:space="preserve"> more frequent flooding and associated impacts on existing development (Le Cozannet et al, 2015). </w:t>
      </w:r>
      <w:r w:rsidR="356F07D6" w:rsidRPr="00F03917">
        <w:t>Besides extreme events, future climate-influenced changes to waves, winds, tide range and sequencing and frequency of storms will also lead to progressive ongoing changes to geomorphology, shoreline position, groundwater levels and salini</w:t>
      </w:r>
      <w:r w:rsidR="24EDA1C3" w:rsidRPr="00F03917">
        <w:t>s</w:t>
      </w:r>
      <w:r w:rsidR="356F07D6" w:rsidRPr="00F03917">
        <w:t>ation</w:t>
      </w:r>
      <w:r w:rsidR="006A4B24" w:rsidRPr="00F03917">
        <w:t>. These</w:t>
      </w:r>
      <w:r w:rsidR="00434354" w:rsidRPr="00F03917">
        <w:t xml:space="preserve"> </w:t>
      </w:r>
      <w:r w:rsidR="0092522A" w:rsidRPr="00F03917">
        <w:t>should</w:t>
      </w:r>
      <w:r w:rsidR="00434354" w:rsidRPr="00F03917">
        <w:t xml:space="preserve"> </w:t>
      </w:r>
      <w:r w:rsidR="356F07D6" w:rsidRPr="00F03917">
        <w:t>also</w:t>
      </w:r>
      <w:r w:rsidR="004931B8" w:rsidRPr="00F03917">
        <w:t xml:space="preserve"> </w:t>
      </w:r>
      <w:r w:rsidR="356F07D6" w:rsidRPr="00F03917">
        <w:t>be part of a coastal hazard assessment (Policy 24, NZCPS</w:t>
      </w:r>
      <w:r w:rsidR="4713D61E" w:rsidRPr="00F03917">
        <w:t>,</w:t>
      </w:r>
      <w:r w:rsidR="356F07D6" w:rsidRPr="00F03917">
        <w:t xml:space="preserve"> DOC, 201</w:t>
      </w:r>
      <w:r w:rsidR="0032546C" w:rsidRPr="00F03917">
        <w:t>0</w:t>
      </w:r>
      <w:r w:rsidR="356F07D6" w:rsidRPr="00F03917">
        <w:t xml:space="preserve">). </w:t>
      </w:r>
      <w:r w:rsidR="4260C76B" w:rsidRPr="00F03917">
        <w:t>U</w:t>
      </w:r>
      <w:r w:rsidR="00200901" w:rsidRPr="00F03917">
        <w:t>ncertainties</w:t>
      </w:r>
      <w:r w:rsidR="356F07D6" w:rsidRPr="00F03917">
        <w:t xml:space="preserve"> remain, however, particularly about the increased frequency of more intense ex-tropical cyclones and other mid-latitude storms</w:t>
      </w:r>
      <w:r w:rsidR="00C20DBA" w:rsidRPr="00F03917">
        <w:t>.</w:t>
      </w:r>
      <w:r w:rsidR="356F07D6" w:rsidRPr="00F03917">
        <w:t xml:space="preserve"> </w:t>
      </w:r>
      <w:r w:rsidR="00C20DBA" w:rsidRPr="00F03917">
        <w:t>These should</w:t>
      </w:r>
      <w:r w:rsidR="356F07D6" w:rsidRPr="00F03917">
        <w:t xml:space="preserve"> be considered and evaluated </w:t>
      </w:r>
      <w:r w:rsidR="00895D32" w:rsidRPr="00F03917">
        <w:t xml:space="preserve">as part of </w:t>
      </w:r>
      <w:r w:rsidR="356F07D6" w:rsidRPr="00F03917">
        <w:t>applying a precautionary approach to hazard and risk assessments (Policy 3, NZCPS</w:t>
      </w:r>
      <w:r w:rsidR="5BEB05E6" w:rsidRPr="00F03917">
        <w:t>, DOC, 2010</w:t>
      </w:r>
      <w:r w:rsidR="356F07D6" w:rsidRPr="00F03917">
        <w:t>).</w:t>
      </w:r>
    </w:p>
    <w:p w14:paraId="6C733FD4" w14:textId="58C975EC" w:rsidR="005B13C1" w:rsidRPr="00F03917" w:rsidRDefault="005B13C1" w:rsidP="002645CF">
      <w:pPr>
        <w:pStyle w:val="Heading5"/>
      </w:pPr>
      <w:r w:rsidRPr="00F03917">
        <w:t xml:space="preserve">Coastal </w:t>
      </w:r>
      <w:r w:rsidR="00B71E1F" w:rsidRPr="00F03917">
        <w:t>flooding</w:t>
      </w:r>
    </w:p>
    <w:p w14:paraId="1C648A8D" w14:textId="7957F88E" w:rsidR="005B13C1" w:rsidRPr="00F03917" w:rsidRDefault="005B13C1" w:rsidP="00EA4A09">
      <w:pPr>
        <w:pStyle w:val="BodyText"/>
        <w:spacing w:after="100"/>
      </w:pPr>
      <w:r w:rsidRPr="00F03917">
        <w:t xml:space="preserve">Coastal flooding of </w:t>
      </w:r>
      <w:r w:rsidR="00B73694" w:rsidRPr="00F03917">
        <w:t xml:space="preserve">the margins of beaches and </w:t>
      </w:r>
      <w:r w:rsidR="47FF7ABD" w:rsidRPr="00F03917">
        <w:t>estuar</w:t>
      </w:r>
      <w:r w:rsidR="5D2728B2" w:rsidRPr="00F03917">
        <w:t>y</w:t>
      </w:r>
      <w:r w:rsidR="00B73694" w:rsidRPr="00F03917">
        <w:t xml:space="preserve"> lowlands (from storm surges, wave</w:t>
      </w:r>
      <w:r w:rsidR="00394A8B" w:rsidRPr="00F03917">
        <w:t xml:space="preserve"> </w:t>
      </w:r>
      <w:r w:rsidR="00394A8B" w:rsidRPr="00F03917">
        <w:rPr>
          <w:spacing w:val="-2"/>
        </w:rPr>
        <w:t>processe</w:t>
      </w:r>
      <w:r w:rsidR="00B73694" w:rsidRPr="00F03917">
        <w:rPr>
          <w:spacing w:val="-2"/>
        </w:rPr>
        <w:t xml:space="preserve">s and king tides) </w:t>
      </w:r>
      <w:r w:rsidRPr="00F03917">
        <w:rPr>
          <w:spacing w:val="-2"/>
        </w:rPr>
        <w:t xml:space="preserve">will become a more dominant </w:t>
      </w:r>
      <w:r w:rsidR="00775849" w:rsidRPr="00F03917">
        <w:rPr>
          <w:spacing w:val="-2"/>
        </w:rPr>
        <w:t xml:space="preserve">coastal </w:t>
      </w:r>
      <w:r w:rsidRPr="00F03917">
        <w:rPr>
          <w:spacing w:val="-2"/>
        </w:rPr>
        <w:t xml:space="preserve">hazard </w:t>
      </w:r>
      <w:r w:rsidR="00940558" w:rsidRPr="00F03917">
        <w:rPr>
          <w:spacing w:val="-2"/>
        </w:rPr>
        <w:t>compared with localised</w:t>
      </w:r>
      <w:r w:rsidR="00940558" w:rsidRPr="00F03917">
        <w:t xml:space="preserve"> coastal erosion</w:t>
      </w:r>
      <w:r w:rsidRPr="00F03917">
        <w:t xml:space="preserve">. RSLR will greatly increase the frequency, depth and </w:t>
      </w:r>
      <w:r w:rsidR="00FA7A0F" w:rsidRPr="00F03917">
        <w:t xml:space="preserve">inland </w:t>
      </w:r>
      <w:r w:rsidRPr="00F03917">
        <w:t>extent of coastal flooding</w:t>
      </w:r>
      <w:r w:rsidR="002F3896" w:rsidRPr="00F03917">
        <w:t>, with previously rare extreme events</w:t>
      </w:r>
      <w:r w:rsidR="00D27D1C" w:rsidRPr="00F03917">
        <w:rPr>
          <w:rStyle w:val="FootnoteReference"/>
        </w:rPr>
        <w:footnoteReference w:id="39"/>
      </w:r>
      <w:r w:rsidR="6E5421E1" w:rsidRPr="00F03917">
        <w:t xml:space="preserve"> </w:t>
      </w:r>
      <w:r w:rsidR="002F3896" w:rsidRPr="00F03917">
        <w:t xml:space="preserve">changing to </w:t>
      </w:r>
      <w:r w:rsidR="00031D54" w:rsidRPr="00F03917">
        <w:t>occur annually</w:t>
      </w:r>
      <w:r w:rsidR="002F3896" w:rsidRPr="00F03917">
        <w:t xml:space="preserve"> (on average) with only modest 0.3</w:t>
      </w:r>
      <w:r w:rsidR="0F8AFEC8" w:rsidRPr="00F03917">
        <w:t xml:space="preserve"> m</w:t>
      </w:r>
      <w:r w:rsidR="38158000" w:rsidRPr="00F03917">
        <w:t>etre</w:t>
      </w:r>
      <w:r w:rsidR="0F8AFEC8" w:rsidRPr="00F03917">
        <w:t xml:space="preserve"> to </w:t>
      </w:r>
      <w:r w:rsidR="002F3896" w:rsidRPr="00F03917">
        <w:t xml:space="preserve">0.45 </w:t>
      </w:r>
      <w:r w:rsidR="1BB338BF" w:rsidRPr="00F03917">
        <w:t>m</w:t>
      </w:r>
      <w:r w:rsidR="239C2C78" w:rsidRPr="00F03917">
        <w:t>etre</w:t>
      </w:r>
      <w:r w:rsidR="002F3896" w:rsidRPr="00F03917">
        <w:t xml:space="preserve"> increases in RSLR</w:t>
      </w:r>
      <w:r w:rsidR="61AB42DC" w:rsidRPr="00F03917">
        <w:t>, depending on the location’s tide range and storm-surge distribution across different annual exceedance probabilities</w:t>
      </w:r>
      <w:r w:rsidR="35961A84" w:rsidRPr="00F03917">
        <w:t>.</w:t>
      </w:r>
      <w:r w:rsidRPr="00F03917">
        <w:rPr>
          <w:vertAlign w:val="superscript"/>
        </w:rPr>
        <w:footnoteReference w:id="40"/>
      </w:r>
      <w:r w:rsidRPr="00F03917">
        <w:t xml:space="preserve"> </w:t>
      </w:r>
    </w:p>
    <w:p w14:paraId="2EF2738A" w14:textId="04B4B8B0" w:rsidR="00D40627" w:rsidRPr="00F03917" w:rsidRDefault="00D40627" w:rsidP="00EA4A09">
      <w:pPr>
        <w:pStyle w:val="BodyText"/>
        <w:spacing w:after="100"/>
      </w:pPr>
      <w:r w:rsidRPr="00F03917">
        <w:t>Coastal flooding in various combinations with higher groundwater levels, rainfall runoff</w:t>
      </w:r>
      <w:r w:rsidR="003532EC" w:rsidRPr="00F03917">
        <w:rPr>
          <w:rStyle w:val="FootnoteReference"/>
        </w:rPr>
        <w:footnoteReference w:id="41"/>
      </w:r>
      <w:r w:rsidR="50F0FE57" w:rsidRPr="00F03917">
        <w:t xml:space="preserve"> </w:t>
      </w:r>
      <w:r w:rsidRPr="00F03917">
        <w:t>and</w:t>
      </w:r>
      <w:r w:rsidR="00931B8B" w:rsidRPr="00F03917">
        <w:t> </w:t>
      </w:r>
      <w:r w:rsidRPr="00F03917">
        <w:t>increases in high tide in estuaries</w:t>
      </w:r>
      <w:r w:rsidR="7102C43E" w:rsidRPr="00F03917">
        <w:t>,</w:t>
      </w:r>
      <w:r w:rsidR="00DD20A0" w:rsidRPr="00F03917">
        <w:t xml:space="preserve"> </w:t>
      </w:r>
      <w:r w:rsidRPr="00F03917">
        <w:t>inlets</w:t>
      </w:r>
      <w:r w:rsidR="00CA11D5" w:rsidRPr="00F03917">
        <w:t xml:space="preserve"> </w:t>
      </w:r>
      <w:r w:rsidR="62A37BA1" w:rsidRPr="00F03917">
        <w:t>and</w:t>
      </w:r>
      <w:r w:rsidR="00CA11D5" w:rsidRPr="00F03917">
        <w:t xml:space="preserve"> </w:t>
      </w:r>
      <w:r w:rsidRPr="00F03917">
        <w:t xml:space="preserve">lowland rivers </w:t>
      </w:r>
      <w:r w:rsidR="002C8A9C" w:rsidRPr="00F03917">
        <w:t>will</w:t>
      </w:r>
      <w:r w:rsidRPr="00F03917">
        <w:t xml:space="preserve"> lead to more frequent compound flooding impacts on </w:t>
      </w:r>
      <w:r w:rsidR="002C8A9C" w:rsidRPr="00F03917">
        <w:t>urban settings and</w:t>
      </w:r>
      <w:r w:rsidR="50F0FE57" w:rsidRPr="00F03917">
        <w:t xml:space="preserve"> </w:t>
      </w:r>
      <w:r w:rsidRPr="00F03917">
        <w:t>coastal lowlands</w:t>
      </w:r>
      <w:r w:rsidR="2C06AB64" w:rsidRPr="00F03917">
        <w:t>.</w:t>
      </w:r>
      <w:r w:rsidRPr="00F03917">
        <w:t xml:space="preserve"> </w:t>
      </w:r>
      <w:r w:rsidR="00E9A4B5" w:rsidRPr="00F03917">
        <w:t>It will also</w:t>
      </w:r>
      <w:r w:rsidR="50F0FE57" w:rsidRPr="00F03917">
        <w:t xml:space="preserve"> increas</w:t>
      </w:r>
      <w:r w:rsidR="7C1B6ECA" w:rsidRPr="00F03917">
        <w:t>e</w:t>
      </w:r>
      <w:r w:rsidRPr="00F03917">
        <w:t xml:space="preserve"> challenges </w:t>
      </w:r>
      <w:r w:rsidR="5E292C41" w:rsidRPr="00F03917">
        <w:t xml:space="preserve">in </w:t>
      </w:r>
      <w:r w:rsidR="055B2CF8" w:rsidRPr="00F03917">
        <w:t xml:space="preserve">managing </w:t>
      </w:r>
      <w:r w:rsidRPr="00F03917">
        <w:t>stormwater networks</w:t>
      </w:r>
      <w:r w:rsidR="055B2CF8" w:rsidRPr="00F03917">
        <w:t xml:space="preserve"> and drainage schemes</w:t>
      </w:r>
      <w:r w:rsidRPr="00F03917">
        <w:t>.</w:t>
      </w:r>
    </w:p>
    <w:p w14:paraId="6D1B4152" w14:textId="58E7D3AD" w:rsidR="00E76E79" w:rsidRPr="00F03917" w:rsidRDefault="005B13C1" w:rsidP="00EA4A09">
      <w:pPr>
        <w:pStyle w:val="BodyText"/>
        <w:spacing w:after="100"/>
      </w:pPr>
      <w:r w:rsidRPr="00F03917">
        <w:t xml:space="preserve">Flooding </w:t>
      </w:r>
      <w:r w:rsidR="00BC66E5" w:rsidRPr="00F03917">
        <w:t xml:space="preserve">will </w:t>
      </w:r>
      <w:r w:rsidRPr="00F03917">
        <w:t xml:space="preserve">be both episodic </w:t>
      </w:r>
      <w:r w:rsidR="00863FFE" w:rsidRPr="00F03917">
        <w:t>(</w:t>
      </w:r>
      <w:r w:rsidR="009E3864" w:rsidRPr="00F03917">
        <w:t xml:space="preserve">ranging </w:t>
      </w:r>
      <w:r w:rsidR="00863FFE" w:rsidRPr="00F03917">
        <w:t>from extremes</w:t>
      </w:r>
      <w:r w:rsidR="00B21430" w:rsidRPr="00F03917">
        <w:t xml:space="preserve"> events</w:t>
      </w:r>
      <w:r w:rsidR="00863FFE" w:rsidRPr="00F03917">
        <w:t xml:space="preserve"> to nuisance flooding from minor storms</w:t>
      </w:r>
      <w:r w:rsidR="5B404F08" w:rsidRPr="00F03917">
        <w:t xml:space="preserve"> elevated by ongoing RSLR</w:t>
      </w:r>
      <w:r w:rsidR="00863FFE" w:rsidRPr="00F03917">
        <w:t xml:space="preserve">) </w:t>
      </w:r>
      <w:r w:rsidRPr="00F03917">
        <w:t xml:space="preserve">and progressive through the gradual </w:t>
      </w:r>
      <w:r w:rsidR="00A25F61" w:rsidRPr="00F03917">
        <w:t>high-tide</w:t>
      </w:r>
      <w:r w:rsidRPr="00F03917">
        <w:t xml:space="preserve"> inundation of low-lying coastal land. Over time, </w:t>
      </w:r>
      <w:r w:rsidR="41D2F99C" w:rsidRPr="00F03917">
        <w:t>as</w:t>
      </w:r>
      <w:r w:rsidR="05CCA464" w:rsidRPr="00F03917">
        <w:t xml:space="preserve"> </w:t>
      </w:r>
      <w:r w:rsidR="008B173C" w:rsidRPr="00F03917">
        <w:t>moderate</w:t>
      </w:r>
      <w:r w:rsidR="41D2F99C" w:rsidRPr="00F03917">
        <w:t>,</w:t>
      </w:r>
      <w:r w:rsidR="05CCA464" w:rsidRPr="00F03917">
        <w:t xml:space="preserve"> </w:t>
      </w:r>
      <w:r w:rsidR="008B173C" w:rsidRPr="00F03917">
        <w:t xml:space="preserve">nuisance </w:t>
      </w:r>
      <w:r w:rsidR="41D2F99C" w:rsidRPr="00F03917">
        <w:t xml:space="preserve">and king-tide </w:t>
      </w:r>
      <w:r w:rsidR="008B173C" w:rsidRPr="00F03917">
        <w:t xml:space="preserve">flood events </w:t>
      </w:r>
      <w:r w:rsidR="41D2F99C" w:rsidRPr="00F03917">
        <w:t xml:space="preserve">become common place, this </w:t>
      </w:r>
      <w:r w:rsidRPr="00F03917">
        <w:t xml:space="preserve">will lead to a greater </w:t>
      </w:r>
      <w:r w:rsidR="008A5096" w:rsidRPr="00F03917">
        <w:t xml:space="preserve">cumulative </w:t>
      </w:r>
      <w:r w:rsidRPr="00F03917">
        <w:t xml:space="preserve">risk </w:t>
      </w:r>
      <w:r w:rsidR="00817B3E" w:rsidRPr="00F03917">
        <w:t xml:space="preserve">to the built environment </w:t>
      </w:r>
      <w:r w:rsidRPr="00F03917">
        <w:t xml:space="preserve">than </w:t>
      </w:r>
      <w:r w:rsidR="007422B0" w:rsidRPr="00F03917">
        <w:t xml:space="preserve">infrequent </w:t>
      </w:r>
      <w:r w:rsidRPr="00F03917">
        <w:t>extreme events (Paulik et al, 2021).</w:t>
      </w:r>
    </w:p>
    <w:p w14:paraId="5A7607BC" w14:textId="77777777" w:rsidR="005B13C1" w:rsidRPr="00F03917" w:rsidRDefault="005B13C1" w:rsidP="00907CEA">
      <w:pPr>
        <w:pStyle w:val="Heading5"/>
      </w:pPr>
      <w:r w:rsidRPr="00F03917">
        <w:t>Groundwater rise</w:t>
      </w:r>
    </w:p>
    <w:p w14:paraId="7D139B53" w14:textId="7AD677A8" w:rsidR="005B13C1" w:rsidRPr="00F03917" w:rsidRDefault="005B13C1" w:rsidP="00EA4A09">
      <w:pPr>
        <w:pStyle w:val="BodyText"/>
      </w:pPr>
      <w:r w:rsidRPr="00F03917">
        <w:t xml:space="preserve">Groundwater rise is the upward movement of the water table due to short- or long-term fluctuations in rainfall recharge and/or river, ocean or tidal levels (Bosserelle et al, 2022). </w:t>
      </w:r>
      <w:r w:rsidRPr="00F03917">
        <w:lastRenderedPageBreak/>
        <w:t>Low</w:t>
      </w:r>
      <w:r w:rsidR="27F3AC00" w:rsidRPr="00F03917">
        <w:t xml:space="preserve"> </w:t>
      </w:r>
      <w:r w:rsidR="00EA4A09" w:rsidRPr="00F03917">
        <w:noBreakHyphen/>
      </w:r>
      <w:r w:rsidRPr="00F03917">
        <w:t xml:space="preserve">lying coastal areas may be vulnerable to groundwater rise from </w:t>
      </w:r>
      <w:r w:rsidR="20674C1B" w:rsidRPr="00F03917">
        <w:t>R</w:t>
      </w:r>
      <w:r w:rsidR="35961A84" w:rsidRPr="00F03917">
        <w:t>SLR</w:t>
      </w:r>
      <w:r w:rsidRPr="00F03917">
        <w:t xml:space="preserve"> and other climate</w:t>
      </w:r>
      <w:r w:rsidR="1F4910B0" w:rsidRPr="00F03917">
        <w:t xml:space="preserve"> </w:t>
      </w:r>
      <w:r w:rsidR="00897014" w:rsidRPr="00F03917">
        <w:noBreakHyphen/>
      </w:r>
      <w:r w:rsidRPr="00F03917">
        <w:t>driven hydrological processes</w:t>
      </w:r>
      <w:r w:rsidR="383B4C05" w:rsidRPr="00F03917">
        <w:t>, including increased rainfall intensities</w:t>
      </w:r>
      <w:r w:rsidRPr="00F03917">
        <w:t xml:space="preserve">. </w:t>
      </w:r>
    </w:p>
    <w:p w14:paraId="743AABCC" w14:textId="1726A783" w:rsidR="005B13C1" w:rsidRPr="00F03917" w:rsidRDefault="005B13C1" w:rsidP="00E93E3D">
      <w:pPr>
        <w:pStyle w:val="BodyText"/>
        <w:spacing w:before="100" w:after="100"/>
      </w:pPr>
      <w:r w:rsidRPr="00F03917">
        <w:t>The</w:t>
      </w:r>
      <w:r w:rsidRPr="00F03917" w:rsidDel="00681C01">
        <w:t xml:space="preserve"> </w:t>
      </w:r>
      <w:r w:rsidRPr="00F03917">
        <w:t>effect of</w:t>
      </w:r>
      <w:r w:rsidRPr="00F03917" w:rsidDel="002D78FC">
        <w:t xml:space="preserve"> </w:t>
      </w:r>
      <w:r w:rsidRPr="00F03917">
        <w:t>RSLR on groundwater will depend on complex interactions among hydrogeological processes, the sub</w:t>
      </w:r>
      <w:r w:rsidR="002D3D6E" w:rsidRPr="00F03917">
        <w:t>-</w:t>
      </w:r>
      <w:r w:rsidRPr="00F03917">
        <w:t>surface environment, type of aquifer (confined or unconfined), modification of the natural environment (urbanisation), and connection to the</w:t>
      </w:r>
      <w:r w:rsidR="00EA4A09" w:rsidRPr="00F03917">
        <w:t> </w:t>
      </w:r>
      <w:r w:rsidRPr="00F03917">
        <w:t>sea (Bosserelle et al, 2022). Locations where</w:t>
      </w:r>
      <w:r w:rsidRPr="00F03917" w:rsidDel="00681C01">
        <w:t xml:space="preserve"> </w:t>
      </w:r>
      <w:r w:rsidRPr="00F03917">
        <w:t xml:space="preserve">water levels in unconfined shallow aquifers already </w:t>
      </w:r>
      <w:r w:rsidR="00321561" w:rsidRPr="00F03917">
        <w:t>have</w:t>
      </w:r>
      <w:r w:rsidRPr="00F03917">
        <w:t xml:space="preserve"> tidal fluctuations are vulnerable to ongoing </w:t>
      </w:r>
      <w:r w:rsidR="003E3938" w:rsidRPr="00F03917">
        <w:t>R</w:t>
      </w:r>
      <w:r w:rsidRPr="00F03917">
        <w:t>SLR, because they have a direct or indirect</w:t>
      </w:r>
      <w:r w:rsidRPr="00F03917">
        <w:rPr>
          <w:vertAlign w:val="superscript"/>
        </w:rPr>
        <w:footnoteReference w:id="42"/>
      </w:r>
      <w:r w:rsidRPr="00F03917">
        <w:t xml:space="preserve"> hydraulic connection with the ocean. </w:t>
      </w:r>
    </w:p>
    <w:p w14:paraId="504015F1" w14:textId="3A56F8B1" w:rsidR="004B3577" w:rsidRPr="00F03917" w:rsidRDefault="005B13C1" w:rsidP="00E93E3D">
      <w:pPr>
        <w:pStyle w:val="BodyText"/>
        <w:spacing w:before="100" w:after="100"/>
      </w:pPr>
      <w:r w:rsidRPr="00F03917">
        <w:t xml:space="preserve">Groundwater flooding may occur infrequently during extreme events (eg, high tide coinciding with heavy rainfall), when surface and marine </w:t>
      </w:r>
      <w:r w:rsidR="004665D7" w:rsidRPr="00F03917">
        <w:t xml:space="preserve">compound </w:t>
      </w:r>
      <w:r w:rsidRPr="00F03917">
        <w:t>flooding also occur. Therefore, multi</w:t>
      </w:r>
      <w:r w:rsidR="00DB0077" w:rsidRPr="00F03917">
        <w:t xml:space="preserve"> or compound </w:t>
      </w:r>
      <w:r w:rsidRPr="00F03917">
        <w:t xml:space="preserve">hazard </w:t>
      </w:r>
      <w:r w:rsidR="00D07579" w:rsidRPr="00F03917">
        <w:t>and</w:t>
      </w:r>
      <w:r w:rsidRPr="00F03917">
        <w:t xml:space="preserve"> risk assessments are needed (Bosserelle et al, 2022). For example, a rise in</w:t>
      </w:r>
      <w:r w:rsidR="00260A4C" w:rsidRPr="00F03917">
        <w:t> </w:t>
      </w:r>
      <w:r w:rsidRPr="00F03917">
        <w:t xml:space="preserve">the groundwater level impedes drainage of rainwater during storms and can contribute to and exacerbate surface coastal or pluvial flooding. </w:t>
      </w:r>
    </w:p>
    <w:p w14:paraId="0069A02F" w14:textId="6AF90E2D" w:rsidR="006D5139" w:rsidRPr="00F03917" w:rsidRDefault="006D5139" w:rsidP="00E93E3D">
      <w:pPr>
        <w:pStyle w:val="BodyText"/>
        <w:spacing w:before="100" w:after="100"/>
        <w:rPr>
          <w:spacing w:val="-2"/>
        </w:rPr>
      </w:pPr>
      <w:r w:rsidRPr="00F03917">
        <w:t xml:space="preserve">While not directly considered by this guidance, the </w:t>
      </w:r>
      <w:r w:rsidR="004665D7" w:rsidRPr="00F03917">
        <w:t>progressive</w:t>
      </w:r>
      <w:r w:rsidRPr="00F03917">
        <w:t xml:space="preserve"> salinisation of groundwater sources used for irrigation, stock water and potable water should be considered as part of</w:t>
      </w:r>
      <w:r w:rsidR="00287BCB" w:rsidRPr="00F03917">
        <w:t xml:space="preserve"> </w:t>
      </w:r>
      <w:r w:rsidR="009B19D8" w:rsidRPr="00F03917">
        <w:rPr>
          <w:spacing w:val="-2"/>
        </w:rPr>
        <w:t>longer</w:t>
      </w:r>
      <w:r w:rsidR="00AF3FFA" w:rsidRPr="00F03917">
        <w:rPr>
          <w:spacing w:val="-2"/>
        </w:rPr>
        <w:t xml:space="preserve"> </w:t>
      </w:r>
      <w:r w:rsidR="009B19D8" w:rsidRPr="00F03917">
        <w:rPr>
          <w:spacing w:val="-2"/>
        </w:rPr>
        <w:t>term</w:t>
      </w:r>
      <w:r w:rsidRPr="00F03917">
        <w:rPr>
          <w:spacing w:val="-2"/>
        </w:rPr>
        <w:t xml:space="preserve"> considerations for service provision</w:t>
      </w:r>
      <w:r w:rsidR="002E1C61" w:rsidRPr="00F03917">
        <w:rPr>
          <w:spacing w:val="-2"/>
        </w:rPr>
        <w:t xml:space="preserve"> when developing a</w:t>
      </w:r>
      <w:r w:rsidR="00311AF8" w:rsidRPr="00F03917">
        <w:rPr>
          <w:spacing w:val="-2"/>
        </w:rPr>
        <w:t>n adaptive planning</w:t>
      </w:r>
      <w:r w:rsidR="00641B32" w:rsidRPr="00F03917">
        <w:rPr>
          <w:spacing w:val="-2"/>
        </w:rPr>
        <w:t> </w:t>
      </w:r>
      <w:r w:rsidR="002E1C61" w:rsidRPr="00F03917">
        <w:rPr>
          <w:spacing w:val="-2"/>
        </w:rPr>
        <w:t>strategy</w:t>
      </w:r>
      <w:r w:rsidRPr="00F03917">
        <w:rPr>
          <w:spacing w:val="-2"/>
        </w:rPr>
        <w:t>.</w:t>
      </w:r>
    </w:p>
    <w:p w14:paraId="23B3E5F0" w14:textId="431BEDD6" w:rsidR="00A74FC4" w:rsidRPr="00F03917" w:rsidRDefault="00A74FC4" w:rsidP="009A167A">
      <w:pPr>
        <w:pStyle w:val="Heading4"/>
      </w:pPr>
      <w:r w:rsidRPr="00F03917">
        <w:t>Coastal erosion</w:t>
      </w:r>
      <w:r w:rsidR="004A00C2" w:rsidRPr="00F03917">
        <w:t xml:space="preserve"> (beaches and cliffs)</w:t>
      </w:r>
    </w:p>
    <w:p w14:paraId="4788FE34" w14:textId="567B5387" w:rsidR="00A74FC4" w:rsidRPr="00F03917" w:rsidRDefault="00A74FC4" w:rsidP="00E93E3D">
      <w:pPr>
        <w:pStyle w:val="BodyText"/>
        <w:spacing w:before="100" w:after="100"/>
      </w:pPr>
      <w:r w:rsidRPr="00F03917">
        <w:t xml:space="preserve">The frequency and magnitude of coastal erosion will also increase to affect most coastlines. Unlike coastal flooding, future coastal erosion rates </w:t>
      </w:r>
      <w:r w:rsidR="00016FCE" w:rsidRPr="00F03917">
        <w:t xml:space="preserve">will be a function </w:t>
      </w:r>
      <w:r w:rsidR="00B23024" w:rsidRPr="00F03917">
        <w:t>of both</w:t>
      </w:r>
      <w:r w:rsidRPr="00F03917">
        <w:t xml:space="preserve"> RSLR </w:t>
      </w:r>
      <w:r w:rsidR="00B23024" w:rsidRPr="00F03917">
        <w:t>and</w:t>
      </w:r>
      <w:r w:rsidRPr="00F03917">
        <w:t xml:space="preserve"> other climate change effects (eg, changes in rainfall intensity, catchment runoff, waves, storm sequencing and </w:t>
      </w:r>
      <w:r w:rsidR="00550E41" w:rsidRPr="00F03917">
        <w:t>sediment supply</w:t>
      </w:r>
      <w:r w:rsidRPr="00F03917">
        <w:t xml:space="preserve">) </w:t>
      </w:r>
      <w:r w:rsidR="00AB480C" w:rsidRPr="00F03917">
        <w:t>and</w:t>
      </w:r>
      <w:r w:rsidRPr="00F03917">
        <w:t xml:space="preserve"> will </w:t>
      </w:r>
      <w:r w:rsidR="4D9F21C0" w:rsidRPr="00F03917">
        <w:t>affect</w:t>
      </w:r>
      <w:r w:rsidRPr="00F03917">
        <w:t xml:space="preserve"> changes in sediment patterns and rates of sediment transport</w:t>
      </w:r>
      <w:r w:rsidR="00AB480C" w:rsidRPr="00F03917">
        <w:t xml:space="preserve"> (</w:t>
      </w:r>
      <w:r w:rsidR="00617FE4" w:rsidRPr="00F03917">
        <w:t xml:space="preserve">Bryan and Coco, 2020; </w:t>
      </w:r>
      <w:r w:rsidR="00AB480C" w:rsidRPr="00F03917">
        <w:t xml:space="preserve">Cazenave and Le Cozannet, 2014; </w:t>
      </w:r>
      <w:r w:rsidR="00617FE4" w:rsidRPr="00F03917">
        <w:t xml:space="preserve">Coco et al, 2020; Dickson and Thompson, 2020; </w:t>
      </w:r>
      <w:r w:rsidR="00AB480C" w:rsidRPr="00F03917">
        <w:t>Masselink et al, 2020)</w:t>
      </w:r>
      <w:r w:rsidRPr="00F03917">
        <w:t>. In turn, these changes will affect the shape and orientation of beaches and shoreline positions</w:t>
      </w:r>
      <w:r w:rsidR="001C1710" w:rsidRPr="00F03917">
        <w:t xml:space="preserve">, which may </w:t>
      </w:r>
      <w:r w:rsidR="0012361A" w:rsidRPr="00F03917">
        <w:t>influence rates of coastal erosion.</w:t>
      </w:r>
    </w:p>
    <w:p w14:paraId="551836F2" w14:textId="0733247B" w:rsidR="00A74FC4" w:rsidRPr="00F03917" w:rsidRDefault="00A74FC4" w:rsidP="00E93E3D">
      <w:pPr>
        <w:pStyle w:val="BodyText"/>
        <w:spacing w:before="100" w:after="100"/>
      </w:pPr>
      <w:r w:rsidRPr="00F03917">
        <w:t>Special features</w:t>
      </w:r>
      <w:r w:rsidR="0D4B99F4" w:rsidRPr="00F03917">
        <w:t>,</w:t>
      </w:r>
      <w:r w:rsidRPr="00F03917">
        <w:t xml:space="preserve"> such as sand spits, tidal entrances, narrow barrier islands and pocket beaches</w:t>
      </w:r>
      <w:r w:rsidR="789E6888" w:rsidRPr="00F03917">
        <w:t>,</w:t>
      </w:r>
      <w:r w:rsidRPr="00F03917">
        <w:t xml:space="preserve"> are particularly vulnerable, being sensitive to changes in sediment movement from subtle changes in wave climate and sediment supply from the catchment via rivers</w:t>
      </w:r>
      <w:r w:rsidR="43FC3F8F" w:rsidRPr="00F03917">
        <w:t xml:space="preserve"> and</w:t>
      </w:r>
      <w:r w:rsidR="03A43CB5" w:rsidRPr="00F03917">
        <w:t xml:space="preserve"> </w:t>
      </w:r>
      <w:r w:rsidRPr="00F03917">
        <w:t xml:space="preserve">streams, as well as RSLR (Bryan </w:t>
      </w:r>
      <w:r w:rsidR="2DFD5F76" w:rsidRPr="00F03917">
        <w:t>and</w:t>
      </w:r>
      <w:r w:rsidRPr="00F03917">
        <w:t xml:space="preserve"> Coco, 2020</w:t>
      </w:r>
      <w:r w:rsidR="64AC8872" w:rsidRPr="00F03917">
        <w:t>; MfE, 2008</w:t>
      </w:r>
      <w:r w:rsidRPr="00F03917">
        <w:t>). Consequently, future shoreline changes of these features will exhibit considerable uncertainty</w:t>
      </w:r>
      <w:r w:rsidR="008F752E" w:rsidRPr="00F03917">
        <w:t xml:space="preserve"> and variability</w:t>
      </w:r>
      <w:r w:rsidRPr="00F03917">
        <w:t xml:space="preserve">. </w:t>
      </w:r>
    </w:p>
    <w:p w14:paraId="1D00C38C" w14:textId="7F4A9A62" w:rsidR="00A74FC4" w:rsidRPr="00F03917" w:rsidRDefault="00A74FC4" w:rsidP="00E93E3D">
      <w:pPr>
        <w:pStyle w:val="BodyText"/>
        <w:spacing w:before="100" w:after="100"/>
      </w:pPr>
      <w:r w:rsidRPr="00F03917">
        <w:t xml:space="preserve">Assessing the </w:t>
      </w:r>
      <w:r w:rsidR="1E686A49" w:rsidRPr="00F03917">
        <w:t>hazard</w:t>
      </w:r>
      <w:r w:rsidRPr="00F03917">
        <w:t xml:space="preserve"> from coastal erosion is not as advanced as for coastal flooding</w:t>
      </w:r>
      <w:r w:rsidR="1E4D18F3" w:rsidRPr="00F03917">
        <w:t>,</w:t>
      </w:r>
      <w:r w:rsidRPr="00F03917">
        <w:t xml:space="preserve"> especially with respect to how RSLR interacts with other coastal and </w:t>
      </w:r>
      <w:r w:rsidRPr="00F03917" w:rsidDel="00CE311B">
        <w:t xml:space="preserve">hydrological </w:t>
      </w:r>
      <w:r w:rsidRPr="00F03917">
        <w:t>sediment processes</w:t>
      </w:r>
      <w:r w:rsidRPr="00F03917" w:rsidDel="00CE311B">
        <w:t xml:space="preserve"> and the </w:t>
      </w:r>
      <w:r w:rsidR="1E686A49" w:rsidRPr="00F03917">
        <w:t>contextual</w:t>
      </w:r>
      <w:r w:rsidRPr="00F03917" w:rsidDel="00CE311B">
        <w:t xml:space="preserve"> geomorphology</w:t>
      </w:r>
      <w:r w:rsidR="24EB45B9" w:rsidRPr="00F03917">
        <w:t xml:space="preserve"> (eg, sandy or gravel beaches and sedimentary cliffs)</w:t>
      </w:r>
      <w:r w:rsidR="6899C77E" w:rsidRPr="00F03917">
        <w:t>.</w:t>
      </w:r>
      <w:r w:rsidRPr="00F03917">
        <w:t xml:space="preserve"> However, progress is being made (Bryan and Coco, 2020; </w:t>
      </w:r>
      <w:r w:rsidR="7D157391" w:rsidRPr="00F03917">
        <w:t xml:space="preserve">Coco et al, 2020; </w:t>
      </w:r>
      <w:r w:rsidRPr="00F03917">
        <w:t xml:space="preserve">Dickson </w:t>
      </w:r>
      <w:r w:rsidR="1EF489E4" w:rsidRPr="00F03917">
        <w:t>and</w:t>
      </w:r>
      <w:r w:rsidRPr="00F03917">
        <w:t xml:space="preserve"> Thompson, 2020), and the Resilience Science Challenge is conducting national mapping of coastal erosion (Dickson et al, 2022).</w:t>
      </w:r>
      <w:r w:rsidRPr="00F03917">
        <w:rPr>
          <w:vertAlign w:val="superscript"/>
        </w:rPr>
        <w:footnoteReference w:id="43"/>
      </w:r>
    </w:p>
    <w:p w14:paraId="415A9F56" w14:textId="4EE6D593" w:rsidR="00A74FC4" w:rsidRPr="00F03917" w:rsidRDefault="00A74FC4" w:rsidP="00E93E3D">
      <w:pPr>
        <w:pStyle w:val="BodyText"/>
        <w:spacing w:before="100" w:after="100"/>
      </w:pPr>
      <w:r w:rsidRPr="00F03917">
        <w:t xml:space="preserve">Cliff coastlines, </w:t>
      </w:r>
      <w:r w:rsidR="00932B3D" w:rsidRPr="00F03917">
        <w:t>while generally</w:t>
      </w:r>
      <w:r w:rsidRPr="00F03917">
        <w:t xml:space="preserve"> less sensitive to RSLR than low-elevation sandy or gravel coastlines</w:t>
      </w:r>
      <w:r w:rsidR="00CA0E6A" w:rsidRPr="00F03917">
        <w:t>, are still at risk from coastal erosion</w:t>
      </w:r>
      <w:r w:rsidRPr="00F03917">
        <w:t xml:space="preserve"> (Dickson </w:t>
      </w:r>
      <w:r w:rsidR="01A2AC57" w:rsidRPr="00F03917">
        <w:t>and</w:t>
      </w:r>
      <w:r w:rsidRPr="00F03917">
        <w:t xml:space="preserve"> Thompson, 2020)</w:t>
      </w:r>
      <w:r w:rsidR="000877D9" w:rsidRPr="00F03917">
        <w:t>, but there is likely to be considerable spatial variability in future erosion rates under RSLR (Dickson et al, 2023)</w:t>
      </w:r>
      <w:r w:rsidRPr="00F03917">
        <w:t xml:space="preserve">. </w:t>
      </w:r>
      <w:r w:rsidR="00657C6F" w:rsidRPr="00F03917">
        <w:t>S</w:t>
      </w:r>
      <w:r w:rsidR="004D55C1" w:rsidRPr="00F03917">
        <w:t>ome cliff</w:t>
      </w:r>
      <w:r w:rsidR="00657C6F" w:rsidRPr="00F03917">
        <w:t xml:space="preserve"> sites</w:t>
      </w:r>
      <w:r w:rsidR="004D55C1" w:rsidRPr="00F03917">
        <w:t xml:space="preserve"> will be at risk</w:t>
      </w:r>
      <w:r w:rsidR="002F329E" w:rsidRPr="00F03917">
        <w:t xml:space="preserve"> from </w:t>
      </w:r>
      <w:r w:rsidR="000B1C71" w:rsidRPr="00F03917">
        <w:t xml:space="preserve">increased </w:t>
      </w:r>
      <w:r w:rsidR="002F329E" w:rsidRPr="00F03917">
        <w:t>coastal erosion</w:t>
      </w:r>
      <w:r w:rsidR="004D55C1" w:rsidRPr="00F03917">
        <w:t xml:space="preserve"> depending on the underlying geomorphology</w:t>
      </w:r>
      <w:r w:rsidR="001174E4" w:rsidRPr="00F03917">
        <w:t xml:space="preserve"> and </w:t>
      </w:r>
      <w:r w:rsidR="003E408B" w:rsidRPr="00F03917">
        <w:t>exposure to ocean currents and storms.</w:t>
      </w:r>
      <w:r w:rsidR="00F64066" w:rsidRPr="00F03917">
        <w:t xml:space="preserve"> This could have a </w:t>
      </w:r>
      <w:r w:rsidR="00F64066" w:rsidRPr="00F03917">
        <w:lastRenderedPageBreak/>
        <w:t xml:space="preserve">potentially big impact for some </w:t>
      </w:r>
      <w:r w:rsidR="002F479E" w:rsidRPr="00F03917">
        <w:t>cliff</w:t>
      </w:r>
      <w:r w:rsidR="00671AD8" w:rsidRPr="00F03917">
        <w:t>-</w:t>
      </w:r>
      <w:r w:rsidR="002F479E" w:rsidRPr="00F03917">
        <w:t>top sites</w:t>
      </w:r>
      <w:r w:rsidR="00784B1B" w:rsidRPr="00F03917">
        <w:t xml:space="preserve">, which </w:t>
      </w:r>
      <w:r w:rsidR="00844B97" w:rsidRPr="00F03917">
        <w:t>could</w:t>
      </w:r>
      <w:r w:rsidR="004D1375" w:rsidRPr="00F03917">
        <w:t xml:space="preserve"> be incorrectly </w:t>
      </w:r>
      <w:r w:rsidR="0072614B" w:rsidRPr="00F03917">
        <w:t xml:space="preserve">viewed as safe from </w:t>
      </w:r>
      <w:r w:rsidR="00BE3925" w:rsidRPr="00F03917">
        <w:t>the effects of sea</w:t>
      </w:r>
      <w:r w:rsidR="00662A9C" w:rsidRPr="00F03917">
        <w:t>-</w:t>
      </w:r>
      <w:r w:rsidR="00BE3925" w:rsidRPr="00F03917">
        <w:t>level rise</w:t>
      </w:r>
      <w:r w:rsidR="002F479E" w:rsidRPr="00F03917">
        <w:t xml:space="preserve">. </w:t>
      </w:r>
      <w:r w:rsidRPr="00F03917">
        <w:t xml:space="preserve">Cliff erosion may </w:t>
      </w:r>
      <w:r w:rsidR="00097DBE" w:rsidRPr="00F03917">
        <w:t xml:space="preserve">also </w:t>
      </w:r>
      <w:r w:rsidRPr="00F03917">
        <w:t>be exacerbated</w:t>
      </w:r>
      <w:r w:rsidR="004C6C77" w:rsidRPr="00F03917">
        <w:t xml:space="preserve"> </w:t>
      </w:r>
      <w:r w:rsidRPr="00F03917">
        <w:t xml:space="preserve">by other climate change effects, such as heavy rainfall and prolonged droughts. </w:t>
      </w:r>
    </w:p>
    <w:p w14:paraId="4C9F790A" w14:textId="0B69B002" w:rsidR="00A74FC4" w:rsidRPr="00F03917" w:rsidRDefault="00A74FC4" w:rsidP="00A74FC4">
      <w:pPr>
        <w:pStyle w:val="BodyText"/>
        <w:spacing w:after="100"/>
      </w:pPr>
      <w:r w:rsidRPr="00F03917">
        <w:t xml:space="preserve">The response of sediment budgets and coastal geomorphology to climatic effects </w:t>
      </w:r>
      <w:r w:rsidR="19F060F4" w:rsidRPr="00F03917">
        <w:t>is</w:t>
      </w:r>
      <w:r w:rsidRPr="00F03917">
        <w:t xml:space="preserve"> uncertain</w:t>
      </w:r>
      <w:r w:rsidR="44BF320E" w:rsidRPr="00F03917">
        <w:t>, arising from increasing uncertainty in several of the contributing processes that shape shoreline response</w:t>
      </w:r>
      <w:r w:rsidRPr="00F03917">
        <w:t>.</w:t>
      </w:r>
      <w:r w:rsidRPr="00F03917">
        <w:rPr>
          <w:rStyle w:val="FootnoteReference"/>
          <w:rFonts w:eastAsia="MS Mincho" w:cs="Arial"/>
        </w:rPr>
        <w:footnoteReference w:id="44"/>
      </w:r>
      <w:r w:rsidRPr="00F03917">
        <w:t xml:space="preserve"> </w:t>
      </w:r>
      <w:hyperlink w:anchor="_Supplements" w:history="1">
        <w:r w:rsidR="008212BE" w:rsidRPr="00F03917">
          <w:rPr>
            <w:rStyle w:val="Hyperlink"/>
            <w:i/>
            <w:iCs/>
          </w:rPr>
          <w:t>Climate change, sea-level rise and coastal hazards science: Coastal hazards and climate change guidance – Supplement A</w:t>
        </w:r>
      </w:hyperlink>
      <w:r w:rsidR="008212BE" w:rsidRPr="00F03917" w:rsidDel="008212BE">
        <w:t xml:space="preserve"> </w:t>
      </w:r>
      <w:r w:rsidRPr="00F03917">
        <w:t xml:space="preserve">describes </w:t>
      </w:r>
      <w:r w:rsidR="7AF5FF0A" w:rsidRPr="00F03917">
        <w:t xml:space="preserve">in more detail </w:t>
      </w:r>
      <w:r w:rsidRPr="00F03917">
        <w:t xml:space="preserve">how climate change may alter rates of coastal erosion or accretion. </w:t>
      </w:r>
    </w:p>
    <w:p w14:paraId="7F28B916" w14:textId="15048DFC" w:rsidR="00C953FB" w:rsidRPr="00F03917" w:rsidRDefault="00C953FB" w:rsidP="00474FD0">
      <w:pPr>
        <w:pStyle w:val="Heading4"/>
      </w:pPr>
      <w:r w:rsidRPr="00F03917">
        <w:t>Compounding hazards</w:t>
      </w:r>
    </w:p>
    <w:p w14:paraId="7C94FF1B" w14:textId="1DA1F96A" w:rsidR="005B13C1" w:rsidRPr="00F03917" w:rsidRDefault="005B13C1" w:rsidP="00474FD0">
      <w:pPr>
        <w:pStyle w:val="BodyText"/>
        <w:spacing w:after="240"/>
      </w:pPr>
      <w:r w:rsidRPr="00F03917">
        <w:t xml:space="preserve">Coastal flooding and erosion, higher groundwater levels, high lowland-river flows and intense rainfall impacts </w:t>
      </w:r>
      <w:r w:rsidR="005B301D" w:rsidRPr="00F03917">
        <w:t xml:space="preserve">will </w:t>
      </w:r>
      <w:r w:rsidRPr="00F03917">
        <w:t>occur individually</w:t>
      </w:r>
      <w:r w:rsidR="005B301D" w:rsidRPr="00F03917">
        <w:t xml:space="preserve"> in hazard</w:t>
      </w:r>
      <w:r w:rsidR="007906EF" w:rsidRPr="00F03917">
        <w:t>-</w:t>
      </w:r>
      <w:r w:rsidR="005B301D" w:rsidRPr="00F03917">
        <w:t>prone coastal areas</w:t>
      </w:r>
      <w:r w:rsidRPr="00F03917">
        <w:t>. C</w:t>
      </w:r>
      <w:r w:rsidRPr="00F03917" w:rsidDel="004B7177">
        <w:t xml:space="preserve">oastal </w:t>
      </w:r>
      <w:r w:rsidRPr="00F03917">
        <w:t xml:space="preserve">lowlands </w:t>
      </w:r>
      <w:r w:rsidR="00913B7F" w:rsidRPr="00F03917">
        <w:t>and urban settings</w:t>
      </w:r>
      <w:r w:rsidRPr="00F03917">
        <w:t xml:space="preserve"> are increasingly likely, however, to experience a combination of these hazards at </w:t>
      </w:r>
      <w:r w:rsidR="007611A3" w:rsidRPr="00F03917">
        <w:t>a similar</w:t>
      </w:r>
      <w:r w:rsidRPr="00F03917">
        <w:t xml:space="preserve"> time, particularly as the sea level rises and impinges on lowland freshwater systems </w:t>
      </w:r>
      <w:r w:rsidR="00566A28" w:rsidRPr="00F03917">
        <w:t xml:space="preserve">and from coincident higher rainfall intensities </w:t>
      </w:r>
      <w:r w:rsidRPr="00F03917">
        <w:t xml:space="preserve">(Moftakhari et al, 2017; Stephens </w:t>
      </w:r>
      <w:r w:rsidR="2088CF6A" w:rsidRPr="00F03917">
        <w:t>and</w:t>
      </w:r>
      <w:r w:rsidRPr="00F03917">
        <w:t xml:space="preserve"> Wu, 2022). A risk-based approach </w:t>
      </w:r>
      <w:r w:rsidRPr="00F03917" w:rsidDel="00F21C0A">
        <w:t xml:space="preserve">to managing coastal hazards </w:t>
      </w:r>
      <w:r w:rsidRPr="00F03917">
        <w:t xml:space="preserve">requires determining </w:t>
      </w:r>
      <w:r w:rsidR="0084053F" w:rsidRPr="00F03917">
        <w:t>or estimating</w:t>
      </w:r>
      <w:r w:rsidRPr="00F03917">
        <w:t xml:space="preserve"> the combined probabilities of different magnitude events and their consequences</w:t>
      </w:r>
      <w:r w:rsidR="00331A0E" w:rsidRPr="00F03917">
        <w:t xml:space="preserve">. This </w:t>
      </w:r>
      <w:r w:rsidRPr="00F03917">
        <w:t>is complex for compound hazards</w:t>
      </w:r>
      <w:r w:rsidR="0040088F" w:rsidRPr="00F03917">
        <w:t>, especially if climate change multiplies the effect differently on each of the contributing processes</w:t>
      </w:r>
      <w:r w:rsidRPr="00F03917">
        <w:t xml:space="preserve">.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F016DE" w:rsidRPr="00F03917" w14:paraId="2F589529" w14:textId="77777777" w:rsidTr="0036266A">
        <w:tc>
          <w:tcPr>
            <w:tcW w:w="8505" w:type="dxa"/>
            <w:shd w:val="clear" w:color="auto" w:fill="D5EBE8" w:themeFill="accent3"/>
          </w:tcPr>
          <w:p w14:paraId="30790F9C" w14:textId="32CEEA39" w:rsidR="00F016DE" w:rsidRPr="00F03917" w:rsidRDefault="00F016DE" w:rsidP="00F016DE">
            <w:pPr>
              <w:pStyle w:val="Boxtext"/>
              <w:spacing w:before="240" w:after="240"/>
            </w:pPr>
            <w:r w:rsidRPr="00F03917">
              <w:t xml:space="preserve">Many of </w:t>
            </w:r>
            <w:r w:rsidR="005D0B45" w:rsidRPr="00F03917">
              <w:t>Aotearoa</w:t>
            </w:r>
            <w:r w:rsidRPr="00F03917">
              <w:t xml:space="preserve"> New Zealand’s towns and cities </w:t>
            </w:r>
            <w:r w:rsidRPr="00F03917">
              <w:rPr>
                <w:bCs/>
              </w:rPr>
              <w:t>developed</w:t>
            </w:r>
            <w:r w:rsidRPr="00F03917">
              <w:t xml:space="preserve"> around river mouths or estuaries and are vulnerable to river</w:t>
            </w:r>
            <w:r w:rsidR="003E0944" w:rsidRPr="00F03917">
              <w:t>, surface</w:t>
            </w:r>
            <w:r w:rsidRPr="00F03917">
              <w:t xml:space="preserve"> and groundwater flooding, exacerbated by high storm tides. </w:t>
            </w:r>
            <w:r w:rsidRPr="00F03917">
              <w:rPr>
                <w:bCs/>
              </w:rPr>
              <w:t xml:space="preserve">The increasing frequency of compound effects may prove problematic in these places (including </w:t>
            </w:r>
            <w:r w:rsidR="003E0944" w:rsidRPr="00F03917">
              <w:rPr>
                <w:bCs/>
              </w:rPr>
              <w:t xml:space="preserve">for </w:t>
            </w:r>
            <w:r w:rsidRPr="00F03917">
              <w:rPr>
                <w:bCs/>
              </w:rPr>
              <w:t>drainage</w:t>
            </w:r>
            <w:r w:rsidR="00DF4CBE" w:rsidRPr="00F03917">
              <w:rPr>
                <w:bCs/>
              </w:rPr>
              <w:t xml:space="preserve"> and stormwater management</w:t>
            </w:r>
            <w:r w:rsidRPr="00F03917">
              <w:rPr>
                <w:bCs/>
              </w:rPr>
              <w:t xml:space="preserve">), exacerbating </w:t>
            </w:r>
            <w:r w:rsidRPr="00F03917">
              <w:t xml:space="preserve">the impact of </w:t>
            </w:r>
            <w:r w:rsidR="00DF4CBE" w:rsidRPr="00F03917">
              <w:t>a type of</w:t>
            </w:r>
            <w:r w:rsidRPr="00F03917">
              <w:t xml:space="preserve"> hazard, such as flooding. </w:t>
            </w:r>
          </w:p>
        </w:tc>
      </w:tr>
    </w:tbl>
    <w:p w14:paraId="1BDB88EB" w14:textId="553512D6" w:rsidR="00007D30" w:rsidRPr="00F03917" w:rsidRDefault="00007D30" w:rsidP="00966B15">
      <w:pPr>
        <w:pStyle w:val="BodyText"/>
        <w:spacing w:before="240" w:after="100"/>
      </w:pPr>
      <w:r w:rsidRPr="00F03917">
        <w:t xml:space="preserve">A few Aotearoa studies have accounted for multiple hazards or their joint probability. </w:t>
      </w:r>
      <w:r w:rsidR="740254BC" w:rsidRPr="00F03917">
        <w:t>Datasets on j</w:t>
      </w:r>
      <w:r w:rsidR="06F501ED" w:rsidRPr="00F03917">
        <w:t xml:space="preserve">oint </w:t>
      </w:r>
      <w:r w:rsidRPr="00F03917">
        <w:t xml:space="preserve">coincidence of storm tides and waves are available in some regions (eg, </w:t>
      </w:r>
      <w:r w:rsidRPr="00F03917" w:rsidDel="00007D30">
        <w:t xml:space="preserve">Allis et al, 2015; </w:t>
      </w:r>
      <w:r w:rsidRPr="00F03917">
        <w:t xml:space="preserve">Stephens et al, </w:t>
      </w:r>
      <w:r w:rsidRPr="00F03917">
        <w:rPr>
          <w:spacing w:val="-2"/>
        </w:rPr>
        <w:t>2013</w:t>
      </w:r>
      <w:r w:rsidRPr="00F03917" w:rsidDel="00007D30">
        <w:rPr>
          <w:spacing w:val="-2"/>
        </w:rPr>
        <w:t>, 2015</w:t>
      </w:r>
      <w:r w:rsidR="008D6BBE" w:rsidRPr="00F03917">
        <w:rPr>
          <w:spacing w:val="-2"/>
        </w:rPr>
        <w:t>a</w:t>
      </w:r>
      <w:r w:rsidR="06F501ED" w:rsidRPr="00F03917">
        <w:rPr>
          <w:spacing w:val="-2"/>
        </w:rPr>
        <w:t>).</w:t>
      </w:r>
      <w:r w:rsidRPr="00F03917">
        <w:rPr>
          <w:spacing w:val="-2"/>
        </w:rPr>
        <w:t xml:space="preserve"> Joint probability analyses of storm tides and river flows were undertaken as part of flood modelling for the Buller River</w:t>
      </w:r>
      <w:r w:rsidR="01ECBCEF" w:rsidRPr="00F03917">
        <w:rPr>
          <w:spacing w:val="-2"/>
        </w:rPr>
        <w:t xml:space="preserve"> and </w:t>
      </w:r>
      <w:r w:rsidRPr="00F03917">
        <w:rPr>
          <w:spacing w:val="-2"/>
        </w:rPr>
        <w:t>Westport (Pearson, 2004</w:t>
      </w:r>
      <w:r w:rsidRPr="00F03917">
        <w:t>; Wild et</w:t>
      </w:r>
      <w:r w:rsidR="009A167A" w:rsidRPr="00F03917">
        <w:t> </w:t>
      </w:r>
      <w:r w:rsidRPr="00F03917">
        <w:t>al, 2004). Nationally, Stephens and Wu (2022) have mapped the joint dependence of coastal</w:t>
      </w:r>
      <w:r w:rsidR="009A167A" w:rsidRPr="00F03917">
        <w:t> </w:t>
      </w:r>
      <w:r w:rsidRPr="00F03917">
        <w:t>storm surges, rainfall and river flow occurring together and related these compound flooding events to types of weather systems</w:t>
      </w:r>
      <w:r w:rsidR="1BA749C6" w:rsidRPr="00F03917">
        <w:t>,</w:t>
      </w:r>
      <w:r w:rsidRPr="00F03917">
        <w:t xml:space="preserve"> some of which are more conducive to a higher dependence between the contributing hazards (eg, blocking high</w:t>
      </w:r>
      <w:r w:rsidR="0079473C" w:rsidRPr="00F03917">
        <w:t xml:space="preserve"> </w:t>
      </w:r>
      <w:r w:rsidRPr="00F03917">
        <w:t>pressure systems to the east</w:t>
      </w:r>
      <w:r w:rsidR="008E5650" w:rsidRPr="00F03917">
        <w:t> </w:t>
      </w:r>
      <w:r w:rsidRPr="00F03917">
        <w:t>of Aotearoa).</w:t>
      </w:r>
    </w:p>
    <w:p w14:paraId="1B778356" w14:textId="07553CD1" w:rsidR="0020506C" w:rsidRPr="00F03917" w:rsidRDefault="0020506C" w:rsidP="008E5650">
      <w:pPr>
        <w:pStyle w:val="Heading4"/>
      </w:pPr>
      <w:r w:rsidRPr="00F03917">
        <w:t>Tsunami inundation</w:t>
      </w:r>
    </w:p>
    <w:p w14:paraId="52F62D7E" w14:textId="20CF0F88" w:rsidR="0020506C" w:rsidRPr="00F03917" w:rsidRDefault="0020506C" w:rsidP="0020506C">
      <w:pPr>
        <w:pStyle w:val="BodyText"/>
      </w:pPr>
      <w:r w:rsidRPr="00F03917">
        <w:t>Tsunami hazards are not addressed in any detail in this guidance but should be considered for completeness in a first pass coastal hazard screening</w:t>
      </w:r>
      <w:r w:rsidR="78B68C47" w:rsidRPr="00F03917">
        <w:t xml:space="preserve"> (Policy 24, NZCPS</w:t>
      </w:r>
      <w:r w:rsidR="007824A5" w:rsidRPr="00F03917">
        <w:t>, DOC, 2010</w:t>
      </w:r>
      <w:r w:rsidR="78B68C47" w:rsidRPr="00F03917">
        <w:t>)</w:t>
      </w:r>
      <w:r w:rsidR="05D37C1D" w:rsidRPr="00F03917">
        <w:t>.</w:t>
      </w:r>
      <w:r w:rsidRPr="00F03917">
        <w:t xml:space="preserve"> RSLR will somewhat increase tsunami inundation, potentially elevating </w:t>
      </w:r>
      <w:r w:rsidR="00F425DE" w:rsidRPr="00F03917">
        <w:t>tsunami</w:t>
      </w:r>
      <w:r w:rsidR="34ECE4CB" w:rsidRPr="00F03917">
        <w:t xml:space="preserve"> </w:t>
      </w:r>
      <w:r w:rsidRPr="00F03917">
        <w:t>wave heights and causing them to affect a wider area</w:t>
      </w:r>
      <w:r w:rsidR="34ECE4CB" w:rsidRPr="00F03917">
        <w:t xml:space="preserve"> and further inland</w:t>
      </w:r>
      <w:r w:rsidR="05D37C1D" w:rsidRPr="00F03917">
        <w:t>.</w:t>
      </w:r>
      <w:r w:rsidRPr="00F03917">
        <w:t xml:space="preserve"> Margins of estuaries and harbours may also become more vulnerable to </w:t>
      </w:r>
      <w:r w:rsidRPr="00F03917" w:rsidDel="00DF6657">
        <w:t>tsunami</w:t>
      </w:r>
      <w:r w:rsidR="00DF6657" w:rsidRPr="00F03917">
        <w:t xml:space="preserve"> if</w:t>
      </w:r>
      <w:r w:rsidRPr="00F03917">
        <w:t xml:space="preserve"> entrance channels deepen in response to greater tidal flows at a higher sea level. </w:t>
      </w:r>
      <w:r w:rsidR="34ECE4CB" w:rsidRPr="00F03917">
        <w:t xml:space="preserve">While the </w:t>
      </w:r>
      <w:r w:rsidRPr="00F03917">
        <w:t xml:space="preserve">most important determinant of a tsunami’s impact </w:t>
      </w:r>
      <w:r w:rsidRPr="00F03917">
        <w:lastRenderedPageBreak/>
        <w:t>will remain its height and wave period when it arrives at the coast</w:t>
      </w:r>
      <w:r w:rsidR="754B4351" w:rsidRPr="00F03917">
        <w:t>,</w:t>
      </w:r>
      <w:r w:rsidR="00155BD5" w:rsidRPr="00F03917">
        <w:rPr>
          <w:rStyle w:val="FootnoteReference"/>
        </w:rPr>
        <w:footnoteReference w:id="45"/>
      </w:r>
      <w:r w:rsidR="0C64BB3C" w:rsidRPr="00F03917">
        <w:t xml:space="preserve"> RSLR will further exacerbate the inland reach and overland inundation depths of a tsunami</w:t>
      </w:r>
      <w:r w:rsidR="05D37C1D" w:rsidRPr="00F03917">
        <w:t xml:space="preserve">. </w:t>
      </w:r>
    </w:p>
    <w:p w14:paraId="760D5A2E" w14:textId="29CA0BCA" w:rsidR="00A74FC4" w:rsidRPr="00F03917" w:rsidRDefault="0020506C" w:rsidP="00EA4A09">
      <w:pPr>
        <w:pStyle w:val="BodyText"/>
      </w:pPr>
      <w:r w:rsidRPr="00F03917">
        <w:t>The extent of the present-day orange tsunami evacuation zones</w:t>
      </w:r>
      <w:r w:rsidR="00743551" w:rsidRPr="00F03917">
        <w:rPr>
          <w:rStyle w:val="FootnoteReference"/>
        </w:rPr>
        <w:footnoteReference w:id="46"/>
      </w:r>
      <w:r w:rsidRPr="00F03917">
        <w:t xml:space="preserve"> provides a broad understanding</w:t>
      </w:r>
      <w:r w:rsidR="297868C9" w:rsidRPr="00F03917">
        <w:t xml:space="preserve">, </w:t>
      </w:r>
      <w:r w:rsidRPr="00F03917" w:rsidDel="297868C9">
        <w:t>prior to</w:t>
      </w:r>
      <w:r w:rsidR="297868C9" w:rsidRPr="00F03917">
        <w:t xml:space="preserve"> coastal flood hazard screening,</w:t>
      </w:r>
      <w:r w:rsidRPr="00F03917">
        <w:t xml:space="preserve"> of the landward extent of low-lying coastal land and potential future coastal flooding areas</w:t>
      </w:r>
      <w:r w:rsidR="05D37C1D" w:rsidRPr="00F03917">
        <w:t>.</w:t>
      </w:r>
      <w:r w:rsidRPr="00F03917">
        <w:t xml:space="preserve"> </w:t>
      </w:r>
      <w:hyperlink w:anchor="_Supplements" w:history="1">
        <w:r w:rsidR="007B24AC" w:rsidRPr="00F03917">
          <w:rPr>
            <w:rStyle w:val="Hyperlink"/>
            <w:i/>
            <w:iCs/>
          </w:rPr>
          <w:t>Climate change, sea-level rise and coastal hazards science: Coastal hazards and climate change guidance – Supplement A</w:t>
        </w:r>
      </w:hyperlink>
      <w:r w:rsidR="00A42217" w:rsidRPr="00F03917">
        <w:t xml:space="preserve"> </w:t>
      </w:r>
      <w:r w:rsidRPr="00F03917">
        <w:t xml:space="preserve">describes how climate change may alter tsunami coastal hazards. </w:t>
      </w:r>
    </w:p>
    <w:p w14:paraId="6559EA5D" w14:textId="55653838" w:rsidR="62FB6B59" w:rsidRPr="00F03917" w:rsidRDefault="00E86473" w:rsidP="00B765D7">
      <w:pPr>
        <w:pStyle w:val="Heading3"/>
        <w:numPr>
          <w:ilvl w:val="0"/>
          <w:numId w:val="23"/>
        </w:numPr>
      </w:pPr>
      <w:bookmarkStart w:id="75" w:name="_RSLR_and_coastal"/>
      <w:bookmarkEnd w:id="75"/>
      <w:r w:rsidRPr="00F03917">
        <w:t>R</w:t>
      </w:r>
      <w:r w:rsidR="00CD55DE" w:rsidRPr="00F03917">
        <w:t>elative sea</w:t>
      </w:r>
      <w:r w:rsidR="003C1F93" w:rsidRPr="00F03917">
        <w:t>-level rise</w:t>
      </w:r>
      <w:r w:rsidR="00631BA2" w:rsidRPr="00F03917">
        <w:t xml:space="preserve"> and c</w:t>
      </w:r>
      <w:r w:rsidR="62FB6B59" w:rsidRPr="00F03917">
        <w:t xml:space="preserve">oastal hazard </w:t>
      </w:r>
      <w:r w:rsidR="23A176F5" w:rsidRPr="00F03917">
        <w:t>assessment</w:t>
      </w:r>
      <w:r w:rsidRPr="00F03917">
        <w:t>s</w:t>
      </w:r>
    </w:p>
    <w:p w14:paraId="6997536D" w14:textId="6763615D" w:rsidR="62FB6B59" w:rsidRPr="00F03917" w:rsidRDefault="00DF7692" w:rsidP="007B03DA">
      <w:pPr>
        <w:pStyle w:val="BodyText"/>
        <w:spacing w:after="100"/>
      </w:pPr>
      <w:r w:rsidRPr="00F03917">
        <w:t>Policy 24 of t</w:t>
      </w:r>
      <w:r w:rsidR="62FB6B59" w:rsidRPr="00F03917">
        <w:t>he NZCPS requires identification of areas that are “potentially affected by coastal hazards” and assessment of the risks over “at least 100 years” (DOC, 2010</w:t>
      </w:r>
      <w:r w:rsidR="2D29260D" w:rsidRPr="00F03917">
        <w:t>,</w:t>
      </w:r>
      <w:r w:rsidR="62FB6B59" w:rsidRPr="00F03917">
        <w:t xml:space="preserve"> </w:t>
      </w:r>
      <w:r w:rsidR="00797F35" w:rsidRPr="00F03917">
        <w:t xml:space="preserve">p 23; DOC, </w:t>
      </w:r>
      <w:r w:rsidR="62FB6B59" w:rsidRPr="00F03917">
        <w:t>2017). The</w:t>
      </w:r>
      <w:r w:rsidR="009A167A" w:rsidRPr="00F03917">
        <w:t> </w:t>
      </w:r>
      <w:r w:rsidR="62FB6B59" w:rsidRPr="00F03917">
        <w:t>NZCPS takes a risk-based approach to managing coastal hazards</w:t>
      </w:r>
      <w:r w:rsidR="04E8675D" w:rsidRPr="00F03917">
        <w:t>.</w:t>
      </w:r>
      <w:r w:rsidR="396C59FD" w:rsidRPr="00F03917">
        <w:t xml:space="preserve"> It is recommended that this includes </w:t>
      </w:r>
      <w:r w:rsidR="62FB6B59" w:rsidRPr="00F03917">
        <w:t xml:space="preserve">determining </w:t>
      </w:r>
      <w:r w:rsidR="00147211" w:rsidRPr="00F03917">
        <w:t>contemporary</w:t>
      </w:r>
      <w:r w:rsidR="62FB6B59" w:rsidRPr="00F03917">
        <w:t xml:space="preserve"> probabilities of different types of</w:t>
      </w:r>
      <w:r w:rsidR="008E2F5C" w:rsidRPr="00F03917">
        <w:t> </w:t>
      </w:r>
      <w:r w:rsidR="62FB6B59" w:rsidRPr="00F03917">
        <w:t xml:space="preserve">hazards, before including climate change and SLR effects and their consequences. </w:t>
      </w:r>
    </w:p>
    <w:p w14:paraId="25EC485B" w14:textId="45944234" w:rsidR="62FB6B59" w:rsidRPr="00F03917" w:rsidRDefault="62FB6B59" w:rsidP="008E5650">
      <w:pPr>
        <w:pStyle w:val="BodyText"/>
      </w:pPr>
      <w:r w:rsidRPr="00F03917">
        <w:t xml:space="preserve">The purpose of a coastal hazard assessment is to identify the spatial extent </w:t>
      </w:r>
      <w:r w:rsidR="001A2F6F" w:rsidRPr="00F03917">
        <w:t xml:space="preserve">(eg, mapping) </w:t>
      </w:r>
      <w:r w:rsidRPr="00F03917">
        <w:t>and</w:t>
      </w:r>
      <w:r w:rsidR="008E5650" w:rsidRPr="00F03917">
        <w:t> </w:t>
      </w:r>
      <w:r w:rsidRPr="00F03917">
        <w:t xml:space="preserve">magnitude of </w:t>
      </w:r>
      <w:r w:rsidR="001A2F6F" w:rsidRPr="00F03917">
        <w:t xml:space="preserve">present and future </w:t>
      </w:r>
      <w:r w:rsidRPr="00F03917">
        <w:t>hazard</w:t>
      </w:r>
      <w:r w:rsidR="00FB7BCA" w:rsidRPr="00F03917">
        <w:t xml:space="preserve"> </w:t>
      </w:r>
      <w:r w:rsidR="000A50FB" w:rsidRPr="00F03917">
        <w:t>events</w:t>
      </w:r>
      <w:r w:rsidR="00D50C91" w:rsidRPr="00F03917">
        <w:t>, as well as</w:t>
      </w:r>
      <w:r w:rsidR="000A50FB" w:rsidRPr="00F03917">
        <w:t xml:space="preserve"> </w:t>
      </w:r>
      <w:r w:rsidR="001F3478" w:rsidRPr="00F03917">
        <w:t xml:space="preserve">progressive </w:t>
      </w:r>
      <w:r w:rsidR="002F78B4" w:rsidRPr="00F03917">
        <w:t xml:space="preserve">ongoing </w:t>
      </w:r>
      <w:r w:rsidR="000A50FB" w:rsidRPr="00F03917">
        <w:t>change</w:t>
      </w:r>
      <w:r w:rsidR="174B9A83" w:rsidRPr="00F03917">
        <w:t>, including the effects of climate change, as listed in Policy 24(1)</w:t>
      </w:r>
      <w:r w:rsidR="67DAA2CA" w:rsidRPr="00F03917">
        <w:t xml:space="preserve"> (DOC, 201</w:t>
      </w:r>
      <w:r w:rsidR="6FEC850C" w:rsidRPr="00F03917">
        <w:t>0</w:t>
      </w:r>
      <w:r w:rsidR="67DAA2CA" w:rsidRPr="00F03917">
        <w:t>)</w:t>
      </w:r>
      <w:r w:rsidR="7F951762" w:rsidRPr="00F03917">
        <w:t>.</w:t>
      </w:r>
      <w:r w:rsidR="001A2F6F" w:rsidRPr="00F03917">
        <w:t xml:space="preserve"> Taking an adaptive risk-based approach means including a range</w:t>
      </w:r>
      <w:r w:rsidRPr="00F03917">
        <w:t xml:space="preserve"> of </w:t>
      </w:r>
      <w:r w:rsidR="001A2F6F" w:rsidRPr="00F03917">
        <w:t>future RSLR</w:t>
      </w:r>
      <w:r w:rsidRPr="00F03917">
        <w:t xml:space="preserve"> </w:t>
      </w:r>
      <w:r w:rsidR="00C00E05" w:rsidRPr="00F03917">
        <w:t>projections</w:t>
      </w:r>
      <w:r w:rsidR="006B1429" w:rsidRPr="00F03917">
        <w:t xml:space="preserve"> (</w:t>
      </w:r>
      <w:r w:rsidR="001A2F6F" w:rsidRPr="00F03917">
        <w:t xml:space="preserve">or increments of </w:t>
      </w:r>
      <w:r w:rsidR="76641A3C" w:rsidRPr="00F03917">
        <w:t>R</w:t>
      </w:r>
      <w:r w:rsidR="7F951762" w:rsidRPr="00F03917">
        <w:t>SLR</w:t>
      </w:r>
      <w:r w:rsidR="003B4EA0" w:rsidRPr="00F03917">
        <w:t>;</w:t>
      </w:r>
      <w:r w:rsidR="0032193E" w:rsidRPr="00F03917">
        <w:t> </w:t>
      </w:r>
      <w:r w:rsidR="006B1429" w:rsidRPr="00F03917">
        <w:t xml:space="preserve">see </w:t>
      </w:r>
      <w:hyperlink w:anchor="table7">
        <w:r w:rsidR="006B1429" w:rsidRPr="00F03917">
          <w:rPr>
            <w:rStyle w:val="Hyperlink"/>
          </w:rPr>
          <w:t>table 7</w:t>
        </w:r>
      </w:hyperlink>
      <w:r w:rsidR="006B1429" w:rsidRPr="00F03917">
        <w:rPr>
          <w:rStyle w:val="Hyperlink"/>
        </w:rPr>
        <w:t>)</w:t>
      </w:r>
      <w:r w:rsidR="001A2F6F" w:rsidRPr="00F03917">
        <w:t xml:space="preserve"> in the coastal hazard assessment, </w:t>
      </w:r>
      <w:r w:rsidR="2CD5EBE3" w:rsidRPr="00F03917">
        <w:t xml:space="preserve">along </w:t>
      </w:r>
      <w:r w:rsidR="001A2F6F" w:rsidRPr="00F03917">
        <w:t>with other climate-related drivers (</w:t>
      </w:r>
      <w:r w:rsidR="00060CC1" w:rsidRPr="00F03917">
        <w:t xml:space="preserve">eg, </w:t>
      </w:r>
      <w:r w:rsidR="001A2F6F" w:rsidRPr="00F03917">
        <w:t>changes in rainfall, storms, winds</w:t>
      </w:r>
      <w:r w:rsidR="2CD5EBE3" w:rsidRPr="00F03917">
        <w:t>, waves, groundwater</w:t>
      </w:r>
      <w:r w:rsidR="001A2F6F" w:rsidRPr="00F03917">
        <w:t>), to inform which areas are potentially affected and when</w:t>
      </w:r>
      <w:r w:rsidR="7F951762" w:rsidRPr="00F03917">
        <w:t>.</w:t>
      </w:r>
      <w:r w:rsidR="00FB7D30" w:rsidRPr="00F03917">
        <w:t xml:space="preserve"> </w:t>
      </w:r>
    </w:p>
    <w:p w14:paraId="124EE1DC" w14:textId="43BE3BB8" w:rsidR="00076816" w:rsidRPr="00F03917" w:rsidRDefault="00A35CE8" w:rsidP="007B03DA">
      <w:pPr>
        <w:pStyle w:val="BodyText"/>
        <w:spacing w:after="100"/>
      </w:pPr>
      <w:r w:rsidRPr="00F03917">
        <w:t>First pass</w:t>
      </w:r>
      <w:r w:rsidR="00273F34" w:rsidRPr="00F03917">
        <w:t xml:space="preserve"> regional</w:t>
      </w:r>
      <w:r w:rsidR="00CB3051" w:rsidRPr="00F03917">
        <w:t xml:space="preserve"> </w:t>
      </w:r>
      <w:r w:rsidR="00273F34" w:rsidRPr="00F03917">
        <w:t>scale</w:t>
      </w:r>
      <w:r w:rsidRPr="00F03917">
        <w:t xml:space="preserve"> hazard</w:t>
      </w:r>
      <w:r w:rsidR="62FB6B59" w:rsidRPr="00F03917">
        <w:t xml:space="preserve"> </w:t>
      </w:r>
      <w:r w:rsidR="002A6459" w:rsidRPr="00F03917">
        <w:t xml:space="preserve">screening </w:t>
      </w:r>
      <w:r w:rsidR="62FB6B59" w:rsidRPr="00F03917">
        <w:t xml:space="preserve">can be done to </w:t>
      </w:r>
      <w:r w:rsidR="004F5600" w:rsidRPr="00F03917">
        <w:t>bring</w:t>
      </w:r>
      <w:r w:rsidR="0015799A" w:rsidRPr="00F03917">
        <w:t xml:space="preserve"> attention to</w:t>
      </w:r>
      <w:r w:rsidR="62FB6B59" w:rsidRPr="00F03917">
        <w:t xml:space="preserve"> impacts that span multiple </w:t>
      </w:r>
      <w:r w:rsidR="00273F34" w:rsidRPr="00F03917">
        <w:t xml:space="preserve">territorial authority </w:t>
      </w:r>
      <w:r w:rsidR="62FB6B59" w:rsidRPr="00F03917">
        <w:t>jurisdictions</w:t>
      </w:r>
      <w:r w:rsidR="00B75981" w:rsidRPr="00F03917">
        <w:t xml:space="preserve">. </w:t>
      </w:r>
      <w:r w:rsidR="004B6BEC" w:rsidRPr="00F03917">
        <w:t>It</w:t>
      </w:r>
      <w:r w:rsidR="000A068F" w:rsidRPr="00F03917">
        <w:t xml:space="preserve"> can be used</w:t>
      </w:r>
      <w:r w:rsidR="62FB6B59" w:rsidRPr="00F03917">
        <w:t xml:space="preserve"> to assess and </w:t>
      </w:r>
      <w:r w:rsidRPr="00F03917">
        <w:t xml:space="preserve">inform </w:t>
      </w:r>
      <w:r w:rsidR="002D164D" w:rsidRPr="00F03917">
        <w:t>current</w:t>
      </w:r>
      <w:r w:rsidR="62FB6B59" w:rsidRPr="00F03917">
        <w:t xml:space="preserve"> </w:t>
      </w:r>
      <w:r w:rsidR="00B977D3" w:rsidRPr="00F03917">
        <w:t xml:space="preserve">and </w:t>
      </w:r>
      <w:r w:rsidR="002C277E" w:rsidRPr="00F03917">
        <w:t xml:space="preserve">future development </w:t>
      </w:r>
      <w:r w:rsidR="62FB6B59" w:rsidRPr="00F03917">
        <w:t xml:space="preserve">regional strategies </w:t>
      </w:r>
      <w:r w:rsidR="00B977D3" w:rsidRPr="00F03917">
        <w:t xml:space="preserve">and </w:t>
      </w:r>
      <w:r w:rsidR="62FB6B59" w:rsidRPr="00F03917">
        <w:t xml:space="preserve">to coordinate </w:t>
      </w:r>
      <w:r w:rsidR="00F15225" w:rsidRPr="00F03917">
        <w:t>adaptation planning</w:t>
      </w:r>
      <w:r w:rsidR="005E634E" w:rsidRPr="00F03917">
        <w:t>.</w:t>
      </w:r>
      <w:r w:rsidR="00B30DE0" w:rsidRPr="00F03917">
        <w:t xml:space="preserve"> </w:t>
      </w:r>
      <w:r w:rsidR="004B6BEC" w:rsidRPr="00F03917">
        <w:t>This screening</w:t>
      </w:r>
      <w:r w:rsidR="00B30DE0" w:rsidRPr="00F03917">
        <w:t xml:space="preserve"> can also be used to le</w:t>
      </w:r>
      <w:r w:rsidR="62FB6B59" w:rsidRPr="00F03917">
        <w:t>verag</w:t>
      </w:r>
      <w:r w:rsidR="002E7CB3" w:rsidRPr="00F03917">
        <w:t>e</w:t>
      </w:r>
      <w:r w:rsidR="62FB6B59" w:rsidRPr="00F03917">
        <w:t xml:space="preserve"> </w:t>
      </w:r>
      <w:r w:rsidR="3F215EB5" w:rsidRPr="00F03917">
        <w:t>joint</w:t>
      </w:r>
      <w:r w:rsidR="50E8BBAB" w:rsidRPr="00F03917">
        <w:t xml:space="preserve"> </w:t>
      </w:r>
      <w:r w:rsidR="007F4F98" w:rsidRPr="00F03917">
        <w:t xml:space="preserve">funding </w:t>
      </w:r>
      <w:r w:rsidR="00256535" w:rsidRPr="00F03917">
        <w:t xml:space="preserve">for </w:t>
      </w:r>
      <w:r w:rsidR="62FB6B59" w:rsidRPr="00F03917">
        <w:t>research</w:t>
      </w:r>
      <w:r w:rsidR="3F215EB5" w:rsidRPr="00F03917">
        <w:t>, investigations</w:t>
      </w:r>
      <w:r w:rsidR="62FB6B59" w:rsidRPr="00F03917">
        <w:t xml:space="preserve"> and </w:t>
      </w:r>
      <w:r w:rsidR="00256535" w:rsidRPr="00F03917">
        <w:t>engagement</w:t>
      </w:r>
      <w:r w:rsidR="004B370D" w:rsidRPr="00F03917">
        <w:t xml:space="preserve"> for a detailed assessment</w:t>
      </w:r>
      <w:r w:rsidR="62FB6B59" w:rsidRPr="00F03917">
        <w:t xml:space="preserve">. </w:t>
      </w:r>
      <w:r w:rsidR="00491182" w:rsidRPr="00F03917">
        <w:t>H</w:t>
      </w:r>
      <w:r w:rsidR="00B977D3" w:rsidRPr="00F03917">
        <w:t xml:space="preserve">azard screening </w:t>
      </w:r>
      <w:r w:rsidR="00066B91" w:rsidRPr="00F03917">
        <w:t xml:space="preserve">enables a </w:t>
      </w:r>
      <w:r w:rsidR="00B977D3" w:rsidRPr="00F03917">
        <w:t xml:space="preserve">focus on those areas where risk </w:t>
      </w:r>
      <w:r w:rsidR="3F215EB5" w:rsidRPr="00F03917">
        <w:t>from coastal hazards (primarily flooding and erosion)</w:t>
      </w:r>
      <w:r w:rsidR="70F0F6B8" w:rsidRPr="00F03917">
        <w:t xml:space="preserve"> </w:t>
      </w:r>
      <w:r w:rsidR="00B977D3" w:rsidRPr="00F03917">
        <w:t xml:space="preserve">is likely to be </w:t>
      </w:r>
      <w:r w:rsidR="003C6CF9" w:rsidRPr="00F03917">
        <w:t>immediate (</w:t>
      </w:r>
      <w:r w:rsidR="00C70661" w:rsidRPr="00F03917">
        <w:t xml:space="preserve">now or next few </w:t>
      </w:r>
      <w:r w:rsidR="009E1AAA" w:rsidRPr="00F03917">
        <w:t>decades)</w:t>
      </w:r>
      <w:r w:rsidR="005B3A6F" w:rsidRPr="00F03917">
        <w:t xml:space="preserve"> or</w:t>
      </w:r>
      <w:r w:rsidR="0032193E" w:rsidRPr="00F03917">
        <w:t> </w:t>
      </w:r>
      <w:r w:rsidR="00B977D3" w:rsidRPr="00F03917">
        <w:t xml:space="preserve">high </w:t>
      </w:r>
      <w:r w:rsidR="0D62CD59" w:rsidRPr="00F03917">
        <w:t>in the long term (at least 100 years)</w:t>
      </w:r>
      <w:r w:rsidR="004F4E54" w:rsidRPr="00F03917">
        <w:t>.</w:t>
      </w:r>
      <w:r w:rsidR="33A92531" w:rsidRPr="00F03917">
        <w:t xml:space="preserve"> </w:t>
      </w:r>
      <w:r w:rsidR="004F4E54" w:rsidRPr="00F03917">
        <w:t>This is</w:t>
      </w:r>
      <w:r w:rsidR="33A92531" w:rsidRPr="00F03917">
        <w:t xml:space="preserve"> to inform interim planning decisions to avoid </w:t>
      </w:r>
      <w:r w:rsidR="66AC5265" w:rsidRPr="00F03917">
        <w:t>or reduce</w:t>
      </w:r>
      <w:r w:rsidR="33A92531" w:rsidRPr="00F03917">
        <w:t xml:space="preserve"> </w:t>
      </w:r>
      <w:r w:rsidR="009D11A8" w:rsidRPr="00F03917">
        <w:t>(where appropriate)</w:t>
      </w:r>
      <w:r w:rsidR="33A92531" w:rsidRPr="00F03917">
        <w:t xml:space="preserve"> increasing the risk</w:t>
      </w:r>
      <w:r w:rsidR="00432C08" w:rsidRPr="00F03917">
        <w:t xml:space="preserve"> for coastal margins</w:t>
      </w:r>
      <w:r w:rsidR="33A92531" w:rsidRPr="00F03917">
        <w:t xml:space="preserve"> (eg, </w:t>
      </w:r>
      <w:hyperlink w:anchor="table6">
        <w:r w:rsidR="1B845FC1" w:rsidRPr="00F03917">
          <w:rPr>
            <w:rStyle w:val="Hyperlink"/>
          </w:rPr>
          <w:t>t</w:t>
        </w:r>
        <w:r w:rsidR="33A92531" w:rsidRPr="00F03917">
          <w:rPr>
            <w:rStyle w:val="Hyperlink"/>
          </w:rPr>
          <w:t>able</w:t>
        </w:r>
        <w:r w:rsidR="00420168" w:rsidRPr="00F03917">
          <w:rPr>
            <w:rStyle w:val="Hyperlink"/>
          </w:rPr>
          <w:t xml:space="preserve"> 6</w:t>
        </w:r>
      </w:hyperlink>
      <w:r w:rsidR="00420168" w:rsidRPr="00F03917">
        <w:t>)</w:t>
      </w:r>
      <w:r w:rsidR="00752C6B" w:rsidRPr="00F03917">
        <w:t>, prior to</w:t>
      </w:r>
      <w:r w:rsidR="00231825" w:rsidRPr="00F03917">
        <w:t xml:space="preserve"> </w:t>
      </w:r>
      <w:r w:rsidR="0000551E" w:rsidRPr="00F03917">
        <w:t xml:space="preserve">detailed hazard and </w:t>
      </w:r>
      <w:r w:rsidR="000C37E0" w:rsidRPr="00F03917">
        <w:t>risk assessments</w:t>
      </w:r>
      <w:r w:rsidR="00EA1EC5" w:rsidRPr="00F03917">
        <w:t xml:space="preserve"> and the </w:t>
      </w:r>
      <w:r w:rsidR="33A92531" w:rsidRPr="00F03917" w:rsidDel="00093FA2">
        <w:t>development of a</w:t>
      </w:r>
      <w:r w:rsidR="0055623D" w:rsidRPr="00F03917" w:rsidDel="00093FA2">
        <w:t>n adaptive planning</w:t>
      </w:r>
      <w:r w:rsidR="33A92531" w:rsidRPr="00F03917" w:rsidDel="00093FA2">
        <w:t xml:space="preserve"> strategy </w:t>
      </w:r>
      <w:r w:rsidR="00BD71D1" w:rsidRPr="00F03917">
        <w:t>(base</w:t>
      </w:r>
      <w:r w:rsidR="003A5AE4" w:rsidRPr="00F03917">
        <w:t>d</w:t>
      </w:r>
      <w:r w:rsidR="00BD71D1" w:rsidRPr="00F03917">
        <w:t xml:space="preserve"> on the</w:t>
      </w:r>
      <w:r w:rsidR="00EA1EC5" w:rsidRPr="00F03917">
        <w:t xml:space="preserve"> </w:t>
      </w:r>
      <w:r w:rsidR="000C37E0" w:rsidRPr="00F03917">
        <w:t>DAPP appro</w:t>
      </w:r>
      <w:r w:rsidR="0055623D" w:rsidRPr="00F03917">
        <w:t>ach</w:t>
      </w:r>
      <w:r w:rsidR="00BD71D1" w:rsidRPr="00F03917">
        <w:t>)</w:t>
      </w:r>
      <w:r w:rsidR="00AC5147" w:rsidRPr="00F03917">
        <w:t xml:space="preserve"> </w:t>
      </w:r>
      <w:r w:rsidR="33A92531" w:rsidRPr="00F03917">
        <w:t>(</w:t>
      </w:r>
      <w:hyperlink w:anchor="_Step_6:_Evaluate">
        <w:r w:rsidR="7CDD5289" w:rsidRPr="00F03917">
          <w:rPr>
            <w:rStyle w:val="Hyperlink"/>
          </w:rPr>
          <w:t>s</w:t>
        </w:r>
        <w:r w:rsidR="00420168" w:rsidRPr="00F03917">
          <w:rPr>
            <w:rStyle w:val="Hyperlink"/>
          </w:rPr>
          <w:t>tep</w:t>
        </w:r>
        <w:r w:rsidR="33A92531" w:rsidRPr="00F03917">
          <w:rPr>
            <w:rStyle w:val="Hyperlink"/>
          </w:rPr>
          <w:t xml:space="preserve"> 6</w:t>
        </w:r>
      </w:hyperlink>
      <w:r w:rsidR="4DCCD8FD" w:rsidRPr="00F03917">
        <w:t xml:space="preserve"> and </w:t>
      </w:r>
      <w:hyperlink w:anchor="_10_Adaptive_planning" w:history="1">
        <w:r w:rsidR="4DCCD8FD" w:rsidRPr="00F03917">
          <w:rPr>
            <w:rStyle w:val="Hyperlink"/>
          </w:rPr>
          <w:t xml:space="preserve">step </w:t>
        </w:r>
        <w:r w:rsidR="33A92531" w:rsidRPr="00F03917">
          <w:rPr>
            <w:rStyle w:val="Hyperlink"/>
          </w:rPr>
          <w:t>7</w:t>
        </w:r>
      </w:hyperlink>
      <w:r w:rsidR="33A92531" w:rsidRPr="00F03917">
        <w:t>)</w:t>
      </w:r>
      <w:r w:rsidR="70F0F6B8" w:rsidRPr="00F03917">
        <w:t>.</w:t>
      </w:r>
      <w:r w:rsidR="00B977D3" w:rsidRPr="00F03917">
        <w:t xml:space="preserve"> </w:t>
      </w:r>
    </w:p>
    <w:p w14:paraId="2195D72A" w14:textId="0B0D228D" w:rsidR="00BD63BD" w:rsidRPr="00F03917" w:rsidRDefault="0054455F" w:rsidP="007B03DA">
      <w:pPr>
        <w:pStyle w:val="BodyText"/>
        <w:spacing w:after="100"/>
      </w:pPr>
      <w:r w:rsidRPr="00F03917">
        <w:t>D</w:t>
      </w:r>
      <w:r w:rsidR="62FB6B59" w:rsidRPr="00F03917">
        <w:t xml:space="preserve">etailed </w:t>
      </w:r>
      <w:r w:rsidR="00AD4CAC" w:rsidRPr="00F03917">
        <w:t>place-based</w:t>
      </w:r>
      <w:r w:rsidR="62FB6B59" w:rsidRPr="00F03917">
        <w:t xml:space="preserve"> </w:t>
      </w:r>
      <w:r w:rsidR="008B6FA9" w:rsidRPr="00F03917">
        <w:t xml:space="preserve">hazard </w:t>
      </w:r>
      <w:r w:rsidR="62FB6B59" w:rsidRPr="00F03917">
        <w:t xml:space="preserve">assessments </w:t>
      </w:r>
      <w:r w:rsidR="008B6FA9" w:rsidRPr="00F03917">
        <w:t xml:space="preserve">and associated mapping </w:t>
      </w:r>
      <w:r w:rsidR="62FB6B59" w:rsidRPr="00F03917">
        <w:t xml:space="preserve">can then be </w:t>
      </w:r>
      <w:r w:rsidR="00AD73A7" w:rsidRPr="00F03917">
        <w:t>developed</w:t>
      </w:r>
      <w:r w:rsidR="00764D4E" w:rsidRPr="00F03917">
        <w:t xml:space="preserve">. These </w:t>
      </w:r>
      <w:r w:rsidR="00B93DE0" w:rsidRPr="00F03917">
        <w:t>are useful</w:t>
      </w:r>
      <w:r w:rsidR="62FB6B59" w:rsidRPr="00F03917">
        <w:t xml:space="preserve"> for community engagement</w:t>
      </w:r>
      <w:r w:rsidR="008B6FA9" w:rsidRPr="00F03917">
        <w:t>, including ascertaining values and objectives (</w:t>
      </w:r>
      <w:hyperlink w:anchor="_Step_3:_Establish" w:history="1">
        <w:r w:rsidR="008B6FA9" w:rsidRPr="00F03917">
          <w:rPr>
            <w:rStyle w:val="Hyperlink"/>
          </w:rPr>
          <w:t>step 3</w:t>
        </w:r>
      </w:hyperlink>
      <w:r w:rsidR="008B6FA9" w:rsidRPr="00F03917">
        <w:t>)</w:t>
      </w:r>
      <w:r w:rsidR="00277369" w:rsidRPr="00F03917">
        <w:t>,</w:t>
      </w:r>
      <w:r w:rsidR="008B6FA9" w:rsidRPr="00F03917">
        <w:t xml:space="preserve"> </w:t>
      </w:r>
      <w:r w:rsidR="00BB5B18" w:rsidRPr="00F03917">
        <w:t>which are used</w:t>
      </w:r>
      <w:r w:rsidR="008B6FA9" w:rsidRPr="00F03917">
        <w:t xml:space="preserve"> as input </w:t>
      </w:r>
      <w:r w:rsidR="00731DA7" w:rsidRPr="00F03917">
        <w:t>in</w:t>
      </w:r>
      <w:r w:rsidR="008B6FA9" w:rsidRPr="00F03917">
        <w:t>to</w:t>
      </w:r>
      <w:r w:rsidR="50E8BBAB" w:rsidRPr="00F03917">
        <w:t xml:space="preserve"> </w:t>
      </w:r>
      <w:r w:rsidR="62FB6B59" w:rsidRPr="00F03917">
        <w:t xml:space="preserve">vulnerability </w:t>
      </w:r>
      <w:r w:rsidR="7ED8EFF6" w:rsidRPr="00F03917">
        <w:t xml:space="preserve">and risk </w:t>
      </w:r>
      <w:r w:rsidR="62FB6B59" w:rsidRPr="00F03917">
        <w:t>assessments</w:t>
      </w:r>
      <w:r w:rsidR="004D5440" w:rsidRPr="00F03917">
        <w:t xml:space="preserve"> (</w:t>
      </w:r>
      <w:hyperlink w:anchor="_Step_4:_Assess" w:history="1">
        <w:r w:rsidR="004D5440" w:rsidRPr="00F03917">
          <w:rPr>
            <w:rStyle w:val="Hyperlink"/>
          </w:rPr>
          <w:t>step 4</w:t>
        </w:r>
      </w:hyperlink>
      <w:r w:rsidR="004D5440" w:rsidRPr="00F03917">
        <w:t>)</w:t>
      </w:r>
      <w:r w:rsidR="00EF39FD" w:rsidRPr="00F03917">
        <w:t xml:space="preserve">. </w:t>
      </w:r>
      <w:r w:rsidR="00083E29" w:rsidRPr="00F03917">
        <w:t>Detailed assessments</w:t>
      </w:r>
      <w:r w:rsidR="00EF39FD" w:rsidRPr="00F03917">
        <w:t xml:space="preserve"> also </w:t>
      </w:r>
      <w:r w:rsidR="7ED8EFF6" w:rsidRPr="00F03917">
        <w:t>inform</w:t>
      </w:r>
      <w:r w:rsidR="50E8BBAB" w:rsidRPr="00F03917">
        <w:t xml:space="preserve"> </w:t>
      </w:r>
      <w:r w:rsidR="00FD3D2B" w:rsidRPr="00F03917">
        <w:t>the development of an adaptive planning strategy</w:t>
      </w:r>
      <w:r w:rsidR="00D52B0E" w:rsidRPr="00F03917">
        <w:t xml:space="preserve"> based on</w:t>
      </w:r>
      <w:r w:rsidR="62FB6B59" w:rsidRPr="00F03917">
        <w:t xml:space="preserve"> </w:t>
      </w:r>
      <w:r w:rsidR="008003DA" w:rsidRPr="00F03917">
        <w:t>the DAPP</w:t>
      </w:r>
      <w:r w:rsidR="0032193E" w:rsidRPr="00F03917">
        <w:t> </w:t>
      </w:r>
      <w:r w:rsidR="008003DA" w:rsidRPr="00F03917">
        <w:t>approach</w:t>
      </w:r>
      <w:r w:rsidR="7ED8EFF6" w:rsidRPr="00F03917">
        <w:t xml:space="preserve"> (</w:t>
      </w:r>
      <w:hyperlink w:anchor="_Step_6:_Evaluate" w:history="1">
        <w:r w:rsidR="004D5440" w:rsidRPr="00F03917">
          <w:rPr>
            <w:rStyle w:val="Hyperlink"/>
          </w:rPr>
          <w:t>step 6</w:t>
        </w:r>
      </w:hyperlink>
      <w:r w:rsidR="004D5440" w:rsidRPr="00F03917">
        <w:t xml:space="preserve">, </w:t>
      </w:r>
      <w:hyperlink w:anchor="_10_Adaptive_planning" w:history="1">
        <w:r w:rsidR="005C7BA6" w:rsidRPr="00F03917">
          <w:rPr>
            <w:rStyle w:val="Hyperlink"/>
          </w:rPr>
          <w:t xml:space="preserve">step </w:t>
        </w:r>
        <w:r w:rsidR="004D5440" w:rsidRPr="00F03917">
          <w:rPr>
            <w:rStyle w:val="Hyperlink"/>
          </w:rPr>
          <w:t>7</w:t>
        </w:r>
      </w:hyperlink>
      <w:r w:rsidR="004D5440" w:rsidRPr="00F03917">
        <w:t xml:space="preserve"> and </w:t>
      </w:r>
      <w:hyperlink w:anchor="_Step_8:_Implement" w:history="1">
        <w:r w:rsidR="005C7BA6" w:rsidRPr="00F03917">
          <w:rPr>
            <w:rStyle w:val="Hyperlink"/>
          </w:rPr>
          <w:t xml:space="preserve">step </w:t>
        </w:r>
        <w:r w:rsidR="004D5440" w:rsidRPr="00F03917">
          <w:rPr>
            <w:rStyle w:val="Hyperlink"/>
          </w:rPr>
          <w:t>8</w:t>
        </w:r>
      </w:hyperlink>
      <w:r w:rsidR="7ED8EFF6" w:rsidRPr="00F03917">
        <w:t>)</w:t>
      </w:r>
      <w:r w:rsidR="50E8BBAB" w:rsidRPr="00F03917">
        <w:t>.</w:t>
      </w:r>
      <w:r w:rsidR="62FB6B59" w:rsidRPr="00F03917">
        <w:t xml:space="preserve"> </w:t>
      </w:r>
    </w:p>
    <w:p w14:paraId="30564B9B" w14:textId="03C72739" w:rsidR="00E46848" w:rsidRPr="00F03917" w:rsidRDefault="00563B53" w:rsidP="007B03DA">
      <w:pPr>
        <w:pStyle w:val="BodyText"/>
        <w:spacing w:after="100"/>
      </w:pPr>
      <w:r w:rsidRPr="00F03917">
        <w:t>The next two sub-sections outline the level and extent of a first-pass</w:t>
      </w:r>
      <w:r w:rsidR="00262840" w:rsidRPr="00F03917">
        <w:t xml:space="preserve"> screening</w:t>
      </w:r>
      <w:r w:rsidRPr="00F03917">
        <w:t xml:space="preserve">, followed by a detailed hazard assessment, with RSLR </w:t>
      </w:r>
      <w:r w:rsidR="00467DDB" w:rsidRPr="00F03917">
        <w:t>projections</w:t>
      </w:r>
      <w:r w:rsidRPr="00F03917">
        <w:t xml:space="preserve"> or increments to use summarised in </w:t>
      </w:r>
      <w:hyperlink w:anchor="table7" w:history="1">
        <w:r w:rsidR="005C7BA6" w:rsidRPr="00F03917">
          <w:rPr>
            <w:rStyle w:val="Hyperlink"/>
          </w:rPr>
          <w:t>t</w:t>
        </w:r>
        <w:r w:rsidRPr="00F03917">
          <w:rPr>
            <w:rStyle w:val="Hyperlink"/>
          </w:rPr>
          <w:t>able 7</w:t>
        </w:r>
      </w:hyperlink>
      <w:r w:rsidRPr="00F03917">
        <w:t xml:space="preserve">. </w:t>
      </w:r>
      <w:r w:rsidR="00E27154" w:rsidRPr="00F03917">
        <w:t xml:space="preserve">A </w:t>
      </w:r>
      <w:r w:rsidR="004322A1" w:rsidRPr="00F03917">
        <w:t xml:space="preserve">screening assessment </w:t>
      </w:r>
      <w:r w:rsidR="00E27154" w:rsidRPr="00F03917">
        <w:t xml:space="preserve">for </w:t>
      </w:r>
      <w:r w:rsidR="004322A1" w:rsidRPr="00F03917">
        <w:t xml:space="preserve">coastal hazards (eg, flood, erosion) </w:t>
      </w:r>
      <w:r w:rsidR="00DC06B7" w:rsidRPr="00F03917">
        <w:t>should</w:t>
      </w:r>
      <w:r w:rsidR="004322A1" w:rsidRPr="00F03917">
        <w:t xml:space="preserve"> include representations for one or two annual exceedance probability (AEP) magnitudes or levels</w:t>
      </w:r>
      <w:r w:rsidR="00F207FF" w:rsidRPr="00F03917">
        <w:t>.</w:t>
      </w:r>
      <w:r w:rsidR="004322A1" w:rsidRPr="00F03917">
        <w:t xml:space="preserve"> </w:t>
      </w:r>
      <w:r w:rsidR="009052F8" w:rsidRPr="00F03917">
        <w:t>A</w:t>
      </w:r>
      <w:r w:rsidR="004322A1" w:rsidRPr="00F03917">
        <w:t xml:space="preserve"> detailed hazard assessment may include more representations to cover a range of AEPs (extreme</w:t>
      </w:r>
      <w:r w:rsidR="003F06A4" w:rsidRPr="00F03917">
        <w:t>,</w:t>
      </w:r>
      <w:r w:rsidR="004322A1" w:rsidRPr="00F03917">
        <w:t xml:space="preserve"> moderate</w:t>
      </w:r>
      <w:r w:rsidR="003F06A4" w:rsidRPr="00F03917">
        <w:t xml:space="preserve"> </w:t>
      </w:r>
      <w:r w:rsidR="003F06A4" w:rsidRPr="00F03917">
        <w:lastRenderedPageBreak/>
        <w:t xml:space="preserve">and </w:t>
      </w:r>
      <w:r w:rsidR="004322A1" w:rsidRPr="00F03917">
        <w:t>nuisance events)</w:t>
      </w:r>
      <w:r w:rsidR="0086731E" w:rsidRPr="00F03917">
        <w:t>, as well as</w:t>
      </w:r>
      <w:r w:rsidR="004322A1" w:rsidRPr="00F03917" w:rsidDel="0086731E">
        <w:t xml:space="preserve"> </w:t>
      </w:r>
      <w:r w:rsidR="004322A1" w:rsidRPr="00F03917">
        <w:t>test</w:t>
      </w:r>
      <w:r w:rsidR="003970BF" w:rsidRPr="00F03917">
        <w:t>ing</w:t>
      </w:r>
      <w:r w:rsidR="004322A1" w:rsidRPr="00F03917">
        <w:t xml:space="preserve"> the hazard sensitivity to statistical uncertainty of the computed estimate for an extreme AEP (eg, 95 per</w:t>
      </w:r>
      <w:r w:rsidR="003839BD" w:rsidRPr="00F03917">
        <w:t xml:space="preserve"> </w:t>
      </w:r>
      <w:r w:rsidR="004322A1" w:rsidRPr="00F03917">
        <w:t>cent confidence level).</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7B03DA" w:rsidRPr="00F03917" w14:paraId="01240588" w14:textId="77777777" w:rsidTr="0036266A">
        <w:tc>
          <w:tcPr>
            <w:tcW w:w="8505" w:type="dxa"/>
            <w:shd w:val="clear" w:color="auto" w:fill="D5EBE8" w:themeFill="accent3"/>
          </w:tcPr>
          <w:p w14:paraId="75903590" w14:textId="23CF567E" w:rsidR="007B03DA" w:rsidRPr="00F03917" w:rsidRDefault="007B03DA" w:rsidP="007B03DA">
            <w:pPr>
              <w:pStyle w:val="Boxheading"/>
            </w:pPr>
            <w:r w:rsidRPr="00F03917">
              <w:t xml:space="preserve">Incorporating </w:t>
            </w:r>
            <w:r w:rsidR="008E4DC5" w:rsidRPr="00F03917">
              <w:t>I</w:t>
            </w:r>
            <w:r w:rsidRPr="00F03917">
              <w:t>ndigenous worldviews</w:t>
            </w:r>
          </w:p>
          <w:p w14:paraId="217ADDB3" w14:textId="3C0A76A0" w:rsidR="00532310" w:rsidRPr="00F03917" w:rsidRDefault="007B03DA" w:rsidP="005C7BA6">
            <w:pPr>
              <w:pStyle w:val="Boxtext"/>
              <w:spacing w:after="0"/>
            </w:pPr>
            <w:r w:rsidRPr="00F03917">
              <w:t xml:space="preserve">This </w:t>
            </w:r>
            <w:r w:rsidR="516B194F" w:rsidRPr="00F03917">
              <w:t>guidance</w:t>
            </w:r>
            <w:r w:rsidR="00472812" w:rsidRPr="00F03917">
              <w:t xml:space="preserve"> recommends that</w:t>
            </w:r>
            <w:r w:rsidRPr="00F03917">
              <w:t xml:space="preserve"> coastal hazard </w:t>
            </w:r>
            <w:r w:rsidR="00333739" w:rsidRPr="00F03917">
              <w:t xml:space="preserve">assessments are </w:t>
            </w:r>
            <w:r w:rsidR="00A144AA" w:rsidRPr="00F03917">
              <w:t xml:space="preserve">informed </w:t>
            </w:r>
            <w:r w:rsidR="1CCE2545" w:rsidRPr="00F03917">
              <w:t>by</w:t>
            </w:r>
            <w:r w:rsidR="00B14531" w:rsidRPr="00F03917">
              <w:t xml:space="preserve"> mātauranga Māori and an </w:t>
            </w:r>
            <w:r w:rsidR="008E4DC5" w:rsidRPr="00F03917">
              <w:t>I</w:t>
            </w:r>
            <w:r w:rsidR="00B14531" w:rsidRPr="00F03917">
              <w:t>ndigenous worldview</w:t>
            </w:r>
            <w:r w:rsidR="00864652" w:rsidRPr="00F03917">
              <w:t xml:space="preserve">, </w:t>
            </w:r>
            <w:r w:rsidR="379A0B49" w:rsidRPr="00F03917">
              <w:t xml:space="preserve">including </w:t>
            </w:r>
            <w:r w:rsidR="00864652" w:rsidRPr="00F03917">
              <w:t xml:space="preserve">local </w:t>
            </w:r>
            <w:r w:rsidR="001072F4" w:rsidRPr="00F03917">
              <w:t xml:space="preserve">and technical </w:t>
            </w:r>
            <w:r w:rsidR="00864652" w:rsidRPr="00F03917">
              <w:t>knowledge and experiences</w:t>
            </w:r>
            <w:r w:rsidR="521B988F" w:rsidRPr="00F03917">
              <w:t>.</w:t>
            </w:r>
          </w:p>
          <w:p w14:paraId="207061F8" w14:textId="363DFC50" w:rsidR="00532310" w:rsidRPr="00F03917" w:rsidRDefault="00532310" w:rsidP="005C7BA6">
            <w:pPr>
              <w:pStyle w:val="Boxtext"/>
              <w:spacing w:after="0"/>
            </w:pPr>
            <w:r w:rsidRPr="00F03917">
              <w:t xml:space="preserve">A holistic view acknowledges the intrinsic connection between the atmosphere, climate and wider environmental system. It recognises the interdependencies and inter-relatedness of things, including between people and their environment. </w:t>
            </w:r>
          </w:p>
          <w:p w14:paraId="758551EE" w14:textId="3F2D8C42" w:rsidR="00CF68B8" w:rsidRPr="00F03917" w:rsidRDefault="00532310" w:rsidP="005C7BA6">
            <w:pPr>
              <w:pStyle w:val="Boxtext"/>
              <w:spacing w:after="0"/>
            </w:pPr>
            <w:r w:rsidRPr="00F03917">
              <w:t xml:space="preserve">The holistic and reciprocal connection between Māori and the natural world is formed through shared whakapapa (genealogy). The creation and ongoing balance of the natural world is interconnected through this web of kinship, and responsibility to care is reflected in pūrākau (stories) where these relationships shape connection to the environment (Harmsworth </w:t>
            </w:r>
            <w:r w:rsidR="459D2DF6" w:rsidRPr="00F03917">
              <w:t>and</w:t>
            </w:r>
            <w:r w:rsidRPr="00F03917">
              <w:t xml:space="preserve"> Awatere, 2013).</w:t>
            </w:r>
          </w:p>
          <w:p w14:paraId="3CA1AD5D" w14:textId="77777777" w:rsidR="007B03DA" w:rsidRPr="00F03917" w:rsidRDefault="007B03DA" w:rsidP="005C7BA6">
            <w:pPr>
              <w:pStyle w:val="Boxtext"/>
              <w:spacing w:after="0"/>
            </w:pPr>
            <w:r w:rsidRPr="00F03917">
              <w:t xml:space="preserve">Te ao Māori sees stress on any composite part of the system as creating its own measurable impact on other parts of the whole. It then looks at the quality and state of wellbeing, and assesses that against a measure of abundance, vibrancy, regeneration and health. This has complementary value to assessments but starts from abundance or rauora. </w:t>
            </w:r>
          </w:p>
          <w:p w14:paraId="2BC008F2" w14:textId="66695B29" w:rsidR="007B03DA" w:rsidRPr="00F03917" w:rsidRDefault="008B6C15" w:rsidP="005C7BA6">
            <w:pPr>
              <w:pStyle w:val="Boxtext"/>
              <w:spacing w:after="240"/>
            </w:pPr>
            <w:r w:rsidRPr="00F03917">
              <w:t xml:space="preserve">For further reading on this, refer to </w:t>
            </w:r>
            <w:r w:rsidR="009B2D67" w:rsidRPr="00F03917">
              <w:t>Hi</w:t>
            </w:r>
            <w:r w:rsidR="00EF70DD" w:rsidRPr="00F03917">
              <w:t>kuroa (2020)</w:t>
            </w:r>
            <w:r w:rsidR="008D4B4E" w:rsidRPr="00F03917">
              <w:t>, Jones et al (2023)</w:t>
            </w:r>
            <w:r w:rsidR="0014726A" w:rsidRPr="00F03917">
              <w:t>, Bailey-Win</w:t>
            </w:r>
            <w:r w:rsidR="007B07B6" w:rsidRPr="00F03917">
              <w:t xml:space="preserve">iata (2021), and </w:t>
            </w:r>
            <w:r w:rsidR="00594686" w:rsidRPr="00F03917">
              <w:t>Wilkinson et al (2020).</w:t>
            </w:r>
          </w:p>
        </w:tc>
      </w:tr>
    </w:tbl>
    <w:p w14:paraId="5C6C4EF3" w14:textId="51EF0544" w:rsidR="00DF06C8" w:rsidRPr="00F03917" w:rsidRDefault="00081EF5" w:rsidP="005C7BA6">
      <w:pPr>
        <w:pStyle w:val="Heading4"/>
        <w:spacing w:before="360"/>
      </w:pPr>
      <w:r w:rsidRPr="00F03917">
        <w:t xml:space="preserve">First pass </w:t>
      </w:r>
      <w:r w:rsidR="00267155" w:rsidRPr="00F03917">
        <w:t>h</w:t>
      </w:r>
      <w:r w:rsidR="00A328A9" w:rsidRPr="00F03917">
        <w:t xml:space="preserve">azard </w:t>
      </w:r>
      <w:r w:rsidR="00267155" w:rsidRPr="00F03917">
        <w:t>screening</w:t>
      </w:r>
    </w:p>
    <w:p w14:paraId="3B3E0EFD" w14:textId="3E4B793C" w:rsidR="00FB6B62" w:rsidRPr="00F03917" w:rsidRDefault="6E90168C" w:rsidP="005C7BA6">
      <w:pPr>
        <w:pStyle w:val="BodyText"/>
      </w:pPr>
      <w:r w:rsidRPr="00F03917">
        <w:rPr>
          <w:rFonts w:eastAsia="MS Mincho" w:cs="Arial"/>
        </w:rPr>
        <w:t xml:space="preserve">This initial stage is a hazard </w:t>
      </w:r>
      <w:r w:rsidRPr="00F03917">
        <w:t>exposure screening exercise, using one or two RSLR projections (or at a minimum</w:t>
      </w:r>
      <w:r w:rsidR="00604EC2" w:rsidRPr="00F03917">
        <w:t xml:space="preserve"> consider using </w:t>
      </w:r>
      <w:r w:rsidR="00D14D79" w:rsidRPr="00F03917">
        <w:t>SSP5-8.5</w:t>
      </w:r>
      <w:r w:rsidR="00604EC2" w:rsidRPr="00F03917">
        <w:t xml:space="preserve"> H+</w:t>
      </w:r>
      <w:r w:rsidR="28296114" w:rsidRPr="00F03917">
        <w:t>)</w:t>
      </w:r>
      <w:r w:rsidR="00DE25C3" w:rsidRPr="00F03917">
        <w:t xml:space="preserve"> to determine the area potentially affected over at least 100 years</w:t>
      </w:r>
      <w:r w:rsidRPr="00F03917">
        <w:t xml:space="preserve"> </w:t>
      </w:r>
      <w:r w:rsidR="27067CE4" w:rsidRPr="00F03917">
        <w:t>(</w:t>
      </w:r>
      <w:r w:rsidRPr="00F03917">
        <w:t xml:space="preserve">see </w:t>
      </w:r>
      <w:hyperlink w:anchor="table7" w:history="1">
        <w:r w:rsidR="07FEC2BF" w:rsidRPr="00F03917">
          <w:rPr>
            <w:rStyle w:val="Hyperlink"/>
          </w:rPr>
          <w:t>t</w:t>
        </w:r>
        <w:r w:rsidRPr="00F03917">
          <w:rPr>
            <w:rStyle w:val="Hyperlink"/>
          </w:rPr>
          <w:t>able 7</w:t>
        </w:r>
      </w:hyperlink>
      <w:r w:rsidR="000113FF" w:rsidRPr="00F03917">
        <w:t>).</w:t>
      </w:r>
      <w:r w:rsidR="003D78BA" w:rsidRPr="00F03917">
        <w:rPr>
          <w:rStyle w:val="FootnoteReference"/>
        </w:rPr>
        <w:footnoteReference w:id="47"/>
      </w:r>
      <w:r w:rsidR="403D118C" w:rsidRPr="00F03917">
        <w:rPr>
          <w:rFonts w:eastAsia="MS Mincho" w:cs="Arial"/>
        </w:rPr>
        <w:t xml:space="preserve"> </w:t>
      </w:r>
      <w:r w:rsidRPr="00F03917">
        <w:rPr>
          <w:rFonts w:eastAsia="MS Mincho" w:cs="Arial"/>
        </w:rPr>
        <w:t>These first pass screening hazard assessments are generally undertaken by the regional</w:t>
      </w:r>
      <w:r w:rsidR="54B2FE27" w:rsidRPr="00F03917">
        <w:rPr>
          <w:rFonts w:eastAsia="MS Mincho" w:cs="Arial"/>
        </w:rPr>
        <w:t xml:space="preserve"> </w:t>
      </w:r>
      <w:r w:rsidR="00765E72" w:rsidRPr="00F03917">
        <w:rPr>
          <w:rFonts w:eastAsia="MS Mincho" w:cs="Arial"/>
        </w:rPr>
        <w:t xml:space="preserve">council or </w:t>
      </w:r>
      <w:r w:rsidRPr="00F03917">
        <w:rPr>
          <w:rFonts w:eastAsia="MS Mincho" w:cs="Arial"/>
        </w:rPr>
        <w:t xml:space="preserve">unitary </w:t>
      </w:r>
      <w:r w:rsidR="00765E72" w:rsidRPr="00F03917">
        <w:rPr>
          <w:rFonts w:eastAsia="MS Mincho" w:cs="Arial"/>
        </w:rPr>
        <w:t>authority</w:t>
      </w:r>
      <w:r w:rsidRPr="00F03917">
        <w:rPr>
          <w:rFonts w:eastAsia="MS Mincho" w:cs="Arial"/>
        </w:rPr>
        <w:t xml:space="preserve">. </w:t>
      </w:r>
      <w:r w:rsidRPr="00F03917">
        <w:t>The purpose of a</w:t>
      </w:r>
      <w:r w:rsidR="00954750" w:rsidRPr="00F03917">
        <w:t xml:space="preserve"> region-wide hazard</w:t>
      </w:r>
      <w:r w:rsidR="007906EF" w:rsidRPr="00F03917">
        <w:t xml:space="preserve"> </w:t>
      </w:r>
      <w:r w:rsidR="00954750" w:rsidRPr="00F03917">
        <w:t xml:space="preserve">exposure screening exercise, usually with one upper-range </w:t>
      </w:r>
      <w:r w:rsidR="00BE67A8" w:rsidRPr="00F03917">
        <w:t xml:space="preserve">climate </w:t>
      </w:r>
      <w:r w:rsidR="00954750" w:rsidRPr="00F03917">
        <w:t xml:space="preserve">scenario and </w:t>
      </w:r>
      <w:r w:rsidR="2726D0AC" w:rsidRPr="00F03917">
        <w:t xml:space="preserve">associated </w:t>
      </w:r>
      <w:r w:rsidR="00222C39" w:rsidRPr="00F03917">
        <w:t>R</w:t>
      </w:r>
      <w:r w:rsidR="000271E1" w:rsidRPr="00F03917">
        <w:t>SLR projection</w:t>
      </w:r>
      <w:r w:rsidR="3A2D5C65" w:rsidRPr="00F03917">
        <w:t xml:space="preserve"> (</w:t>
      </w:r>
      <w:hyperlink w:anchor="table7" w:history="1">
        <w:r w:rsidR="3BB9C590" w:rsidRPr="00F03917">
          <w:rPr>
            <w:rStyle w:val="Hyperlink"/>
          </w:rPr>
          <w:t>t</w:t>
        </w:r>
        <w:r w:rsidR="3A2D5C65" w:rsidRPr="00F03917">
          <w:rPr>
            <w:rStyle w:val="Hyperlink"/>
          </w:rPr>
          <w:t>able 7</w:t>
        </w:r>
      </w:hyperlink>
      <w:r w:rsidR="3A2D5C65" w:rsidRPr="00F03917">
        <w:t>)</w:t>
      </w:r>
      <w:r w:rsidR="75470417" w:rsidRPr="00F03917">
        <w:t xml:space="preserve">, </w:t>
      </w:r>
      <w:r w:rsidR="7986C7B2" w:rsidRPr="00F03917">
        <w:t>is to broadly identify areas “that are potentially affected” by coastal hazards and climate change (Policy 24</w:t>
      </w:r>
      <w:r w:rsidR="592B8819" w:rsidRPr="00F03917">
        <w:t>,</w:t>
      </w:r>
      <w:r w:rsidR="7986C7B2" w:rsidRPr="00F03917">
        <w:t xml:space="preserve"> NZCPS</w:t>
      </w:r>
      <w:r w:rsidR="00D46071" w:rsidRPr="00F03917">
        <w:t>, DOC, 2010, p 24</w:t>
      </w:r>
      <w:r w:rsidR="7986C7B2" w:rsidRPr="00F03917">
        <w:t>). The outputs of a screening assessment</w:t>
      </w:r>
      <w:r w:rsidR="00954750" w:rsidRPr="00F03917">
        <w:t xml:space="preserve"> should </w:t>
      </w:r>
      <w:r w:rsidR="7986C7B2" w:rsidRPr="00F03917">
        <w:t xml:space="preserve">then </w:t>
      </w:r>
      <w:r w:rsidR="00954750" w:rsidRPr="00F03917">
        <w:t xml:space="preserve">guide </w:t>
      </w:r>
      <w:r w:rsidR="00224EB9" w:rsidRPr="00F03917">
        <w:t>identification of</w:t>
      </w:r>
      <w:r w:rsidR="00954750" w:rsidRPr="00F03917">
        <w:t xml:space="preserve"> “areas at high risk of being affected</w:t>
      </w:r>
      <w:r w:rsidR="75470417" w:rsidRPr="00F03917">
        <w:t>”</w:t>
      </w:r>
      <w:r w:rsidR="00954750" w:rsidRPr="00F03917">
        <w:t xml:space="preserve"> and inform subsequent detailed hazard (and risk) assessments for coastal compartments or localities </w:t>
      </w:r>
      <w:r w:rsidR="0DBF4D32" w:rsidRPr="00F03917">
        <w:t>to focus on, considering areas at high risk</w:t>
      </w:r>
      <w:r w:rsidR="000B7FF7" w:rsidRPr="00F03917">
        <w:t xml:space="preserve"> of both imminent and </w:t>
      </w:r>
      <w:r w:rsidR="008B1AC9" w:rsidRPr="00F03917">
        <w:t>long-term risk</w:t>
      </w:r>
      <w:r w:rsidR="008B1AC9" w:rsidRPr="00F03917">
        <w:rPr>
          <w:rStyle w:val="FootnoteReference"/>
        </w:rPr>
        <w:footnoteReference w:id="48"/>
      </w:r>
      <w:r w:rsidR="7304ACAC" w:rsidRPr="00F03917">
        <w:t xml:space="preserve"> </w:t>
      </w:r>
      <w:r w:rsidR="3DE203E4" w:rsidRPr="00F03917">
        <w:t>(</w:t>
      </w:r>
      <w:r w:rsidR="75470417" w:rsidRPr="00F03917">
        <w:t>see</w:t>
      </w:r>
      <w:r w:rsidR="00D46071" w:rsidRPr="00F03917">
        <w:t> </w:t>
      </w:r>
      <w:hyperlink w:anchor="table6" w:history="1">
        <w:r w:rsidR="328FA9C3" w:rsidRPr="00F03917">
          <w:rPr>
            <w:rStyle w:val="Hyperlink"/>
          </w:rPr>
          <w:t>table</w:t>
        </w:r>
        <w:r w:rsidR="00895C08" w:rsidRPr="00F03917">
          <w:rPr>
            <w:rStyle w:val="Hyperlink"/>
          </w:rPr>
          <w:t xml:space="preserve"> </w:t>
        </w:r>
        <w:r w:rsidR="0060661F" w:rsidRPr="00F03917">
          <w:rPr>
            <w:rStyle w:val="Hyperlink"/>
          </w:rPr>
          <w:t>6</w:t>
        </w:r>
      </w:hyperlink>
      <w:r w:rsidR="00895C08" w:rsidRPr="00F03917">
        <w:t>)</w:t>
      </w:r>
      <w:r w:rsidR="75470417" w:rsidRPr="00F03917">
        <w:t>.</w:t>
      </w:r>
    </w:p>
    <w:p w14:paraId="24DC653B" w14:textId="7FC95CE5" w:rsidR="0041684E" w:rsidRPr="00F03917" w:rsidRDefault="56D6948A" w:rsidP="00790A5D">
      <w:pPr>
        <w:pStyle w:val="BodyText"/>
        <w:spacing w:after="240"/>
      </w:pPr>
      <w:r w:rsidRPr="00F03917">
        <w:t>First</w:t>
      </w:r>
      <w:r w:rsidR="3965D2D1" w:rsidRPr="00F03917">
        <w:t xml:space="preserve"> </w:t>
      </w:r>
      <w:r w:rsidR="003719D1" w:rsidRPr="00F03917">
        <w:t>pass</w:t>
      </w:r>
      <w:r w:rsidR="003A55A3" w:rsidRPr="00F03917">
        <w:t xml:space="preserve"> hazard screening </w:t>
      </w:r>
      <w:r w:rsidR="00652B9A" w:rsidRPr="00F03917">
        <w:t xml:space="preserve">can be </w:t>
      </w:r>
      <w:r w:rsidR="007D1907" w:rsidRPr="00F03917">
        <w:t xml:space="preserve">done </w:t>
      </w:r>
      <w:r w:rsidR="00652B9A" w:rsidRPr="00F03917">
        <w:t>in several ways (using various types and sources of existing data and information)</w:t>
      </w:r>
      <w:r w:rsidR="0041684E" w:rsidRPr="00F03917">
        <w:t xml:space="preserve">. Box </w:t>
      </w:r>
      <w:r w:rsidR="00A712EF" w:rsidRPr="00F03917">
        <w:t>5</w:t>
      </w:r>
      <w:r w:rsidR="0041684E" w:rsidRPr="00F03917">
        <w:t xml:space="preserve"> describes </w:t>
      </w:r>
      <w:r w:rsidR="7425AE9C" w:rsidRPr="00F03917">
        <w:t>main</w:t>
      </w:r>
      <w:r w:rsidR="0041684E" w:rsidRPr="00F03917">
        <w:t xml:space="preserve"> tasks in sequential order for </w:t>
      </w:r>
      <w:r w:rsidRPr="00F03917">
        <w:t>a</w:t>
      </w:r>
      <w:r w:rsidR="0041684E" w:rsidRPr="00F03917">
        <w:t xml:space="preserve"> regional </w:t>
      </w:r>
      <w:r w:rsidRPr="00F03917">
        <w:t xml:space="preserve">or district-wide </w:t>
      </w:r>
      <w:r w:rsidR="0041684E" w:rsidRPr="00F03917">
        <w:t>hazard screening</w:t>
      </w:r>
      <w:r w:rsidR="00FB1D23" w:rsidRPr="00F03917">
        <w:t>.</w:t>
      </w:r>
    </w:p>
    <w:p w14:paraId="30F2E565" w14:textId="1B3B8149" w:rsidR="00202E0B" w:rsidRPr="00F03917" w:rsidRDefault="00202E0B" w:rsidP="00297C0F">
      <w:pPr>
        <w:pStyle w:val="BodyText"/>
      </w:pPr>
      <w:r w:rsidRPr="00F03917">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5"/>
      </w:tblGrid>
      <w:tr w:rsidR="006D42A3" w:rsidRPr="00F03917" w14:paraId="11A75083" w14:textId="77777777" w:rsidTr="00487630">
        <w:trPr>
          <w:tblHeader/>
        </w:trPr>
        <w:tc>
          <w:tcPr>
            <w:tcW w:w="8495" w:type="dxa"/>
            <w:tcBorders>
              <w:top w:val="single" w:sz="4" w:space="0" w:color="1B556B" w:themeColor="text2"/>
              <w:left w:val="single" w:sz="4" w:space="0" w:color="1B556B" w:themeColor="text2"/>
              <w:right w:val="single" w:sz="4" w:space="0" w:color="1B556B" w:themeColor="text2"/>
            </w:tcBorders>
            <w:shd w:val="clear" w:color="auto" w:fill="1B556B" w:themeFill="text2"/>
          </w:tcPr>
          <w:p w14:paraId="2B164D7C" w14:textId="090EF6E4" w:rsidR="006D42A3" w:rsidRPr="00F03917" w:rsidRDefault="006D42A3" w:rsidP="00790A5D">
            <w:pPr>
              <w:pStyle w:val="Casestudyheading"/>
            </w:pPr>
            <w:r w:rsidRPr="00F03917">
              <w:lastRenderedPageBreak/>
              <w:t xml:space="preserve">: </w:t>
            </w:r>
            <w:r w:rsidR="66FFC70D" w:rsidRPr="00F03917">
              <w:t>MAIN</w:t>
            </w:r>
            <w:r w:rsidRPr="00F03917">
              <w:t xml:space="preserve"> tasks for regional </w:t>
            </w:r>
            <w:r w:rsidR="56D6948A" w:rsidRPr="00F03917">
              <w:t xml:space="preserve">OR DISTRICT </w:t>
            </w:r>
            <w:r w:rsidRPr="00F03917">
              <w:t>hazard screening process</w:t>
            </w:r>
          </w:p>
        </w:tc>
      </w:tr>
      <w:tr w:rsidR="006D42A3" w:rsidRPr="00F03917" w14:paraId="7F129A3B" w14:textId="77777777" w:rsidTr="00297C0F">
        <w:tc>
          <w:tcPr>
            <w:tcW w:w="8495" w:type="dxa"/>
            <w:tcBorders>
              <w:left w:val="single" w:sz="4" w:space="0" w:color="D2DDE1" w:themeColor="background2"/>
              <w:right w:val="single" w:sz="4" w:space="0" w:color="D2DDE1" w:themeColor="background2"/>
            </w:tcBorders>
            <w:shd w:val="clear" w:color="auto" w:fill="D2DDE1" w:themeFill="background2"/>
          </w:tcPr>
          <w:p w14:paraId="576246C0" w14:textId="43862ED7" w:rsidR="00CF3ADC" w:rsidRPr="00F03917" w:rsidRDefault="00790A5D" w:rsidP="0073110C">
            <w:pPr>
              <w:pStyle w:val="Boxtext"/>
              <w:spacing w:after="100"/>
              <w:ind w:left="681" w:hanging="397"/>
              <w:rPr>
                <w:szCs w:val="20"/>
              </w:rPr>
            </w:pPr>
            <w:r w:rsidRPr="00F03917">
              <w:rPr>
                <w:szCs w:val="20"/>
              </w:rPr>
              <w:t>1</w:t>
            </w:r>
            <w:r w:rsidRPr="00F03917">
              <w:rPr>
                <w:szCs w:val="20"/>
              </w:rPr>
              <w:tab/>
            </w:r>
            <w:r w:rsidR="00D46A8E" w:rsidRPr="00F03917">
              <w:rPr>
                <w:b/>
                <w:bCs/>
                <w:szCs w:val="20"/>
              </w:rPr>
              <w:t>Initial q</w:t>
            </w:r>
            <w:r w:rsidR="00CF3ADC" w:rsidRPr="00F03917">
              <w:rPr>
                <w:b/>
                <w:bCs/>
                <w:szCs w:val="20"/>
              </w:rPr>
              <w:t>uestions</w:t>
            </w:r>
            <w:r w:rsidR="00CF3ADC" w:rsidRPr="00F03917">
              <w:rPr>
                <w:szCs w:val="20"/>
              </w:rPr>
              <w:t xml:space="preserve"> to guide hazard screening: </w:t>
            </w:r>
          </w:p>
          <w:p w14:paraId="70410A97" w14:textId="21B0DF5A" w:rsidR="00CF3ADC" w:rsidRPr="00F03917" w:rsidRDefault="00CF3ADC" w:rsidP="00BE1EA5">
            <w:pPr>
              <w:pStyle w:val="Boxsub-bullet"/>
              <w:spacing w:after="100"/>
            </w:pPr>
            <w:r w:rsidRPr="00F03917">
              <w:t xml:space="preserve">What are the hazard sources? </w:t>
            </w:r>
          </w:p>
          <w:p w14:paraId="0A4030B4" w14:textId="77777777" w:rsidR="00CF3ADC" w:rsidRPr="00F03917" w:rsidRDefault="00CF3ADC" w:rsidP="00BE1EA5">
            <w:pPr>
              <w:pStyle w:val="Boxsub-bullet"/>
              <w:spacing w:after="100"/>
            </w:pPr>
            <w:r w:rsidRPr="00F03917">
              <w:t xml:space="preserve">What will be affected by the hazard and compounding hazards? Where are the vulnerable areas, and where should we focus our effort? </w:t>
            </w:r>
          </w:p>
          <w:p w14:paraId="5B9927F4" w14:textId="77777777" w:rsidR="00CF3ADC" w:rsidRPr="00F03917" w:rsidRDefault="00CF3ADC" w:rsidP="00BE1EA5">
            <w:pPr>
              <w:pStyle w:val="Boxsub-bullet"/>
              <w:spacing w:after="100"/>
            </w:pPr>
            <w:r w:rsidRPr="00F03917">
              <w:t>What type of hazard assessment should we do? You can use various combinations of data analysis, modelling and mapping techniques. The approach depends on factors such as the locality, data availability, cost and assets at risk.</w:t>
            </w:r>
          </w:p>
          <w:p w14:paraId="1D9EAF2F" w14:textId="77777777" w:rsidR="00CF3ADC" w:rsidRPr="00F03917" w:rsidRDefault="00CF3ADC" w:rsidP="00060A6C">
            <w:pPr>
              <w:pStyle w:val="Boxsub-bullet"/>
              <w:spacing w:before="120" w:after="100"/>
            </w:pPr>
            <w:r w:rsidRPr="00F03917">
              <w:t>What scale of assessment is required? First pass hazard assessments can be done first followed by more detailed assessments in areas affected.</w:t>
            </w:r>
          </w:p>
          <w:p w14:paraId="6BB354FF" w14:textId="0D630733" w:rsidR="00CF3ADC" w:rsidRPr="00F03917" w:rsidRDefault="00CF3ADC" w:rsidP="00060A6C">
            <w:pPr>
              <w:pStyle w:val="Boxsub-bullet"/>
              <w:spacing w:after="80"/>
            </w:pPr>
            <w:r w:rsidRPr="00F03917">
              <w:t xml:space="preserve">What climate change scenarios should we use? To account for deepening uncertainty over time, consider </w:t>
            </w:r>
            <w:r w:rsidR="2C178852" w:rsidRPr="00F03917">
              <w:t>one or two</w:t>
            </w:r>
            <w:r w:rsidRPr="00F03917">
              <w:t xml:space="preserve"> hazard magnitudes (using contemporary </w:t>
            </w:r>
            <w:r w:rsidR="2C178852" w:rsidRPr="00F03917">
              <w:t xml:space="preserve">annual </w:t>
            </w:r>
            <w:r w:rsidRPr="00F03917">
              <w:t xml:space="preserve">exceedance probabilities), </w:t>
            </w:r>
            <w:r w:rsidR="2C178852" w:rsidRPr="00F03917">
              <w:t xml:space="preserve">upper-range </w:t>
            </w:r>
            <w:r w:rsidR="3197CD56" w:rsidRPr="00F03917">
              <w:t>relative sea-level rise (</w:t>
            </w:r>
            <w:r w:rsidR="2C178852" w:rsidRPr="00F03917">
              <w:t>RSLR</w:t>
            </w:r>
            <w:r w:rsidR="20B31CE2" w:rsidRPr="00F03917">
              <w:t>)</w:t>
            </w:r>
            <w:r w:rsidR="2C178852" w:rsidRPr="00F03917">
              <w:t xml:space="preserve"> pr</w:t>
            </w:r>
            <w:r w:rsidR="03A44126" w:rsidRPr="00F03917">
              <w:t>ojection</w:t>
            </w:r>
            <w:r w:rsidR="00056F02" w:rsidRPr="00F03917">
              <w:t>s</w:t>
            </w:r>
            <w:r w:rsidR="03A44126" w:rsidRPr="00F03917">
              <w:t xml:space="preserve"> or increments from </w:t>
            </w:r>
            <w:hyperlink w:anchor="table7" w:history="1">
              <w:r w:rsidR="6289D096" w:rsidRPr="00F03917">
                <w:rPr>
                  <w:rStyle w:val="Hyperlink"/>
                </w:rPr>
                <w:t>t</w:t>
              </w:r>
              <w:r w:rsidR="03A44126" w:rsidRPr="00F03917">
                <w:rPr>
                  <w:rStyle w:val="Hyperlink"/>
                </w:rPr>
                <w:t>able 7</w:t>
              </w:r>
            </w:hyperlink>
            <w:r w:rsidR="03A44126" w:rsidRPr="00F03917">
              <w:t>.</w:t>
            </w:r>
          </w:p>
          <w:p w14:paraId="77050352" w14:textId="77777777" w:rsidR="006D42A3" w:rsidRPr="00F03917" w:rsidRDefault="00CF3ADC" w:rsidP="00060A6C">
            <w:pPr>
              <w:pStyle w:val="Boxsub-bullet"/>
              <w:spacing w:after="80"/>
              <w:rPr>
                <w:rFonts w:eastAsia="Calibri"/>
              </w:rPr>
            </w:pPr>
            <w:r w:rsidRPr="00F03917">
              <w:t>What tools and models should we use and what are the data requirements? Document and make transparent the uncertainties and assumptions underpinning the methodology.</w:t>
            </w:r>
          </w:p>
          <w:p w14:paraId="0009755F" w14:textId="209F1DD8" w:rsidR="00694114" w:rsidRPr="00F03917" w:rsidRDefault="00D96F35" w:rsidP="00060A6C">
            <w:pPr>
              <w:pStyle w:val="Boxtext"/>
              <w:spacing w:after="80"/>
              <w:ind w:left="681" w:hanging="397"/>
              <w:rPr>
                <w:szCs w:val="20"/>
              </w:rPr>
            </w:pPr>
            <w:r w:rsidRPr="00F03917">
              <w:rPr>
                <w:b/>
                <w:bCs/>
                <w:szCs w:val="20"/>
              </w:rPr>
              <w:t>2</w:t>
            </w:r>
            <w:r w:rsidRPr="00F03917">
              <w:rPr>
                <w:szCs w:val="20"/>
              </w:rPr>
              <w:tab/>
            </w:r>
            <w:r w:rsidR="00694114" w:rsidRPr="00F03917">
              <w:rPr>
                <w:b/>
                <w:bCs/>
                <w:szCs w:val="20"/>
              </w:rPr>
              <w:t xml:space="preserve">Sources of data and information </w:t>
            </w:r>
            <w:r w:rsidR="00BE1EA5" w:rsidRPr="00F03917">
              <w:rPr>
                <w:szCs w:val="20"/>
              </w:rPr>
              <w:t>–</w:t>
            </w:r>
            <w:r w:rsidR="00281975" w:rsidRPr="00F03917">
              <w:rPr>
                <w:b/>
                <w:bCs/>
                <w:szCs w:val="20"/>
              </w:rPr>
              <w:t xml:space="preserve"> </w:t>
            </w:r>
            <w:r w:rsidR="00281975" w:rsidRPr="00F03917">
              <w:rPr>
                <w:szCs w:val="20"/>
              </w:rPr>
              <w:t>these</w:t>
            </w:r>
            <w:r w:rsidR="00694114" w:rsidRPr="00F03917">
              <w:rPr>
                <w:szCs w:val="20"/>
              </w:rPr>
              <w:t xml:space="preserve"> could include</w:t>
            </w:r>
            <w:r w:rsidR="2DA4A764" w:rsidRPr="00F03917">
              <w:rPr>
                <w:szCs w:val="20"/>
              </w:rPr>
              <w:t xml:space="preserve"> the following</w:t>
            </w:r>
            <w:r w:rsidR="00694114" w:rsidRPr="00F03917">
              <w:rPr>
                <w:szCs w:val="20"/>
              </w:rPr>
              <w:t>:</w:t>
            </w:r>
            <w:r w:rsidR="00694114" w:rsidRPr="00F03917">
              <w:rPr>
                <w:b/>
                <w:bCs/>
                <w:szCs w:val="20"/>
              </w:rPr>
              <w:t xml:space="preserve"> </w:t>
            </w:r>
          </w:p>
          <w:p w14:paraId="433A74F4" w14:textId="4918192A" w:rsidR="00694114" w:rsidRPr="00F03917" w:rsidRDefault="00694114" w:rsidP="00060A6C">
            <w:pPr>
              <w:pStyle w:val="Boxsub-bullet"/>
              <w:spacing w:after="80"/>
            </w:pPr>
            <w:r w:rsidRPr="00F03917">
              <w:t xml:space="preserve">Assess existing or emerging problems: </w:t>
            </w:r>
            <w:r w:rsidR="00964B00" w:rsidRPr="00F03917">
              <w:t>C</w:t>
            </w:r>
            <w:r w:rsidRPr="00F03917">
              <w:t>ouncil staff and C</w:t>
            </w:r>
            <w:r w:rsidR="00B7499B" w:rsidRPr="00F03917">
              <w:t xml:space="preserve">ivil </w:t>
            </w:r>
            <w:r w:rsidRPr="00F03917">
              <w:t>D</w:t>
            </w:r>
            <w:r w:rsidR="00B7499B" w:rsidRPr="00F03917">
              <w:t xml:space="preserve">efence </w:t>
            </w:r>
            <w:r w:rsidRPr="00F03917">
              <w:t>E</w:t>
            </w:r>
            <w:r w:rsidR="00B7499B" w:rsidRPr="00F03917">
              <w:t>mer</w:t>
            </w:r>
            <w:r w:rsidR="00D75DBD" w:rsidRPr="00F03917">
              <w:t>g</w:t>
            </w:r>
            <w:r w:rsidR="00B7499B" w:rsidRPr="00F03917">
              <w:t xml:space="preserve">ency </w:t>
            </w:r>
            <w:r w:rsidR="00D75DBD" w:rsidRPr="00F03917">
              <w:t xml:space="preserve">Management </w:t>
            </w:r>
            <w:r w:rsidR="001062D6" w:rsidRPr="00F03917">
              <w:t>g</w:t>
            </w:r>
            <w:r w:rsidRPr="00F03917">
              <w:t>roups may be aware of past events and existing or emerging problems in particular areas that are obvious priorities for more detailed hazard assessment</w:t>
            </w:r>
            <w:r w:rsidR="00C15AFA" w:rsidRPr="00F03917">
              <w:t>.</w:t>
            </w:r>
            <w:r w:rsidRPr="00F03917">
              <w:t xml:space="preserve"> </w:t>
            </w:r>
          </w:p>
          <w:p w14:paraId="4BBACC70" w14:textId="7F9459DB" w:rsidR="00694114" w:rsidRPr="00F03917" w:rsidRDefault="00694114" w:rsidP="00060A6C">
            <w:pPr>
              <w:pStyle w:val="Boxsub-bullet"/>
              <w:spacing w:after="80"/>
            </w:pPr>
            <w:r w:rsidRPr="00F03917">
              <w:t>Conversations with coastal communities</w:t>
            </w:r>
            <w:r w:rsidR="00CD3B01" w:rsidRPr="00F03917">
              <w:t>:</w:t>
            </w:r>
            <w:r w:rsidRPr="00F03917">
              <w:t xml:space="preserve"> </w:t>
            </w:r>
            <w:r w:rsidR="5C241537" w:rsidRPr="00F03917">
              <w:t xml:space="preserve">These should cover </w:t>
            </w:r>
            <w:r w:rsidRPr="00F03917">
              <w:t>local knowledge of events or observed gradual changes (including photographs and media articles</w:t>
            </w:r>
            <w:r w:rsidR="4105F166" w:rsidRPr="00F03917">
              <w:t>)</w:t>
            </w:r>
            <w:r w:rsidR="560CD92C" w:rsidRPr="00F03917">
              <w:t>.</w:t>
            </w:r>
            <w:r w:rsidRPr="00F03917">
              <w:t xml:space="preserve"> </w:t>
            </w:r>
          </w:p>
          <w:p w14:paraId="6CE69655" w14:textId="5893707F" w:rsidR="00694114" w:rsidRPr="00F03917" w:rsidRDefault="00694114" w:rsidP="00060A6C">
            <w:pPr>
              <w:pStyle w:val="Boxsub-bullet"/>
              <w:spacing w:after="80"/>
            </w:pPr>
            <w:r w:rsidRPr="00F03917">
              <w:t xml:space="preserve">Hui with iwi/hapū: </w:t>
            </w:r>
            <w:r w:rsidR="00964B00" w:rsidRPr="00F03917">
              <w:t>S</w:t>
            </w:r>
            <w:r w:rsidRPr="00F03917">
              <w:t>hared information and observations on marae, taonga, areas of customary rights and other cultural sites where changes are occurring in the context of mātauranga Māori.</w:t>
            </w:r>
            <w:r w:rsidR="00FB7D30" w:rsidRPr="00F03917">
              <w:t xml:space="preserve"> </w:t>
            </w:r>
          </w:p>
          <w:p w14:paraId="6D3BA6A2" w14:textId="374ACA1F" w:rsidR="00694114" w:rsidRPr="00F03917" w:rsidRDefault="00694114" w:rsidP="00060A6C">
            <w:pPr>
              <w:pStyle w:val="Boxsub-bullet"/>
              <w:spacing w:after="80"/>
            </w:pPr>
            <w:r w:rsidRPr="00F03917">
              <w:t xml:space="preserve">Expert workshop: </w:t>
            </w:r>
            <w:r w:rsidR="00964B00" w:rsidRPr="00F03917">
              <w:t>V</w:t>
            </w:r>
            <w:r w:rsidRPr="00F03917">
              <w:t>ulnerable areas can be identified by experienced staff,</w:t>
            </w:r>
            <w:r w:rsidR="00515897" w:rsidRPr="00F03917">
              <w:t xml:space="preserve"> </w:t>
            </w:r>
            <w:r w:rsidRPr="00F03917">
              <w:t>stakeholders, consultants and iwi/hapū with knowledge and experience of the</w:t>
            </w:r>
            <w:r w:rsidR="00515897" w:rsidRPr="00F03917">
              <w:t xml:space="preserve"> </w:t>
            </w:r>
            <w:r w:rsidRPr="00F03917">
              <w:t xml:space="preserve">coastal areas of the region or district, such as knowledge of land elevation, monitoring data trends, </w:t>
            </w:r>
            <w:r w:rsidR="00C15AFA" w:rsidRPr="00F03917">
              <w:t>floodways</w:t>
            </w:r>
            <w:r w:rsidRPr="00F03917">
              <w:t>, geomorphological change</w:t>
            </w:r>
            <w:r w:rsidR="656C2AC5" w:rsidRPr="00F03917">
              <w:t xml:space="preserve"> over time</w:t>
            </w:r>
            <w:r w:rsidRPr="00F03917">
              <w:t>, hazard sources, demographics and familiarity with existing building</w:t>
            </w:r>
            <w:r w:rsidR="7BE045B8" w:rsidRPr="00F03917">
              <w:t xml:space="preserve">, </w:t>
            </w:r>
            <w:r w:rsidRPr="00F03917">
              <w:t xml:space="preserve">asset and cultural </w:t>
            </w:r>
            <w:r w:rsidR="4105F166" w:rsidRPr="00F03917">
              <w:t>sites</w:t>
            </w:r>
            <w:r w:rsidR="5894D0DC" w:rsidRPr="00F03917">
              <w:t>’</w:t>
            </w:r>
            <w:r w:rsidR="00202E0B" w:rsidRPr="00F03917">
              <w:t> </w:t>
            </w:r>
            <w:r w:rsidRPr="00F03917">
              <w:t xml:space="preserve">databases. </w:t>
            </w:r>
          </w:p>
          <w:p w14:paraId="23FD947F" w14:textId="6EF8DF12" w:rsidR="00694114" w:rsidRPr="00F03917" w:rsidRDefault="00694114" w:rsidP="00060A6C">
            <w:pPr>
              <w:pStyle w:val="Boxsub-bullet"/>
              <w:spacing w:after="80"/>
            </w:pPr>
            <w:r w:rsidRPr="00F03917">
              <w:t xml:space="preserve">Literature surveys of existing information: </w:t>
            </w:r>
            <w:r w:rsidR="00964B00" w:rsidRPr="00F03917">
              <w:t>R</w:t>
            </w:r>
            <w:r w:rsidRPr="00F03917">
              <w:t>eports, papers</w:t>
            </w:r>
            <w:r w:rsidR="00652F1B" w:rsidRPr="00F03917">
              <w:rPr>
                <w:rStyle w:val="FootnoteReference"/>
                <w:color w:val="1B556B"/>
                <w:sz w:val="20"/>
              </w:rPr>
              <w:footnoteReference w:id="49"/>
            </w:r>
            <w:r w:rsidRPr="00F03917">
              <w:t xml:space="preserve"> and existing natural hazards portals hosted by councils (eg, Otago Regional Council</w:t>
            </w:r>
            <w:r w:rsidR="00CA2BC3" w:rsidRPr="00F03917">
              <w:rPr>
                <w:rStyle w:val="FootnoteReference"/>
                <w:color w:val="1B556B"/>
                <w:sz w:val="20"/>
              </w:rPr>
              <w:footnoteReference w:id="50"/>
            </w:r>
            <w:r w:rsidRPr="00F03917">
              <w:t>) and Toka Tū Ake EQC</w:t>
            </w:r>
            <w:r w:rsidR="608AE3DF" w:rsidRPr="00F03917">
              <w:t>.</w:t>
            </w:r>
            <w:r w:rsidR="00652F1B" w:rsidRPr="00F03917">
              <w:rPr>
                <w:rStyle w:val="FootnoteReference"/>
                <w:color w:val="1B556B"/>
                <w:sz w:val="20"/>
              </w:rPr>
              <w:footnoteReference w:id="51"/>
            </w:r>
            <w:r w:rsidR="00FB7D30" w:rsidRPr="00F03917">
              <w:t xml:space="preserve"> </w:t>
            </w:r>
          </w:p>
          <w:p w14:paraId="682F7118" w14:textId="11CFAFB9" w:rsidR="006D42A3" w:rsidRPr="00F03917" w:rsidRDefault="00645751" w:rsidP="00297C0F">
            <w:pPr>
              <w:pStyle w:val="Boxsub-bullet"/>
              <w:rPr>
                <w:rFonts w:eastAsia="Calibri"/>
              </w:rPr>
            </w:pPr>
            <w:r w:rsidRPr="00F03917">
              <w:t xml:space="preserve">National Coastal Change Database: </w:t>
            </w:r>
            <w:r w:rsidR="009D5ED7" w:rsidRPr="00F03917">
              <w:t xml:space="preserve">Historic erosion data are being compiled by the University of Auckland through the Resilience National Science Challenge and will be released on the </w:t>
            </w:r>
            <w:r w:rsidR="000E4B99" w:rsidRPr="00F03917">
              <w:t xml:space="preserve">following </w:t>
            </w:r>
            <w:r w:rsidR="009D5ED7" w:rsidRPr="00F03917">
              <w:t xml:space="preserve">website by June 2024 </w:t>
            </w:r>
            <w:r w:rsidR="000E4B99" w:rsidRPr="00F03917">
              <w:t>(</w:t>
            </w:r>
            <w:hyperlink r:id="rId79" w:history="1">
              <w:r w:rsidR="006D7D6E" w:rsidRPr="00F03917">
                <w:rPr>
                  <w:rStyle w:val="Hyperlink"/>
                </w:rPr>
                <w:t>https://data.coastalchange.nz/</w:t>
              </w:r>
            </w:hyperlink>
            <w:r w:rsidR="000E4B99" w:rsidRPr="00F03917">
              <w:t>).</w:t>
            </w:r>
            <w:r w:rsidR="00FB7D30" w:rsidRPr="00F03917">
              <w:t xml:space="preserve"> </w:t>
            </w:r>
          </w:p>
        </w:tc>
      </w:tr>
      <w:tr w:rsidR="00297C0F" w:rsidRPr="00F03917" w14:paraId="286CDC70" w14:textId="77777777" w:rsidTr="67ECA7B6">
        <w:tc>
          <w:tcPr>
            <w:tcW w:w="8495" w:type="dxa"/>
            <w:tcBorders>
              <w:left w:val="single" w:sz="4" w:space="0" w:color="D2DDE1" w:themeColor="background2"/>
              <w:bottom w:val="single" w:sz="4" w:space="0" w:color="D2DDE1" w:themeColor="background2"/>
              <w:right w:val="single" w:sz="4" w:space="0" w:color="D2DDE1" w:themeColor="background2"/>
            </w:tcBorders>
            <w:shd w:val="clear" w:color="auto" w:fill="D2DDE1" w:themeFill="background2"/>
          </w:tcPr>
          <w:p w14:paraId="5A2939C3" w14:textId="77777777" w:rsidR="00297C0F" w:rsidRPr="00F03917" w:rsidRDefault="00297C0F" w:rsidP="00297C0F">
            <w:pPr>
              <w:pStyle w:val="Boxsub-bullet"/>
              <w:keepNext/>
              <w:spacing w:before="120" w:after="0"/>
              <w:rPr>
                <w:rFonts w:cs="Calibri"/>
              </w:rPr>
            </w:pPr>
            <w:r w:rsidRPr="00F03917">
              <w:lastRenderedPageBreak/>
              <w:t>Broad scale hazard assessments: Using analytic or probabilistic techniques and available data including any contemporary annual exceedance probability or erosion cut-back probabilities, usually for coastal erosion or coastal flood assessments</w:t>
            </w:r>
            <w:r w:rsidRPr="00F03917">
              <w:rPr>
                <w:rStyle w:val="FootnoteReference"/>
                <w:rFonts w:cs="Calibri"/>
                <w:color w:val="1B556B"/>
                <w:sz w:val="20"/>
              </w:rPr>
              <w:footnoteReference w:id="52"/>
            </w:r>
            <w:r w:rsidRPr="00F03917">
              <w:rPr>
                <w:rFonts w:cs="Calibri"/>
              </w:rPr>
              <w:t xml:space="preserve"> (eg, Paulik et al, 2023, for coastal flooding). </w:t>
            </w:r>
            <w:r w:rsidRPr="00F03917">
              <w:rPr>
                <w:rFonts w:cs="Calibri"/>
                <w:lang w:eastAsia="en-US"/>
              </w:rPr>
              <w:t>The</w:t>
            </w:r>
            <w:r w:rsidRPr="00F03917" w:rsidDel="42C00C4E">
              <w:rPr>
                <w:rFonts w:cs="Calibri"/>
                <w:kern w:val="2"/>
                <w:lang w:eastAsia="en-US"/>
                <w14:ligatures w14:val="standardContextual"/>
              </w:rPr>
              <w:t xml:space="preserve"> </w:t>
            </w:r>
            <w:r w:rsidRPr="00F03917">
              <w:rPr>
                <w:rFonts w:cs="Calibri"/>
                <w:lang w:eastAsia="en-US"/>
              </w:rPr>
              <w:t xml:space="preserve">National Institute of Water and Atmospheric Research national </w:t>
            </w:r>
            <w:r w:rsidRPr="00F03917">
              <w:rPr>
                <w:rFonts w:cs="Calibri"/>
                <w:kern w:val="2"/>
                <w:lang w:eastAsia="en-US"/>
                <w14:ligatures w14:val="standardContextual"/>
              </w:rPr>
              <w:t>coastal flood mapping work, which links in with the NZ SeaRise Project and some council coastal flood maps,</w:t>
            </w:r>
            <w:r w:rsidRPr="00F03917">
              <w:rPr>
                <w:rFonts w:cs="Calibri"/>
                <w:lang w:eastAsia="en-US"/>
              </w:rPr>
              <w:t xml:space="preserve"> can be accessed online.</w:t>
            </w:r>
            <w:r w:rsidRPr="00F03917">
              <w:rPr>
                <w:rStyle w:val="FootnoteReference"/>
                <w:rFonts w:cs="Calibri"/>
                <w:color w:val="1B556B"/>
                <w:sz w:val="20"/>
                <w:lang w:eastAsia="en-US"/>
              </w:rPr>
              <w:footnoteReference w:id="53"/>
            </w:r>
          </w:p>
          <w:p w14:paraId="7A99E100" w14:textId="77777777" w:rsidR="00297C0F" w:rsidRPr="00F03917" w:rsidRDefault="00297C0F" w:rsidP="00297C0F">
            <w:pPr>
              <w:pStyle w:val="Boxsub-bullet"/>
              <w:spacing w:before="120" w:after="80"/>
            </w:pPr>
            <w:r w:rsidRPr="00F03917">
              <w:t>Geographic information system or GeoMaps analysis: Overlays of topographic (eg, LiDAR) and hazard layers and zones to explore the exposure to various receptors, through spatial databases on demographics, buildings, roads, cultural sites and the natural environment (eg, esplanades, reserves, wetlands, marshes, dune systems). Examples are a coastal inundation and sea-level rise slider or erosion zone interactive maps.</w:t>
            </w:r>
            <w:r w:rsidRPr="00F03917">
              <w:rPr>
                <w:rStyle w:val="FootnoteReference"/>
                <w:color w:val="1B556B"/>
                <w:sz w:val="20"/>
              </w:rPr>
              <w:footnoteReference w:id="54"/>
            </w:r>
            <w:r w:rsidRPr="00F03917">
              <w:t xml:space="preserve"> These are also a good communication tool for partners and communities on what the council aims to do and why.</w:t>
            </w:r>
          </w:p>
          <w:p w14:paraId="7C59C42B" w14:textId="77777777" w:rsidR="00297C0F" w:rsidRPr="00F03917" w:rsidRDefault="00297C0F" w:rsidP="00297C0F">
            <w:pPr>
              <w:pStyle w:val="Boxsub-bullet"/>
              <w:spacing w:after="80"/>
              <w:rPr>
                <w:rFonts w:eastAsia="MS Mincho" w:cs="Arial"/>
                <w:color w:val="1C556C"/>
              </w:rPr>
            </w:pPr>
            <w:r w:rsidRPr="00F03917">
              <w:t>Evaluation of hazard exposure using a risk analysis platform, such as RiskScape,</w:t>
            </w:r>
            <w:r w:rsidRPr="00F03917">
              <w:rPr>
                <w:rStyle w:val="FootnoteReference"/>
                <w:color w:val="1B556B"/>
                <w:sz w:val="20"/>
              </w:rPr>
              <w:footnoteReference w:id="55"/>
            </w:r>
            <w:r w:rsidRPr="00F03917">
              <w:t xml:space="preserve"> to initially evaluate broad-scale hazard layers (from models or polygons) to overlay on datasets of receptors (buildings, roads, reserves, critical facilities and so on). Such hazard exposure assessments and associated maps (eg, </w:t>
            </w:r>
            <w:hyperlink w:anchor="figure12" w:history="1">
              <w:r w:rsidRPr="00F03917">
                <w:rPr>
                  <w:rStyle w:val="Hyperlink"/>
                </w:rPr>
                <w:t>figure 12</w:t>
              </w:r>
            </w:hyperlink>
            <w:r w:rsidRPr="00F03917">
              <w:t xml:space="preserve">) are then already set up and available to subsequently undertake the detailed hazard assessment and, later in </w:t>
            </w:r>
            <w:hyperlink w:anchor="_Step_4:_Assess" w:history="1">
              <w:r w:rsidRPr="00F03917">
                <w:rPr>
                  <w:rStyle w:val="Hyperlink"/>
                </w:rPr>
                <w:t>step 4</w:t>
              </w:r>
            </w:hyperlink>
            <w:r w:rsidRPr="00F03917">
              <w:t>, the risk assessment.</w:t>
            </w:r>
          </w:p>
          <w:p w14:paraId="1AC7998A" w14:textId="77777777" w:rsidR="00297C0F" w:rsidRPr="00F03917" w:rsidRDefault="00297C0F" w:rsidP="00297C0F">
            <w:pPr>
              <w:pStyle w:val="Boxtext"/>
              <w:spacing w:after="80"/>
              <w:ind w:left="681" w:hanging="397"/>
              <w:rPr>
                <w:szCs w:val="20"/>
              </w:rPr>
            </w:pPr>
            <w:r w:rsidRPr="00F03917">
              <w:rPr>
                <w:szCs w:val="20"/>
              </w:rPr>
              <w:t>3</w:t>
            </w:r>
            <w:r w:rsidRPr="00F03917">
              <w:rPr>
                <w:szCs w:val="20"/>
              </w:rPr>
              <w:tab/>
            </w:r>
            <w:r w:rsidRPr="00F03917">
              <w:rPr>
                <w:b/>
                <w:bCs/>
                <w:szCs w:val="20"/>
              </w:rPr>
              <w:t>Hazard screening outputs</w:t>
            </w:r>
            <w:r w:rsidRPr="00F03917">
              <w:rPr>
                <w:szCs w:val="20"/>
              </w:rPr>
              <w:t xml:space="preserve"> – these should include the following: </w:t>
            </w:r>
          </w:p>
          <w:p w14:paraId="7659F69B" w14:textId="175B2F57" w:rsidR="00297C0F" w:rsidRPr="00F03917" w:rsidRDefault="00297C0F" w:rsidP="00297C0F">
            <w:pPr>
              <w:pStyle w:val="Boxsub-bullet"/>
              <w:spacing w:after="80"/>
            </w:pPr>
            <w:r w:rsidRPr="00F03917">
              <w:t>Identify localities at high risk of being affected over the next 100 years (Policy 24, N</w:t>
            </w:r>
            <w:r w:rsidR="00315C1F" w:rsidRPr="00F03917">
              <w:t xml:space="preserve">ew </w:t>
            </w:r>
            <w:r w:rsidRPr="00F03917">
              <w:t>Z</w:t>
            </w:r>
            <w:r w:rsidR="00315C1F" w:rsidRPr="00F03917">
              <w:t xml:space="preserve">ealand </w:t>
            </w:r>
            <w:r w:rsidRPr="00F03917">
              <w:t>C</w:t>
            </w:r>
            <w:r w:rsidR="00315C1F" w:rsidRPr="00F03917">
              <w:t xml:space="preserve">oastal </w:t>
            </w:r>
            <w:r w:rsidRPr="00F03917">
              <w:t>P</w:t>
            </w:r>
            <w:r w:rsidR="00315C1F" w:rsidRPr="00F03917">
              <w:t xml:space="preserve">olicy </w:t>
            </w:r>
            <w:r w:rsidRPr="00F03917">
              <w:t>S</w:t>
            </w:r>
            <w:r w:rsidR="00315C1F" w:rsidRPr="00F03917">
              <w:t>tatement</w:t>
            </w:r>
            <w:r w:rsidR="00D173F8" w:rsidRPr="00F03917">
              <w:t>, DOC, 2010</w:t>
            </w:r>
            <w:r w:rsidRPr="00F03917">
              <w:t xml:space="preserve">), considering both long-term and more imminent areas at high risk. </w:t>
            </w:r>
          </w:p>
          <w:p w14:paraId="74569057" w14:textId="16842B31" w:rsidR="00297C0F" w:rsidRPr="00F03917" w:rsidRDefault="00297C0F" w:rsidP="00297C0F">
            <w:pPr>
              <w:pStyle w:val="Boxsub-bullet"/>
              <w:spacing w:after="80"/>
            </w:pPr>
            <w:r w:rsidRPr="00F03917">
              <w:t xml:space="preserve">Determine what coastal compartments and their inland extent (ie, spatial scale) should be assessed for detailed coastal hazard, and eventually risk assessments, to inform interim planning decisions to avoid increasing the risk, before undertaking a </w:t>
            </w:r>
            <w:r w:rsidR="002E4363" w:rsidRPr="00F03917">
              <w:t xml:space="preserve">dynamic adaptive pathways planning </w:t>
            </w:r>
            <w:r w:rsidRPr="00F03917">
              <w:t xml:space="preserve">approach and developing an adaptive planning strategy. </w:t>
            </w:r>
          </w:p>
          <w:p w14:paraId="37EC5982" w14:textId="77777777" w:rsidR="00297C0F" w:rsidRPr="00F03917" w:rsidRDefault="00297C0F" w:rsidP="00297C0F">
            <w:pPr>
              <w:pStyle w:val="Boxsub-bullet"/>
              <w:spacing w:after="80"/>
            </w:pPr>
            <w:r w:rsidRPr="00F03917">
              <w:t xml:space="preserve">Preliminary mapping of hazards (eg, coastal flooding at RSLR increments, </w:t>
            </w:r>
            <w:hyperlink w:anchor="figure12" w:history="1">
              <w:r w:rsidRPr="00F03917">
                <w:rPr>
                  <w:rStyle w:val="Hyperlink"/>
                </w:rPr>
                <w:t>figure 12</w:t>
              </w:r>
            </w:hyperlink>
            <w:r w:rsidRPr="00F03917">
              <w:t xml:space="preserve">), including determining the best way to visualise the screening results and communicate the findings. </w:t>
            </w:r>
          </w:p>
          <w:p w14:paraId="632548F5" w14:textId="0132AC78" w:rsidR="00297C0F" w:rsidRPr="00F03917" w:rsidRDefault="00297C0F" w:rsidP="00150A1E">
            <w:pPr>
              <w:pStyle w:val="Boxsub-bullet"/>
              <w:spacing w:after="240"/>
            </w:pPr>
            <w:r w:rsidRPr="00F03917">
              <w:t>Identify data and information gaps that may require additional observations or further modelling or analysis for the detailed coastal hazard assessment.</w:t>
            </w:r>
          </w:p>
        </w:tc>
      </w:tr>
    </w:tbl>
    <w:p w14:paraId="5475FA61" w14:textId="77777777" w:rsidR="00150A1E" w:rsidRPr="00F03917" w:rsidRDefault="00150A1E" w:rsidP="00150A1E">
      <w:pPr>
        <w:pStyle w:val="BodyText"/>
      </w:pPr>
    </w:p>
    <w:p w14:paraId="07ACC126" w14:textId="7A4216EA" w:rsidR="00141F4A" w:rsidRPr="00F03917" w:rsidRDefault="00141F4A" w:rsidP="008556A6">
      <w:pPr>
        <w:pStyle w:val="Heading4"/>
        <w:spacing w:before="360"/>
      </w:pPr>
      <w:r w:rsidRPr="00F03917">
        <w:lastRenderedPageBreak/>
        <w:t xml:space="preserve">Detailed coastal hazard assessment </w:t>
      </w:r>
    </w:p>
    <w:p w14:paraId="06575D8C" w14:textId="2D289C03" w:rsidR="00141F4A" w:rsidRPr="00F03917" w:rsidRDefault="2EE30F86" w:rsidP="00150A1E">
      <w:pPr>
        <w:pStyle w:val="BodyText"/>
        <w:keepLines/>
      </w:pPr>
      <w:r w:rsidRPr="00F03917">
        <w:t xml:space="preserve">Once first pass hazard screening has been completed, detailed assessments can analyse and map specific hazards or compound hazards and the effects of </w:t>
      </w:r>
      <w:r w:rsidR="22B050BF" w:rsidRPr="00F03917">
        <w:t>a range of R</w:t>
      </w:r>
      <w:r w:rsidRPr="00F03917">
        <w:t xml:space="preserve">SLR </w:t>
      </w:r>
      <w:r w:rsidR="22B050BF" w:rsidRPr="00F03917">
        <w:t xml:space="preserve">projections (or increments) </w:t>
      </w:r>
      <w:r w:rsidRPr="00F03917">
        <w:t>and other climate change drivers on them (</w:t>
      </w:r>
      <w:hyperlink w:anchor="figure3">
        <w:r w:rsidR="00235517" w:rsidRPr="00F03917">
          <w:rPr>
            <w:rStyle w:val="Hyperlink"/>
          </w:rPr>
          <w:t>figure 3</w:t>
        </w:r>
      </w:hyperlink>
      <w:r w:rsidRPr="00F03917">
        <w:t>). Detailed coastal hazard assessments should clearly show the location</w:t>
      </w:r>
      <w:r w:rsidR="24FD5011" w:rsidRPr="00F03917">
        <w:t xml:space="preserve"> and</w:t>
      </w:r>
      <w:r w:rsidRPr="00F03917">
        <w:t>/</w:t>
      </w:r>
      <w:r w:rsidR="112EE8E5" w:rsidRPr="00F03917">
        <w:t xml:space="preserve">or </w:t>
      </w:r>
      <w:r w:rsidRPr="00F03917">
        <w:t xml:space="preserve">area, and nature of uncertainty in the calculation of the </w:t>
      </w:r>
      <w:r w:rsidR="22B050BF" w:rsidRPr="00F03917">
        <w:t xml:space="preserve">hazard </w:t>
      </w:r>
      <w:r w:rsidRPr="00F03917">
        <w:t xml:space="preserve">magnitude (ie, </w:t>
      </w:r>
      <w:r w:rsidR="22B050BF" w:rsidRPr="00F03917">
        <w:t>confidence interval or</w:t>
      </w:r>
      <w:r w:rsidRPr="00F03917">
        <w:t xml:space="preserve"> variance) for </w:t>
      </w:r>
      <w:r w:rsidR="2B726F9C" w:rsidRPr="00F03917">
        <w:t>different annual exceedance probabilities of the hazard (see Paulik et al, 2023</w:t>
      </w:r>
      <w:r w:rsidR="601174FB" w:rsidRPr="00F03917">
        <w:t>,</w:t>
      </w:r>
      <w:r w:rsidR="2B726F9C" w:rsidRPr="00F03917">
        <w:t xml:space="preserve"> for coastal flooding)</w:t>
      </w:r>
      <w:r w:rsidR="797C2105" w:rsidRPr="00F03917">
        <w:t>.</w:t>
      </w:r>
      <w:r w:rsidR="2B726F9C" w:rsidRPr="00F03917">
        <w:t xml:space="preserve"> RSLR projections out to at least 100 years (ie, 2130) or RSLR increments to cover the full range of projections</w:t>
      </w:r>
      <w:r w:rsidR="4C768C0E" w:rsidRPr="00F03917">
        <w:t xml:space="preserve"> can then be added</w:t>
      </w:r>
      <w:r w:rsidR="2B726F9C" w:rsidRPr="00F03917">
        <w:t>.</w:t>
      </w:r>
      <w:r w:rsidR="00F841E8" w:rsidRPr="00F03917">
        <w:t xml:space="preserve"> </w:t>
      </w:r>
    </w:p>
    <w:p w14:paraId="59C1B721" w14:textId="6AB44A22" w:rsidR="000718CB" w:rsidRPr="00F03917" w:rsidRDefault="00C66BA9" w:rsidP="002E7B2B">
      <w:pPr>
        <w:pStyle w:val="Heading5"/>
      </w:pPr>
      <w:r w:rsidRPr="00F03917">
        <w:t>Dealing with uncertainty</w:t>
      </w:r>
      <w:r w:rsidR="00F42FA6" w:rsidRPr="00F03917">
        <w:t xml:space="preserve"> over time</w:t>
      </w:r>
    </w:p>
    <w:p w14:paraId="02B2076C" w14:textId="4A41CB55" w:rsidR="00ED011D" w:rsidRPr="00F03917" w:rsidRDefault="16A401C4" w:rsidP="00E2238E">
      <w:pPr>
        <w:pStyle w:val="BodyText"/>
      </w:pPr>
      <w:r w:rsidRPr="00F03917">
        <w:t>The type of u</w:t>
      </w:r>
      <w:r w:rsidR="6C6C83A7" w:rsidRPr="00F03917">
        <w:t>ncertainty</w:t>
      </w:r>
      <w:r w:rsidR="405BA064" w:rsidRPr="00F03917">
        <w:t xml:space="preserve"> of hazards and climate projections at different planning horizons</w:t>
      </w:r>
      <w:r w:rsidR="00902B0E" w:rsidRPr="00F03917">
        <w:t xml:space="preserve"> and the type of planning situation being addressed are</w:t>
      </w:r>
      <w:r w:rsidR="6C6C83A7" w:rsidRPr="00F03917">
        <w:t xml:space="preserve"> important </w:t>
      </w:r>
      <w:r w:rsidR="405BA064" w:rsidRPr="00F03917">
        <w:t>consideration</w:t>
      </w:r>
      <w:r w:rsidR="00902B0E" w:rsidRPr="00F03917">
        <w:t>s</w:t>
      </w:r>
      <w:r w:rsidR="405BA064" w:rsidRPr="00F03917">
        <w:t xml:space="preserve"> </w:t>
      </w:r>
      <w:r w:rsidR="00216FB2" w:rsidRPr="00F03917">
        <w:t xml:space="preserve">for </w:t>
      </w:r>
      <w:r w:rsidR="6C6C83A7" w:rsidRPr="00F03917">
        <w:t xml:space="preserve">determining </w:t>
      </w:r>
      <w:r w:rsidR="00216FB2" w:rsidRPr="00F03917">
        <w:t xml:space="preserve">the </w:t>
      </w:r>
      <w:r w:rsidR="6C6C83A7" w:rsidRPr="00F03917">
        <w:t>hazard analysis</w:t>
      </w:r>
      <w:r w:rsidR="7F57B5BD" w:rsidRPr="00F03917">
        <w:t xml:space="preserve">, </w:t>
      </w:r>
      <w:r w:rsidR="48A985F1" w:rsidRPr="00F03917">
        <w:t>simulations and projections</w:t>
      </w:r>
      <w:r w:rsidR="24AF8795" w:rsidRPr="00F03917">
        <w:t xml:space="preserve"> for the </w:t>
      </w:r>
      <w:r w:rsidR="1AFD7C59" w:rsidRPr="00F03917">
        <w:t>detailed assessment phase</w:t>
      </w:r>
      <w:r w:rsidR="6C6C83A7" w:rsidRPr="00F03917">
        <w:t xml:space="preserve">. </w:t>
      </w:r>
      <w:r w:rsidR="00225A52" w:rsidRPr="00F03917">
        <w:t>First</w:t>
      </w:r>
      <w:r w:rsidR="000E140E" w:rsidRPr="00F03917">
        <w:t xml:space="preserve"> </w:t>
      </w:r>
      <w:r w:rsidR="00225A52" w:rsidRPr="00F03917">
        <w:t>pass hazard screening can also indicate the type of situation and level of uncertainty to address, which will guide the scenario choices and required modelling complexity for the detailed hazard assessment.</w:t>
      </w:r>
    </w:p>
    <w:p w14:paraId="584DE508" w14:textId="0AAEF8E5" w:rsidR="00E20EF2" w:rsidRPr="00F03917" w:rsidRDefault="6C6C83A7" w:rsidP="00683A97">
      <w:pPr>
        <w:pStyle w:val="BodyText"/>
      </w:pPr>
      <w:r w:rsidRPr="00F03917">
        <w:t xml:space="preserve">Different levels of uncertainty </w:t>
      </w:r>
      <w:r w:rsidR="00241465" w:rsidRPr="00F03917">
        <w:t>lead to</w:t>
      </w:r>
      <w:r w:rsidRPr="00F03917">
        <w:t xml:space="preserve"> different types of </w:t>
      </w:r>
      <w:r w:rsidR="00241465" w:rsidRPr="00F03917">
        <w:t xml:space="preserve">hazard assessment in relation to the planning situation and </w:t>
      </w:r>
      <w:r w:rsidRPr="00F03917">
        <w:t>require different types of information. For example, for low-risk short-life</w:t>
      </w:r>
      <w:r w:rsidR="009F6EC3" w:rsidRPr="00F03917">
        <w:t xml:space="preserve"> non-habitable</w:t>
      </w:r>
      <w:r w:rsidRPr="00F03917">
        <w:t xml:space="preserve"> assets, the hazards</w:t>
      </w:r>
      <w:r w:rsidR="5D51CA29" w:rsidRPr="00F03917">
        <w:t>, near-term projections</w:t>
      </w:r>
      <w:r w:rsidRPr="00F03917">
        <w:t xml:space="preserve"> </w:t>
      </w:r>
      <w:r w:rsidR="05FCB337" w:rsidRPr="00F03917">
        <w:t>and associated uncertainties</w:t>
      </w:r>
      <w:r w:rsidRPr="00F03917">
        <w:t xml:space="preserve"> are largely knowable or known</w:t>
      </w:r>
      <w:r w:rsidR="009F6EC3" w:rsidRPr="00F03917">
        <w:t xml:space="preserve"> (little uncertainty – level 1, </w:t>
      </w:r>
      <w:hyperlink w:anchor="figure11" w:history="1">
        <w:r w:rsidR="007A7636" w:rsidRPr="00F03917">
          <w:rPr>
            <w:rStyle w:val="Hyperlink"/>
          </w:rPr>
          <w:t>f</w:t>
        </w:r>
        <w:r w:rsidR="009F6EC3" w:rsidRPr="00F03917">
          <w:rPr>
            <w:rStyle w:val="Hyperlink"/>
          </w:rPr>
          <w:t xml:space="preserve">igure </w:t>
        </w:r>
        <w:r w:rsidR="00B32E43" w:rsidRPr="00F03917">
          <w:rPr>
            <w:rStyle w:val="Hyperlink"/>
          </w:rPr>
          <w:t>11</w:t>
        </w:r>
      </w:hyperlink>
      <w:r w:rsidR="009F6EC3" w:rsidRPr="00F03917">
        <w:t>)</w:t>
      </w:r>
      <w:r w:rsidRPr="00F03917">
        <w:t xml:space="preserve">. </w:t>
      </w:r>
      <w:r w:rsidR="005C43B5" w:rsidRPr="00F03917">
        <w:t xml:space="preserve">In this situation, </w:t>
      </w:r>
      <w:r w:rsidRPr="00F03917">
        <w:t xml:space="preserve">decisions </w:t>
      </w:r>
      <w:r w:rsidR="00C37586" w:rsidRPr="00F03917">
        <w:t xml:space="preserve">can be made </w:t>
      </w:r>
      <w:r w:rsidRPr="00F03917">
        <w:t xml:space="preserve">using a reasonable ‘best estimate’ of hazard probability </w:t>
      </w:r>
      <w:r w:rsidR="6A0327FC" w:rsidRPr="00F03917">
        <w:t>(</w:t>
      </w:r>
      <w:r w:rsidRPr="00F03917">
        <w:t xml:space="preserve">based on </w:t>
      </w:r>
      <w:r w:rsidR="6AA4B6B3" w:rsidRPr="00F03917">
        <w:t xml:space="preserve">the </w:t>
      </w:r>
      <w:r w:rsidR="00A03E21" w:rsidRPr="00F03917">
        <w:t>current</w:t>
      </w:r>
      <w:r w:rsidRPr="00F03917">
        <w:t xml:space="preserve"> </w:t>
      </w:r>
      <w:r w:rsidRPr="00F03917">
        <w:rPr>
          <w:spacing w:val="-2"/>
        </w:rPr>
        <w:t>1</w:t>
      </w:r>
      <w:r w:rsidR="002B5778" w:rsidRPr="00F03917">
        <w:rPr>
          <w:spacing w:val="-2"/>
        </w:rPr>
        <w:t> per cent</w:t>
      </w:r>
      <w:r w:rsidR="007A7636" w:rsidRPr="00F03917">
        <w:rPr>
          <w:spacing w:val="-2"/>
        </w:rPr>
        <w:t> </w:t>
      </w:r>
      <w:r w:rsidR="005C43B5" w:rsidRPr="00F03917">
        <w:rPr>
          <w:spacing w:val="-2"/>
        </w:rPr>
        <w:t>or 2</w:t>
      </w:r>
      <w:r w:rsidR="2558D5A9" w:rsidRPr="00F03917">
        <w:rPr>
          <w:spacing w:val="-2"/>
        </w:rPr>
        <w:t xml:space="preserve"> per cent</w:t>
      </w:r>
      <w:r w:rsidRPr="00F03917">
        <w:rPr>
          <w:spacing w:val="-2"/>
        </w:rPr>
        <w:t xml:space="preserve"> AEP and sensitivity testing</w:t>
      </w:r>
      <w:r w:rsidR="491E5FAE" w:rsidRPr="00F03917">
        <w:rPr>
          <w:spacing w:val="-2"/>
        </w:rPr>
        <w:t>,</w:t>
      </w:r>
      <w:r w:rsidR="00B57283" w:rsidRPr="00F03917" w:rsidDel="6C6C83A7">
        <w:rPr>
          <w:spacing w:val="-2"/>
        </w:rPr>
        <w:t xml:space="preserve"> </w:t>
      </w:r>
      <w:r w:rsidRPr="00F03917">
        <w:rPr>
          <w:spacing w:val="-2"/>
        </w:rPr>
        <w:t xml:space="preserve">see below), before adding </w:t>
      </w:r>
      <w:r w:rsidR="5D51CA29" w:rsidRPr="00F03917">
        <w:rPr>
          <w:spacing w:val="-2"/>
        </w:rPr>
        <w:t xml:space="preserve">the narrower range of </w:t>
      </w:r>
      <w:r w:rsidRPr="00F03917">
        <w:rPr>
          <w:spacing w:val="-2"/>
        </w:rPr>
        <w:t>RSLR</w:t>
      </w:r>
      <w:r w:rsidR="4ACF5934" w:rsidRPr="00F03917">
        <w:t xml:space="preserve"> for the relevant planning horizon</w:t>
      </w:r>
      <w:r w:rsidR="004519A6" w:rsidRPr="00F03917">
        <w:t xml:space="preserve"> (or in the interim</w:t>
      </w:r>
      <w:r w:rsidR="00F54DF3" w:rsidRPr="00F03917">
        <w:t>,</w:t>
      </w:r>
      <w:r w:rsidR="004519A6" w:rsidRPr="00F03917">
        <w:t xml:space="preserve"> use guidance for category D in </w:t>
      </w:r>
      <w:hyperlink w:anchor="table8" w:history="1">
        <w:r w:rsidR="007A7636" w:rsidRPr="00F03917">
          <w:rPr>
            <w:rStyle w:val="Hyperlink"/>
          </w:rPr>
          <w:t>t</w:t>
        </w:r>
        <w:r w:rsidR="004519A6" w:rsidRPr="00F03917">
          <w:rPr>
            <w:rStyle w:val="Hyperlink"/>
          </w:rPr>
          <w:t xml:space="preserve">able </w:t>
        </w:r>
        <w:r w:rsidR="00E24E7B" w:rsidRPr="00F03917">
          <w:rPr>
            <w:rStyle w:val="Hyperlink"/>
          </w:rPr>
          <w:t>8</w:t>
        </w:r>
      </w:hyperlink>
      <w:r w:rsidR="004519A6" w:rsidRPr="00F03917">
        <w:t>)</w:t>
      </w:r>
      <w:r w:rsidRPr="00F03917">
        <w:t xml:space="preserve">. </w:t>
      </w:r>
    </w:p>
    <w:p w14:paraId="260F7D54" w14:textId="5BDEB896" w:rsidR="00F925B8" w:rsidRPr="00F03917" w:rsidRDefault="007636E8" w:rsidP="00683A97">
      <w:pPr>
        <w:pStyle w:val="BodyText"/>
        <w:rPr>
          <w:rFonts w:eastAsia="MS Mincho" w:cs="Arial"/>
        </w:rPr>
      </w:pPr>
      <w:r w:rsidRPr="00F03917">
        <w:t>Alternatively</w:t>
      </w:r>
      <w:r w:rsidR="6C6C83A7" w:rsidRPr="00F03917">
        <w:t xml:space="preserve">, for </w:t>
      </w:r>
      <w:r w:rsidR="009630BB" w:rsidRPr="00F03917">
        <w:t>planning (eg, intensification, new development) over the required</w:t>
      </w:r>
      <w:r w:rsidR="006C548B" w:rsidRPr="00F03917">
        <w:t xml:space="preserve"> </w:t>
      </w:r>
      <w:r w:rsidR="106EB9AA" w:rsidRPr="00F03917">
        <w:t>long-term</w:t>
      </w:r>
      <w:r w:rsidR="6C6C83A7" w:rsidRPr="00F03917">
        <w:t xml:space="preserve"> </w:t>
      </w:r>
      <w:r w:rsidR="1F1BEB9A" w:rsidRPr="00F03917">
        <w:t>horizon (at least 100 years), RSLR projections (including extrapolated VLM rates) are associated with deep uncertainty</w:t>
      </w:r>
      <w:r w:rsidR="001D7A29" w:rsidRPr="00F03917">
        <w:t xml:space="preserve"> (level 3 and 4, </w:t>
      </w:r>
      <w:hyperlink w:anchor="figure11" w:history="1">
        <w:r w:rsidR="00B701FD" w:rsidRPr="00F03917">
          <w:rPr>
            <w:rStyle w:val="Hyperlink"/>
          </w:rPr>
          <w:t>f</w:t>
        </w:r>
        <w:r w:rsidR="001D7A29" w:rsidRPr="00F03917">
          <w:rPr>
            <w:rStyle w:val="Hyperlink"/>
          </w:rPr>
          <w:t xml:space="preserve">igure </w:t>
        </w:r>
        <w:r w:rsidR="00B32E43" w:rsidRPr="00F03917">
          <w:rPr>
            <w:rStyle w:val="Hyperlink"/>
          </w:rPr>
          <w:t>11</w:t>
        </w:r>
      </w:hyperlink>
      <w:r w:rsidR="001D7A29" w:rsidRPr="00F03917">
        <w:t>)</w:t>
      </w:r>
      <w:r w:rsidR="004C78F5" w:rsidRPr="00F03917">
        <w:t xml:space="preserve">. </w:t>
      </w:r>
      <w:r w:rsidR="00B806BD" w:rsidRPr="00F03917">
        <w:t>The long-term horizon</w:t>
      </w:r>
      <w:r w:rsidR="1F1BEB9A" w:rsidRPr="00F03917">
        <w:t xml:space="preserve"> is unknown or disagreed upon by experts or stakeholders, with limited consensus of what the future might bring (Lempert et al, 2003). </w:t>
      </w:r>
      <w:r w:rsidR="00704A6C" w:rsidRPr="00F03917">
        <w:t>The rate of change of hazards (including storm intensities) is also uncertain (scenario uncertainty – level 3) and the statistical uncertainty (level 2) may require sensitivity testing using a 95th per cent confidence magnitude or level AEP representation (</w:t>
      </w:r>
      <w:hyperlink w:anchor="figure11" w:history="1">
        <w:r w:rsidR="00B701FD" w:rsidRPr="00F03917">
          <w:rPr>
            <w:rStyle w:val="Hyperlink"/>
          </w:rPr>
          <w:t>f</w:t>
        </w:r>
        <w:r w:rsidR="00704A6C" w:rsidRPr="00F03917">
          <w:rPr>
            <w:rStyle w:val="Hyperlink"/>
          </w:rPr>
          <w:t xml:space="preserve">igure </w:t>
        </w:r>
        <w:r w:rsidR="00B32E43" w:rsidRPr="00F03917">
          <w:rPr>
            <w:rStyle w:val="Hyperlink"/>
          </w:rPr>
          <w:t>11</w:t>
        </w:r>
      </w:hyperlink>
      <w:r w:rsidR="00704A6C" w:rsidRPr="00F03917">
        <w:t>).</w:t>
      </w:r>
      <w:r w:rsidR="1F1BEB9A" w:rsidRPr="00F03917">
        <w:t xml:space="preserve"> </w:t>
      </w:r>
      <w:r w:rsidR="00AF591A" w:rsidRPr="00F03917">
        <w:rPr>
          <w:rFonts w:eastAsia="MS Mincho" w:cs="Arial"/>
        </w:rPr>
        <w:t>In the case of assessments of future coastal erosion, uncertainties relating to factors such as sediment supply are likely to be at least as significant as uncertainties relating to RSLR.</w:t>
      </w:r>
      <w:r w:rsidR="00AF591A" w:rsidRPr="00F03917">
        <w:t xml:space="preserve"> </w:t>
      </w:r>
      <w:r w:rsidR="00AF591A" w:rsidRPr="00F03917">
        <w:rPr>
          <w:rFonts w:eastAsia="MS Mincho" w:cs="Arial"/>
        </w:rPr>
        <w:t>Variability in sediment supply may obscure SLR for many decades to come (Ford and</w:t>
      </w:r>
      <w:r w:rsidR="00D31559" w:rsidRPr="00F03917">
        <w:rPr>
          <w:rFonts w:eastAsia="MS Mincho" w:cs="Arial"/>
        </w:rPr>
        <w:t> </w:t>
      </w:r>
      <w:r w:rsidR="00AF591A" w:rsidRPr="00F03917">
        <w:rPr>
          <w:rFonts w:eastAsia="MS Mincho" w:cs="Arial"/>
        </w:rPr>
        <w:t>Dickson, 2018).</w:t>
      </w:r>
    </w:p>
    <w:p w14:paraId="2A87779F" w14:textId="59BE9A97" w:rsidR="00683A97" w:rsidRPr="00F03917" w:rsidRDefault="00504E1A" w:rsidP="00683A97">
      <w:pPr>
        <w:pStyle w:val="BodyText"/>
      </w:pPr>
      <w:r w:rsidRPr="00F03917">
        <w:t>D</w:t>
      </w:r>
      <w:r w:rsidR="1F1BEB9A" w:rsidRPr="00F03917">
        <w:t>etailed hazard assessments</w:t>
      </w:r>
      <w:r w:rsidR="1F1BEB9A" w:rsidRPr="00F03917" w:rsidDel="001B3236">
        <w:t xml:space="preserve"> </w:t>
      </w:r>
      <w:r w:rsidR="001B3236" w:rsidRPr="00F03917">
        <w:t>should</w:t>
      </w:r>
      <w:r w:rsidR="1F1BEB9A" w:rsidRPr="00F03917">
        <w:t xml:space="preserve"> </w:t>
      </w:r>
      <w:r w:rsidR="00A3225A" w:rsidRPr="00F03917">
        <w:t>therefore</w:t>
      </w:r>
      <w:r w:rsidR="1F1BEB9A" w:rsidRPr="00F03917">
        <w:t xml:space="preserve"> be</w:t>
      </w:r>
      <w:r w:rsidR="1F1BEB9A" w:rsidRPr="00F03917" w:rsidDel="005942CA">
        <w:t xml:space="preserve"> </w:t>
      </w:r>
      <w:r w:rsidR="005942CA" w:rsidRPr="00F03917">
        <w:t>tailored t</w:t>
      </w:r>
      <w:r w:rsidR="00846ED9" w:rsidRPr="00F03917">
        <w:t>o</w:t>
      </w:r>
      <w:r w:rsidR="005942CA" w:rsidRPr="00F03917">
        <w:t xml:space="preserve"> both the type(s) of uncertainty and the planning situation being addressed. To cover deep uncertainty, the hazard assessment should be</w:t>
      </w:r>
      <w:r w:rsidR="1F1BEB9A" w:rsidRPr="00F03917">
        <w:t xml:space="preserve"> based on a range of RSLR projections </w:t>
      </w:r>
      <w:r w:rsidR="006A4A06" w:rsidRPr="00F03917">
        <w:t>(</w:t>
      </w:r>
      <w:r w:rsidR="1F1BEB9A" w:rsidRPr="00F03917">
        <w:t>or preferably increments</w:t>
      </w:r>
      <w:r w:rsidR="00651406" w:rsidRPr="00F03917">
        <w:t>)</w:t>
      </w:r>
      <w:r w:rsidR="003C573A" w:rsidRPr="00F03917">
        <w:t>, or at a minimum the recommended projections</w:t>
      </w:r>
      <w:r w:rsidR="00C1520F" w:rsidRPr="00F03917">
        <w:t xml:space="preserve"> (see </w:t>
      </w:r>
      <w:hyperlink w:anchor="table7" w:history="1">
        <w:r w:rsidR="005D1D48" w:rsidRPr="00F03917">
          <w:rPr>
            <w:rStyle w:val="Hyperlink"/>
          </w:rPr>
          <w:t>t</w:t>
        </w:r>
        <w:r w:rsidR="00C1520F" w:rsidRPr="00F03917">
          <w:rPr>
            <w:rStyle w:val="Hyperlink"/>
          </w:rPr>
          <w:t>able 7</w:t>
        </w:r>
      </w:hyperlink>
      <w:r w:rsidR="003C573A" w:rsidRPr="00F03917">
        <w:t>)</w:t>
      </w:r>
      <w:r w:rsidR="000406AD" w:rsidRPr="00F03917">
        <w:t xml:space="preserve">. </w:t>
      </w:r>
      <w:r w:rsidR="009D46BF" w:rsidRPr="00F03917">
        <w:t>This is</w:t>
      </w:r>
      <w:r w:rsidR="1F1BEB9A" w:rsidRPr="00F03917">
        <w:t xml:space="preserve"> rather than selecting a best (or most</w:t>
      </w:r>
      <w:r w:rsidR="307096E9" w:rsidRPr="00F03917">
        <w:t xml:space="preserve"> </w:t>
      </w:r>
      <w:r w:rsidR="1F1BEB9A" w:rsidRPr="00F03917">
        <w:t>likely) estimate or a worst-case scenario.</w:t>
      </w:r>
    </w:p>
    <w:p w14:paraId="30783D76" w14:textId="631F149C" w:rsidR="00B57283" w:rsidRPr="00F03917" w:rsidRDefault="00B57283" w:rsidP="00E2238E">
      <w:pPr>
        <w:pStyle w:val="BodyText"/>
        <w:rPr>
          <w:rFonts w:eastAsia="MS Mincho" w:cs="Arial"/>
        </w:rPr>
      </w:pPr>
      <w:r w:rsidRPr="00F03917">
        <w:rPr>
          <w:rFonts w:eastAsia="MS Mincho" w:cs="Arial"/>
        </w:rPr>
        <w:t xml:space="preserve">Different uncertainty levels may apply to different </w:t>
      </w:r>
      <w:r w:rsidR="00826425" w:rsidRPr="00F03917">
        <w:rPr>
          <w:rFonts w:eastAsia="MS Mincho" w:cs="Arial"/>
        </w:rPr>
        <w:t>components</w:t>
      </w:r>
      <w:r w:rsidRPr="00F03917">
        <w:rPr>
          <w:rFonts w:eastAsia="MS Mincho" w:cs="Arial"/>
        </w:rPr>
        <w:t xml:space="preserve"> of a </w:t>
      </w:r>
      <w:r w:rsidR="00826425" w:rsidRPr="00F03917">
        <w:rPr>
          <w:rFonts w:eastAsia="MS Mincho" w:cs="Arial"/>
        </w:rPr>
        <w:t>hazard</w:t>
      </w:r>
      <w:r w:rsidRPr="00F03917">
        <w:rPr>
          <w:rFonts w:eastAsia="MS Mincho" w:cs="Arial"/>
        </w:rPr>
        <w:t xml:space="preserve"> assessment</w:t>
      </w:r>
      <w:r w:rsidR="00B32E43" w:rsidRPr="00F03917">
        <w:rPr>
          <w:rFonts w:eastAsia="MS Mincho" w:cs="Arial"/>
        </w:rPr>
        <w:t xml:space="preserve"> and depend on the</w:t>
      </w:r>
      <w:r w:rsidR="002350F4" w:rsidRPr="00F03917">
        <w:rPr>
          <w:rFonts w:eastAsia="MS Mincho" w:cs="Arial"/>
        </w:rPr>
        <w:t xml:space="preserve"> situation (ie, type of</w:t>
      </w:r>
      <w:r w:rsidR="00B32E43" w:rsidRPr="00F03917">
        <w:rPr>
          <w:rFonts w:eastAsia="MS Mincho" w:cs="Arial"/>
        </w:rPr>
        <w:t xml:space="preserve"> planning decision</w:t>
      </w:r>
      <w:r w:rsidR="002350F4" w:rsidRPr="00F03917">
        <w:rPr>
          <w:rFonts w:eastAsia="MS Mincho" w:cs="Arial"/>
        </w:rPr>
        <w:t>)</w:t>
      </w:r>
      <w:r w:rsidR="00B32E43" w:rsidRPr="00F03917">
        <w:rPr>
          <w:rFonts w:eastAsia="MS Mincho" w:cs="Arial"/>
        </w:rPr>
        <w:t xml:space="preserve"> (</w:t>
      </w:r>
      <w:r w:rsidR="00C67924" w:rsidRPr="00F03917">
        <w:rPr>
          <w:rFonts w:eastAsia="MS Mincho" w:cs="Arial"/>
        </w:rPr>
        <w:t>f</w:t>
      </w:r>
      <w:r w:rsidR="00B32E43" w:rsidRPr="00F03917">
        <w:rPr>
          <w:rFonts w:eastAsia="MS Mincho" w:cs="Arial"/>
        </w:rPr>
        <w:t>igure 11)</w:t>
      </w:r>
      <w:r w:rsidRPr="00F03917">
        <w:rPr>
          <w:rFonts w:eastAsia="MS Mincho" w:cs="Arial"/>
        </w:rPr>
        <w:t xml:space="preserve">. For example, an assessment of future coastal </w:t>
      </w:r>
      <w:r w:rsidR="009C56F6" w:rsidRPr="00F03917">
        <w:rPr>
          <w:rFonts w:eastAsia="MS Mincho" w:cs="Arial"/>
        </w:rPr>
        <w:t>flooding</w:t>
      </w:r>
      <w:r w:rsidRPr="00F03917">
        <w:rPr>
          <w:rFonts w:eastAsia="MS Mincho" w:cs="Arial"/>
        </w:rPr>
        <w:t xml:space="preserve"> may contain </w:t>
      </w:r>
      <w:r w:rsidRPr="00F03917">
        <w:rPr>
          <w:rFonts w:eastAsia="MS Mincho" w:cs="Arial"/>
          <w:i/>
          <w:iCs/>
        </w:rPr>
        <w:t>statistical uncertainty</w:t>
      </w:r>
      <w:r w:rsidRPr="00F03917">
        <w:rPr>
          <w:rFonts w:eastAsia="MS Mincho" w:cs="Arial"/>
        </w:rPr>
        <w:t xml:space="preserve"> based on present-day estimates of climate variability</w:t>
      </w:r>
      <w:r w:rsidR="00770053" w:rsidRPr="00F03917">
        <w:rPr>
          <w:rFonts w:eastAsia="MS Mincho" w:cs="Arial"/>
        </w:rPr>
        <w:t xml:space="preserve"> and its effect on waves and storm surge</w:t>
      </w:r>
      <w:r w:rsidRPr="00F03917">
        <w:rPr>
          <w:rFonts w:eastAsia="MS Mincho" w:cs="Arial"/>
        </w:rPr>
        <w:t xml:space="preserve">, plus </w:t>
      </w:r>
      <w:r w:rsidRPr="00F03917">
        <w:rPr>
          <w:rFonts w:eastAsia="MS Mincho" w:cs="Arial"/>
          <w:i/>
          <w:iCs/>
        </w:rPr>
        <w:t>scenario uncertainty</w:t>
      </w:r>
      <w:r w:rsidRPr="00F03917">
        <w:rPr>
          <w:rFonts w:eastAsia="MS Mincho" w:cs="Arial"/>
        </w:rPr>
        <w:t xml:space="preserve"> for future storm surge</w:t>
      </w:r>
      <w:r w:rsidR="000B6B8F" w:rsidRPr="00F03917">
        <w:rPr>
          <w:rFonts w:eastAsia="MS Mincho" w:cs="Arial"/>
        </w:rPr>
        <w:t xml:space="preserve"> (due to unclear change in storm intensity</w:t>
      </w:r>
      <w:r w:rsidR="00FC221D" w:rsidRPr="00F03917">
        <w:rPr>
          <w:rFonts w:eastAsia="MS Mincho" w:cs="Arial"/>
        </w:rPr>
        <w:t>)</w:t>
      </w:r>
      <w:r w:rsidRPr="00F03917">
        <w:rPr>
          <w:rFonts w:eastAsia="MS Mincho" w:cs="Arial"/>
        </w:rPr>
        <w:t xml:space="preserve">, and both </w:t>
      </w:r>
      <w:r w:rsidRPr="00F03917">
        <w:rPr>
          <w:rFonts w:eastAsia="MS Mincho" w:cs="Arial"/>
          <w:i/>
          <w:iCs/>
        </w:rPr>
        <w:t>scenario uncertainty</w:t>
      </w:r>
      <w:r w:rsidRPr="00F03917">
        <w:rPr>
          <w:rFonts w:eastAsia="MS Mincho" w:cs="Arial"/>
        </w:rPr>
        <w:t xml:space="preserve"> and </w:t>
      </w:r>
      <w:r w:rsidRPr="00F03917">
        <w:rPr>
          <w:rFonts w:eastAsia="MS Mincho" w:cs="Arial"/>
          <w:i/>
          <w:iCs/>
        </w:rPr>
        <w:t>deep uncertainty</w:t>
      </w:r>
      <w:r w:rsidRPr="00F03917">
        <w:rPr>
          <w:rFonts w:eastAsia="MS Mincho" w:cs="Arial"/>
        </w:rPr>
        <w:t xml:space="preserve"> for </w:t>
      </w:r>
      <w:r w:rsidR="00FC221D" w:rsidRPr="00F03917">
        <w:rPr>
          <w:rFonts w:eastAsia="MS Mincho" w:cs="Arial"/>
        </w:rPr>
        <w:t xml:space="preserve">ongoing </w:t>
      </w:r>
      <w:r w:rsidRPr="00F03917">
        <w:rPr>
          <w:rFonts w:eastAsia="MS Mincho" w:cs="Arial"/>
        </w:rPr>
        <w:t>RSLR</w:t>
      </w:r>
      <w:r w:rsidR="00D12229" w:rsidRPr="00F03917">
        <w:rPr>
          <w:rFonts w:eastAsia="MS Mincho" w:cs="Arial"/>
        </w:rPr>
        <w:t xml:space="preserve"> (both SLR and VLM rates)</w:t>
      </w:r>
      <w:r w:rsidRPr="00F03917">
        <w:rPr>
          <w:rFonts w:eastAsia="MS Mincho" w:cs="Arial"/>
        </w:rPr>
        <w:t xml:space="preserve">. </w:t>
      </w:r>
    </w:p>
    <w:p w14:paraId="50EE8DC2" w14:textId="0CD69535" w:rsidR="00E6248B" w:rsidRPr="00F03917" w:rsidRDefault="00E6248B" w:rsidP="00E2238E">
      <w:pPr>
        <w:pStyle w:val="BodyText"/>
      </w:pPr>
      <w:r w:rsidRPr="00F03917">
        <w:lastRenderedPageBreak/>
        <w:t xml:space="preserve">Figure </w:t>
      </w:r>
      <w:r w:rsidR="00AA4C40" w:rsidRPr="00F03917">
        <w:t>11</w:t>
      </w:r>
      <w:r w:rsidRPr="00F03917">
        <w:t xml:space="preserve"> sets out a</w:t>
      </w:r>
      <w:r w:rsidR="00C3702B" w:rsidRPr="00F03917">
        <w:t>n example of a</w:t>
      </w:r>
      <w:r w:rsidR="00DB5553" w:rsidRPr="00F03917">
        <w:t>n</w:t>
      </w:r>
      <w:r w:rsidRPr="00F03917">
        <w:t xml:space="preserve"> uncertainty framework that can be used to support decision-making under</w:t>
      </w:r>
      <w:r w:rsidR="0093255D" w:rsidRPr="00F03917">
        <w:t xml:space="preserve"> uncertainty when using</w:t>
      </w:r>
      <w:r w:rsidRPr="00F03917">
        <w:t xml:space="preserve"> </w:t>
      </w:r>
      <w:r w:rsidR="00FF13D0" w:rsidRPr="00F03917">
        <w:t xml:space="preserve">a </w:t>
      </w:r>
      <w:r w:rsidR="003A44DF" w:rsidRPr="00F03917">
        <w:t>DAPP</w:t>
      </w:r>
      <w:r w:rsidRPr="00F03917">
        <w:t xml:space="preserve"> </w:t>
      </w:r>
      <w:r w:rsidR="00577C1B" w:rsidRPr="00F03917">
        <w:t>approach</w:t>
      </w:r>
      <w:r w:rsidRPr="00F03917">
        <w:t xml:space="preserve">. </w:t>
      </w:r>
      <w:r w:rsidR="00754430" w:rsidRPr="00F03917">
        <w:t>The framework shows a logic</w:t>
      </w:r>
      <w:r w:rsidR="00661F8F" w:rsidRPr="00F03917">
        <w:t> </w:t>
      </w:r>
      <w:r w:rsidR="00754430" w:rsidRPr="00F03917">
        <w:t>flow from the situation to the related level of uncertainty, the SSP scenarios to model, the</w:t>
      </w:r>
      <w:r w:rsidR="00661F8F" w:rsidRPr="00F03917">
        <w:t> </w:t>
      </w:r>
      <w:r w:rsidR="00754430" w:rsidRPr="00F03917">
        <w:t xml:space="preserve">likely hazard modelling complexity, and the possible decision type. </w:t>
      </w:r>
    </w:p>
    <w:p w14:paraId="0E87E8B0" w14:textId="47EB063A" w:rsidR="00E6248B" w:rsidRPr="00F03917" w:rsidRDefault="612598B5" w:rsidP="00C52920">
      <w:pPr>
        <w:pStyle w:val="Figureheading"/>
      </w:pPr>
      <w:bookmarkStart w:id="76" w:name="figure11"/>
      <w:bookmarkStart w:id="77" w:name="_Toc160098426"/>
      <w:bookmarkEnd w:id="76"/>
      <w:r w:rsidRPr="00F03917">
        <w:t xml:space="preserve">Figure </w:t>
      </w:r>
      <w:r w:rsidR="009660C0" w:rsidRPr="00F03917">
        <w:t>11</w:t>
      </w:r>
      <w:r w:rsidRPr="00F03917">
        <w:t xml:space="preserve">: </w:t>
      </w:r>
      <w:r w:rsidR="008767B0" w:rsidRPr="00F03917">
        <w:tab/>
      </w:r>
      <w:r w:rsidR="65CB8A44" w:rsidRPr="00F03917">
        <w:t>Example of an u</w:t>
      </w:r>
      <w:r w:rsidR="00060CF2" w:rsidRPr="00F03917">
        <w:t>ncertainty framework for coastal hazard assessments</w:t>
      </w:r>
      <w:r w:rsidR="00E6248B" w:rsidRPr="00F03917">
        <w:t xml:space="preserve"> </w:t>
      </w:r>
      <w:r w:rsidR="00924846" w:rsidRPr="00F03917">
        <w:t>to support the</w:t>
      </w:r>
      <w:r w:rsidR="00D31559" w:rsidRPr="00F03917">
        <w:t> </w:t>
      </w:r>
      <w:r w:rsidR="00924846" w:rsidRPr="00F03917">
        <w:t xml:space="preserve">dynamic adaptive pathways planning </w:t>
      </w:r>
      <w:r w:rsidR="00577C1B" w:rsidRPr="00F03917">
        <w:t>approach</w:t>
      </w:r>
      <w:bookmarkEnd w:id="77"/>
    </w:p>
    <w:p w14:paraId="1CE6FA21" w14:textId="7D1F03BA" w:rsidR="00E6248B" w:rsidRPr="00F03917" w:rsidRDefault="008014A8" w:rsidP="00E2238E">
      <w:pPr>
        <w:pStyle w:val="BodyText"/>
        <w:jc w:val="center"/>
        <w:rPr>
          <w:rFonts w:cs="Arial"/>
        </w:rPr>
      </w:pPr>
      <w:r w:rsidRPr="00F03917">
        <w:rPr>
          <w:noProof/>
        </w:rPr>
        <w:drawing>
          <wp:inline distT="0" distB="0" distL="0" distR="0" wp14:anchorId="158B84CE" wp14:editId="76EA0A97">
            <wp:extent cx="5400675" cy="3071495"/>
            <wp:effectExtent l="0" t="0" r="9525" b="0"/>
            <wp:docPr id="1479916124" name="Picture 1479916124" descr="A diagram of a hazard assess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916124" name="Picture 1" descr="A diagram of a hazard assessment&#10;&#10;Description automatically generated"/>
                    <pic:cNvPicPr/>
                  </pic:nvPicPr>
                  <pic:blipFill>
                    <a:blip r:embed="rId80"/>
                    <a:stretch>
                      <a:fillRect/>
                    </a:stretch>
                  </pic:blipFill>
                  <pic:spPr>
                    <a:xfrm>
                      <a:off x="0" y="0"/>
                      <a:ext cx="5400675" cy="3071495"/>
                    </a:xfrm>
                    <a:prstGeom prst="rect">
                      <a:avLst/>
                    </a:prstGeom>
                  </pic:spPr>
                </pic:pic>
              </a:graphicData>
            </a:graphic>
          </wp:inline>
        </w:drawing>
      </w:r>
    </w:p>
    <w:p w14:paraId="641E4EC7" w14:textId="15E458C6" w:rsidR="001779BC" w:rsidRPr="00F03917" w:rsidRDefault="3F87743E" w:rsidP="00D31559">
      <w:pPr>
        <w:pStyle w:val="Source"/>
        <w:spacing w:before="0"/>
      </w:pPr>
      <w:r w:rsidRPr="00F03917">
        <w:t>Note:</w:t>
      </w:r>
      <w:r w:rsidR="00056D99" w:rsidRPr="00F03917">
        <w:t xml:space="preserve"> AEP = annual exceedance probability; SLR = sea-level rise. A distinction is drawn (represented by the dashed arrows and dashed box) between the situation, the coastal hazard assessment process, the </w:t>
      </w:r>
      <w:r w:rsidR="00A318F7" w:rsidRPr="00F03917">
        <w:t>d</w:t>
      </w:r>
      <w:r w:rsidR="00056D99" w:rsidRPr="00F03917">
        <w:t xml:space="preserve">ynamic </w:t>
      </w:r>
      <w:r w:rsidR="00A318F7" w:rsidRPr="00F03917">
        <w:t>a</w:t>
      </w:r>
      <w:r w:rsidR="00056D99" w:rsidRPr="00F03917">
        <w:t xml:space="preserve">daptive </w:t>
      </w:r>
      <w:r w:rsidR="00A318F7" w:rsidRPr="00F03917">
        <w:t>p</w:t>
      </w:r>
      <w:r w:rsidR="00056D99" w:rsidRPr="00F03917">
        <w:t xml:space="preserve">athways </w:t>
      </w:r>
      <w:r w:rsidR="00A318F7" w:rsidRPr="00F03917">
        <w:t>p</w:t>
      </w:r>
      <w:r w:rsidR="00056D99" w:rsidRPr="00F03917">
        <w:t xml:space="preserve">lanning (DAPP) process and socio-economic assessment (SEA), and the decision type. </w:t>
      </w:r>
    </w:p>
    <w:p w14:paraId="29235BFE" w14:textId="5C53F869" w:rsidR="00E832C2" w:rsidRPr="00F03917" w:rsidRDefault="00E832C2" w:rsidP="00D31559">
      <w:pPr>
        <w:pStyle w:val="Source"/>
        <w:spacing w:before="0"/>
      </w:pPr>
      <w:bookmarkStart w:id="78" w:name="_6.5.4_Coastal_hazard"/>
      <w:bookmarkEnd w:id="78"/>
      <w:r w:rsidRPr="00F03917">
        <w:t>Source: MfE, 2017, as adapted from Stephens et al (2017)</w:t>
      </w:r>
    </w:p>
    <w:p w14:paraId="170E45D4" w14:textId="5E4B1F32" w:rsidR="00B57283" w:rsidRPr="00F03917" w:rsidRDefault="00B57283" w:rsidP="002E7B2B">
      <w:pPr>
        <w:pStyle w:val="Heading5"/>
      </w:pPr>
      <w:r w:rsidRPr="00F03917">
        <w:t xml:space="preserve">Assess </w:t>
      </w:r>
      <w:r w:rsidR="00B96626" w:rsidRPr="00F03917">
        <w:t xml:space="preserve">coastal </w:t>
      </w:r>
      <w:r w:rsidR="00FC3F61" w:rsidRPr="00F03917">
        <w:t>flooding</w:t>
      </w:r>
    </w:p>
    <w:p w14:paraId="5820D0EB" w14:textId="55A6D228" w:rsidR="00101EA6" w:rsidRPr="00F03917" w:rsidRDefault="2DCA4668" w:rsidP="00101EA6">
      <w:pPr>
        <w:pStyle w:val="BodyText"/>
      </w:pPr>
      <w:r w:rsidRPr="00F03917">
        <w:t xml:space="preserve">Magnitudes for a specific AEP are the best descriptors of the likelihood and </w:t>
      </w:r>
      <w:r w:rsidR="00CF7439" w:rsidRPr="00F03917">
        <w:t xml:space="preserve">size </w:t>
      </w:r>
      <w:r w:rsidRPr="00F03917">
        <w:t xml:space="preserve">of </w:t>
      </w:r>
      <w:r w:rsidR="0049355D" w:rsidRPr="00F03917">
        <w:t>current</w:t>
      </w:r>
      <w:r w:rsidRPr="00F03917">
        <w:t xml:space="preserve"> coastal hazard occurrences (rather than </w:t>
      </w:r>
      <w:r w:rsidR="02BBD6B4" w:rsidRPr="00F03917">
        <w:t xml:space="preserve">a </w:t>
      </w:r>
      <w:r w:rsidRPr="00F03917">
        <w:t>return period)</w:t>
      </w:r>
      <w:r w:rsidR="00057BE7" w:rsidRPr="00F03917">
        <w:t>. This is</w:t>
      </w:r>
      <w:r w:rsidRPr="00F03917">
        <w:t xml:space="preserve"> because </w:t>
      </w:r>
      <w:r w:rsidR="00502007" w:rsidRPr="00F03917">
        <w:t>AEPs</w:t>
      </w:r>
      <w:r w:rsidRPr="00F03917">
        <w:t xml:space="preserve"> allow for change through time by adding RSLR and any climate-influenced changes in climate</w:t>
      </w:r>
      <w:r w:rsidR="3FC13318" w:rsidRPr="00F03917">
        <w:t xml:space="preserve"> and </w:t>
      </w:r>
      <w:r w:rsidRPr="00F03917">
        <w:t xml:space="preserve">ocean drivers onto the </w:t>
      </w:r>
      <w:r w:rsidR="0049355D" w:rsidRPr="00F03917">
        <w:t>currently used</w:t>
      </w:r>
      <w:r w:rsidRPr="00F03917">
        <w:t xml:space="preserve"> level. However, </w:t>
      </w:r>
      <w:r w:rsidR="00B91672" w:rsidRPr="00F03917">
        <w:t>AEPs</w:t>
      </w:r>
      <w:r w:rsidRPr="00F03917">
        <w:t xml:space="preserve"> </w:t>
      </w:r>
      <w:r w:rsidR="001B3236" w:rsidRPr="00F03917">
        <w:t xml:space="preserve">should </w:t>
      </w:r>
      <w:r w:rsidRPr="00F03917">
        <w:t xml:space="preserve">be tied to a timeframe or a specific RSLR, </w:t>
      </w:r>
      <w:r w:rsidR="7E259279" w:rsidRPr="00F03917">
        <w:rPr>
          <w:spacing w:val="-2"/>
        </w:rPr>
        <w:t>because</w:t>
      </w:r>
      <w:r w:rsidRPr="00F03917">
        <w:rPr>
          <w:spacing w:val="-2"/>
        </w:rPr>
        <w:t xml:space="preserve"> the frequency of flood events will change substantially over time. For a Nelson example</w:t>
      </w:r>
      <w:r w:rsidRPr="00F03917">
        <w:t xml:space="preserve">, a particular assessment and associated map may be expressed as </w:t>
      </w:r>
      <w:r w:rsidR="00D00D06" w:rsidRPr="00F03917">
        <w:t>‘</w:t>
      </w:r>
      <w:r w:rsidRPr="00F03917">
        <w:t xml:space="preserve">a </w:t>
      </w:r>
      <w:r w:rsidR="00DF1803" w:rsidRPr="00F03917">
        <w:t>current</w:t>
      </w:r>
      <w:r w:rsidRPr="00F03917">
        <w:t xml:space="preserve"> 1 per cent AEP flood combined with an SLR of 0.5 metres that can be expected between 2055 and 2080</w:t>
      </w:r>
      <w:r w:rsidR="00D00D06" w:rsidRPr="00F03917">
        <w:t>’</w:t>
      </w:r>
      <w:r w:rsidRPr="00F03917">
        <w:t xml:space="preserve"> (using </w:t>
      </w:r>
      <w:hyperlink w:anchor="table7" w:history="1">
        <w:r w:rsidR="009E0235" w:rsidRPr="00F03917">
          <w:rPr>
            <w:rStyle w:val="Hyperlink"/>
          </w:rPr>
          <w:t>t</w:t>
        </w:r>
        <w:r w:rsidR="00101EA6" w:rsidRPr="00F03917">
          <w:rPr>
            <w:rStyle w:val="Hyperlink"/>
          </w:rPr>
          <w:t xml:space="preserve">able </w:t>
        </w:r>
        <w:r w:rsidR="009E0235" w:rsidRPr="00F03917">
          <w:rPr>
            <w:rStyle w:val="Hyperlink"/>
          </w:rPr>
          <w:t>7</w:t>
        </w:r>
      </w:hyperlink>
      <w:r w:rsidRPr="00F03917">
        <w:t xml:space="preserve"> for Nelson with VLM included). </w:t>
      </w:r>
    </w:p>
    <w:p w14:paraId="57561F93" w14:textId="63BC8EC5" w:rsidR="00B1331E" w:rsidRPr="00F03917" w:rsidRDefault="572575CB" w:rsidP="00101EA6">
      <w:pPr>
        <w:pStyle w:val="BodyText"/>
      </w:pPr>
      <w:r w:rsidRPr="00F03917">
        <w:t xml:space="preserve">For detailed hazard assessments, it is recommended to use at least two </w:t>
      </w:r>
      <w:r w:rsidR="00211281" w:rsidRPr="00F03917">
        <w:t>current</w:t>
      </w:r>
      <w:r w:rsidRPr="00F03917">
        <w:t xml:space="preserve"> AEP coastal flood levels, before adding sensitivity factors (see below) and RSLR, such as the 1 per cent AEP</w:t>
      </w:r>
      <w:r w:rsidR="00306788" w:rsidRPr="00F03917">
        <w:t> </w:t>
      </w:r>
      <w:r w:rsidRPr="00F03917">
        <w:t xml:space="preserve">flood (used in the screening stage) and a more frequent flood level (eg, 5 </w:t>
      </w:r>
      <w:r w:rsidR="5C5F3133" w:rsidRPr="00F03917">
        <w:t xml:space="preserve">per cent </w:t>
      </w:r>
      <w:r w:rsidRPr="00F03917">
        <w:t>or 10</w:t>
      </w:r>
      <w:r w:rsidR="00306788" w:rsidRPr="00F03917">
        <w:t> </w:t>
      </w:r>
      <w:r w:rsidRPr="00F03917">
        <w:t xml:space="preserve">per cent AEP), extracted from the </w:t>
      </w:r>
      <w:r w:rsidR="00FE7FB1" w:rsidRPr="00F03917">
        <w:t>current</w:t>
      </w:r>
      <w:r w:rsidRPr="00F03917">
        <w:t xml:space="preserve"> hazard dataset (see example in </w:t>
      </w:r>
      <w:hyperlink w:anchor="figure12" w:history="1">
        <w:r w:rsidR="03CE325B" w:rsidRPr="00F03917">
          <w:rPr>
            <w:rStyle w:val="Hyperlink"/>
          </w:rPr>
          <w:t>f</w:t>
        </w:r>
        <w:r w:rsidRPr="00F03917">
          <w:rPr>
            <w:rStyle w:val="Hyperlink"/>
          </w:rPr>
          <w:t xml:space="preserve">igure </w:t>
        </w:r>
        <w:r w:rsidR="00CB1BB0" w:rsidRPr="00F03917">
          <w:rPr>
            <w:rStyle w:val="Hyperlink"/>
          </w:rPr>
          <w:t>12</w:t>
        </w:r>
      </w:hyperlink>
      <w:r w:rsidRPr="00F03917">
        <w:t>). The higher AEPs</w:t>
      </w:r>
      <w:r w:rsidR="00B1331E" w:rsidRPr="00F03917">
        <w:rPr>
          <w:rStyle w:val="FootnoteReference"/>
        </w:rPr>
        <w:footnoteReference w:id="56"/>
      </w:r>
      <w:r w:rsidRPr="00F03917">
        <w:t xml:space="preserve"> represent more frequent events, which could cause more frequent road closures and isolation of communities (Logan et al, 2023</w:t>
      </w:r>
      <w:r w:rsidR="004C46C2" w:rsidRPr="00F03917">
        <w:t>; Logan and Reilly, 2023</w:t>
      </w:r>
      <w:r w:rsidRPr="00F03917">
        <w:t>) that may become intolerable at flood levels below a rarer 1</w:t>
      </w:r>
      <w:r w:rsidR="4D2C0C6B" w:rsidRPr="00F03917">
        <w:t xml:space="preserve"> </w:t>
      </w:r>
      <w:r w:rsidR="4C14D80A" w:rsidRPr="00F03917">
        <w:t>per cent</w:t>
      </w:r>
      <w:r w:rsidRPr="00F03917">
        <w:t xml:space="preserve"> AEP event (</w:t>
      </w:r>
      <w:hyperlink w:anchor="_Supplements" w:history="1">
        <w:r w:rsidR="007B24AC" w:rsidRPr="00F03917">
          <w:rPr>
            <w:rStyle w:val="Hyperlink"/>
            <w:i/>
            <w:iCs/>
          </w:rPr>
          <w:t>Climate change, sea-level rise and coastal hazards science: Coastal hazards and climate change guidance – Supplement A</w:t>
        </w:r>
      </w:hyperlink>
      <w:r w:rsidRPr="00F03917">
        <w:t xml:space="preserve">). </w:t>
      </w:r>
      <w:r w:rsidR="00571FF0" w:rsidRPr="00F03917">
        <w:lastRenderedPageBreak/>
        <w:t>For building consents, 2</w:t>
      </w:r>
      <w:r w:rsidR="00F85961" w:rsidRPr="00F03917">
        <w:t xml:space="preserve"> per cent</w:t>
      </w:r>
      <w:r w:rsidR="00571FF0" w:rsidRPr="00F03917">
        <w:t xml:space="preserve"> and 1</w:t>
      </w:r>
      <w:r w:rsidR="00F85961" w:rsidRPr="00F03917">
        <w:t xml:space="preserve"> per cent</w:t>
      </w:r>
      <w:r w:rsidR="00571FF0" w:rsidRPr="00F03917">
        <w:t xml:space="preserve"> AEP flood levels are used for minimum floor levels and assessing flooding hazards of the property</w:t>
      </w:r>
      <w:r w:rsidR="561E994C" w:rsidRPr="00F03917">
        <w:t>, respectively</w:t>
      </w:r>
      <w:r w:rsidR="000F517C" w:rsidRPr="00F03917">
        <w:t>, as outlined in the Ministry of Business, Innovation and Employment</w:t>
      </w:r>
      <w:r w:rsidR="00A410E1" w:rsidRPr="00F03917">
        <w:t>’s</w:t>
      </w:r>
      <w:r w:rsidR="000F517C" w:rsidRPr="00F03917">
        <w:t xml:space="preserve"> </w:t>
      </w:r>
      <w:r w:rsidR="000B5B67" w:rsidRPr="00F03917">
        <w:t>b</w:t>
      </w:r>
      <w:r w:rsidR="000F517C" w:rsidRPr="00F03917">
        <w:t>uilding</w:t>
      </w:r>
      <w:r w:rsidRPr="00F03917">
        <w:t xml:space="preserve"> </w:t>
      </w:r>
      <w:r w:rsidR="000B5B67" w:rsidRPr="00F03917">
        <w:t>p</w:t>
      </w:r>
      <w:r w:rsidR="00B12DDD" w:rsidRPr="00F03917">
        <w:t xml:space="preserve">erformance </w:t>
      </w:r>
      <w:r w:rsidR="0070180F" w:rsidRPr="00F03917">
        <w:t>N</w:t>
      </w:r>
      <w:r w:rsidR="00B12DDD" w:rsidRPr="00F03917">
        <w:t>atural</w:t>
      </w:r>
      <w:r w:rsidR="00B1331E" w:rsidRPr="00F03917">
        <w:t xml:space="preserve"> </w:t>
      </w:r>
      <w:r w:rsidR="0070180F" w:rsidRPr="00F03917">
        <w:t>H</w:t>
      </w:r>
      <w:r w:rsidR="00A410E1" w:rsidRPr="00F03917">
        <w:t xml:space="preserve">azard </w:t>
      </w:r>
      <w:r w:rsidR="0070180F" w:rsidRPr="00F03917">
        <w:t>P</w:t>
      </w:r>
      <w:r w:rsidR="00A410E1" w:rsidRPr="00F03917">
        <w:t>rovisions guidance</w:t>
      </w:r>
      <w:r w:rsidR="00B1331E" w:rsidRPr="00F03917">
        <w:t xml:space="preserve"> </w:t>
      </w:r>
      <w:r w:rsidR="00571FF0" w:rsidRPr="00F03917">
        <w:t>(MBIE, 2023).</w:t>
      </w:r>
    </w:p>
    <w:p w14:paraId="502E52CB" w14:textId="53BDF927" w:rsidR="00926B04" w:rsidRPr="00F03917" w:rsidRDefault="00960553" w:rsidP="00915EEF">
      <w:pPr>
        <w:pStyle w:val="BodyText"/>
      </w:pPr>
      <w:r w:rsidRPr="00F03917">
        <w:t xml:space="preserve">Coastal hazard </w:t>
      </w:r>
      <w:r w:rsidR="00926B04" w:rsidRPr="00F03917">
        <w:t>experts can usually calculate with reasonable accuracy (</w:t>
      </w:r>
      <w:r w:rsidR="1F2DEC04" w:rsidRPr="00F03917">
        <w:t>with</w:t>
      </w:r>
      <w:r w:rsidR="00926B04" w:rsidRPr="00F03917">
        <w:t xml:space="preserve"> a 95</w:t>
      </w:r>
      <w:r w:rsidR="002B6E52" w:rsidRPr="00F03917">
        <w:t xml:space="preserve"> per cent</w:t>
      </w:r>
      <w:r w:rsidR="00926B04" w:rsidRPr="00F03917">
        <w:t xml:space="preserve"> confidence interval) the probability and magnitude of </w:t>
      </w:r>
      <w:r w:rsidR="3A4FDCAC" w:rsidRPr="00F03917">
        <w:t>various</w:t>
      </w:r>
      <w:r w:rsidR="4721A958" w:rsidRPr="00F03917">
        <w:t xml:space="preserve"> </w:t>
      </w:r>
      <w:r w:rsidR="00926B04" w:rsidRPr="00F03917">
        <w:t>AEP </w:t>
      </w:r>
      <w:r w:rsidR="3A4FDCAC" w:rsidRPr="00F03917">
        <w:t>coastal flood levels</w:t>
      </w:r>
      <w:r w:rsidR="00926B04" w:rsidRPr="00F03917">
        <w:t xml:space="preserve"> (</w:t>
      </w:r>
      <w:hyperlink w:anchor="_Supplements" w:history="1">
        <w:r w:rsidR="007B24AC" w:rsidRPr="00F03917">
          <w:rPr>
            <w:rStyle w:val="Hyperlink"/>
            <w:i/>
            <w:iCs/>
          </w:rPr>
          <w:t>Climate change, sea-level rise and coastal hazards science: Coastal hazards and climate change guidance – Supplement A</w:t>
        </w:r>
      </w:hyperlink>
      <w:r w:rsidR="00926B04" w:rsidRPr="00F03917">
        <w:t xml:space="preserve">), </w:t>
      </w:r>
      <w:r w:rsidR="48A3E772" w:rsidRPr="00F03917">
        <w:t>although</w:t>
      </w:r>
      <w:r w:rsidR="00113815" w:rsidRPr="00F03917">
        <w:t>,</w:t>
      </w:r>
      <w:r w:rsidR="00926B04" w:rsidRPr="00F03917">
        <w:t xml:space="preserve"> for rarer events</w:t>
      </w:r>
      <w:r w:rsidR="48A3E772" w:rsidRPr="00F03917">
        <w:t xml:space="preserve"> (low AEP)</w:t>
      </w:r>
      <w:r w:rsidR="00113815" w:rsidRPr="00F03917">
        <w:t>,</w:t>
      </w:r>
      <w:r w:rsidR="4721A958" w:rsidRPr="00F03917">
        <w:t xml:space="preserve"> </w:t>
      </w:r>
      <w:r w:rsidR="0F05BBB7" w:rsidRPr="00F03917">
        <w:t>the length of the historical record influences the width of the</w:t>
      </w:r>
      <w:r w:rsidR="00926B04" w:rsidRPr="00F03917">
        <w:t xml:space="preserve"> uncertainty band</w:t>
      </w:r>
      <w:r w:rsidR="0F05BBB7" w:rsidRPr="00F03917">
        <w:t xml:space="preserve"> (eg, 95 per cent confidence interval) </w:t>
      </w:r>
      <w:r w:rsidR="6F58277B" w:rsidRPr="00F03917">
        <w:t>(</w:t>
      </w:r>
      <w:r w:rsidR="0F05BBB7" w:rsidRPr="00F03917">
        <w:t>see Stephens et al</w:t>
      </w:r>
      <w:r w:rsidR="6966834F" w:rsidRPr="00F03917">
        <w:t>,</w:t>
      </w:r>
      <w:r w:rsidR="0F05BBB7" w:rsidRPr="00F03917">
        <w:t xml:space="preserve"> 2020).</w:t>
      </w:r>
      <w:r w:rsidR="00926B04" w:rsidRPr="00F03917">
        <w:t> </w:t>
      </w:r>
      <w:r w:rsidR="00255EDC" w:rsidRPr="00F03917">
        <w:t xml:space="preserve">Although, it should be noted that this type of approach is increasingly difficult </w:t>
      </w:r>
      <w:r w:rsidR="00996775" w:rsidRPr="00F03917">
        <w:t>because</w:t>
      </w:r>
      <w:r w:rsidR="00255EDC" w:rsidRPr="00F03917">
        <w:t xml:space="preserve"> the historical baseline moves with climate change.</w:t>
      </w:r>
    </w:p>
    <w:p w14:paraId="20BEF498" w14:textId="0E3A3D65" w:rsidR="00F47B5E" w:rsidRPr="00F03917" w:rsidRDefault="00F47B5E" w:rsidP="00915EEF">
      <w:pPr>
        <w:pStyle w:val="Heading4"/>
      </w:pPr>
      <w:bookmarkStart w:id="79" w:name="_Statistical_uncertainty"/>
      <w:bookmarkEnd w:id="79"/>
      <w:r w:rsidRPr="00F03917">
        <w:t>Statistical uncertainty</w:t>
      </w:r>
    </w:p>
    <w:p w14:paraId="6BA0789D" w14:textId="08A88A3B" w:rsidR="00FA6E99" w:rsidRPr="00F03917" w:rsidRDefault="00B57283" w:rsidP="00CB0C05">
      <w:pPr>
        <w:pStyle w:val="BodyText"/>
      </w:pPr>
      <w:r w:rsidRPr="00F03917">
        <w:t>Where the statistical uncertainty of the 1</w:t>
      </w:r>
      <w:r w:rsidR="004941BF" w:rsidRPr="00F03917">
        <w:t xml:space="preserve"> per cent</w:t>
      </w:r>
      <w:r w:rsidRPr="00F03917" w:rsidDel="00CB2594">
        <w:t xml:space="preserve"> </w:t>
      </w:r>
      <w:r w:rsidRPr="00F03917">
        <w:t xml:space="preserve">AEP </w:t>
      </w:r>
      <w:r w:rsidR="00527B43" w:rsidRPr="00F03917">
        <w:t xml:space="preserve">hazard </w:t>
      </w:r>
      <w:r w:rsidRPr="00F03917">
        <w:t>magnitude is large, using only the ‘best</w:t>
      </w:r>
      <w:r w:rsidR="00F0633D" w:rsidRPr="00F03917">
        <w:t> </w:t>
      </w:r>
      <w:r w:rsidRPr="00F03917">
        <w:t xml:space="preserve">estimate’ or median of </w:t>
      </w:r>
      <w:r w:rsidR="00356515" w:rsidRPr="00F03917">
        <w:t>the calculated</w:t>
      </w:r>
      <w:r w:rsidRPr="00F03917">
        <w:t xml:space="preserve"> 1</w:t>
      </w:r>
      <w:r w:rsidR="004941BF" w:rsidRPr="00F03917">
        <w:t xml:space="preserve"> per cent</w:t>
      </w:r>
      <w:r w:rsidRPr="00F03917">
        <w:t xml:space="preserve"> AEP magnitude could over- or under-estimate the hazard. Therefore,</w:t>
      </w:r>
      <w:r w:rsidRPr="00F03917" w:rsidDel="00CB2594">
        <w:t xml:space="preserve"> </w:t>
      </w:r>
      <w:r w:rsidR="00527B43" w:rsidRPr="00F03917">
        <w:t>detailed</w:t>
      </w:r>
      <w:r w:rsidR="00527B43" w:rsidRPr="00F03917" w:rsidDel="00CB2594">
        <w:t xml:space="preserve"> </w:t>
      </w:r>
      <w:r w:rsidRPr="00F03917">
        <w:t>coastal hazard</w:t>
      </w:r>
      <w:r w:rsidR="00B95DA9" w:rsidRPr="00F03917">
        <w:t xml:space="preserve"> assessments</w:t>
      </w:r>
      <w:r w:rsidRPr="00F03917">
        <w:t xml:space="preserve"> should </w:t>
      </w:r>
      <w:r w:rsidR="00D04670" w:rsidRPr="00F03917">
        <w:t>use</w:t>
      </w:r>
      <w:r w:rsidRPr="00F03917">
        <w:t xml:space="preserve"> both the </w:t>
      </w:r>
      <w:r w:rsidR="00275B94" w:rsidRPr="00F03917">
        <w:t xml:space="preserve">median </w:t>
      </w:r>
      <w:r w:rsidRPr="00F03917">
        <w:t>estimate of the</w:t>
      </w:r>
      <w:r w:rsidR="00F0633D" w:rsidRPr="00F03917">
        <w:t> </w:t>
      </w:r>
      <w:r w:rsidRPr="00F03917">
        <w:t>1</w:t>
      </w:r>
      <w:r w:rsidR="004941BF" w:rsidRPr="00F03917">
        <w:t xml:space="preserve"> per cent</w:t>
      </w:r>
      <w:r w:rsidRPr="00F03917">
        <w:t xml:space="preserve"> AEP </w:t>
      </w:r>
      <w:r w:rsidR="00FA6E99" w:rsidRPr="00F03917">
        <w:t xml:space="preserve">(or other AEPs) </w:t>
      </w:r>
      <w:r w:rsidRPr="00F03917">
        <w:t xml:space="preserve">and the upper limit of its 95 </w:t>
      </w:r>
      <w:r w:rsidR="002B6E52" w:rsidRPr="00F03917">
        <w:t>per cent</w:t>
      </w:r>
      <w:r w:rsidRPr="00F03917" w:rsidDel="00CB2594">
        <w:t xml:space="preserve"> </w:t>
      </w:r>
      <w:r w:rsidRPr="00F03917">
        <w:t>confidence interval, before adding RSLR</w:t>
      </w:r>
      <w:r w:rsidR="008E5110" w:rsidRPr="00F03917">
        <w:t>, and a sensitivity factor for future changes in waves, storm surge and rainfall intensity (see below)</w:t>
      </w:r>
      <w:r w:rsidRPr="00F03917">
        <w:t xml:space="preserve">. </w:t>
      </w:r>
    </w:p>
    <w:p w14:paraId="47629325" w14:textId="46FD5081" w:rsidR="00B57283" w:rsidRPr="00F03917" w:rsidRDefault="00B57283" w:rsidP="00CB0C05">
      <w:pPr>
        <w:pStyle w:val="BodyText"/>
      </w:pPr>
      <w:r w:rsidRPr="00F03917">
        <w:t xml:space="preserve">This </w:t>
      </w:r>
      <w:r w:rsidR="00F04380" w:rsidRPr="00F03917">
        <w:t>sensitivity approach, considering the statistical uncertainty,</w:t>
      </w:r>
      <w:r w:rsidRPr="00F03917">
        <w:t xml:space="preserve"> enables</w:t>
      </w:r>
      <w:r w:rsidRPr="00F03917" w:rsidDel="006E476F">
        <w:t xml:space="preserve"> </w:t>
      </w:r>
      <w:r w:rsidRPr="00F03917">
        <w:t xml:space="preserve">the contrast of the best </w:t>
      </w:r>
      <w:r w:rsidR="00AD4776" w:rsidRPr="00F03917">
        <w:t xml:space="preserve">median </w:t>
      </w:r>
      <w:r w:rsidRPr="00F03917">
        <w:t>estimate with a conservative</w:t>
      </w:r>
      <w:r w:rsidR="00AD4776" w:rsidRPr="00F03917">
        <w:t xml:space="preserve"> </w:t>
      </w:r>
      <w:r w:rsidR="004C385D" w:rsidRPr="00F03917">
        <w:t>upper-</w:t>
      </w:r>
      <w:r w:rsidR="004C385D" w:rsidRPr="00F03917">
        <w:rPr>
          <w:spacing w:val="-2"/>
        </w:rPr>
        <w:t>range</w:t>
      </w:r>
      <w:r w:rsidRPr="00F03917">
        <w:rPr>
          <w:spacing w:val="-2"/>
        </w:rPr>
        <w:t xml:space="preserve"> value</w:t>
      </w:r>
      <w:r w:rsidR="005766BC" w:rsidRPr="00F03917">
        <w:rPr>
          <w:spacing w:val="-2"/>
        </w:rPr>
        <w:t xml:space="preserve"> for coastal flood levels</w:t>
      </w:r>
      <w:r w:rsidRPr="00F03917">
        <w:rPr>
          <w:spacing w:val="-2"/>
        </w:rPr>
        <w:t>, which will</w:t>
      </w:r>
      <w:r w:rsidR="00915EEF" w:rsidRPr="00F03917">
        <w:rPr>
          <w:spacing w:val="-2"/>
        </w:rPr>
        <w:t> </w:t>
      </w:r>
      <w:r w:rsidRPr="00F03917">
        <w:rPr>
          <w:spacing w:val="-2"/>
        </w:rPr>
        <w:t>help highlight areas that</w:t>
      </w:r>
      <w:r w:rsidR="00224C83" w:rsidRPr="00F03917">
        <w:rPr>
          <w:spacing w:val="-2"/>
        </w:rPr>
        <w:t xml:space="preserve"> </w:t>
      </w:r>
      <w:r w:rsidRPr="00F03917">
        <w:rPr>
          <w:bCs/>
          <w:spacing w:val="-2"/>
        </w:rPr>
        <w:t>potentially</w:t>
      </w:r>
      <w:r w:rsidRPr="00F03917">
        <w:rPr>
          <w:spacing w:val="-2"/>
        </w:rPr>
        <w:t xml:space="preserve"> </w:t>
      </w:r>
      <w:r w:rsidR="001F5747" w:rsidRPr="00F03917">
        <w:rPr>
          <w:spacing w:val="-2"/>
        </w:rPr>
        <w:t xml:space="preserve">may </w:t>
      </w:r>
      <w:r w:rsidRPr="00F03917">
        <w:rPr>
          <w:spacing w:val="-2"/>
        </w:rPr>
        <w:t xml:space="preserve">be affected by </w:t>
      </w:r>
      <w:r w:rsidR="00296C5E" w:rsidRPr="00F03917">
        <w:rPr>
          <w:spacing w:val="-2"/>
        </w:rPr>
        <w:t>current</w:t>
      </w:r>
      <w:r w:rsidR="005766BC" w:rsidRPr="00F03917">
        <w:rPr>
          <w:spacing w:val="-2"/>
        </w:rPr>
        <w:t xml:space="preserve"> </w:t>
      </w:r>
      <w:r w:rsidRPr="00F03917">
        <w:rPr>
          <w:spacing w:val="-2"/>
        </w:rPr>
        <w:t>coastal hazards</w:t>
      </w:r>
      <w:r w:rsidR="00CC4F9B" w:rsidRPr="00F03917">
        <w:rPr>
          <w:spacing w:val="-2"/>
        </w:rPr>
        <w:t>, before adding RSLR</w:t>
      </w:r>
      <w:r w:rsidRPr="00F03917">
        <w:rPr>
          <w:spacing w:val="-2"/>
        </w:rPr>
        <w:t>.</w:t>
      </w:r>
    </w:p>
    <w:p w14:paraId="29637257" w14:textId="268AFF43" w:rsidR="00B57283" w:rsidRPr="00F03917" w:rsidRDefault="00B57283" w:rsidP="00CB0C05">
      <w:pPr>
        <w:pStyle w:val="BodyText"/>
      </w:pPr>
      <w:r w:rsidRPr="00F03917">
        <w:t xml:space="preserve">If it is not possible to accurately calculate statistical uncertainty (because of insufficient </w:t>
      </w:r>
      <w:r w:rsidR="00CC4F9B" w:rsidRPr="00F03917">
        <w:t xml:space="preserve">or short </w:t>
      </w:r>
      <w:r w:rsidRPr="00F03917">
        <w:t>data</w:t>
      </w:r>
      <w:r w:rsidR="00CC4F9B" w:rsidRPr="00F03917">
        <w:t>sets</w:t>
      </w:r>
      <w:r w:rsidRPr="00F03917">
        <w:t xml:space="preserve">, or an unquantifiable physical process), then use </w:t>
      </w:r>
      <w:r w:rsidR="00F4046E" w:rsidRPr="00F03917">
        <w:t>the</w:t>
      </w:r>
      <w:r w:rsidRPr="00F03917">
        <w:t xml:space="preserve"> best estimate of a 1</w:t>
      </w:r>
      <w:r w:rsidR="002B6E52" w:rsidRPr="00F03917">
        <w:t xml:space="preserve"> per cent</w:t>
      </w:r>
      <w:r w:rsidRPr="00F03917">
        <w:t xml:space="preserve"> AEP </w:t>
      </w:r>
      <w:r w:rsidR="00CC4F9B" w:rsidRPr="00F03917">
        <w:t xml:space="preserve">or other AEP </w:t>
      </w:r>
      <w:r w:rsidRPr="00F03917">
        <w:t>event</w:t>
      </w:r>
      <w:r w:rsidR="00CC4F9B" w:rsidRPr="00F03917">
        <w:t>s</w:t>
      </w:r>
      <w:r w:rsidRPr="00F03917">
        <w:t xml:space="preserve">. This could be supported with alternative scenarios to establish the sensitivity of the </w:t>
      </w:r>
      <w:r w:rsidR="00640A0F" w:rsidRPr="00F03917">
        <w:t>current</w:t>
      </w:r>
      <w:r w:rsidRPr="00F03917">
        <w:t xml:space="preserve"> hazard to the decision required, provided the assumptions and sources of uncertainty in those scenarios are made clear.</w:t>
      </w:r>
    </w:p>
    <w:p w14:paraId="45685E29" w14:textId="304A354B" w:rsidR="004C5AFD" w:rsidRPr="00F03917" w:rsidRDefault="004C5AFD" w:rsidP="004C5AFD">
      <w:pPr>
        <w:pStyle w:val="BodyText"/>
      </w:pPr>
      <w:r w:rsidRPr="00F03917">
        <w:t xml:space="preserve">Because there </w:t>
      </w:r>
      <w:r w:rsidR="19AD6C5C" w:rsidRPr="00F03917">
        <w:t>is also</w:t>
      </w:r>
      <w:r w:rsidRPr="00F03917">
        <w:t xml:space="preserve"> uncertainty about the future occurrence of high-intensity storms </w:t>
      </w:r>
      <w:r w:rsidR="001143D9" w:rsidRPr="00F03917">
        <w:t>(1</w:t>
      </w:r>
      <w:r w:rsidR="009D7970" w:rsidRPr="00F03917">
        <w:t xml:space="preserve"> per cent to </w:t>
      </w:r>
      <w:r w:rsidR="001143D9" w:rsidRPr="00F03917">
        <w:t xml:space="preserve">2 per cent AEP or less) </w:t>
      </w:r>
      <w:r w:rsidRPr="00F03917">
        <w:t xml:space="preserve">and their effects on storm surge and waves, </w:t>
      </w:r>
      <w:r w:rsidR="48E2BDF4" w:rsidRPr="00F03917">
        <w:t>which contribute to</w:t>
      </w:r>
      <w:r w:rsidR="004050B7" w:rsidRPr="00F03917">
        <w:t> </w:t>
      </w:r>
      <w:r w:rsidR="48E2BDF4" w:rsidRPr="00F03917">
        <w:t>both coastal flooding and erosion</w:t>
      </w:r>
      <w:r w:rsidR="620BEAC1" w:rsidRPr="00F03917">
        <w:t xml:space="preserve">, </w:t>
      </w:r>
      <w:r w:rsidR="00634AB9" w:rsidRPr="00F03917">
        <w:t xml:space="preserve">it is </w:t>
      </w:r>
      <w:r w:rsidRPr="00F03917">
        <w:t>recommend</w:t>
      </w:r>
      <w:r w:rsidR="00634AB9" w:rsidRPr="00F03917">
        <w:t>ed to</w:t>
      </w:r>
      <w:r w:rsidRPr="00F03917">
        <w:t xml:space="preserve"> assess coastal hazard </w:t>
      </w:r>
      <w:r w:rsidR="48E2BDF4" w:rsidRPr="00F03917">
        <w:t>AEP levels</w:t>
      </w:r>
      <w:r w:rsidRPr="00F03917">
        <w:t xml:space="preserve"> with an additional sensitivity factor </w:t>
      </w:r>
      <w:r w:rsidR="48E2BDF4" w:rsidRPr="00F03917">
        <w:t xml:space="preserve">as a precautionary approach </w:t>
      </w:r>
      <w:r w:rsidR="620BEAC1" w:rsidRPr="00F03917">
        <w:t xml:space="preserve">to </w:t>
      </w:r>
      <w:r w:rsidRPr="00F03917">
        <w:t>cover this climate change uncertainty.</w:t>
      </w:r>
    </w:p>
    <w:p w14:paraId="4FF114B3" w14:textId="15406B58" w:rsidR="004C5AFD" w:rsidRPr="00F03917" w:rsidRDefault="004C5AFD" w:rsidP="00915EEF">
      <w:pPr>
        <w:pStyle w:val="BodyText"/>
      </w:pPr>
      <w:r w:rsidRPr="00F03917">
        <w:t xml:space="preserve">Undertake sensitivity testing of </w:t>
      </w:r>
      <w:r w:rsidR="001406E1" w:rsidRPr="00F03917">
        <w:t xml:space="preserve">coastal flood and erosion </w:t>
      </w:r>
      <w:r w:rsidRPr="00F03917">
        <w:t>hazards using:</w:t>
      </w:r>
    </w:p>
    <w:p w14:paraId="6EB3F91B" w14:textId="15A86637" w:rsidR="004C5AFD" w:rsidRPr="00F03917" w:rsidRDefault="438668AE" w:rsidP="00174F6E">
      <w:pPr>
        <w:pStyle w:val="BulletFIX"/>
      </w:pPr>
      <w:r w:rsidRPr="00F03917">
        <w:t xml:space="preserve">a range of </w:t>
      </w:r>
      <w:r w:rsidR="003D1D69" w:rsidRPr="00F03917">
        <w:t xml:space="preserve">plausible </w:t>
      </w:r>
      <w:r w:rsidRPr="00F03917">
        <w:t>increases of 0</w:t>
      </w:r>
      <w:r w:rsidR="099ECCBD" w:rsidRPr="00F03917">
        <w:t xml:space="preserve"> per cent </w:t>
      </w:r>
      <w:r w:rsidR="0AB2F4C3" w:rsidRPr="00F03917">
        <w:t xml:space="preserve">to </w:t>
      </w:r>
      <w:r w:rsidRPr="00F03917">
        <w:t xml:space="preserve">10 per cent for </w:t>
      </w:r>
      <w:r w:rsidRPr="00F03917">
        <w:rPr>
          <w:b/>
        </w:rPr>
        <w:t>storm surge</w:t>
      </w:r>
      <w:r w:rsidRPr="00F03917">
        <w:t xml:space="preserve"> to 2100 (use 10</w:t>
      </w:r>
      <w:r w:rsidR="004050B7" w:rsidRPr="00F03917">
        <w:t> </w:t>
      </w:r>
      <w:r w:rsidRPr="00F03917">
        <w:t xml:space="preserve">per cent for the western and southern South Island) </w:t>
      </w:r>
    </w:p>
    <w:p w14:paraId="09687819" w14:textId="73E740A3" w:rsidR="004C5AFD" w:rsidRPr="00F03917" w:rsidRDefault="438668AE" w:rsidP="00174F6E">
      <w:pPr>
        <w:pStyle w:val="BulletFIX"/>
      </w:pPr>
      <w:r w:rsidRPr="00F03917">
        <w:t xml:space="preserve">a range of </w:t>
      </w:r>
      <w:r w:rsidR="003D1D69" w:rsidRPr="00F03917">
        <w:t xml:space="preserve">plausible </w:t>
      </w:r>
      <w:r w:rsidRPr="00F03917">
        <w:t>increases of 0</w:t>
      </w:r>
      <w:r w:rsidR="09FF64A3" w:rsidRPr="00F03917">
        <w:t xml:space="preserve"> per cent to</w:t>
      </w:r>
      <w:r w:rsidR="724E1DEA" w:rsidRPr="00F03917">
        <w:t xml:space="preserve"> </w:t>
      </w:r>
      <w:r w:rsidRPr="00F03917">
        <w:t xml:space="preserve">10 per cent for </w:t>
      </w:r>
      <w:r w:rsidRPr="00F03917">
        <w:rPr>
          <w:b/>
        </w:rPr>
        <w:t>extreme waves and swell</w:t>
      </w:r>
      <w:r w:rsidRPr="00F03917">
        <w:t xml:space="preserve"> to 2100 (use 10 per cent for the western and southern South Island).</w:t>
      </w:r>
    </w:p>
    <w:p w14:paraId="0363EF16" w14:textId="4A042320" w:rsidR="003018FF" w:rsidRPr="00F03917" w:rsidRDefault="00F92299" w:rsidP="00915EEF">
      <w:pPr>
        <w:pStyle w:val="BodyText"/>
      </w:pPr>
      <w:r w:rsidRPr="00F03917">
        <w:t xml:space="preserve">Box </w:t>
      </w:r>
      <w:r w:rsidR="00213179" w:rsidRPr="00F03917">
        <w:t>6</w:t>
      </w:r>
      <w:r w:rsidR="00070160" w:rsidRPr="00F03917">
        <w:t xml:space="preserve"> describes how to assess </w:t>
      </w:r>
      <w:r w:rsidR="00CF1C16" w:rsidRPr="00F03917">
        <w:t xml:space="preserve">overland flooding </w:t>
      </w:r>
      <w:r w:rsidR="00070160" w:rsidRPr="00F03917">
        <w:t xml:space="preserve">freeboard </w:t>
      </w:r>
      <w:r w:rsidR="00736966" w:rsidRPr="00F03917">
        <w:t>in coastal areas</w:t>
      </w:r>
      <w:r w:rsidR="00070160" w:rsidRPr="00F03917">
        <w:t xml:space="preserve"> and</w:t>
      </w:r>
      <w:r w:rsidR="00213179" w:rsidRPr="00F03917">
        <w:t>,</w:t>
      </w:r>
      <w:r w:rsidR="00070160" w:rsidRPr="00F03917">
        <w:t xml:space="preserve"> </w:t>
      </w:r>
      <w:r w:rsidR="0019576B" w:rsidRPr="00F03917">
        <w:t>secondly, how to</w:t>
      </w:r>
      <w:r w:rsidR="00070160" w:rsidRPr="00F03917">
        <w:t xml:space="preserve"> </w:t>
      </w:r>
      <w:r w:rsidR="00944739" w:rsidRPr="00F03917">
        <w:t xml:space="preserve">incorporate </w:t>
      </w:r>
      <w:r w:rsidR="0019576B" w:rsidRPr="00F03917">
        <w:t>RSLR and</w:t>
      </w:r>
      <w:r w:rsidR="00944739" w:rsidRPr="00F03917">
        <w:t xml:space="preserve"> climate change into </w:t>
      </w:r>
      <w:r w:rsidR="00243DCC" w:rsidRPr="00F03917">
        <w:t xml:space="preserve">assessing coastal flooding of buildings under </w:t>
      </w:r>
      <w:r w:rsidR="00944739" w:rsidRPr="00F03917">
        <w:t xml:space="preserve">the </w:t>
      </w:r>
      <w:r w:rsidR="00243DCC" w:rsidRPr="00F03917">
        <w:t>B</w:t>
      </w:r>
      <w:r w:rsidR="00944739" w:rsidRPr="00F03917">
        <w:t xml:space="preserve">uilding </w:t>
      </w:r>
      <w:r w:rsidR="00243DCC" w:rsidRPr="00F03917">
        <w:t>C</w:t>
      </w:r>
      <w:r w:rsidR="00944739" w:rsidRPr="00F03917">
        <w:t>ode.</w:t>
      </w:r>
    </w:p>
    <w:p w14:paraId="2710F2BE" w14:textId="5EC3D831" w:rsidR="003018FF" w:rsidRPr="00F03917" w:rsidRDefault="005316CC" w:rsidP="005316CC">
      <w:pPr>
        <w:rPr>
          <w:rFonts w:ascii="Calibri" w:eastAsiaTheme="minorEastAsia" w:hAnsi="Calibri"/>
          <w:kern w:val="0"/>
          <w:sz w:val="22"/>
          <w:szCs w:val="22"/>
          <w:lang w:eastAsia="en-NZ"/>
          <w14:ligatures w14:val="none"/>
        </w:rPr>
      </w:pPr>
      <w:r w:rsidRPr="00F03917">
        <w:br w:type="page"/>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6FBF9"/>
        <w:tblLook w:val="04A0" w:firstRow="1" w:lastRow="0" w:firstColumn="1" w:lastColumn="0" w:noHBand="0" w:noVBand="1"/>
      </w:tblPr>
      <w:tblGrid>
        <w:gridCol w:w="8505"/>
      </w:tblGrid>
      <w:tr w:rsidR="003D6B15" w:rsidRPr="00F03917" w14:paraId="6AC08BA8" w14:textId="77777777" w:rsidTr="000F1095">
        <w:trPr>
          <w:tblHeader/>
        </w:trPr>
        <w:tc>
          <w:tcPr>
            <w:tcW w:w="8505" w:type="dxa"/>
            <w:tcBorders>
              <w:top w:val="single" w:sz="4" w:space="0" w:color="1C556C" w:themeColor="accent1"/>
              <w:left w:val="single" w:sz="4" w:space="0" w:color="1C556C" w:themeColor="accent1"/>
              <w:bottom w:val="single" w:sz="4" w:space="0" w:color="1C556C" w:themeColor="accent1"/>
              <w:right w:val="single" w:sz="4" w:space="0" w:color="1C556C" w:themeColor="accent1"/>
            </w:tcBorders>
            <w:shd w:val="clear" w:color="auto" w:fill="1C556C" w:themeFill="accent1"/>
            <w:vAlign w:val="center"/>
          </w:tcPr>
          <w:p w14:paraId="36836B85" w14:textId="4E135796" w:rsidR="003D6B15" w:rsidRPr="00F03917" w:rsidDel="00D5390D" w:rsidRDefault="003D6B15" w:rsidP="00D73E40">
            <w:pPr>
              <w:pStyle w:val="Casestudyheading"/>
            </w:pPr>
            <w:r w:rsidRPr="00F03917">
              <w:lastRenderedPageBreak/>
              <w:t xml:space="preserve">: </w:t>
            </w:r>
            <w:r w:rsidR="000D4263" w:rsidRPr="00F03917">
              <w:t xml:space="preserve">INCORPORATING CLIMATE </w:t>
            </w:r>
            <w:r w:rsidR="00A821C4" w:rsidRPr="00F03917">
              <w:t xml:space="preserve">CHANGE INTO </w:t>
            </w:r>
            <w:r w:rsidR="00E9359A" w:rsidRPr="00F03917">
              <w:t xml:space="preserve">Freeboard </w:t>
            </w:r>
            <w:r w:rsidR="00CB7C33" w:rsidRPr="00F03917">
              <w:t>FOR OVERLAND</w:t>
            </w:r>
            <w:r w:rsidR="00E9359A" w:rsidRPr="00F03917">
              <w:t xml:space="preserve"> </w:t>
            </w:r>
            <w:r w:rsidR="0052554C" w:rsidRPr="00F03917">
              <w:t>FLOODING GENERALLY</w:t>
            </w:r>
            <w:r w:rsidR="00E9359A" w:rsidRPr="00F03917">
              <w:t xml:space="preserve"> and </w:t>
            </w:r>
            <w:r w:rsidR="0052554C" w:rsidRPr="00F03917">
              <w:t xml:space="preserve">FOR ASSESSING BUILDING FLOOR LEVELS UNDER </w:t>
            </w:r>
            <w:r w:rsidR="00E9359A" w:rsidRPr="00F03917">
              <w:t xml:space="preserve">the </w:t>
            </w:r>
            <w:r w:rsidR="00461120" w:rsidRPr="00F03917">
              <w:t>Building Code</w:t>
            </w:r>
            <w:r w:rsidRPr="00F03917">
              <w:t xml:space="preserve"> </w:t>
            </w:r>
          </w:p>
        </w:tc>
      </w:tr>
      <w:tr w:rsidR="003D6B15" w:rsidRPr="00F03917" w14:paraId="6C1502DF" w14:textId="77777777" w:rsidTr="5BB55372">
        <w:tc>
          <w:tcPr>
            <w:tcW w:w="8505" w:type="dxa"/>
            <w:tcBorders>
              <w:top w:val="single" w:sz="4" w:space="0" w:color="1C556C" w:themeColor="accent1"/>
              <w:left w:val="single" w:sz="4" w:space="0" w:color="D2DDE2"/>
              <w:bottom w:val="single" w:sz="4" w:space="0" w:color="D2DDE2"/>
              <w:right w:val="single" w:sz="4" w:space="0" w:color="D2DDE2"/>
            </w:tcBorders>
            <w:shd w:val="clear" w:color="auto" w:fill="D2DDE2"/>
          </w:tcPr>
          <w:p w14:paraId="15A1D6AF" w14:textId="5D5B39B7" w:rsidR="00B10EEE" w:rsidRPr="00F03917" w:rsidRDefault="00B10EEE" w:rsidP="000F1095">
            <w:pPr>
              <w:pStyle w:val="Boxtext"/>
              <w:rPr>
                <w:b/>
                <w:color w:val="1C556C" w:themeColor="accent1"/>
              </w:rPr>
            </w:pPr>
            <w:r w:rsidRPr="00F03917">
              <w:t>Two further aspects for assessing coastal flood hazards are addressed here</w:t>
            </w:r>
            <w:r w:rsidR="00213179" w:rsidRPr="00F03917">
              <w:t>.</w:t>
            </w:r>
            <w:r w:rsidRPr="00F03917">
              <w:t xml:space="preserve"> </w:t>
            </w:r>
            <w:r w:rsidR="00213179" w:rsidRPr="00F03917">
              <w:t>T</w:t>
            </w:r>
            <w:r w:rsidRPr="00F03917">
              <w:t>he first is the role and assessment of freeboard for overland flooding, and the second is on incorporating RSLR and climate change into assessing building flood levels under the Building Code.</w:t>
            </w:r>
          </w:p>
          <w:p w14:paraId="11673AAC" w14:textId="6B01F7F5" w:rsidR="00461120" w:rsidRPr="00F03917" w:rsidRDefault="00461120" w:rsidP="000F1095">
            <w:pPr>
              <w:pStyle w:val="Boxtext"/>
              <w:rPr>
                <w:b/>
                <w:bCs/>
                <w:color w:val="1C556C"/>
              </w:rPr>
            </w:pPr>
            <w:r w:rsidRPr="00F03917">
              <w:rPr>
                <w:b/>
                <w:bCs/>
              </w:rPr>
              <w:t>Assessing freeboard</w:t>
            </w:r>
            <w:r w:rsidR="00081129" w:rsidRPr="00F03917">
              <w:rPr>
                <w:b/>
                <w:bCs/>
              </w:rPr>
              <w:t xml:space="preserve"> allowance for coastal flooding hazards</w:t>
            </w:r>
          </w:p>
          <w:p w14:paraId="40428E6F" w14:textId="4CD90C2B" w:rsidR="00461120" w:rsidRPr="00F03917" w:rsidRDefault="00461120" w:rsidP="000F1095">
            <w:pPr>
              <w:pStyle w:val="Boxtext"/>
              <w:spacing w:before="0" w:after="0"/>
            </w:pPr>
            <w:r w:rsidRPr="00F03917">
              <w:t xml:space="preserve">Freeboards are applied to account for additional factors that may not be captured in a hazard scenario. The New Zealand Standard for Land Development and Subdivision Infrastructure (NZS 4044:2010) defines a freeboard as a provision for flood level design estimate imprecision, construction tolerances, and natural phenomena (such as waves, debris, aggradations, channel transition and bend effects) not explicitly included in the calculations (p 25). </w:t>
            </w:r>
            <w:r w:rsidR="68708666" w:rsidRPr="00F03917">
              <w:t>Similarly, in the </w:t>
            </w:r>
            <w:r w:rsidR="7A0B555D" w:rsidRPr="00F03917">
              <w:t>b</w:t>
            </w:r>
            <w:r w:rsidR="68708666" w:rsidRPr="00F03917">
              <w:t xml:space="preserve">uilding </w:t>
            </w:r>
            <w:r w:rsidR="0574F381" w:rsidRPr="00F03917">
              <w:t>p</w:t>
            </w:r>
            <w:r w:rsidR="68708666" w:rsidRPr="00F03917">
              <w:t>erformance</w:t>
            </w:r>
            <w:r w:rsidRPr="00F03917">
              <w:t xml:space="preserve"> </w:t>
            </w:r>
            <w:r w:rsidR="00BE6B94" w:rsidRPr="00F03917">
              <w:t>N</w:t>
            </w:r>
            <w:r w:rsidR="003A2FE0" w:rsidRPr="00F03917">
              <w:t xml:space="preserve">atural </w:t>
            </w:r>
            <w:r w:rsidR="00BE6B94" w:rsidRPr="00F03917">
              <w:t>H</w:t>
            </w:r>
            <w:r w:rsidR="003A2FE0" w:rsidRPr="00F03917">
              <w:t xml:space="preserve">azard </w:t>
            </w:r>
            <w:r w:rsidR="00BE6B94" w:rsidRPr="00F03917">
              <w:t>P</w:t>
            </w:r>
            <w:r w:rsidR="003A2FE0" w:rsidRPr="00F03917">
              <w:t>rovisions</w:t>
            </w:r>
            <w:r w:rsidRPr="00F03917">
              <w:t xml:space="preserve"> guidance (MBIE, 2023), freeboard is added to account for any uncertainties associated with historical hazard data and hydraulic assessments, and other environmental factors</w:t>
            </w:r>
            <w:r w:rsidR="32A08EB6" w:rsidRPr="00F03917">
              <w:t>,</w:t>
            </w:r>
            <w:r w:rsidRPr="00F03917">
              <w:t xml:space="preserve"> such as the effect of wave action generated by vehicles in flooded streets. Note: freeboard should not be used to cover for uncertainty in </w:t>
            </w:r>
            <w:r w:rsidR="79809F53" w:rsidRPr="00F03917">
              <w:t>relative sea-level rise (</w:t>
            </w:r>
            <w:r w:rsidRPr="00F03917">
              <w:t>RSLR</w:t>
            </w:r>
            <w:r w:rsidR="26B9FDB2" w:rsidRPr="00F03917">
              <w:t>)</w:t>
            </w:r>
            <w:r w:rsidRPr="00F03917">
              <w:t xml:space="preserve"> and climate change effects</w:t>
            </w:r>
            <w:r w:rsidR="503840E3" w:rsidRPr="00F03917">
              <w:rPr>
                <w:color w:val="1C556C" w:themeColor="accent1"/>
              </w:rPr>
              <w:t>,</w:t>
            </w:r>
            <w:r w:rsidR="1EE074E6" w:rsidRPr="00F03917">
              <w:t xml:space="preserve"> </w:t>
            </w:r>
            <w:r w:rsidRPr="00F03917">
              <w:t xml:space="preserve">rather use the recommended RSLR </w:t>
            </w:r>
            <w:r w:rsidR="00B634CC" w:rsidRPr="00F03917">
              <w:t>projection</w:t>
            </w:r>
            <w:r w:rsidRPr="00F03917">
              <w:t xml:space="preserve">s </w:t>
            </w:r>
            <w:r w:rsidR="1EE074E6" w:rsidRPr="00F03917">
              <w:t>or increments of RSLR</w:t>
            </w:r>
            <w:r w:rsidR="00A225EC" w:rsidRPr="00F03917">
              <w:t xml:space="preserve"> </w:t>
            </w:r>
            <w:r w:rsidR="00ED5990" w:rsidRPr="00F03917">
              <w:t>(</w:t>
            </w:r>
            <w:hyperlink w:anchor="table6" w:history="1">
              <w:r w:rsidR="00ED5990" w:rsidRPr="00F03917">
                <w:rPr>
                  <w:rStyle w:val="Hyperlink"/>
                  <w:szCs w:val="20"/>
                </w:rPr>
                <w:t>table 6</w:t>
              </w:r>
            </w:hyperlink>
            <w:r w:rsidR="00ED5990" w:rsidRPr="00F03917">
              <w:t xml:space="preserve"> and </w:t>
            </w:r>
            <w:hyperlink w:anchor="table7" w:history="1">
              <w:r w:rsidR="00ED5990" w:rsidRPr="00F03917">
                <w:rPr>
                  <w:rStyle w:val="Hyperlink"/>
                  <w:szCs w:val="20"/>
                </w:rPr>
                <w:t xml:space="preserve">table </w:t>
              </w:r>
              <w:r w:rsidR="006023C1" w:rsidRPr="00F03917">
                <w:rPr>
                  <w:rStyle w:val="Hyperlink"/>
                  <w:szCs w:val="20"/>
                </w:rPr>
                <w:t>7</w:t>
              </w:r>
            </w:hyperlink>
            <w:r w:rsidR="68708666" w:rsidRPr="00F03917" w:rsidDel="00936B14">
              <w:t>)</w:t>
            </w:r>
            <w:r w:rsidRPr="00F03917">
              <w:t xml:space="preserve"> and apply separately to the flood hazard </w:t>
            </w:r>
            <w:r w:rsidR="301633BD" w:rsidRPr="00F03917">
              <w:rPr>
                <w:color w:val="1C556C" w:themeColor="accent1"/>
              </w:rPr>
              <w:t>levels</w:t>
            </w:r>
            <w:r w:rsidR="301633BD" w:rsidRPr="00F03917">
              <w:t xml:space="preserve"> </w:t>
            </w:r>
            <w:r w:rsidRPr="00F03917">
              <w:rPr>
                <w:color w:val="1C556C" w:themeColor="accent1"/>
              </w:rPr>
              <w:t>before applying the freeboard.</w:t>
            </w:r>
          </w:p>
          <w:p w14:paraId="545F09C5" w14:textId="3B3EBA3B" w:rsidR="00461120" w:rsidRPr="00F03917" w:rsidRDefault="00461120" w:rsidP="000F1095">
            <w:pPr>
              <w:pStyle w:val="Boxtext"/>
              <w:spacing w:after="0"/>
              <w:rPr>
                <w:color w:val="1C556C"/>
              </w:rPr>
            </w:pPr>
            <w:r w:rsidRPr="00F03917">
              <w:t>Freeboard allowances for ‘habitable’ dwellings currently range from 0.3 metres</w:t>
            </w:r>
            <w:r w:rsidR="76C49566" w:rsidRPr="00F03917">
              <w:t xml:space="preserve"> to</w:t>
            </w:r>
            <w:r w:rsidR="27397F0B" w:rsidRPr="00F03917">
              <w:t xml:space="preserve"> </w:t>
            </w:r>
            <w:r w:rsidR="68708666" w:rsidRPr="00F03917">
              <w:t>0.5 metres.</w:t>
            </w:r>
            <w:r w:rsidRPr="00F03917">
              <w:t xml:space="preserve"> The freeboard to be applied relates to the level of confidence in the coastal flood level estimates, as well as other matters described in NZS 4044:2010. </w:t>
            </w:r>
          </w:p>
          <w:p w14:paraId="5D06B56A" w14:textId="0885D86C" w:rsidR="00461120" w:rsidRPr="00F03917" w:rsidRDefault="00461120" w:rsidP="000F1095">
            <w:pPr>
              <w:pStyle w:val="Boxtext"/>
              <w:spacing w:after="0"/>
              <w:rPr>
                <w:color w:val="1C556C"/>
              </w:rPr>
            </w:pPr>
            <w:r w:rsidRPr="00F03917">
              <w:t xml:space="preserve">Section 4.3.5.1 of the standard recommends that the secondary stormwater system flood level is based on a 1 per cent </w:t>
            </w:r>
            <w:r w:rsidR="628BAB50" w:rsidRPr="00F03917">
              <w:t>annual exceedance probability (</w:t>
            </w:r>
            <w:r w:rsidRPr="00F03917">
              <w:t>AEP</w:t>
            </w:r>
            <w:r w:rsidR="69EB19BF" w:rsidRPr="00F03917">
              <w:t>)</w:t>
            </w:r>
            <w:r w:rsidRPr="00F03917">
              <w:t xml:space="preserve"> storm and is similarly noted in </w:t>
            </w:r>
            <w:r w:rsidR="52396E07" w:rsidRPr="00F03917">
              <w:t xml:space="preserve">the </w:t>
            </w:r>
            <w:r w:rsidR="003161C5" w:rsidRPr="00F03917">
              <w:t xml:space="preserve">Ministry of Business, Innovation and Employment </w:t>
            </w:r>
            <w:r w:rsidR="00490C57" w:rsidRPr="00F03917">
              <w:t>(</w:t>
            </w:r>
            <w:r w:rsidRPr="00F03917">
              <w:t>MBIE</w:t>
            </w:r>
            <w:r w:rsidR="00490C57" w:rsidRPr="00F03917">
              <w:t>)</w:t>
            </w:r>
            <w:r w:rsidRPr="00F03917">
              <w:t xml:space="preserve"> (2023) guidance. The focus is on</w:t>
            </w:r>
            <w:r w:rsidR="00D41490" w:rsidRPr="00F03917">
              <w:t xml:space="preserve"> </w:t>
            </w:r>
            <w:r w:rsidRPr="00F03917">
              <w:t>flooding from the upstream catchment, rather than from the sea. However, flooding from coastal storm inundation is different from catchment flooding. To account for this</w:t>
            </w:r>
            <w:r w:rsidR="31DA14F7" w:rsidRPr="00F03917">
              <w:t>,</w:t>
            </w:r>
            <w:r w:rsidRPr="00F03917">
              <w:t xml:space="preserve"> an additional allowance for RSLR is required on top of the </w:t>
            </w:r>
            <w:r w:rsidR="00631AD5" w:rsidRPr="00F03917">
              <w:t>current</w:t>
            </w:r>
            <w:r w:rsidRPr="00F03917">
              <w:t xml:space="preserve"> 1 per cent AEP probability. </w:t>
            </w:r>
            <w:r w:rsidR="00F518DC" w:rsidRPr="00F03917">
              <w:t>While NZS 4040:2010 does</w:t>
            </w:r>
            <w:r w:rsidR="00B01DBA" w:rsidRPr="00F03917">
              <w:t xml:space="preserve"> </w:t>
            </w:r>
            <w:r w:rsidR="00F518DC" w:rsidRPr="00F03917">
              <w:t>n</w:t>
            </w:r>
            <w:r w:rsidR="00B01DBA" w:rsidRPr="00F03917">
              <w:t>o</w:t>
            </w:r>
            <w:r w:rsidR="00F518DC" w:rsidRPr="00F03917">
              <w:t xml:space="preserve">t specify what </w:t>
            </w:r>
            <w:r w:rsidR="00E36E89" w:rsidRPr="00F03917">
              <w:t>sea-level rise</w:t>
            </w:r>
            <w:r w:rsidR="00F518DC" w:rsidRPr="00F03917">
              <w:t xml:space="preserve"> or RSLR projection or timeframe to </w:t>
            </w:r>
            <w:r w:rsidR="00F518DC" w:rsidRPr="00F03917">
              <w:rPr>
                <w:spacing w:val="-2"/>
              </w:rPr>
              <w:t>use, for consistency in application to coastal areas, the recommended range of RSLR projection</w:t>
            </w:r>
            <w:r w:rsidR="00F518DC" w:rsidRPr="00F03917">
              <w:t>s in this guidance over at least 100 years should be assessed for land development projects.</w:t>
            </w:r>
          </w:p>
          <w:p w14:paraId="2B49D684" w14:textId="3A0C21FD" w:rsidR="00461120" w:rsidRPr="00F03917" w:rsidRDefault="00461120" w:rsidP="000F1095">
            <w:pPr>
              <w:pStyle w:val="Boxtext"/>
              <w:rPr>
                <w:color w:val="1C556C"/>
              </w:rPr>
            </w:pPr>
            <w:r w:rsidRPr="00F03917">
              <w:t>For coastal storm flooding assessments, the ‘top water level’ should include storm tide plus the wave setup (in estuaries or open coasts exposed to waves). Wave runup</w:t>
            </w:r>
            <w:r w:rsidR="57AA43AD" w:rsidRPr="00F03917">
              <w:t>,</w:t>
            </w:r>
            <w:r w:rsidRPr="00F03917">
              <w:t xml:space="preserve"> which is more intermittent</w:t>
            </w:r>
            <w:r w:rsidR="12E1363D" w:rsidRPr="00F03917">
              <w:t>,</w:t>
            </w:r>
            <w:r w:rsidRPr="00F03917">
              <w:t xml:space="preserve"> should not be included in the calculation of the peak coastal flood level, but an additional wave runup allowance should be considered separately in exposed areas to ascertain its dynamic effects, as described in </w:t>
            </w:r>
            <w:hyperlink w:anchor="_Supplements" w:history="1">
              <w:r w:rsidR="007B24AC" w:rsidRPr="00F03917">
                <w:rPr>
                  <w:rStyle w:val="Hyperlink"/>
                  <w:i/>
                  <w:iCs/>
                </w:rPr>
                <w:t>Climate change, sea-level rise and coastal hazards science: Coastal hazards and climate change guidance – Supplement A</w:t>
              </w:r>
            </w:hyperlink>
            <w:r w:rsidR="0079668F" w:rsidRPr="00F03917">
              <w:t>.</w:t>
            </w:r>
          </w:p>
          <w:p w14:paraId="763A69B4" w14:textId="11E7C849" w:rsidR="00F668F6" w:rsidRPr="00F03917" w:rsidRDefault="00F668F6" w:rsidP="000F1095">
            <w:pPr>
              <w:pStyle w:val="Boxtext"/>
              <w:spacing w:after="0"/>
              <w:rPr>
                <w:b/>
                <w:bCs/>
              </w:rPr>
            </w:pPr>
            <w:r w:rsidRPr="00F03917">
              <w:rPr>
                <w:b/>
                <w:bCs/>
              </w:rPr>
              <w:t>Incorporating climate change with</w:t>
            </w:r>
            <w:r w:rsidR="00227E1C" w:rsidRPr="00F03917">
              <w:rPr>
                <w:b/>
                <w:bCs/>
              </w:rPr>
              <w:t>in</w:t>
            </w:r>
            <w:r w:rsidRPr="00F03917">
              <w:rPr>
                <w:b/>
                <w:bCs/>
              </w:rPr>
              <w:t xml:space="preserve"> the </w:t>
            </w:r>
            <w:r w:rsidR="004257D2" w:rsidRPr="00F03917">
              <w:rPr>
                <w:b/>
                <w:bCs/>
              </w:rPr>
              <w:t>B</w:t>
            </w:r>
            <w:r w:rsidRPr="00F03917">
              <w:rPr>
                <w:b/>
                <w:bCs/>
              </w:rPr>
              <w:t xml:space="preserve">uilding </w:t>
            </w:r>
            <w:r w:rsidR="004257D2" w:rsidRPr="00F03917">
              <w:rPr>
                <w:b/>
                <w:bCs/>
              </w:rPr>
              <w:t>C</w:t>
            </w:r>
            <w:r w:rsidRPr="00F03917">
              <w:rPr>
                <w:b/>
                <w:bCs/>
              </w:rPr>
              <w:t>ode</w:t>
            </w:r>
          </w:p>
          <w:p w14:paraId="39F616D7" w14:textId="776C3F86" w:rsidR="00F668F6" w:rsidRPr="00F03917" w:rsidRDefault="595D7122" w:rsidP="000F1095">
            <w:pPr>
              <w:pStyle w:val="Boxtext"/>
              <w:spacing w:after="0"/>
              <w:rPr>
                <w:szCs w:val="20"/>
              </w:rPr>
            </w:pPr>
            <w:r w:rsidRPr="00F03917">
              <w:rPr>
                <w:color w:val="1C556C" w:themeColor="accent1"/>
                <w:szCs w:val="20"/>
              </w:rPr>
              <w:t>The</w:t>
            </w:r>
            <w:r w:rsidR="00F668F6" w:rsidRPr="00F03917">
              <w:rPr>
                <w:color w:val="1C556C" w:themeColor="accent1"/>
                <w:szCs w:val="20"/>
              </w:rPr>
              <w:t xml:space="preserve"> Building Act</w:t>
            </w:r>
            <w:r w:rsidR="4CB1C6A6" w:rsidRPr="00F03917">
              <w:rPr>
                <w:color w:val="1C556C" w:themeColor="accent1"/>
                <w:szCs w:val="20"/>
              </w:rPr>
              <w:t xml:space="preserve"> </w:t>
            </w:r>
            <w:r w:rsidR="1AF75046" w:rsidRPr="00F03917">
              <w:rPr>
                <w:color w:val="1C556C" w:themeColor="accent1"/>
                <w:szCs w:val="20"/>
              </w:rPr>
              <w:t>2004</w:t>
            </w:r>
            <w:r w:rsidR="00F668F6" w:rsidRPr="00F03917">
              <w:rPr>
                <w:color w:val="1C556C" w:themeColor="accent1"/>
                <w:szCs w:val="20"/>
              </w:rPr>
              <w:t xml:space="preserve"> requires the effect of the building work on a natural hazard</w:t>
            </w:r>
            <w:r w:rsidR="0057703B" w:rsidRPr="00F03917">
              <w:rPr>
                <w:color w:val="1C556C" w:themeColor="accent1"/>
                <w:szCs w:val="20"/>
              </w:rPr>
              <w:t xml:space="preserve"> </w:t>
            </w:r>
            <w:r w:rsidR="00871BF8" w:rsidRPr="00F03917">
              <w:rPr>
                <w:color w:val="1C556C" w:themeColor="accent1"/>
                <w:szCs w:val="20"/>
              </w:rPr>
              <w:t>to be</w:t>
            </w:r>
            <w:r w:rsidR="0057703B" w:rsidRPr="00F03917">
              <w:rPr>
                <w:color w:val="1C556C" w:themeColor="accent1"/>
                <w:szCs w:val="20"/>
              </w:rPr>
              <w:t xml:space="preserve"> considered</w:t>
            </w:r>
            <w:r w:rsidR="00F668F6" w:rsidRPr="00F03917">
              <w:rPr>
                <w:color w:val="1C556C" w:themeColor="accent1"/>
                <w:szCs w:val="20"/>
              </w:rPr>
              <w:t xml:space="preserve"> and how </w:t>
            </w:r>
            <w:r w:rsidR="00781AF7" w:rsidRPr="00F03917">
              <w:rPr>
                <w:color w:val="1C556C" w:themeColor="accent1"/>
                <w:szCs w:val="20"/>
              </w:rPr>
              <w:t>to</w:t>
            </w:r>
            <w:r w:rsidR="00F668F6" w:rsidRPr="00F03917">
              <w:rPr>
                <w:color w:val="1C556C" w:themeColor="accent1"/>
                <w:szCs w:val="20"/>
              </w:rPr>
              <w:t xml:space="preserve"> protect the land, building and other property when undertaking building work on land subject to a natural hazard. In some cases, building work can still take place but there may a requirement for a notice to be placed on the record of title for the property so future owners are aware that the land is subject to a natural hazard. When building on land that might be subject to a natural hazard</w:t>
            </w:r>
            <w:r w:rsidR="008D2FE2" w:rsidRPr="00F03917">
              <w:rPr>
                <w:color w:val="1C556C" w:themeColor="accent1"/>
                <w:szCs w:val="20"/>
              </w:rPr>
              <w:t>,</w:t>
            </w:r>
            <w:r w:rsidR="00F668F6" w:rsidRPr="00F03917">
              <w:rPr>
                <w:color w:val="1C556C" w:themeColor="accent1"/>
                <w:szCs w:val="20"/>
              </w:rPr>
              <w:t xml:space="preserve"> both the requirements of the resource management system and the Building Act</w:t>
            </w:r>
            <w:r w:rsidR="7732BB9E" w:rsidRPr="00F03917">
              <w:rPr>
                <w:color w:val="1C556C" w:themeColor="accent1"/>
                <w:szCs w:val="20"/>
              </w:rPr>
              <w:t xml:space="preserve"> 2004</w:t>
            </w:r>
            <w:r w:rsidR="00BD61B8" w:rsidRPr="00F03917">
              <w:rPr>
                <w:color w:val="1C556C" w:themeColor="accent1"/>
                <w:szCs w:val="20"/>
              </w:rPr>
              <w:t xml:space="preserve"> may need to be considered</w:t>
            </w:r>
            <w:r w:rsidR="00F668F6" w:rsidRPr="00F03917">
              <w:rPr>
                <w:color w:val="1C556C" w:themeColor="accent1"/>
                <w:szCs w:val="20"/>
              </w:rPr>
              <w:t>.</w:t>
            </w:r>
            <w:r w:rsidR="00977ED4" w:rsidRPr="00F03917">
              <w:rPr>
                <w:color w:val="1C556C" w:themeColor="accent1"/>
                <w:szCs w:val="20"/>
              </w:rPr>
              <w:t xml:space="preserve"> </w:t>
            </w:r>
          </w:p>
          <w:p w14:paraId="30D6FC51" w14:textId="4B2F3A16" w:rsidR="00F668F6" w:rsidRPr="00F03917" w:rsidRDefault="00F668F6" w:rsidP="000F1095">
            <w:pPr>
              <w:pStyle w:val="Boxtext"/>
              <w:rPr>
                <w:color w:val="1C556C" w:themeColor="accent1"/>
                <w:szCs w:val="20"/>
              </w:rPr>
            </w:pPr>
            <w:r w:rsidRPr="00F03917">
              <w:rPr>
                <w:color w:val="1C556C" w:themeColor="accent1"/>
                <w:szCs w:val="20"/>
              </w:rPr>
              <w:t xml:space="preserve">The Building Code sets clear </w:t>
            </w:r>
            <w:r w:rsidR="19CADCDA" w:rsidRPr="00F03917">
              <w:rPr>
                <w:color w:val="1C556C" w:themeColor="accent1"/>
                <w:szCs w:val="20"/>
              </w:rPr>
              <w:t xml:space="preserve">requirements </w:t>
            </w:r>
            <w:r w:rsidR="6B6405E0" w:rsidRPr="00F03917">
              <w:rPr>
                <w:color w:val="1C556C" w:themeColor="accent1"/>
                <w:szCs w:val="20"/>
              </w:rPr>
              <w:t>that</w:t>
            </w:r>
            <w:r w:rsidR="19CADCDA" w:rsidRPr="00F03917">
              <w:rPr>
                <w:color w:val="1C556C" w:themeColor="accent1"/>
                <w:szCs w:val="20"/>
              </w:rPr>
              <w:t xml:space="preserve"> buildings must comply with.</w:t>
            </w:r>
            <w:r w:rsidRPr="00F03917">
              <w:rPr>
                <w:color w:val="1C556C" w:themeColor="accent1"/>
                <w:szCs w:val="20"/>
              </w:rPr>
              <w:t xml:space="preserve"> When considering coastal hazards management</w:t>
            </w:r>
            <w:r w:rsidR="7023C65D" w:rsidRPr="00F03917">
              <w:rPr>
                <w:color w:val="1C556C" w:themeColor="accent1"/>
                <w:szCs w:val="20"/>
              </w:rPr>
              <w:t>,</w:t>
            </w:r>
            <w:r w:rsidRPr="00F03917">
              <w:rPr>
                <w:color w:val="1C556C" w:themeColor="accent1"/>
                <w:szCs w:val="20"/>
              </w:rPr>
              <w:t xml:space="preserve"> the main Building Code clauses that relate to water ingress will be particularly relevant</w:t>
            </w:r>
            <w:r w:rsidR="00C94867" w:rsidRPr="00F03917">
              <w:rPr>
                <w:color w:val="1C556C" w:themeColor="accent1"/>
                <w:szCs w:val="20"/>
              </w:rPr>
              <w:t>.</w:t>
            </w:r>
            <w:r w:rsidRPr="00F03917">
              <w:rPr>
                <w:color w:val="1C556C" w:themeColor="accent1"/>
                <w:szCs w:val="20"/>
              </w:rPr>
              <w:t xml:space="preserve"> </w:t>
            </w:r>
            <w:r w:rsidR="00C94867" w:rsidRPr="00F03917">
              <w:rPr>
                <w:color w:val="1C556C" w:themeColor="accent1"/>
                <w:szCs w:val="20"/>
              </w:rPr>
              <w:t>T</w:t>
            </w:r>
            <w:r w:rsidRPr="00F03917">
              <w:rPr>
                <w:color w:val="1C556C" w:themeColor="accent1"/>
                <w:szCs w:val="20"/>
              </w:rPr>
              <w:t xml:space="preserve">hese </w:t>
            </w:r>
            <w:r w:rsidR="00E42E87" w:rsidRPr="00F03917">
              <w:rPr>
                <w:color w:val="1C556C" w:themeColor="accent1"/>
                <w:szCs w:val="20"/>
              </w:rPr>
              <w:t>clauses</w:t>
            </w:r>
            <w:r w:rsidR="00185E53" w:rsidRPr="00F03917">
              <w:rPr>
                <w:color w:val="1C556C" w:themeColor="accent1"/>
                <w:szCs w:val="20"/>
              </w:rPr>
              <w:t xml:space="preserve"> are</w:t>
            </w:r>
            <w:r w:rsidR="00E42E87" w:rsidRPr="00F03917">
              <w:rPr>
                <w:color w:val="1C556C" w:themeColor="accent1"/>
                <w:szCs w:val="20"/>
              </w:rPr>
              <w:t>:</w:t>
            </w:r>
            <w:r w:rsidRPr="00F03917">
              <w:rPr>
                <w:color w:val="1C556C" w:themeColor="accent1"/>
                <w:szCs w:val="20"/>
              </w:rPr>
              <w:t xml:space="preserve"> E1 Surface water, E2 </w:t>
            </w:r>
            <w:r w:rsidR="52C06476" w:rsidRPr="00F03917">
              <w:rPr>
                <w:color w:val="1C556C" w:themeColor="accent1"/>
                <w:szCs w:val="20"/>
              </w:rPr>
              <w:t>E</w:t>
            </w:r>
            <w:r w:rsidR="334A1AB7" w:rsidRPr="00F03917">
              <w:rPr>
                <w:color w:val="1C556C" w:themeColor="accent1"/>
                <w:szCs w:val="20"/>
              </w:rPr>
              <w:t>xternal</w:t>
            </w:r>
            <w:r w:rsidRPr="00F03917">
              <w:rPr>
                <w:color w:val="1C556C" w:themeColor="accent1"/>
                <w:szCs w:val="20"/>
              </w:rPr>
              <w:t xml:space="preserve"> moisture, E3 Internal moisture</w:t>
            </w:r>
            <w:r w:rsidR="52C06476" w:rsidRPr="00F03917">
              <w:rPr>
                <w:color w:val="1C556C" w:themeColor="accent1"/>
                <w:szCs w:val="20"/>
              </w:rPr>
              <w:t>,</w:t>
            </w:r>
            <w:r w:rsidRPr="00F03917">
              <w:rPr>
                <w:color w:val="1C556C" w:themeColor="accent1"/>
                <w:szCs w:val="20"/>
              </w:rPr>
              <w:t xml:space="preserve"> B1 Structure and B2 Durability.</w:t>
            </w:r>
          </w:p>
          <w:p w14:paraId="4667F8F0" w14:textId="2C6D46AF" w:rsidR="00AD454C" w:rsidRPr="00F03917" w:rsidRDefault="22F7BC3A" w:rsidP="000F1095">
            <w:pPr>
              <w:pStyle w:val="Boxtext"/>
              <w:spacing w:after="0"/>
              <w:rPr>
                <w:color w:val="1C556C"/>
              </w:rPr>
            </w:pPr>
            <w:r w:rsidRPr="00F03917">
              <w:lastRenderedPageBreak/>
              <w:t>Clause E1 of the Building Code includes mandatory provisions for all new building work to manage surface water, where</w:t>
            </w:r>
            <w:r w:rsidR="79CECDB7" w:rsidRPr="00F03917">
              <w:t>,</w:t>
            </w:r>
            <w:r w:rsidRPr="00F03917">
              <w:t xml:space="preserve"> for a 2 per cent AEP flood, it shall not enter a building. If there is no requirement under district and regional plans for resource consents in relation to surface water inundation of properties and buildings in coastal areas, the following generic guidance is aligned with the MBIE guidance</w:t>
            </w:r>
            <w:r w:rsidR="00DC638B" w:rsidRPr="00F03917">
              <w:t xml:space="preserve"> on </w:t>
            </w:r>
            <w:r w:rsidR="00BE6B94" w:rsidRPr="00F03917">
              <w:t>N</w:t>
            </w:r>
            <w:r w:rsidR="00DC638B" w:rsidRPr="00F03917">
              <w:t xml:space="preserve">atural </w:t>
            </w:r>
            <w:r w:rsidR="00BE6B94" w:rsidRPr="00F03917">
              <w:t>H</w:t>
            </w:r>
            <w:r w:rsidR="00DC638B" w:rsidRPr="00F03917">
              <w:t xml:space="preserve">azard </w:t>
            </w:r>
            <w:r w:rsidR="00BE6B94" w:rsidRPr="00F03917">
              <w:t>P</w:t>
            </w:r>
            <w:r w:rsidR="00DC638B" w:rsidRPr="00F03917">
              <w:t>rovisions (MBIE, 2023)</w:t>
            </w:r>
            <w:r w:rsidR="00AD454C" w:rsidRPr="00F03917">
              <w:t>.</w:t>
            </w:r>
            <w:r w:rsidR="00977ED4" w:rsidRPr="00F03917">
              <w:t xml:space="preserve"> </w:t>
            </w:r>
          </w:p>
          <w:p w14:paraId="1DC5FCA9" w14:textId="3127F619" w:rsidR="00AD454C" w:rsidRPr="00F03917" w:rsidRDefault="22F7BC3A" w:rsidP="000F1095">
            <w:pPr>
              <w:pStyle w:val="Boxtext"/>
              <w:spacing w:after="0"/>
              <w:rPr>
                <w:color w:val="1C556C"/>
              </w:rPr>
            </w:pPr>
            <w:r w:rsidRPr="00F03917">
              <w:t>What constitutes a flood with a 2 per cent AEP may change over time because of climate change. A flood that has a 2 per cent AEP today will be a different size flood than would have had a 2 per cent chance of happening 50 years ago or in 50 years’ time (MBIE, 2023).</w:t>
            </w:r>
            <w:r w:rsidR="00D34770" w:rsidRPr="00F03917">
              <w:t xml:space="preserve"> </w:t>
            </w:r>
            <w:r w:rsidRPr="00F03917">
              <w:t xml:space="preserve">Consequently, include an allowance for rising coastal and compound flood hazards and the effects from climate change (eg, storm surge, waves, rainfall intensity) to check such surface waters do not enter the building over </w:t>
            </w:r>
            <w:r w:rsidR="00AD454C" w:rsidRPr="00F03917">
              <w:t>its</w:t>
            </w:r>
            <w:r w:rsidRPr="00F03917">
              <w:t xml:space="preserve"> lifetime. Use the 2 per cent AEP flood levels expected at the end of the building life (not the current hazard exposure). The minimum life is 50 years, however, the economic life of a building is generally considered to be between 75 </w:t>
            </w:r>
            <w:r w:rsidR="5ADDEE80" w:rsidRPr="00F03917">
              <w:t xml:space="preserve">years </w:t>
            </w:r>
            <w:r w:rsidRPr="00F03917">
              <w:t>to 80</w:t>
            </w:r>
            <w:r w:rsidR="00424BE0" w:rsidRPr="00F03917">
              <w:t> </w:t>
            </w:r>
            <w:r w:rsidRPr="00F03917">
              <w:t xml:space="preserve">years (MBIE, 2023). </w:t>
            </w:r>
          </w:p>
          <w:p w14:paraId="039AFE28" w14:textId="0F8C6827" w:rsidR="003D6B15" w:rsidRPr="00F03917" w:rsidRDefault="22F7BC3A" w:rsidP="007A05CF">
            <w:pPr>
              <w:pStyle w:val="Boxtext"/>
              <w:spacing w:after="180"/>
              <w:rPr>
                <w:color w:val="1C556C"/>
              </w:rPr>
            </w:pPr>
            <w:r w:rsidRPr="00F03917">
              <w:t xml:space="preserve">The flood hazard assessment should use RSLR applicable at the end of the lifetime, which includes </w:t>
            </w:r>
            <w:r w:rsidR="63A451A3" w:rsidRPr="00F03917">
              <w:t>vertical land movement</w:t>
            </w:r>
            <w:r w:rsidRPr="00F03917">
              <w:t xml:space="preserve">, </w:t>
            </w:r>
            <w:r w:rsidR="0F61A246" w:rsidRPr="00F03917">
              <w:t>because</w:t>
            </w:r>
            <w:r w:rsidRPr="00F03917">
              <w:t xml:space="preserve"> it directly affects future coastal flood levels at a locality or on a property. By 2075 (for a minimum 50-year life), a </w:t>
            </w:r>
            <w:r w:rsidR="19043C8F" w:rsidRPr="00F03917">
              <w:t>sea-level rise</w:t>
            </w:r>
            <w:r w:rsidRPr="00F03917">
              <w:t xml:space="preserve"> allowance of at</w:t>
            </w:r>
            <w:r w:rsidR="00424BE0" w:rsidRPr="00F03917">
              <w:t> </w:t>
            </w:r>
            <w:r w:rsidRPr="00F03917">
              <w:t xml:space="preserve">least 0.5 metres by 2075 (before including </w:t>
            </w:r>
            <w:r w:rsidR="4D1653FA" w:rsidRPr="00F03917">
              <w:t>vertical land movement</w:t>
            </w:r>
            <w:r w:rsidRPr="00F03917">
              <w:t xml:space="preserve">) for a SSP5-8.5 M projection could be used, the same as the interim RSLR allowance for category D in </w:t>
            </w:r>
            <w:hyperlink w:anchor="table8" w:history="1">
              <w:r w:rsidR="19B8F883" w:rsidRPr="00F03917">
                <w:rPr>
                  <w:rStyle w:val="Hyperlink"/>
                </w:rPr>
                <w:t>t</w:t>
              </w:r>
              <w:r w:rsidRPr="00F03917">
                <w:rPr>
                  <w:rStyle w:val="Hyperlink"/>
                </w:rPr>
                <w:t xml:space="preserve">able </w:t>
              </w:r>
              <w:r w:rsidR="00AE4714" w:rsidRPr="00F03917">
                <w:rPr>
                  <w:rStyle w:val="Hyperlink"/>
                </w:rPr>
                <w:t>8</w:t>
              </w:r>
            </w:hyperlink>
            <w:r w:rsidRPr="00F03917">
              <w:t>.</w:t>
            </w:r>
          </w:p>
        </w:tc>
      </w:tr>
    </w:tbl>
    <w:p w14:paraId="2E4F6D13" w14:textId="676A09C7" w:rsidR="00F9551E" w:rsidRPr="00F03917" w:rsidRDefault="00523467" w:rsidP="00424BE0">
      <w:pPr>
        <w:pStyle w:val="Heading5"/>
        <w:spacing w:before="360"/>
      </w:pPr>
      <w:r w:rsidRPr="00F03917">
        <w:lastRenderedPageBreak/>
        <w:t>Assess c</w:t>
      </w:r>
      <w:r w:rsidR="00F9551E" w:rsidRPr="00F03917">
        <w:t>oastal erosion</w:t>
      </w:r>
    </w:p>
    <w:p w14:paraId="29802AA7" w14:textId="45F76306" w:rsidR="00F9551E" w:rsidRPr="00F03917" w:rsidRDefault="0001025B" w:rsidP="007A05CF">
      <w:pPr>
        <w:pStyle w:val="BodyText"/>
        <w:spacing w:before="100" w:after="100"/>
        <w:rPr>
          <w:rFonts w:eastAsia="MS Mincho"/>
        </w:rPr>
      </w:pPr>
      <w:r w:rsidRPr="00F03917">
        <w:t xml:space="preserve">Projections of future shoreline changes for cliffs, inlets and beaches </w:t>
      </w:r>
      <w:r w:rsidR="000F5404" w:rsidRPr="00F03917">
        <w:t>are</w:t>
      </w:r>
      <w:r w:rsidRPr="00F03917">
        <w:t xml:space="preserve"> challenging, often requiring locally specific modelling (Cooper et al, 2020). Assessment methodologies continue to evolve from simple empirical shoreline equilibrium profile change models (eg</w:t>
      </w:r>
      <w:r w:rsidR="00C77AEC" w:rsidRPr="00F03917">
        <w:t>,</w:t>
      </w:r>
      <w:r w:rsidRPr="00F03917">
        <w:t xml:space="preserve"> Bruun Rule</w:t>
      </w:r>
      <w:r w:rsidR="00EF1176" w:rsidRPr="00F03917">
        <w:t xml:space="preserve">, </w:t>
      </w:r>
      <w:r w:rsidR="00D45F0A" w:rsidRPr="00F03917">
        <w:t>[</w:t>
      </w:r>
      <w:r w:rsidR="00EF1176" w:rsidRPr="00F03917">
        <w:t>Bruun</w:t>
      </w:r>
      <w:r w:rsidR="00D45F0A" w:rsidRPr="00F03917">
        <w:t xml:space="preserve">, </w:t>
      </w:r>
      <w:r w:rsidR="00EF1176" w:rsidRPr="00F03917">
        <w:t>1962</w:t>
      </w:r>
      <w:r w:rsidR="00A015E7" w:rsidRPr="00F03917">
        <w:t>]</w:t>
      </w:r>
      <w:r w:rsidRPr="00F03917">
        <w:t>) to</w:t>
      </w:r>
      <w:r w:rsidR="007A05CF" w:rsidRPr="00F03917">
        <w:t> </w:t>
      </w:r>
      <w:r w:rsidRPr="00F03917">
        <w:t>more complex probabilistic, ensemble or neural network simulations</w:t>
      </w:r>
      <w:r w:rsidR="00BD120D" w:rsidRPr="00F03917">
        <w:t>. These</w:t>
      </w:r>
      <w:r w:rsidRPr="00F03917">
        <w:t xml:space="preserve"> all require different levels and types of local data to ground-truth and tune the models to local conditions and shoreline change in the recent past (</w:t>
      </w:r>
      <w:r w:rsidR="000A7AE3" w:rsidRPr="00F03917">
        <w:t>Cooper et al, 2020</w:t>
      </w:r>
      <w:r w:rsidRPr="00F03917">
        <w:t>; Montaño et al, 2020</w:t>
      </w:r>
      <w:r w:rsidR="000A7AE3" w:rsidRPr="00F03917">
        <w:t>; Splinter and Coco, 2021</w:t>
      </w:r>
      <w:r w:rsidRPr="00F03917">
        <w:t>).</w:t>
      </w:r>
      <w:r w:rsidR="00977ED4" w:rsidRPr="00F03917">
        <w:t xml:space="preserve"> </w:t>
      </w:r>
      <w:r w:rsidR="00FF08AE" w:rsidRPr="00F03917">
        <w:t xml:space="preserve">Depending on the type of shoreline change model or approach used, either RSLR increments or specific RSLR scenario projections maybe more </w:t>
      </w:r>
      <w:r w:rsidR="00B34930" w:rsidRPr="00F03917">
        <w:t>useful</w:t>
      </w:r>
      <w:r w:rsidR="00FF08AE" w:rsidRPr="00F03917">
        <w:t>.</w:t>
      </w:r>
      <w:r w:rsidR="00977ED4" w:rsidRPr="00F03917">
        <w:t xml:space="preserve"> </w:t>
      </w:r>
      <w:r w:rsidR="00FF08AE" w:rsidRPr="00F03917">
        <w:t xml:space="preserve">For example, when employing a probabilistic erosion hazard approach, often simulations are undertaken for a specific RSLR scenario projection. </w:t>
      </w:r>
      <w:r w:rsidR="00F9551E" w:rsidRPr="00F03917">
        <w:t xml:space="preserve">See case study </w:t>
      </w:r>
      <w:r w:rsidR="00D1564E" w:rsidRPr="00F03917">
        <w:t>A.5</w:t>
      </w:r>
      <w:r w:rsidR="00F9551E" w:rsidRPr="00F03917">
        <w:t xml:space="preserve"> (</w:t>
      </w:r>
      <w:hyperlink w:anchor="_Appendix_A:_Coastal">
        <w:r w:rsidR="21E9E9C0" w:rsidRPr="00F03917">
          <w:rPr>
            <w:rStyle w:val="Hyperlink"/>
          </w:rPr>
          <w:t>a</w:t>
        </w:r>
        <w:r w:rsidR="00F9551E" w:rsidRPr="00F03917">
          <w:rPr>
            <w:rStyle w:val="Hyperlink"/>
          </w:rPr>
          <w:t xml:space="preserve">ppendix </w:t>
        </w:r>
        <w:r w:rsidR="00070B89" w:rsidRPr="00F03917">
          <w:rPr>
            <w:rStyle w:val="Hyperlink"/>
          </w:rPr>
          <w:t>A</w:t>
        </w:r>
      </w:hyperlink>
      <w:r w:rsidR="00F9551E" w:rsidRPr="00F03917">
        <w:t>), which assesse</w:t>
      </w:r>
      <w:r w:rsidR="00A62F02" w:rsidRPr="00F03917">
        <w:t>s</w:t>
      </w:r>
      <w:r w:rsidR="00F9551E" w:rsidRPr="00F03917">
        <w:t xml:space="preserve"> coastal erosion hazard zones for Northland. In this example, the probability distribution of the landward extent of an erosion zone was derived for an upper-range SLR </w:t>
      </w:r>
      <w:r w:rsidR="33609E27" w:rsidRPr="00F03917">
        <w:t>projection</w:t>
      </w:r>
      <w:r w:rsidR="00F9551E" w:rsidRPr="00F03917">
        <w:t xml:space="preserve"> (RCP8.5), using the confidence bounds </w:t>
      </w:r>
      <w:r w:rsidR="33609E27" w:rsidRPr="00F03917">
        <w:t xml:space="preserve">of the projections </w:t>
      </w:r>
      <w:r w:rsidR="00F9551E" w:rsidRPr="00F03917">
        <w:t xml:space="preserve">to define the distribution of the effects of SLR on erosion, </w:t>
      </w:r>
      <w:r w:rsidR="31DC11B6" w:rsidRPr="00F03917">
        <w:t>alongside</w:t>
      </w:r>
      <w:r w:rsidR="00F9551E" w:rsidRPr="00F03917">
        <w:t xml:space="preserve"> the other factors (eg, storm cut-back, ongoing long-term trends</w:t>
      </w:r>
      <w:r w:rsidR="33609E27" w:rsidRPr="00F03917">
        <w:t>, stability slope of dunes</w:t>
      </w:r>
      <w:r w:rsidR="00F9551E" w:rsidRPr="00F03917">
        <w:t>).</w:t>
      </w:r>
    </w:p>
    <w:p w14:paraId="604F6FFC" w14:textId="7EA89C27" w:rsidR="00F46973" w:rsidRPr="00F03917" w:rsidRDefault="22E8D6F5" w:rsidP="007A05CF">
      <w:pPr>
        <w:pStyle w:val="BodyText"/>
        <w:spacing w:before="100" w:after="100"/>
      </w:pPr>
      <w:r w:rsidRPr="00F03917">
        <w:t>As described earlier, multiple processes</w:t>
      </w:r>
      <w:r w:rsidR="00F46973" w:rsidRPr="00F03917" w:rsidDel="22E8D6F5">
        <w:t xml:space="preserve"> </w:t>
      </w:r>
      <w:r w:rsidRPr="00F03917">
        <w:t>contribute to the coastal geomorphic response to climate change, besides the underlying RSLR. Coastal erosion can be affected by subtle changes in wave and wind climate and progressive changes in catchment sediment runoff, as well as increases in extreme events. In undertaking coastal beach and cliff erosion assessments using simulations, where possible, build in sensitivity testing for both progressive changes in time (eg, wave direction and height, sediment runoff) and extreme storm cut-back events and their sequencing. As discussed above</w:t>
      </w:r>
      <w:r w:rsidR="002D3875" w:rsidRPr="00F03917">
        <w:t xml:space="preserve"> (see</w:t>
      </w:r>
      <w:r w:rsidR="002D3875" w:rsidRPr="00F03917" w:rsidDel="005035F8">
        <w:t xml:space="preserve"> </w:t>
      </w:r>
      <w:r w:rsidR="005035F8" w:rsidRPr="00F03917">
        <w:t>‘</w:t>
      </w:r>
      <w:hyperlink w:anchor="_Statistical_uncertainty" w:history="1">
        <w:r w:rsidR="002D3875" w:rsidRPr="00F03917">
          <w:rPr>
            <w:rStyle w:val="Hyperlink"/>
          </w:rPr>
          <w:t>Statistical uncertainty</w:t>
        </w:r>
      </w:hyperlink>
      <w:r w:rsidR="005035F8" w:rsidRPr="00F03917">
        <w:t>’</w:t>
      </w:r>
      <w:r w:rsidR="002D3875" w:rsidRPr="00F03917">
        <w:t>)</w:t>
      </w:r>
      <w:r w:rsidRPr="00F03917">
        <w:t xml:space="preserve">, uncertainty </w:t>
      </w:r>
      <w:r w:rsidR="35D94FDA" w:rsidRPr="00F03917">
        <w:t xml:space="preserve">exists </w:t>
      </w:r>
      <w:r w:rsidRPr="00F03917">
        <w:t xml:space="preserve">about the future occurrence of high-intensity storms and their effects on storm surge and waves </w:t>
      </w:r>
      <w:r w:rsidR="21A93EE9" w:rsidRPr="00F03917">
        <w:t>that</w:t>
      </w:r>
      <w:r w:rsidRPr="00F03917">
        <w:t xml:space="preserve"> contribute to coastal erosion, so use the recommend</w:t>
      </w:r>
      <w:r w:rsidR="00B834FA" w:rsidRPr="00F03917">
        <w:t>ed</w:t>
      </w:r>
      <w:r w:rsidRPr="00F03917">
        <w:t xml:space="preserve"> additional sensitivity factors as a precautionary approach.</w:t>
      </w:r>
    </w:p>
    <w:p w14:paraId="31E2AA7C" w14:textId="15F75A9B" w:rsidR="002F127F" w:rsidRPr="00F03917" w:rsidRDefault="005B41AE" w:rsidP="00597AD8">
      <w:pPr>
        <w:pStyle w:val="Heading5"/>
      </w:pPr>
      <w:r w:rsidRPr="00F03917">
        <w:lastRenderedPageBreak/>
        <w:t>Assess c</w:t>
      </w:r>
      <w:r w:rsidR="00103221" w:rsidRPr="00F03917">
        <w:t xml:space="preserve">ompound </w:t>
      </w:r>
      <w:r w:rsidR="00F46973" w:rsidRPr="00F03917">
        <w:t xml:space="preserve">flood </w:t>
      </w:r>
      <w:r w:rsidR="00103221" w:rsidRPr="00F03917">
        <w:t>hazards</w:t>
      </w:r>
    </w:p>
    <w:p w14:paraId="2DC3DB3E" w14:textId="48F6527C" w:rsidR="001F72A9" w:rsidRPr="00F03917" w:rsidRDefault="001F72A9" w:rsidP="00836C8F">
      <w:pPr>
        <w:pStyle w:val="BodyText"/>
        <w:spacing w:before="100" w:after="100"/>
      </w:pPr>
      <w:r w:rsidRPr="00F03917">
        <w:t xml:space="preserve">A risk-based approach to managing coastal hazards requires determination of the probabilities of different hazards </w:t>
      </w:r>
      <w:r w:rsidR="1FB3B2FD" w:rsidRPr="00F03917">
        <w:t xml:space="preserve">and </w:t>
      </w:r>
      <w:r w:rsidR="000F37F0" w:rsidRPr="00F03917">
        <w:t>“</w:t>
      </w:r>
      <w:r w:rsidR="1FB3B2FD" w:rsidRPr="00F03917">
        <w:t xml:space="preserve">taking into account potential </w:t>
      </w:r>
      <w:r w:rsidR="00D0053C" w:rsidRPr="00F03917">
        <w:t>sources</w:t>
      </w:r>
      <w:r w:rsidR="000F37F0" w:rsidRPr="00F03917">
        <w:rPr>
          <w:iCs/>
        </w:rPr>
        <w:t>”</w:t>
      </w:r>
      <w:r w:rsidR="1FB3B2FD" w:rsidRPr="00F03917">
        <w:t xml:space="preserve"> of coastal flooding </w:t>
      </w:r>
      <w:r w:rsidR="0476041D" w:rsidRPr="00F03917">
        <w:t>(Policy 24</w:t>
      </w:r>
      <w:r w:rsidR="387986BB" w:rsidRPr="00F03917">
        <w:t>,</w:t>
      </w:r>
      <w:r w:rsidRPr="00F03917">
        <w:t xml:space="preserve"> NZCPS</w:t>
      </w:r>
      <w:r w:rsidR="000F37F0" w:rsidRPr="00F03917">
        <w:t>, DOC, 2010</w:t>
      </w:r>
      <w:r w:rsidR="005D76F8" w:rsidRPr="00F03917">
        <w:t>, p 23</w:t>
      </w:r>
      <w:r w:rsidRPr="00F03917">
        <w:t xml:space="preserve">), which is more complex for compound hazards. </w:t>
      </w:r>
      <w:r w:rsidR="1AA3DA3D" w:rsidRPr="00F03917">
        <w:t xml:space="preserve">Quantifying and assessing compound flood hazards is challenging but necessary with the increasing frequency of contributing sources combining from climate change and RSLR. </w:t>
      </w:r>
      <w:r w:rsidR="000D2B1C" w:rsidRPr="00F03917">
        <w:t>Consider compound flooding sources, such as the coincidence or close succession of coastal flooding, rainfall</w:t>
      </w:r>
      <w:r w:rsidR="34232E0B" w:rsidRPr="00F03917">
        <w:t xml:space="preserve"> and </w:t>
      </w:r>
      <w:r w:rsidR="000D2B1C" w:rsidRPr="00F03917">
        <w:t xml:space="preserve">stormwater runoff and stream flooding </w:t>
      </w:r>
      <w:r w:rsidR="200C355F" w:rsidRPr="00F03917">
        <w:t>(Stephens and Wu, 2022)</w:t>
      </w:r>
      <w:r w:rsidR="19E1FF86" w:rsidRPr="00F03917">
        <w:t>,</w:t>
      </w:r>
      <w:r w:rsidR="200C355F" w:rsidRPr="00F03917">
        <w:t xml:space="preserve"> </w:t>
      </w:r>
      <w:r w:rsidR="000D2B1C" w:rsidRPr="00F03917">
        <w:t>as well as</w:t>
      </w:r>
      <w:r w:rsidR="200C355F" w:rsidRPr="00F03917">
        <w:t xml:space="preserve"> </w:t>
      </w:r>
      <w:r w:rsidR="000D2B1C" w:rsidRPr="00F03917">
        <w:t xml:space="preserve">estimating a realistic </w:t>
      </w:r>
      <w:r w:rsidR="200C355F" w:rsidRPr="00F03917">
        <w:t>combination</w:t>
      </w:r>
      <w:r w:rsidR="000D2B1C" w:rsidRPr="00F03917">
        <w:t xml:space="preserve"> of these inundation sources </w:t>
      </w:r>
      <w:r w:rsidR="200C355F" w:rsidRPr="00F03917">
        <w:t>coinciding, rather than just considering and mapping these flood sources separately</w:t>
      </w:r>
      <w:r w:rsidR="000D2B1C" w:rsidRPr="00F03917">
        <w:t>.</w:t>
      </w:r>
    </w:p>
    <w:p w14:paraId="36B27F72" w14:textId="7C10CE53" w:rsidR="00582FCE" w:rsidRPr="00F03917" w:rsidRDefault="00582FCE" w:rsidP="00836C8F">
      <w:pPr>
        <w:pStyle w:val="BodyText"/>
        <w:spacing w:before="100" w:after="100"/>
      </w:pPr>
      <w:r w:rsidRPr="00F03917">
        <w:t>Groundwater is often not addressed in coastal hazard assessments and reporting</w:t>
      </w:r>
      <w:r w:rsidR="009205EE" w:rsidRPr="00F03917">
        <w:t>,</w:t>
      </w:r>
      <w:r w:rsidRPr="00F03917">
        <w:t xml:space="preserve"> due to lack of data and uncertainty on future effects from both rainfall and RSLR. Ongoing improvements in integrated surface hydrology</w:t>
      </w:r>
      <w:r w:rsidR="132043C3" w:rsidRPr="00F03917">
        <w:t>,</w:t>
      </w:r>
      <w:r w:rsidRPr="00F03917">
        <w:t xml:space="preserve"> sub-surface groundwater modelling approaches and national water models</w:t>
      </w:r>
      <w:r w:rsidR="00247CF9" w:rsidRPr="00F03917">
        <w:t xml:space="preserve"> </w:t>
      </w:r>
      <w:r w:rsidRPr="00F03917">
        <w:t xml:space="preserve">can </w:t>
      </w:r>
      <w:r w:rsidR="0E35427C" w:rsidRPr="00F03917">
        <w:t>help</w:t>
      </w:r>
      <w:r w:rsidRPr="00F03917">
        <w:t xml:space="preserve"> when addressing compound flooding hazards (Bosserelle et al, 2022).</w:t>
      </w:r>
    </w:p>
    <w:p w14:paraId="5E7EFA22" w14:textId="2A3BF0C5" w:rsidR="00582FCE" w:rsidRPr="00F03917" w:rsidRDefault="00582FCE" w:rsidP="00836C8F">
      <w:pPr>
        <w:pStyle w:val="BodyText"/>
        <w:spacing w:before="100" w:after="100"/>
      </w:pPr>
      <w:r w:rsidRPr="00F03917">
        <w:t xml:space="preserve">While further research and data are needed on quantifying compound hazards in the coastal environs from climate change, before more specific assessment guidance can be provided, these </w:t>
      </w:r>
      <w:r w:rsidR="005D0B45" w:rsidRPr="00F03917">
        <w:t xml:space="preserve">Aotearoa </w:t>
      </w:r>
      <w:r w:rsidRPr="00F03917">
        <w:t>examples may be pertinent</w:t>
      </w:r>
      <w:r w:rsidR="00456F11" w:rsidRPr="00F03917">
        <w:t>.</w:t>
      </w:r>
    </w:p>
    <w:p w14:paraId="484ECEAE" w14:textId="3C29F238" w:rsidR="00582FCE" w:rsidRPr="00F03917" w:rsidRDefault="1D8B9489" w:rsidP="00174F6E">
      <w:pPr>
        <w:pStyle w:val="BulletFIX"/>
      </w:pPr>
      <w:r w:rsidRPr="00F03917">
        <w:t>J</w:t>
      </w:r>
      <w:r w:rsidR="2F2D587F" w:rsidRPr="00F03917">
        <w:t xml:space="preserve">oint probability analyses have been conducted for coastal hazard sources from storm tides and waves (eg, </w:t>
      </w:r>
      <w:r w:rsidR="736F3575" w:rsidRPr="00F03917">
        <w:t xml:space="preserve">Allis et al, 2015; </w:t>
      </w:r>
      <w:r w:rsidR="2F2D587F" w:rsidRPr="00F03917">
        <w:t>Stephens et al, 2013</w:t>
      </w:r>
      <w:r w:rsidRPr="00F03917" w:rsidDel="2F2D587F">
        <w:t>, 2015</w:t>
      </w:r>
      <w:r w:rsidR="00005399" w:rsidRPr="00F03917">
        <w:t>a</w:t>
      </w:r>
      <w:r w:rsidR="1D3C0A45" w:rsidRPr="00F03917">
        <w:t>)</w:t>
      </w:r>
      <w:r w:rsidR="53CC4E27" w:rsidRPr="00F03917">
        <w:t>.</w:t>
      </w:r>
    </w:p>
    <w:p w14:paraId="125BCB5F" w14:textId="24514D99" w:rsidR="00582FCE" w:rsidRPr="00F03917" w:rsidRDefault="1D8B9489" w:rsidP="00174F6E">
      <w:pPr>
        <w:pStyle w:val="BulletFIX"/>
      </w:pPr>
      <w:r w:rsidRPr="00F03917">
        <w:t>C</w:t>
      </w:r>
      <w:r w:rsidR="2F2D587F" w:rsidRPr="00F03917">
        <w:t>ompound storm tide and river flow were used to assess Westport flooding (Pearson, 2004; Wild et al, 2004). Note: worst case or 1</w:t>
      </w:r>
      <w:r w:rsidR="66350401" w:rsidRPr="00F03917">
        <w:t xml:space="preserve"> per cent</w:t>
      </w:r>
      <w:r w:rsidR="2F2D587F" w:rsidRPr="00F03917">
        <w:t xml:space="preserve"> AEP combinations of storm-tide and</w:t>
      </w:r>
      <w:r w:rsidR="007A05CF" w:rsidRPr="00F03917">
        <w:t> </w:t>
      </w:r>
      <w:r w:rsidR="2F2D587F" w:rsidRPr="00F03917">
        <w:t>river floods would have an exceptionally low joint</w:t>
      </w:r>
      <w:r w:rsidR="2CC8B7B0" w:rsidRPr="00F03917">
        <w:t xml:space="preserve"> </w:t>
      </w:r>
      <w:r w:rsidR="2F2D587F" w:rsidRPr="00F03917">
        <w:t>probability of occurrence, so usually 1</w:t>
      </w:r>
      <w:r w:rsidR="007A05CF" w:rsidRPr="00F03917">
        <w:t> </w:t>
      </w:r>
      <w:r w:rsidR="66350401" w:rsidRPr="00F03917">
        <w:t>per cent</w:t>
      </w:r>
      <w:r w:rsidR="2F2D587F" w:rsidRPr="00F03917">
        <w:t xml:space="preserve"> AEP river floods are more realistically combined with scenarios of a </w:t>
      </w:r>
      <w:r w:rsidR="19FCBA8A" w:rsidRPr="00F03917">
        <w:t>spring</w:t>
      </w:r>
      <w:r w:rsidR="5449E4A9" w:rsidRPr="00F03917">
        <w:t xml:space="preserve"> </w:t>
      </w:r>
      <w:r w:rsidR="19FCBA8A" w:rsidRPr="00F03917">
        <w:t>tide</w:t>
      </w:r>
      <w:r w:rsidR="1D3C0A45" w:rsidRPr="00F03917">
        <w:t xml:space="preserve"> </w:t>
      </w:r>
      <w:r w:rsidR="2F2D587F" w:rsidRPr="00F03917">
        <w:t>and a modest storm-tide level</w:t>
      </w:r>
      <w:r w:rsidR="0E5D0BB2" w:rsidRPr="00F03917">
        <w:t>.</w:t>
      </w:r>
    </w:p>
    <w:p w14:paraId="62269C8C" w14:textId="0EC39614" w:rsidR="00582FCE" w:rsidRPr="00F03917" w:rsidRDefault="1D8B9489" w:rsidP="00174F6E">
      <w:pPr>
        <w:pStyle w:val="BulletFIX"/>
      </w:pPr>
      <w:r w:rsidRPr="00F03917">
        <w:t>N</w:t>
      </w:r>
      <w:r w:rsidR="2F2D587F" w:rsidRPr="00F03917">
        <w:t>ationally, Stephens and Wu (2022) have mapped the joint dependence of contributors to</w:t>
      </w:r>
      <w:r w:rsidR="1C85DB65" w:rsidRPr="00F03917">
        <w:t> </w:t>
      </w:r>
      <w:r w:rsidR="2F2D587F" w:rsidRPr="00F03917">
        <w:t>compound flood hazards in coastal lowlands (comprising coastal storm surges, rainfall and river flow) and matched these compound events to types of weather systems. Mostly,</w:t>
      </w:r>
      <w:r w:rsidR="1C85DB65" w:rsidRPr="00F03917">
        <w:t> </w:t>
      </w:r>
      <w:r w:rsidR="2F2D587F" w:rsidRPr="00F03917">
        <w:t>the joint</w:t>
      </w:r>
      <w:r w:rsidR="11F0DF96" w:rsidRPr="00F03917">
        <w:t xml:space="preserve"> </w:t>
      </w:r>
      <w:r w:rsidR="2F2D587F" w:rsidRPr="00F03917">
        <w:t>occurrence between these contributors was signiﬁcant but only weakly correlated. However, some weather systems are more conducive to a higher dependence between these contributing hazards, such as a blocking high pressure system to the east of the country.</w:t>
      </w:r>
    </w:p>
    <w:p w14:paraId="6C43ED49" w14:textId="4912DA1D" w:rsidR="00D36CB1" w:rsidRPr="00F03917" w:rsidRDefault="00F574FB" w:rsidP="00836C8F">
      <w:pPr>
        <w:pStyle w:val="BodyText"/>
        <w:spacing w:before="100" w:after="240"/>
      </w:pPr>
      <w:r w:rsidRPr="00F03917">
        <w:t>In the interim, a conservative but reasonable allowance should be made for realistic combinations of flooding hazards that are likely to coincide</w:t>
      </w:r>
      <w:r w:rsidR="00414249" w:rsidRPr="00F03917">
        <w:t xml:space="preserve"> with</w:t>
      </w:r>
      <w:r w:rsidRPr="00F03917">
        <w:t xml:space="preserve"> straddling a high</w:t>
      </w:r>
      <w:r w:rsidR="6BADC240" w:rsidRPr="00F03917">
        <w:t>-</w:t>
      </w:r>
      <w:r w:rsidRPr="00F03917">
        <w:t xml:space="preserve">tide period, based on local </w:t>
      </w:r>
      <w:r w:rsidR="001C5B0F" w:rsidRPr="00F03917">
        <w:t>and</w:t>
      </w:r>
      <w:r w:rsidRPr="00F03917">
        <w:t xml:space="preserve"> regional observations and </w:t>
      </w:r>
      <w:r w:rsidR="330CB179" w:rsidRPr="00F03917">
        <w:t xml:space="preserve">past </w:t>
      </w:r>
      <w:r w:rsidRPr="00F03917">
        <w:t>monitoring of compound flood events, and</w:t>
      </w:r>
      <w:r w:rsidR="6A7E357E" w:rsidRPr="00F03917">
        <w:t>,</w:t>
      </w:r>
      <w:r w:rsidRPr="00F03917">
        <w:t xml:space="preserve"> where relevant</w:t>
      </w:r>
      <w:r w:rsidR="21A97E0C" w:rsidRPr="00F03917">
        <w:t>,</w:t>
      </w:r>
      <w:r w:rsidRPr="00F03917">
        <w:t xml:space="preserve"> referring to the above references.</w:t>
      </w:r>
      <w:r w:rsidR="008D759B" w:rsidRPr="00F03917">
        <w:t xml:space="preserve">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D36CB1" w:rsidRPr="00F03917" w14:paraId="2EC12B0D" w14:textId="77777777" w:rsidTr="00D637E2">
        <w:tc>
          <w:tcPr>
            <w:tcW w:w="8505" w:type="dxa"/>
            <w:shd w:val="clear" w:color="auto" w:fill="D5EBE8" w:themeFill="accent3"/>
          </w:tcPr>
          <w:p w14:paraId="66C3938A" w14:textId="1253E43A" w:rsidR="00076FB0" w:rsidRPr="00F03917" w:rsidRDefault="00543980" w:rsidP="00836C8F">
            <w:pPr>
              <w:pStyle w:val="Boxtext"/>
              <w:spacing w:before="240" w:after="0"/>
              <w:rPr>
                <w:b/>
                <w:bCs/>
              </w:rPr>
            </w:pPr>
            <w:bookmarkStart w:id="80" w:name="_Hlk151135306"/>
            <w:r w:rsidRPr="00F03917">
              <w:rPr>
                <w:b/>
                <w:bCs/>
              </w:rPr>
              <w:t>Recommended d</w:t>
            </w:r>
            <w:r w:rsidR="00217A03" w:rsidRPr="00F03917">
              <w:rPr>
                <w:b/>
                <w:bCs/>
              </w:rPr>
              <w:t xml:space="preserve">atasets </w:t>
            </w:r>
            <w:r w:rsidR="00CD22E9" w:rsidRPr="00F03917">
              <w:rPr>
                <w:b/>
                <w:bCs/>
              </w:rPr>
              <w:t>and projections</w:t>
            </w:r>
            <w:r w:rsidR="00A92FAF" w:rsidRPr="00F03917">
              <w:rPr>
                <w:b/>
                <w:bCs/>
              </w:rPr>
              <w:t xml:space="preserve"> </w:t>
            </w:r>
          </w:p>
          <w:p w14:paraId="2EBD8407" w14:textId="41A369D2" w:rsidR="00E321C9" w:rsidRPr="00F03917" w:rsidRDefault="00E321C9" w:rsidP="00836C8F">
            <w:pPr>
              <w:pStyle w:val="Boxtext"/>
              <w:spacing w:after="180"/>
            </w:pPr>
            <w:r w:rsidRPr="00F03917">
              <w:t>To assess compound flood hazards in the low-lying margins of estuaries, harbours and wetlands, use extreme rainfall projections from the High Intensity Rainfall Design System (HIRDS v4)</w:t>
            </w:r>
            <w:r w:rsidRPr="00F03917">
              <w:rPr>
                <w:rStyle w:val="FootnoteReference"/>
                <w:color w:val="1B556B"/>
              </w:rPr>
              <w:footnoteReference w:id="57"/>
            </w:r>
            <w:r w:rsidRPr="00F03917">
              <w:t xml:space="preserve"> for input to compound flooding from streams and pluvial (stormwater) runoff to combine with groundwater rise, relative sea-level rise and coastal storm hazards. Sub 1-hour rainfall intensity changes may be pertinent for developed areas or roads close to the shoreline, when considering compound flood hazards during storm-tide and wave overtopping events, which straddle the spring high</w:t>
            </w:r>
            <w:r w:rsidR="000723DC" w:rsidRPr="00F03917">
              <w:t>-</w:t>
            </w:r>
            <w:r w:rsidRPr="00F03917">
              <w:t>tide period.</w:t>
            </w:r>
          </w:p>
          <w:p w14:paraId="6E57C27D" w14:textId="377ECEB2" w:rsidR="00E321C9" w:rsidRPr="00F03917" w:rsidRDefault="00E321C9" w:rsidP="00306788">
            <w:pPr>
              <w:pStyle w:val="Boxtext"/>
              <w:spacing w:after="0"/>
            </w:pPr>
            <w:r w:rsidRPr="00F03917">
              <w:lastRenderedPageBreak/>
              <w:t>To assess progressive long-term changes in estuaries and wetlands from river flows and sediment runoff, use seasonal average rainfall projections (MfE, 2018) to combine with ongoing changes in relative sea-level rise and associated changes in tidal range and landward salinity extent.</w:t>
            </w:r>
          </w:p>
          <w:p w14:paraId="2CF2E69A" w14:textId="472BE320" w:rsidR="00DD377A" w:rsidRPr="00F03917" w:rsidRDefault="00217A03" w:rsidP="007A05CF">
            <w:pPr>
              <w:pStyle w:val="Boxtext"/>
              <w:spacing w:before="240" w:after="0"/>
              <w:rPr>
                <w:b/>
              </w:rPr>
            </w:pPr>
            <w:r w:rsidRPr="00F03917">
              <w:rPr>
                <w:b/>
                <w:bCs/>
              </w:rPr>
              <w:t>Compound hazard a</w:t>
            </w:r>
            <w:r w:rsidR="00E963A8" w:rsidRPr="00F03917">
              <w:rPr>
                <w:b/>
                <w:bCs/>
              </w:rPr>
              <w:t>ssessment criteria</w:t>
            </w:r>
          </w:p>
          <w:p w14:paraId="54D80503" w14:textId="40FF421D" w:rsidR="00D36CB1" w:rsidRPr="00F03917" w:rsidRDefault="00D36CB1" w:rsidP="00306788">
            <w:pPr>
              <w:pStyle w:val="Boxtext"/>
              <w:spacing w:after="80"/>
            </w:pPr>
            <w:r w:rsidRPr="00F03917">
              <w:t>The hazard assessment should address the following questions (adapted from California Coastal Commission, 2018)</w:t>
            </w:r>
            <w:r w:rsidR="004447E3" w:rsidRPr="00F03917">
              <w:t>.</w:t>
            </w:r>
          </w:p>
          <w:p w14:paraId="7E453022" w14:textId="5C69A2B8" w:rsidR="00D36CB1" w:rsidRPr="00F03917" w:rsidRDefault="00D36CB1" w:rsidP="00306788">
            <w:pPr>
              <w:pStyle w:val="Boxbullet"/>
              <w:spacing w:after="80"/>
            </w:pPr>
            <w:r w:rsidRPr="00F03917">
              <w:t xml:space="preserve">What is the potential exposure from </w:t>
            </w:r>
            <w:r w:rsidR="2C519FF5" w:rsidRPr="00F03917">
              <w:t>upper-range</w:t>
            </w:r>
            <w:r w:rsidR="688236FB" w:rsidRPr="00F03917">
              <w:t xml:space="preserve"> </w:t>
            </w:r>
            <w:r w:rsidR="6B53B26B" w:rsidRPr="00F03917">
              <w:t>relative sea-level rise (</w:t>
            </w:r>
            <w:r w:rsidRPr="00F03917">
              <w:t>RSLR</w:t>
            </w:r>
            <w:r w:rsidR="41559E66" w:rsidRPr="00F03917">
              <w:t>)</w:t>
            </w:r>
            <w:r w:rsidR="688236FB" w:rsidRPr="00F03917">
              <w:t xml:space="preserve"> </w:t>
            </w:r>
            <w:r w:rsidR="548EF9E9" w:rsidRPr="00F03917">
              <w:t>projection</w:t>
            </w:r>
            <w:r w:rsidR="772986B6" w:rsidRPr="00F03917">
              <w:t>s</w:t>
            </w:r>
            <w:r w:rsidRPr="00F03917">
              <w:t xml:space="preserve"> plus elevated water levels from maximum storm tide or extreme coastal erosion? </w:t>
            </w:r>
          </w:p>
          <w:p w14:paraId="3F5485B5" w14:textId="5C39433C" w:rsidR="00D36CB1" w:rsidRPr="00F03917" w:rsidRDefault="00D36CB1" w:rsidP="00306788">
            <w:pPr>
              <w:pStyle w:val="Boxbullet"/>
              <w:spacing w:after="80"/>
              <w:rPr>
                <w:bCs/>
              </w:rPr>
            </w:pPr>
            <w:r w:rsidRPr="00F03917">
              <w:rPr>
                <w:bCs/>
              </w:rPr>
              <w:t xml:space="preserve">What is the minimum amount of </w:t>
            </w:r>
            <w:r w:rsidR="009D4318" w:rsidRPr="00F03917">
              <w:rPr>
                <w:bCs/>
              </w:rPr>
              <w:t>R</w:t>
            </w:r>
            <w:r w:rsidRPr="00F03917">
              <w:rPr>
                <w:bCs/>
              </w:rPr>
              <w:t>SLR that causes concern about flooding, erosion, groundwater rise</w:t>
            </w:r>
            <w:r w:rsidR="009D4318" w:rsidRPr="00F03917">
              <w:rPr>
                <w:bCs/>
              </w:rPr>
              <w:t>, compound flooding</w:t>
            </w:r>
            <w:r w:rsidRPr="00F03917">
              <w:rPr>
                <w:bCs/>
              </w:rPr>
              <w:t xml:space="preserve"> or saltwater intrusion (eg, from mapping such as </w:t>
            </w:r>
            <w:hyperlink w:anchor="figure12" w:history="1">
              <w:r w:rsidRPr="00F03917">
                <w:rPr>
                  <w:rStyle w:val="Hyperlink"/>
                  <w:bCs/>
                </w:rPr>
                <w:t>figure 12</w:t>
              </w:r>
            </w:hyperlink>
            <w:r w:rsidR="00B95C24" w:rsidRPr="00F03917">
              <w:rPr>
                <w:bCs/>
              </w:rPr>
              <w:t xml:space="preserve">, </w:t>
            </w:r>
            <w:hyperlink w:anchor="figure13" w:history="1">
              <w:r w:rsidR="00B95C24" w:rsidRPr="00F03917">
                <w:rPr>
                  <w:rStyle w:val="Hyperlink"/>
                  <w:bCs/>
                </w:rPr>
                <w:t>figure 13</w:t>
              </w:r>
            </w:hyperlink>
            <w:r w:rsidRPr="00F03917">
              <w:rPr>
                <w:bCs/>
              </w:rPr>
              <w:t xml:space="preserve"> and </w:t>
            </w:r>
            <w:hyperlink w:anchor="figure14" w:history="1">
              <w:r w:rsidRPr="00F03917">
                <w:rPr>
                  <w:rStyle w:val="Hyperlink"/>
                  <w:bCs/>
                </w:rPr>
                <w:t>figure 14</w:t>
              </w:r>
            </w:hyperlink>
            <w:r w:rsidRPr="00F03917">
              <w:rPr>
                <w:bCs/>
              </w:rPr>
              <w:t xml:space="preserve">)? </w:t>
            </w:r>
          </w:p>
          <w:p w14:paraId="289A4640" w14:textId="59999ED4" w:rsidR="00D36CB1" w:rsidRPr="00F03917" w:rsidRDefault="00D36CB1" w:rsidP="00306788">
            <w:pPr>
              <w:pStyle w:val="Boxbullet"/>
              <w:spacing w:after="80"/>
              <w:rPr>
                <w:bCs/>
              </w:rPr>
            </w:pPr>
            <w:r w:rsidRPr="00F03917">
              <w:rPr>
                <w:bCs/>
              </w:rPr>
              <w:t xml:space="preserve">How do flooding, erosion, groundwater rise or saltwater intrusion concerns and extents change with different </w:t>
            </w:r>
            <w:r w:rsidR="009D4318" w:rsidRPr="00F03917">
              <w:rPr>
                <w:bCs/>
              </w:rPr>
              <w:t>R</w:t>
            </w:r>
            <w:r w:rsidRPr="00F03917">
              <w:rPr>
                <w:bCs/>
              </w:rPr>
              <w:t>SLR increments</w:t>
            </w:r>
            <w:r w:rsidR="009D4318" w:rsidRPr="00F03917">
              <w:rPr>
                <w:bCs/>
              </w:rPr>
              <w:t xml:space="preserve"> or a range of projections</w:t>
            </w:r>
            <w:r w:rsidRPr="00F03917">
              <w:rPr>
                <w:bCs/>
              </w:rPr>
              <w:t xml:space="preserve">? </w:t>
            </w:r>
          </w:p>
          <w:p w14:paraId="779874AE" w14:textId="43579E26" w:rsidR="00D36CB1" w:rsidRPr="00F03917" w:rsidRDefault="00D36CB1" w:rsidP="007A05CF">
            <w:pPr>
              <w:pStyle w:val="Boxbullet"/>
              <w:spacing w:after="240"/>
            </w:pPr>
            <w:r w:rsidRPr="00F03917">
              <w:t>Are any adaptation thresholds emerging, where RSLR exposure becomes more noticeable or levels of service (such as road access) significantly decline?</w:t>
            </w:r>
          </w:p>
        </w:tc>
      </w:tr>
    </w:tbl>
    <w:bookmarkEnd w:id="80"/>
    <w:p w14:paraId="7A99D5B3" w14:textId="2C708A5A" w:rsidR="008D4E26" w:rsidRPr="00F03917" w:rsidRDefault="008D4E26" w:rsidP="007A05CF">
      <w:pPr>
        <w:pStyle w:val="BodyText"/>
        <w:spacing w:before="240"/>
      </w:pPr>
      <w:r w:rsidRPr="00F03917">
        <w:lastRenderedPageBreak/>
        <w:t>However, deep uncertainty remains on how combinations of inundation sources will increasingly combine to worsen flooding in low-lying coastal areas</w:t>
      </w:r>
      <w:r w:rsidR="00AC4D8A" w:rsidRPr="00F03917">
        <w:t>,</w:t>
      </w:r>
      <w:r w:rsidRPr="00F03917">
        <w:t xml:space="preserve"> for both urban and rural settings, and how it will vary between locations. </w:t>
      </w:r>
      <w:r w:rsidR="00233F2D" w:rsidRPr="00F03917">
        <w:t>I</w:t>
      </w:r>
      <w:r w:rsidR="00061D77" w:rsidRPr="00F03917">
        <w:t>n this situation</w:t>
      </w:r>
      <w:r w:rsidR="00685F65" w:rsidRPr="00F03917">
        <w:t>,</w:t>
      </w:r>
      <w:r w:rsidRPr="00F03917">
        <w:t xml:space="preserve"> </w:t>
      </w:r>
      <w:r w:rsidR="00122883" w:rsidRPr="00F03917">
        <w:t>using</w:t>
      </w:r>
      <w:r w:rsidR="00F464CF" w:rsidRPr="00F03917">
        <w:t xml:space="preserve"> a</w:t>
      </w:r>
      <w:r w:rsidR="00685F65" w:rsidRPr="00F03917">
        <w:t xml:space="preserve"> DAPP</w:t>
      </w:r>
      <w:r w:rsidRPr="00F03917">
        <w:t xml:space="preserve"> approach </w:t>
      </w:r>
      <w:r w:rsidR="00F464CF" w:rsidRPr="00F03917">
        <w:t xml:space="preserve">would be </w:t>
      </w:r>
      <w:r w:rsidR="00061D77" w:rsidRPr="00F03917">
        <w:t>help</w:t>
      </w:r>
      <w:r w:rsidR="00F464CF" w:rsidRPr="00F03917">
        <w:t>ful</w:t>
      </w:r>
      <w:r w:rsidR="003D1815" w:rsidRPr="00F03917">
        <w:t xml:space="preserve">. </w:t>
      </w:r>
      <w:r w:rsidR="00607519" w:rsidRPr="00F03917">
        <w:t xml:space="preserve">This </w:t>
      </w:r>
      <w:r w:rsidR="00395D67" w:rsidRPr="00F03917">
        <w:t>helps by</w:t>
      </w:r>
      <w:r w:rsidRPr="00F03917">
        <w:t xml:space="preserve"> further monitoring of areas where compound flood hazards are emerging and incorporating an indicator of multiple flood hazards into the design of signals and triggers (</w:t>
      </w:r>
      <w:hyperlink w:anchor="_Step_7:_D" w:history="1">
        <w:r w:rsidRPr="00F03917">
          <w:rPr>
            <w:rStyle w:val="Hyperlink"/>
            <w:rFonts w:eastAsia="Times New Roman" w:cs="Times New Roman"/>
          </w:rPr>
          <w:t>step 7</w:t>
        </w:r>
      </w:hyperlink>
      <w:r w:rsidRPr="00F03917">
        <w:t>).</w:t>
      </w:r>
      <w:r w:rsidR="00977ED4" w:rsidRPr="00F03917">
        <w:t xml:space="preserve"> </w:t>
      </w:r>
    </w:p>
    <w:p w14:paraId="31EF83A8" w14:textId="640EC4CB" w:rsidR="00211421" w:rsidRPr="00F03917" w:rsidRDefault="002F2B28" w:rsidP="007A05CF">
      <w:pPr>
        <w:pStyle w:val="BodyText"/>
        <w:spacing w:after="240"/>
      </w:pPr>
      <w:r w:rsidRPr="00F03917">
        <w:t>Box</w:t>
      </w:r>
      <w:r w:rsidR="005316CC" w:rsidRPr="00F03917">
        <w:t xml:space="preserve"> 7</w:t>
      </w:r>
      <w:r w:rsidR="00F119C0" w:rsidRPr="00F03917" w:rsidDel="0041601A">
        <w:t xml:space="preserve"> </w:t>
      </w:r>
      <w:r w:rsidR="0041601A" w:rsidRPr="00F03917">
        <w:t xml:space="preserve">gives </w:t>
      </w:r>
      <w:r w:rsidR="00F119C0" w:rsidRPr="00F03917">
        <w:t xml:space="preserve">a practical example of hazard mapping using SLR </w:t>
      </w:r>
      <w:r w:rsidR="008944B4" w:rsidRPr="00F03917">
        <w:t xml:space="preserve">and RSLR </w:t>
      </w:r>
      <w:r w:rsidR="00F119C0" w:rsidRPr="00F03917">
        <w:t>increments</w:t>
      </w:r>
      <w:r w:rsidR="00D32570" w:rsidRPr="00F03917">
        <w:t>.</w:t>
      </w:r>
      <w:r w:rsidR="00F119C0" w:rsidRPr="00F03917">
        <w:t xml:space="preserve"> </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6FBF9"/>
        <w:tblLook w:val="04A0" w:firstRow="1" w:lastRow="0" w:firstColumn="1" w:lastColumn="0" w:noHBand="0" w:noVBand="1"/>
      </w:tblPr>
      <w:tblGrid>
        <w:gridCol w:w="8505"/>
      </w:tblGrid>
      <w:tr w:rsidR="00211421" w:rsidRPr="00F03917" w14:paraId="5DDD2844" w14:textId="77777777" w:rsidTr="00CE3D3C">
        <w:tc>
          <w:tcPr>
            <w:tcW w:w="8505" w:type="dxa"/>
            <w:tcBorders>
              <w:top w:val="single" w:sz="4" w:space="0" w:color="1C556C" w:themeColor="accent1"/>
              <w:left w:val="single" w:sz="4" w:space="0" w:color="1C556C" w:themeColor="accent1"/>
              <w:bottom w:val="nil"/>
              <w:right w:val="single" w:sz="4" w:space="0" w:color="1C556C" w:themeColor="accent1"/>
            </w:tcBorders>
            <w:shd w:val="clear" w:color="auto" w:fill="1C556C" w:themeFill="accent1"/>
            <w:vAlign w:val="center"/>
          </w:tcPr>
          <w:p w14:paraId="03E40695" w14:textId="325EB083" w:rsidR="00211421" w:rsidRPr="00F03917" w:rsidDel="00D5390D" w:rsidRDefault="00211421" w:rsidP="008767B0">
            <w:pPr>
              <w:pStyle w:val="Casestudyheading"/>
            </w:pPr>
            <w:r w:rsidRPr="00F03917">
              <w:t xml:space="preserve">: </w:t>
            </w:r>
            <w:r w:rsidR="009F0D21" w:rsidRPr="00F03917">
              <w:t xml:space="preserve">Practical </w:t>
            </w:r>
            <w:r w:rsidR="0085432B" w:rsidRPr="00F03917">
              <w:t xml:space="preserve">example of hazard mapping using </w:t>
            </w:r>
            <w:r w:rsidR="5995BAE5" w:rsidRPr="00F03917">
              <w:t>S</w:t>
            </w:r>
            <w:r w:rsidR="649803AC" w:rsidRPr="00F03917">
              <w:t>ea-level rise and relative sea-level rise</w:t>
            </w:r>
            <w:r w:rsidR="6F00ACC6" w:rsidRPr="00F03917">
              <w:t xml:space="preserve"> </w:t>
            </w:r>
            <w:r w:rsidR="5995BAE5" w:rsidRPr="00F03917">
              <w:t>increments</w:t>
            </w:r>
            <w:r w:rsidR="2DFA88AA" w:rsidRPr="00F03917">
              <w:t xml:space="preserve"> </w:t>
            </w:r>
          </w:p>
        </w:tc>
      </w:tr>
      <w:tr w:rsidR="00211421" w:rsidRPr="00F03917" w14:paraId="12AF7AE5" w14:textId="77777777" w:rsidTr="00C72C7A">
        <w:tc>
          <w:tcPr>
            <w:tcW w:w="8505" w:type="dxa"/>
            <w:tcBorders>
              <w:top w:val="nil"/>
              <w:left w:val="single" w:sz="4" w:space="0" w:color="D2DDE2"/>
              <w:bottom w:val="nil"/>
              <w:right w:val="single" w:sz="4" w:space="0" w:color="D2DDE2"/>
            </w:tcBorders>
            <w:shd w:val="clear" w:color="auto" w:fill="D2DDE2"/>
          </w:tcPr>
          <w:p w14:paraId="0D1065A5" w14:textId="48F5A354" w:rsidR="00357E53" w:rsidRPr="00F03917" w:rsidRDefault="00000000" w:rsidP="00C72C7A">
            <w:pPr>
              <w:pStyle w:val="Boxtext"/>
            </w:pPr>
            <w:hyperlink w:anchor="figure12" w:history="1">
              <w:r w:rsidR="00357E53" w:rsidRPr="00F03917">
                <w:rPr>
                  <w:rStyle w:val="Hyperlink"/>
                </w:rPr>
                <w:t>Figure 1</w:t>
              </w:r>
              <w:r w:rsidR="00C2336D" w:rsidRPr="00F03917">
                <w:rPr>
                  <w:rStyle w:val="Hyperlink"/>
                </w:rPr>
                <w:t>2</w:t>
              </w:r>
            </w:hyperlink>
            <w:r w:rsidR="00357E53" w:rsidRPr="00F03917">
              <w:t xml:space="preserve"> shows an example of a mapped output from a 1 per cent </w:t>
            </w:r>
            <w:r w:rsidR="68C8F04D" w:rsidRPr="00F03917">
              <w:rPr>
                <w:color w:val="1C556C" w:themeColor="accent1"/>
              </w:rPr>
              <w:t>a</w:t>
            </w:r>
            <w:r w:rsidR="6E47093C" w:rsidRPr="00F03917">
              <w:rPr>
                <w:color w:val="1C546C"/>
              </w:rPr>
              <w:t>nnual exceedance probability</w:t>
            </w:r>
            <w:r w:rsidR="6E47093C" w:rsidRPr="00F03917">
              <w:rPr>
                <w:color w:val="1C556C" w:themeColor="accent1"/>
              </w:rPr>
              <w:t xml:space="preserve"> (</w:t>
            </w:r>
            <w:r w:rsidR="00357E53" w:rsidRPr="00F03917">
              <w:t>AEP</w:t>
            </w:r>
            <w:r w:rsidR="138DF12D" w:rsidRPr="00F03917">
              <w:rPr>
                <w:color w:val="1C556C" w:themeColor="accent1"/>
              </w:rPr>
              <w:t>)</w:t>
            </w:r>
            <w:r w:rsidR="00357E53" w:rsidRPr="00F03917">
              <w:t xml:space="preserve"> coastal storm inundation hazard assessment for Mission Bay, Auckland, incorporating </w:t>
            </w:r>
            <w:r w:rsidR="45C67A8B" w:rsidRPr="00F03917">
              <w:rPr>
                <w:color w:val="1C556C" w:themeColor="accent1"/>
              </w:rPr>
              <w:t>sea-level rise (</w:t>
            </w:r>
            <w:r w:rsidR="00357E53" w:rsidRPr="00F03917">
              <w:t>SLR</w:t>
            </w:r>
            <w:r w:rsidR="403B69AA" w:rsidRPr="00F03917">
              <w:rPr>
                <w:color w:val="1C556C" w:themeColor="accent1"/>
              </w:rPr>
              <w:t>)</w:t>
            </w:r>
            <w:r w:rsidR="00357E53" w:rsidRPr="00F03917">
              <w:t xml:space="preserve"> at 0.1</w:t>
            </w:r>
            <w:r w:rsidR="75EA5F82" w:rsidRPr="00F03917">
              <w:rPr>
                <w:color w:val="1C556C" w:themeColor="accent1"/>
              </w:rPr>
              <w:t xml:space="preserve"> </w:t>
            </w:r>
            <w:r w:rsidR="00357E53" w:rsidRPr="00F03917">
              <w:t>m</w:t>
            </w:r>
            <w:r w:rsidR="00357E53" w:rsidRPr="00F03917">
              <w:rPr>
                <w:color w:val="1C556C" w:themeColor="accent1"/>
              </w:rPr>
              <w:t xml:space="preserve">etre increments up to 1.5 </w:t>
            </w:r>
            <w:r w:rsidR="51402CB8" w:rsidRPr="00F03917">
              <w:rPr>
                <w:color w:val="1C556C" w:themeColor="accent1"/>
              </w:rPr>
              <w:t>m</w:t>
            </w:r>
            <w:r w:rsidR="42231E88" w:rsidRPr="00F03917">
              <w:rPr>
                <w:color w:val="1C556C" w:themeColor="accent1"/>
              </w:rPr>
              <w:t>etre</w:t>
            </w:r>
            <w:r w:rsidR="000279D2" w:rsidRPr="00F03917">
              <w:rPr>
                <w:color w:val="1C556C" w:themeColor="accent1"/>
              </w:rPr>
              <w:t>s</w:t>
            </w:r>
            <w:r w:rsidR="00357E53" w:rsidRPr="00F03917">
              <w:rPr>
                <w:color w:val="1C556C" w:themeColor="accent1"/>
              </w:rPr>
              <w:t xml:space="preserve"> SLR (which intrin</w:t>
            </w:r>
            <w:r w:rsidR="00357E53" w:rsidRPr="00F03917">
              <w:t>sic</w:t>
            </w:r>
            <w:r w:rsidR="00357E53" w:rsidRPr="00F03917">
              <w:rPr>
                <w:color w:val="1C556C" w:themeColor="accent1"/>
              </w:rPr>
              <w:t xml:space="preserve">ally also covers </w:t>
            </w:r>
            <w:r w:rsidR="761CB66A" w:rsidRPr="00F03917">
              <w:rPr>
                <w:color w:val="1C546C"/>
              </w:rPr>
              <w:t xml:space="preserve">increments of </w:t>
            </w:r>
            <w:r w:rsidR="591CFE7E" w:rsidRPr="00F03917">
              <w:rPr>
                <w:color w:val="1C546C"/>
              </w:rPr>
              <w:t>relative sea-level rise</w:t>
            </w:r>
            <w:r w:rsidR="00357E53" w:rsidRPr="00F03917">
              <w:rPr>
                <w:color w:val="1C556C" w:themeColor="accent1"/>
              </w:rPr>
              <w:t xml:space="preserve"> </w:t>
            </w:r>
            <w:r w:rsidR="2222C5C6" w:rsidRPr="00F03917">
              <w:rPr>
                <w:color w:val="1C546C"/>
              </w:rPr>
              <w:t xml:space="preserve">that include </w:t>
            </w:r>
            <w:r w:rsidR="39002672" w:rsidRPr="00F03917">
              <w:rPr>
                <w:color w:val="1C556C" w:themeColor="accent1"/>
              </w:rPr>
              <w:t xml:space="preserve">vertical land </w:t>
            </w:r>
            <w:r w:rsidR="39002672" w:rsidRPr="00F03917">
              <w:t>movement</w:t>
            </w:r>
            <w:r w:rsidR="51402CB8" w:rsidRPr="00F03917">
              <w:t>)</w:t>
            </w:r>
            <w:r w:rsidR="00C72C7A" w:rsidRPr="00F03917">
              <w:t>.</w:t>
            </w:r>
            <w:r w:rsidR="00041C4F" w:rsidRPr="00F03917">
              <w:rPr>
                <w:rStyle w:val="FootnoteReference"/>
                <w:rFonts w:eastAsia="MS Mincho" w:cs="Arial"/>
                <w:color w:val="1C556C"/>
                <w:szCs w:val="20"/>
              </w:rPr>
              <w:footnoteReference w:id="58"/>
            </w:r>
          </w:p>
          <w:p w14:paraId="114EA48E" w14:textId="4BE6D9D4" w:rsidR="00E42DBC" w:rsidRPr="00F03917" w:rsidRDefault="00E42DBC" w:rsidP="00C72C7A">
            <w:pPr>
              <w:pStyle w:val="Boxtext"/>
              <w:spacing w:before="0"/>
              <w:rPr>
                <w:color w:val="1C556C"/>
              </w:rPr>
            </w:pPr>
            <w:r w:rsidRPr="00F03917">
              <w:t xml:space="preserve">This coastal inundation mapping uses a static </w:t>
            </w:r>
            <w:r w:rsidR="050B4249" w:rsidRPr="00F03917">
              <w:t>topographic flood</w:t>
            </w:r>
            <w:r w:rsidRPr="00F03917">
              <w:t xml:space="preserve"> technique to add SLR increments directly on top of the </w:t>
            </w:r>
            <w:r w:rsidR="001A08A0" w:rsidRPr="00F03917">
              <w:t>current</w:t>
            </w:r>
            <w:r w:rsidRPr="00F03917">
              <w:t xml:space="preserve"> median 1 per cent AEP storm</w:t>
            </w:r>
            <w:r w:rsidR="153D3B4C" w:rsidRPr="00F03917">
              <w:t>-</w:t>
            </w:r>
            <w:r w:rsidRPr="00F03917">
              <w:t xml:space="preserve">tide elevation, overlaid on the </w:t>
            </w:r>
            <w:r w:rsidR="624102E1" w:rsidRPr="00F03917">
              <w:t>Light Detection and Ranging (</w:t>
            </w:r>
            <w:r w:rsidRPr="00F03917">
              <w:t>LiDAR</w:t>
            </w:r>
            <w:r w:rsidR="6FFBAAAB" w:rsidRPr="00F03917">
              <w:t>)</w:t>
            </w:r>
            <w:r w:rsidRPr="00F03917">
              <w:t xml:space="preserve"> digital elevation model. The map clearly</w:t>
            </w:r>
            <w:r w:rsidRPr="00F03917" w:rsidDel="00021CBB">
              <w:t xml:space="preserve"> </w:t>
            </w:r>
            <w:r w:rsidRPr="00F03917">
              <w:t xml:space="preserve">shows how </w:t>
            </w:r>
            <w:r w:rsidR="050B4249" w:rsidRPr="00F03917">
              <w:t>extreme coastal flood</w:t>
            </w:r>
            <w:r w:rsidRPr="00F03917">
              <w:t xml:space="preserve"> exposure might change incrementally with SLR across the suburb. Properties on low-elevation land close to the sea will face episodic inundation at low SLR, so will be affected sooner. Properties located further inland at a higher elevation are less exposed to storm-tide flooding (yellow</w:t>
            </w:r>
            <w:r w:rsidR="71DE4EFD" w:rsidRPr="00F03917">
              <w:t>–</w:t>
            </w:r>
            <w:r w:rsidRPr="00F03917">
              <w:t xml:space="preserve">red colours) and will have longer to adapt. </w:t>
            </w:r>
          </w:p>
          <w:p w14:paraId="47E42B6D" w14:textId="3EB568A6" w:rsidR="00C2336D" w:rsidRPr="00F03917" w:rsidRDefault="41A89005" w:rsidP="00C72C7A">
            <w:pPr>
              <w:pStyle w:val="Figureheading"/>
              <w:ind w:left="1418" w:right="284"/>
              <w:rPr>
                <w:color w:val="1B556B" w:themeColor="text2"/>
              </w:rPr>
            </w:pPr>
            <w:bookmarkStart w:id="81" w:name="figure12"/>
            <w:bookmarkStart w:id="82" w:name="_Toc160098427"/>
            <w:r w:rsidRPr="00F03917">
              <w:rPr>
                <w:color w:val="1B556B" w:themeColor="text2"/>
              </w:rPr>
              <w:lastRenderedPageBreak/>
              <w:t xml:space="preserve">Figure </w:t>
            </w:r>
            <w:r w:rsidR="00D30403" w:rsidRPr="00F03917">
              <w:rPr>
                <w:color w:val="1B556B" w:themeColor="text2"/>
              </w:rPr>
              <w:t>12</w:t>
            </w:r>
            <w:bookmarkEnd w:id="81"/>
            <w:r w:rsidRPr="00F03917">
              <w:rPr>
                <w:color w:val="1B556B" w:themeColor="text2"/>
              </w:rPr>
              <w:t xml:space="preserve">: </w:t>
            </w:r>
            <w:r w:rsidR="008767B0" w:rsidRPr="00F03917">
              <w:rPr>
                <w:color w:val="1B556B" w:themeColor="text2"/>
              </w:rPr>
              <w:tab/>
            </w:r>
            <w:r w:rsidR="00C2336D" w:rsidRPr="00F03917">
              <w:rPr>
                <w:color w:val="1B556B" w:themeColor="text2"/>
              </w:rPr>
              <w:t xml:space="preserve">Areas flooded from 0.1 metre </w:t>
            </w:r>
            <w:r w:rsidR="70EA6A4F" w:rsidRPr="00F03917">
              <w:rPr>
                <w:color w:val="1B556B" w:themeColor="text2"/>
              </w:rPr>
              <w:t>sea-level rise</w:t>
            </w:r>
            <w:r w:rsidR="00C2336D" w:rsidRPr="00F03917">
              <w:rPr>
                <w:color w:val="1B556B" w:themeColor="text2"/>
              </w:rPr>
              <w:t xml:space="preserve"> increments on </w:t>
            </w:r>
            <w:r w:rsidR="00085A16" w:rsidRPr="00F03917">
              <w:rPr>
                <w:color w:val="1B556B" w:themeColor="text2"/>
              </w:rPr>
              <w:t>extreme</w:t>
            </w:r>
            <w:r w:rsidR="00862666" w:rsidRPr="00F03917">
              <w:rPr>
                <w:color w:val="1B556B" w:themeColor="text2"/>
              </w:rPr>
              <w:t xml:space="preserve"> </w:t>
            </w:r>
            <w:r w:rsidR="00C2336D" w:rsidRPr="00F03917">
              <w:rPr>
                <w:color w:val="1B556B" w:themeColor="text2"/>
              </w:rPr>
              <w:t>coastal storm inundation exposure at Mission Bay, Auckland</w:t>
            </w:r>
            <w:bookmarkEnd w:id="82"/>
          </w:p>
          <w:p w14:paraId="1762C992" w14:textId="77777777" w:rsidR="00C2336D" w:rsidRPr="00F03917" w:rsidRDefault="00C2336D" w:rsidP="00C72C7A">
            <w:pPr>
              <w:pStyle w:val="Boxtext"/>
              <w:jc w:val="center"/>
            </w:pPr>
            <w:r w:rsidRPr="00F03917">
              <w:rPr>
                <w:noProof/>
              </w:rPr>
              <w:drawing>
                <wp:inline distT="0" distB="0" distL="0" distR="0" wp14:anchorId="0C52669C" wp14:editId="11F24E94">
                  <wp:extent cx="2774891" cy="4141695"/>
                  <wp:effectExtent l="0" t="0" r="0" b="6350"/>
                  <wp:docPr id="134" name="Picture 134" descr="O:\MFE16204\Working\Hazards_Uncertainty\AEP1_percent_150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MFE16204\Working\Hazards_Uncertainty\AEP1_percent_150cm.jp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2774891" cy="4141695"/>
                          </a:xfrm>
                          <a:prstGeom prst="rect">
                            <a:avLst/>
                          </a:prstGeom>
                          <a:noFill/>
                          <a:ln>
                            <a:noFill/>
                          </a:ln>
                        </pic:spPr>
                      </pic:pic>
                    </a:graphicData>
                  </a:graphic>
                </wp:inline>
              </w:drawing>
            </w:r>
          </w:p>
          <w:p w14:paraId="43DB98C4" w14:textId="516FE9C8" w:rsidR="00C2336D" w:rsidRPr="00F03917" w:rsidRDefault="05A39A11" w:rsidP="00C72C7A">
            <w:pPr>
              <w:pStyle w:val="Boxtext"/>
              <w:spacing w:after="0"/>
              <w:rPr>
                <w:color w:val="1B556B" w:themeColor="text2"/>
                <w:sz w:val="18"/>
                <w:szCs w:val="18"/>
              </w:rPr>
            </w:pPr>
            <w:r w:rsidRPr="00F03917">
              <w:rPr>
                <w:color w:val="1B556B" w:themeColor="text2"/>
                <w:sz w:val="18"/>
                <w:szCs w:val="18"/>
              </w:rPr>
              <w:t xml:space="preserve">Note: </w:t>
            </w:r>
            <w:r w:rsidR="00C2336D" w:rsidRPr="00F03917">
              <w:rPr>
                <w:color w:val="1B556B" w:themeColor="text2"/>
                <w:sz w:val="18"/>
                <w:szCs w:val="18"/>
              </w:rPr>
              <w:t xml:space="preserve">SLR increments have been added onto the </w:t>
            </w:r>
            <w:r w:rsidR="00C2336D" w:rsidRPr="00F03917" w:rsidDel="004D470D">
              <w:rPr>
                <w:color w:val="1B556B" w:themeColor="text2"/>
                <w:sz w:val="18"/>
                <w:szCs w:val="18"/>
              </w:rPr>
              <w:t>1</w:t>
            </w:r>
            <w:r w:rsidR="00C2336D" w:rsidRPr="00F03917">
              <w:rPr>
                <w:color w:val="1B556B" w:themeColor="text2"/>
                <w:sz w:val="18"/>
                <w:szCs w:val="18"/>
              </w:rPr>
              <w:t xml:space="preserve"> per cent AEP storm tide elevation, which was calculated for the </w:t>
            </w:r>
            <w:r w:rsidR="00120F8A" w:rsidRPr="00F03917">
              <w:rPr>
                <w:color w:val="1B556B" w:themeColor="text2"/>
                <w:sz w:val="18"/>
                <w:szCs w:val="18"/>
              </w:rPr>
              <w:t>current</w:t>
            </w:r>
            <w:r w:rsidR="00C2336D" w:rsidRPr="00F03917">
              <w:rPr>
                <w:color w:val="1B556B" w:themeColor="text2"/>
                <w:sz w:val="18"/>
                <w:szCs w:val="18"/>
              </w:rPr>
              <w:t xml:space="preserve"> mean sea level. Graphics: Sanjay Wadhwa, NIWA; based on </w:t>
            </w:r>
            <w:r w:rsidR="00C2336D" w:rsidRPr="00F03917" w:rsidDel="00021CBB">
              <w:rPr>
                <w:color w:val="1B556B" w:themeColor="text2"/>
                <w:sz w:val="18"/>
                <w:szCs w:val="18"/>
              </w:rPr>
              <w:t xml:space="preserve">Auckland Council </w:t>
            </w:r>
            <w:r w:rsidR="00C2336D" w:rsidRPr="00F03917">
              <w:rPr>
                <w:color w:val="1B556B" w:themeColor="text2"/>
                <w:sz w:val="18"/>
                <w:szCs w:val="18"/>
              </w:rPr>
              <w:t xml:space="preserve">LiDAR data. </w:t>
            </w:r>
          </w:p>
          <w:p w14:paraId="5A806FEB" w14:textId="07D44EB0" w:rsidR="00C2336D" w:rsidRPr="00F03917" w:rsidRDefault="7E51D8DA" w:rsidP="005316CC">
            <w:pPr>
              <w:pStyle w:val="Boxtext"/>
              <w:rPr>
                <w:color w:val="1B556B" w:themeColor="text2"/>
                <w:sz w:val="18"/>
                <w:szCs w:val="18"/>
              </w:rPr>
            </w:pPr>
            <w:r w:rsidRPr="00F03917">
              <w:rPr>
                <w:color w:val="1B556B" w:themeColor="text2"/>
                <w:sz w:val="18"/>
                <w:szCs w:val="18"/>
              </w:rPr>
              <w:t>Source: Stephens et al (2017</w:t>
            </w:r>
            <w:r w:rsidR="00C2336D" w:rsidRPr="00F03917">
              <w:rPr>
                <w:color w:val="1B556B" w:themeColor="text2"/>
                <w:sz w:val="18"/>
                <w:szCs w:val="18"/>
              </w:rPr>
              <w:t>)</w:t>
            </w:r>
          </w:p>
          <w:p w14:paraId="110B9762" w14:textId="2609D5A6" w:rsidR="00E42DBC" w:rsidRPr="00F03917" w:rsidRDefault="00000000" w:rsidP="00C72C7A">
            <w:pPr>
              <w:pStyle w:val="Boxtext"/>
              <w:spacing w:before="0"/>
              <w:rPr>
                <w:color w:val="1C556C"/>
              </w:rPr>
            </w:pPr>
            <w:hyperlink w:anchor="figure13" w:history="1">
              <w:r w:rsidR="01493CFB" w:rsidRPr="00F03917">
                <w:rPr>
                  <w:rStyle w:val="Hyperlink"/>
                  <w:rFonts w:eastAsia="MS Mincho" w:cs="Arial"/>
                  <w:szCs w:val="20"/>
                </w:rPr>
                <w:t>Figure 13</w:t>
              </w:r>
            </w:hyperlink>
            <w:r w:rsidR="00E42DBC" w:rsidRPr="00F03917">
              <w:t xml:space="preserve"> and </w:t>
            </w:r>
            <w:hyperlink w:anchor="figure14" w:history="1">
              <w:r w:rsidR="002807EF" w:rsidRPr="00F03917">
                <w:rPr>
                  <w:rStyle w:val="Hyperlink"/>
                  <w:rFonts w:eastAsia="MS Mincho" w:cs="Arial"/>
                  <w:szCs w:val="20"/>
                </w:rPr>
                <w:t>figure 14</w:t>
              </w:r>
            </w:hyperlink>
            <w:r w:rsidR="00E42DBC" w:rsidRPr="00F03917">
              <w:t xml:space="preserve"> show how more detailed hazard mapping at Mission Bay has been used to model the depth and frequency (respectively) for a 1 per cent AEP storm tide at present </w:t>
            </w:r>
            <w:r w:rsidR="1276AFC1" w:rsidRPr="00F03917">
              <w:t>mean sea level</w:t>
            </w:r>
            <w:r w:rsidR="00E42DBC" w:rsidRPr="00F03917">
              <w:t xml:space="preserve"> and two </w:t>
            </w:r>
            <w:r w:rsidR="0E436E38" w:rsidRPr="00F03917">
              <w:t>relative sea-level rise (</w:t>
            </w:r>
            <w:r w:rsidR="00E42DBC" w:rsidRPr="00F03917">
              <w:t>RSLR</w:t>
            </w:r>
            <w:r w:rsidR="359F30F9" w:rsidRPr="00F03917">
              <w:t>)</w:t>
            </w:r>
            <w:r w:rsidR="00E42DBC" w:rsidRPr="00F03917">
              <w:t xml:space="preserve"> </w:t>
            </w:r>
            <w:r w:rsidR="00B634CC" w:rsidRPr="00F03917">
              <w:t>projections</w:t>
            </w:r>
            <w:r w:rsidR="00E42DBC" w:rsidRPr="00F03917">
              <w:t>. The two types of map</w:t>
            </w:r>
            <w:r w:rsidR="004B06E5" w:rsidRPr="00F03917">
              <w:t>s</w:t>
            </w:r>
            <w:r w:rsidR="00E42DBC" w:rsidRPr="00F03917">
              <w:t xml:space="preserve"> show the potential effects of two RSLR increments on coastal storm inundation, and</w:t>
            </w:r>
            <w:r w:rsidR="3D3F48C2" w:rsidRPr="00F03917">
              <w:t>,</w:t>
            </w:r>
            <w:r w:rsidR="00E42DBC" w:rsidRPr="00F03917">
              <w:t xml:space="preserve"> together, they provide information that is more useful for decision-making than any one </w:t>
            </w:r>
            <w:r w:rsidR="44815177" w:rsidRPr="00F03917">
              <w:t>map of flooding extent</w:t>
            </w:r>
            <w:r w:rsidR="00E42DBC" w:rsidRPr="00F03917">
              <w:t xml:space="preserve"> in isolation. For areas like Mission Bay</w:t>
            </w:r>
            <w:r w:rsidR="006223E8" w:rsidRPr="00F03917">
              <w:t>,</w:t>
            </w:r>
            <w:r w:rsidR="00E42DBC" w:rsidRPr="00F03917" w:rsidDel="006223E8">
              <w:t xml:space="preserve"> </w:t>
            </w:r>
            <w:r w:rsidR="006223E8" w:rsidRPr="00F03917">
              <w:t xml:space="preserve">which </w:t>
            </w:r>
            <w:r w:rsidR="00E42DBC" w:rsidRPr="00F03917">
              <w:t xml:space="preserve">are susceptible to coastal storm inundation, modelling of small increments of SLR and statistical uncertainties can later be used in risk and vulnerability assessments and </w:t>
            </w:r>
            <w:r w:rsidR="0448893D" w:rsidRPr="00F03917">
              <w:t xml:space="preserve">to </w:t>
            </w:r>
            <w:r w:rsidR="01493CFB" w:rsidRPr="00F03917">
              <w:t>support</w:t>
            </w:r>
            <w:r w:rsidR="3646CA8A" w:rsidRPr="00F03917">
              <w:t xml:space="preserve"> decisions on adaptation thresholds, and when they might occur</w:t>
            </w:r>
            <w:r w:rsidR="7CAD1579" w:rsidRPr="00F03917">
              <w:t>,</w:t>
            </w:r>
            <w:r w:rsidR="3646CA8A" w:rsidRPr="00F03917">
              <w:t xml:space="preserve"> </w:t>
            </w:r>
            <w:r w:rsidR="00374BF8" w:rsidRPr="00F03917">
              <w:t xml:space="preserve">as part </w:t>
            </w:r>
            <w:r w:rsidR="000D3129" w:rsidRPr="00F03917">
              <w:t>of</w:t>
            </w:r>
            <w:r w:rsidR="3646CA8A" w:rsidRPr="00F03917">
              <w:t xml:space="preserve"> the </w:t>
            </w:r>
            <w:r w:rsidR="638B1FB8" w:rsidRPr="00F03917">
              <w:t>dynamic adaptive pathways planning</w:t>
            </w:r>
            <w:r w:rsidR="3646CA8A" w:rsidRPr="00F03917">
              <w:t xml:space="preserve"> </w:t>
            </w:r>
            <w:r w:rsidR="003F21C1" w:rsidRPr="00F03917">
              <w:t xml:space="preserve">approach in </w:t>
            </w:r>
            <w:hyperlink w:anchor="_Step_6:_Evaluate" w:history="1">
              <w:r w:rsidR="003F21C1" w:rsidRPr="00F03917">
                <w:rPr>
                  <w:rStyle w:val="Hyperlink"/>
                  <w:rFonts w:eastAsia="MS Mincho" w:cs="Arial"/>
                  <w:szCs w:val="20"/>
                </w:rPr>
                <w:t>step 6</w:t>
              </w:r>
            </w:hyperlink>
            <w:r w:rsidR="3646CA8A" w:rsidRPr="00F03917">
              <w:t xml:space="preserve"> (eg, similar to </w:t>
            </w:r>
            <w:hyperlink w:anchor="table7" w:history="1">
              <w:r w:rsidR="10E87A99" w:rsidRPr="00F03917">
                <w:rPr>
                  <w:rStyle w:val="Hyperlink"/>
                  <w:rFonts w:eastAsia="MS Mincho" w:cs="Arial"/>
                  <w:szCs w:val="20"/>
                </w:rPr>
                <w:t>t</w:t>
              </w:r>
              <w:r w:rsidR="00090997" w:rsidRPr="00F03917">
                <w:rPr>
                  <w:rStyle w:val="Hyperlink"/>
                  <w:rFonts w:eastAsia="MS Mincho" w:cs="Arial"/>
                  <w:szCs w:val="20"/>
                </w:rPr>
                <w:t>able</w:t>
              </w:r>
              <w:r w:rsidR="3646CA8A" w:rsidRPr="00F03917">
                <w:rPr>
                  <w:rStyle w:val="Hyperlink"/>
                  <w:rFonts w:eastAsia="MS Mincho" w:cs="Arial"/>
                  <w:szCs w:val="20"/>
                </w:rPr>
                <w:t xml:space="preserve"> </w:t>
              </w:r>
              <w:r w:rsidR="003A2243" w:rsidRPr="00F03917">
                <w:rPr>
                  <w:rStyle w:val="Hyperlink"/>
                  <w:rFonts w:eastAsia="MS Mincho" w:cs="Arial"/>
                  <w:szCs w:val="20"/>
                </w:rPr>
                <w:t>7</w:t>
              </w:r>
            </w:hyperlink>
            <w:r w:rsidR="3646CA8A" w:rsidRPr="00F03917">
              <w:t>).</w:t>
            </w:r>
          </w:p>
          <w:p w14:paraId="403A2BCF" w14:textId="48D8B0D7" w:rsidR="00211421" w:rsidRPr="00F03917" w:rsidRDefault="00E42DBC" w:rsidP="00C72C7A">
            <w:pPr>
              <w:pStyle w:val="Boxtext"/>
              <w:spacing w:before="0" w:after="240"/>
              <w:rPr>
                <w:rFonts w:eastAsia="MS Mincho" w:cs="Arial"/>
                <w:color w:val="1C556C"/>
                <w:szCs w:val="20"/>
              </w:rPr>
            </w:pPr>
            <w:r w:rsidRPr="00F03917">
              <w:t>We recommend assessing the impacts of 0.1</w:t>
            </w:r>
            <w:r w:rsidR="6958A566" w:rsidRPr="00F03917">
              <w:t xml:space="preserve"> m</w:t>
            </w:r>
            <w:r w:rsidR="2C29D7D2" w:rsidRPr="00F03917">
              <w:t>etre</w:t>
            </w:r>
            <w:r w:rsidR="6958A566" w:rsidRPr="00F03917">
              <w:t xml:space="preserve"> to </w:t>
            </w:r>
            <w:r w:rsidRPr="00F03917">
              <w:t>0.2</w:t>
            </w:r>
            <w:r w:rsidR="6EAC9822" w:rsidRPr="00F03917">
              <w:t xml:space="preserve"> </w:t>
            </w:r>
            <w:r w:rsidRPr="00F03917">
              <w:t xml:space="preserve">metre SLR </w:t>
            </w:r>
            <w:r w:rsidR="00B6597E" w:rsidRPr="00F03917">
              <w:t>or</w:t>
            </w:r>
            <w:r w:rsidR="27BC2EDE" w:rsidRPr="00F03917">
              <w:t xml:space="preserve"> </w:t>
            </w:r>
            <w:r w:rsidR="3C99F753" w:rsidRPr="00F03917">
              <w:t>RSLR</w:t>
            </w:r>
            <w:r w:rsidR="79F878F0" w:rsidRPr="00F03917">
              <w:t xml:space="preserve"> </w:t>
            </w:r>
            <w:r w:rsidRPr="00F03917">
              <w:t>increments for such locations, in addition to the median and upper 95 per cent of the 1 per cent AEP hazard. This will help identify areas potentially at risk and at what SLR increments.</w:t>
            </w:r>
          </w:p>
        </w:tc>
      </w:tr>
      <w:tr w:rsidR="00C72C7A" w:rsidRPr="00F03917" w14:paraId="4E48E011" w14:textId="77777777" w:rsidTr="00A60E40">
        <w:tc>
          <w:tcPr>
            <w:tcW w:w="8505" w:type="dxa"/>
            <w:tcBorders>
              <w:top w:val="nil"/>
              <w:left w:val="single" w:sz="4" w:space="0" w:color="D2DDE2"/>
              <w:bottom w:val="single" w:sz="4" w:space="0" w:color="D2DDE2"/>
              <w:right w:val="single" w:sz="4" w:space="0" w:color="D2DDE2"/>
            </w:tcBorders>
            <w:shd w:val="clear" w:color="auto" w:fill="D2DDE2"/>
          </w:tcPr>
          <w:p w14:paraId="7090EEDB" w14:textId="77777777" w:rsidR="00C72C7A" w:rsidRPr="00F03917" w:rsidRDefault="00C72C7A" w:rsidP="00836C8F">
            <w:pPr>
              <w:pStyle w:val="Figureheading"/>
              <w:ind w:left="1418" w:right="284"/>
              <w:rPr>
                <w:color w:val="1B556B" w:themeColor="text2"/>
              </w:rPr>
            </w:pPr>
            <w:bookmarkStart w:id="83" w:name="figure13"/>
            <w:bookmarkStart w:id="84" w:name="_Toc160098428"/>
            <w:r w:rsidRPr="00F03917">
              <w:rPr>
                <w:color w:val="1B556B" w:themeColor="text2"/>
              </w:rPr>
              <w:lastRenderedPageBreak/>
              <w:t>Figure 13</w:t>
            </w:r>
            <w:bookmarkEnd w:id="83"/>
            <w:r w:rsidRPr="00F03917">
              <w:rPr>
                <w:color w:val="1B556B" w:themeColor="text2"/>
              </w:rPr>
              <w:t xml:space="preserve">: </w:t>
            </w:r>
            <w:r w:rsidRPr="00F03917">
              <w:rPr>
                <w:color w:val="1B556B" w:themeColor="text2"/>
              </w:rPr>
              <w:tab/>
              <w:t xml:space="preserve">Depth of inundation at Mission Bay, Auckland, for a </w:t>
            </w:r>
            <w:r w:rsidRPr="00F03917" w:rsidDel="004D470D">
              <w:rPr>
                <w:color w:val="1B556B" w:themeColor="text2"/>
              </w:rPr>
              <w:t>1</w:t>
            </w:r>
            <w:r w:rsidRPr="00F03917">
              <w:rPr>
                <w:color w:val="1B556B" w:themeColor="text2"/>
              </w:rPr>
              <w:t xml:space="preserve"> per cent annual exceedance probability storm tide covering present-day mean sea level and two relative sea-level rise height increments</w:t>
            </w:r>
            <w:bookmarkEnd w:id="84"/>
          </w:p>
          <w:p w14:paraId="032835C8" w14:textId="77777777" w:rsidR="00C72C7A" w:rsidRPr="00F03917" w:rsidRDefault="00C72C7A" w:rsidP="00C72C7A">
            <w:pPr>
              <w:spacing w:before="120" w:after="120" w:line="280" w:lineRule="atLeast"/>
              <w:rPr>
                <w:rFonts w:ascii="Calibri" w:eastAsia="MS Mincho" w:hAnsi="Calibri" w:cs="Arial"/>
                <w:kern w:val="0"/>
                <w:sz w:val="22"/>
                <w:szCs w:val="22"/>
                <w:lang w:eastAsia="en-NZ"/>
                <w14:ligatures w14:val="none"/>
              </w:rPr>
            </w:pPr>
            <w:r w:rsidRPr="00F03917">
              <w:rPr>
                <w:rFonts w:ascii="Calibri" w:eastAsia="MS Mincho" w:hAnsi="Calibri" w:cs="Arial"/>
                <w:noProof/>
                <w:kern w:val="0"/>
                <w:sz w:val="22"/>
                <w:szCs w:val="22"/>
                <w:lang w:eastAsia="en-NZ"/>
                <w14:ligatures w14:val="none"/>
              </w:rPr>
              <w:drawing>
                <wp:inline distT="0" distB="0" distL="0" distR="0" wp14:anchorId="246E9030" wp14:editId="409E37FC">
                  <wp:extent cx="1684220" cy="2317318"/>
                  <wp:effectExtent l="0" t="0" r="0" b="6985"/>
                  <wp:docPr id="12" name="Picture 12" descr="\\Anchor\depth_of_inundation_0mS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chor\depth_of_inundation_0mSLR.pn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1691739" cy="2327663"/>
                          </a:xfrm>
                          <a:prstGeom prst="rect">
                            <a:avLst/>
                          </a:prstGeom>
                          <a:noFill/>
                          <a:ln>
                            <a:noFill/>
                          </a:ln>
                        </pic:spPr>
                      </pic:pic>
                    </a:graphicData>
                  </a:graphic>
                </wp:inline>
              </w:drawing>
            </w:r>
            <w:r w:rsidRPr="00F03917">
              <w:rPr>
                <w:rFonts w:ascii="Calibri" w:eastAsia="MS Mincho" w:hAnsi="Calibri" w:cs="Arial"/>
                <w:kern w:val="0"/>
                <w:sz w:val="22"/>
                <w:szCs w:val="22"/>
                <w:lang w:eastAsia="en-NZ"/>
                <w14:ligatures w14:val="none"/>
              </w:rPr>
              <w:t xml:space="preserve"> </w:t>
            </w:r>
            <w:r w:rsidRPr="00F03917">
              <w:rPr>
                <w:rFonts w:ascii="Calibri" w:eastAsia="MS Mincho" w:hAnsi="Calibri" w:cs="Arial"/>
                <w:noProof/>
                <w:kern w:val="0"/>
                <w:sz w:val="22"/>
                <w:szCs w:val="22"/>
                <w:lang w:eastAsia="en-NZ"/>
                <w14:ligatures w14:val="none"/>
              </w:rPr>
              <w:drawing>
                <wp:inline distT="0" distB="0" distL="0" distR="0" wp14:anchorId="10D6A161" wp14:editId="14F9D01F">
                  <wp:extent cx="1681970" cy="2325976"/>
                  <wp:effectExtent l="0" t="0" r="0" b="0"/>
                  <wp:docPr id="7" name="Picture 7" descr="\\Anchor\depth_of_inundation_40cmS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chor\depth_of_inundation_40cmSLR.pn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1685015" cy="2330187"/>
                          </a:xfrm>
                          <a:prstGeom prst="rect">
                            <a:avLst/>
                          </a:prstGeom>
                          <a:noFill/>
                          <a:ln>
                            <a:noFill/>
                          </a:ln>
                        </pic:spPr>
                      </pic:pic>
                    </a:graphicData>
                  </a:graphic>
                </wp:inline>
              </w:drawing>
            </w:r>
            <w:r w:rsidRPr="00F03917">
              <w:rPr>
                <w:rFonts w:ascii="Calibri" w:eastAsia="MS Mincho" w:hAnsi="Calibri" w:cs="Arial"/>
                <w:kern w:val="0"/>
                <w:sz w:val="22"/>
                <w:szCs w:val="22"/>
                <w:lang w:eastAsia="en-NZ"/>
                <w14:ligatures w14:val="none"/>
              </w:rPr>
              <w:t xml:space="preserve"> </w:t>
            </w:r>
            <w:r w:rsidRPr="00F03917">
              <w:rPr>
                <w:rFonts w:ascii="Calibri" w:eastAsia="MS Mincho" w:hAnsi="Calibri" w:cs="Arial"/>
                <w:noProof/>
                <w:kern w:val="0"/>
                <w:sz w:val="22"/>
                <w:szCs w:val="22"/>
                <w:lang w:eastAsia="en-NZ"/>
                <w14:ligatures w14:val="none"/>
              </w:rPr>
              <w:drawing>
                <wp:inline distT="0" distB="0" distL="0" distR="0" wp14:anchorId="4EB1EC7C" wp14:editId="1ACA25DE">
                  <wp:extent cx="1686609" cy="2320604"/>
                  <wp:effectExtent l="0" t="0" r="8890" b="3810"/>
                  <wp:docPr id="1" name="Picture 1" descr="\\Anchor\depth_of_inundation_80cmS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chor\depth_of_inundation_80cmSLR.pn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1690388" cy="2325804"/>
                          </a:xfrm>
                          <a:prstGeom prst="rect">
                            <a:avLst/>
                          </a:prstGeom>
                          <a:noFill/>
                          <a:ln>
                            <a:noFill/>
                          </a:ln>
                        </pic:spPr>
                      </pic:pic>
                    </a:graphicData>
                  </a:graphic>
                </wp:inline>
              </w:drawing>
            </w:r>
          </w:p>
          <w:p w14:paraId="38A3F4A0" w14:textId="77777777" w:rsidR="00C72C7A" w:rsidRPr="00F03917" w:rsidRDefault="00C72C7A" w:rsidP="00C72C7A">
            <w:pPr>
              <w:pStyle w:val="Boxtext"/>
              <w:rPr>
                <w:sz w:val="18"/>
                <w:szCs w:val="20"/>
              </w:rPr>
            </w:pPr>
            <w:r w:rsidRPr="00F03917">
              <w:rPr>
                <w:sz w:val="18"/>
                <w:szCs w:val="20"/>
              </w:rPr>
              <w:t xml:space="preserve">Left: </w:t>
            </w:r>
            <w:r w:rsidRPr="00F03917" w:rsidDel="004D470D">
              <w:rPr>
                <w:sz w:val="18"/>
                <w:szCs w:val="20"/>
              </w:rPr>
              <w:t>1</w:t>
            </w:r>
            <w:r w:rsidRPr="00F03917">
              <w:rPr>
                <w:sz w:val="18"/>
                <w:szCs w:val="20"/>
              </w:rPr>
              <w:t xml:space="preserve"> per cent AEP storm tide at present-day MSL. Middle: 0.4 metres RSLR. Right: 0.8 metres RSLR. </w:t>
            </w:r>
          </w:p>
          <w:p w14:paraId="04EC7619" w14:textId="77777777" w:rsidR="00C72C7A" w:rsidRPr="00F03917" w:rsidRDefault="00C72C7A" w:rsidP="001B304E">
            <w:pPr>
              <w:pStyle w:val="Figureheading"/>
              <w:ind w:left="1418" w:right="284"/>
              <w:rPr>
                <w:color w:val="1B556B" w:themeColor="text2"/>
              </w:rPr>
            </w:pPr>
            <w:bookmarkStart w:id="85" w:name="figure14"/>
            <w:bookmarkStart w:id="86" w:name="_Toc160098429"/>
            <w:r w:rsidRPr="00F03917">
              <w:rPr>
                <w:color w:val="1B556B" w:themeColor="text2"/>
              </w:rPr>
              <w:t>Figure 14</w:t>
            </w:r>
            <w:bookmarkEnd w:id="85"/>
            <w:r w:rsidRPr="00F03917">
              <w:rPr>
                <w:color w:val="1B556B" w:themeColor="text2"/>
              </w:rPr>
              <w:t xml:space="preserve">: </w:t>
            </w:r>
            <w:r w:rsidRPr="00F03917">
              <w:rPr>
                <w:color w:val="1B556B" w:themeColor="text2"/>
              </w:rPr>
              <w:tab/>
              <w:t xml:space="preserve">Frequency of inundation (exceedances per year) at Mission Bay, Auckland, for a </w:t>
            </w:r>
            <w:r w:rsidRPr="00F03917" w:rsidDel="004D470D">
              <w:rPr>
                <w:color w:val="1B556B" w:themeColor="text2"/>
              </w:rPr>
              <w:t>1</w:t>
            </w:r>
            <w:r w:rsidRPr="00F03917">
              <w:rPr>
                <w:color w:val="1B556B" w:themeColor="text2"/>
              </w:rPr>
              <w:t> per cent annual exceedance probability storm tide, covering present-day mean sea level and two relative sea-level rise height increments</w:t>
            </w:r>
            <w:bookmarkEnd w:id="86"/>
          </w:p>
          <w:p w14:paraId="7E7B4AA3" w14:textId="77777777" w:rsidR="00C72C7A" w:rsidRPr="00F03917" w:rsidRDefault="00C72C7A" w:rsidP="00C72C7A">
            <w:pPr>
              <w:pStyle w:val="BodyText"/>
            </w:pPr>
            <w:r w:rsidRPr="00F03917">
              <w:rPr>
                <w:noProof/>
              </w:rPr>
              <w:drawing>
                <wp:inline distT="0" distB="0" distL="0" distR="0" wp14:anchorId="581B80CD" wp14:editId="3229196E">
                  <wp:extent cx="1684020" cy="2278499"/>
                  <wp:effectExtent l="0" t="0" r="0" b="7620"/>
                  <wp:docPr id="106" name="Picture 106" descr="\\niwa.local\projects\hamilton\CAVA1704\Working\MissionBay_mapping\Mission_Bay_SLR_maps\gisjpg3\Increasing_inundation_present_day_MS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iwa.local\projects\hamilton\CAVA1704\Working\MissionBay_mapping\Mission_Bay_SLR_maps\gisjpg3\Increasing_inundation_present_day_MSL.png"/>
                          <pic:cNvPicPr>
                            <a:picLocks noChangeAspect="1" noChangeArrowheads="1"/>
                          </pic:cNvPicPr>
                        </pic:nvPicPr>
                        <pic:blipFill>
                          <a:blip r:embed="rId85" r:link="rId86" cstate="email">
                            <a:extLst>
                              <a:ext uri="{28A0092B-C50C-407E-A947-70E740481C1C}">
                                <a14:useLocalDpi xmlns:a14="http://schemas.microsoft.com/office/drawing/2010/main"/>
                              </a:ext>
                            </a:extLst>
                          </a:blip>
                          <a:srcRect/>
                          <a:stretch>
                            <a:fillRect/>
                          </a:stretch>
                        </pic:blipFill>
                        <pic:spPr bwMode="auto">
                          <a:xfrm>
                            <a:off x="0" y="0"/>
                            <a:ext cx="1695325" cy="2293795"/>
                          </a:xfrm>
                          <a:prstGeom prst="rect">
                            <a:avLst/>
                          </a:prstGeom>
                          <a:noFill/>
                          <a:ln>
                            <a:noFill/>
                          </a:ln>
                        </pic:spPr>
                      </pic:pic>
                    </a:graphicData>
                  </a:graphic>
                </wp:inline>
              </w:drawing>
            </w:r>
            <w:r w:rsidRPr="00F03917">
              <w:t xml:space="preserve"> </w:t>
            </w:r>
            <w:r w:rsidRPr="00F03917">
              <w:rPr>
                <w:noProof/>
              </w:rPr>
              <w:drawing>
                <wp:inline distT="0" distB="0" distL="0" distR="0" wp14:anchorId="6DC16C72" wp14:editId="306A494D">
                  <wp:extent cx="1687636" cy="2283391"/>
                  <wp:effectExtent l="0" t="0" r="8255" b="3175"/>
                  <wp:docPr id="109" name="Picture 109" descr="O:\CAVA1704\Working\MissionBay_mapping\Mission_Bay_SLR_maps\gisjpg3\Increasing_inundation_40cm_S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O:\CAVA1704\Working\MissionBay_mapping\Mission_Bay_SLR_maps\gisjpg3\Increasing_inundation_40cm_SLR.png"/>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1699936" cy="2300033"/>
                          </a:xfrm>
                          <a:prstGeom prst="rect">
                            <a:avLst/>
                          </a:prstGeom>
                          <a:noFill/>
                          <a:ln>
                            <a:noFill/>
                          </a:ln>
                        </pic:spPr>
                      </pic:pic>
                    </a:graphicData>
                  </a:graphic>
                </wp:inline>
              </w:drawing>
            </w:r>
            <w:r w:rsidRPr="00F03917">
              <w:t xml:space="preserve"> </w:t>
            </w:r>
            <w:r w:rsidRPr="00F03917">
              <w:rPr>
                <w:noProof/>
              </w:rPr>
              <w:drawing>
                <wp:inline distT="0" distB="0" distL="0" distR="0" wp14:anchorId="788ADA6C" wp14:editId="01EA5E12">
                  <wp:extent cx="1686560" cy="2281936"/>
                  <wp:effectExtent l="0" t="0" r="8890" b="4445"/>
                  <wp:docPr id="110" name="Picture 110" descr="O:\CAVA1704\Working\MissionBay_mapping\Mission_Bay_SLR_maps\gisjpg3\Increasing_inundation_80cm_S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O:\CAVA1704\Working\MissionBay_mapping\Mission_Bay_SLR_maps\gisjpg3\Increasing_inundation_80cm_SLR.pn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1690475" cy="2287233"/>
                          </a:xfrm>
                          <a:prstGeom prst="rect">
                            <a:avLst/>
                          </a:prstGeom>
                          <a:noFill/>
                          <a:ln>
                            <a:noFill/>
                          </a:ln>
                        </pic:spPr>
                      </pic:pic>
                    </a:graphicData>
                  </a:graphic>
                </wp:inline>
              </w:drawing>
            </w:r>
          </w:p>
          <w:p w14:paraId="5AEB39D6" w14:textId="487455E0" w:rsidR="00C72C7A" w:rsidRPr="00F03917" w:rsidRDefault="00C72C7A" w:rsidP="00C72C7A">
            <w:pPr>
              <w:pStyle w:val="Boxtext"/>
              <w:rPr>
                <w:sz w:val="18"/>
                <w:szCs w:val="20"/>
              </w:rPr>
            </w:pPr>
            <w:r w:rsidRPr="00F03917">
              <w:rPr>
                <w:sz w:val="18"/>
                <w:szCs w:val="20"/>
              </w:rPr>
              <w:t xml:space="preserve">Left: </w:t>
            </w:r>
            <w:r w:rsidRPr="00F03917" w:rsidDel="004D470D">
              <w:rPr>
                <w:sz w:val="18"/>
                <w:szCs w:val="20"/>
              </w:rPr>
              <w:t>1</w:t>
            </w:r>
            <w:r w:rsidRPr="00F03917">
              <w:rPr>
                <w:sz w:val="18"/>
                <w:szCs w:val="20"/>
              </w:rPr>
              <w:t xml:space="preserve"> per cent AEP</w:t>
            </w:r>
            <w:r w:rsidRPr="00F03917" w:rsidDel="0060762A">
              <w:rPr>
                <w:sz w:val="18"/>
                <w:szCs w:val="20"/>
              </w:rPr>
              <w:t xml:space="preserve"> </w:t>
            </w:r>
            <w:r w:rsidRPr="00F03917">
              <w:rPr>
                <w:sz w:val="18"/>
                <w:szCs w:val="20"/>
              </w:rPr>
              <w:t>storm tide at present-day MSL. Middle: 0.4 metres RSLR. Right: 0.8 metres RSLR.</w:t>
            </w:r>
            <w:r w:rsidR="00977ED4" w:rsidRPr="00F03917">
              <w:rPr>
                <w:sz w:val="18"/>
                <w:szCs w:val="20"/>
              </w:rPr>
              <w:t xml:space="preserve"> </w:t>
            </w:r>
          </w:p>
          <w:p w14:paraId="0D16B2DE" w14:textId="77777777" w:rsidR="00C72C7A" w:rsidRPr="00F03917" w:rsidRDefault="00C72C7A" w:rsidP="001B304E">
            <w:pPr>
              <w:pStyle w:val="Boxtext"/>
              <w:spacing w:before="0"/>
            </w:pPr>
            <w:r w:rsidRPr="00F03917">
              <w:t>Inundation was modelled using a static geographic information system</w:t>
            </w:r>
            <w:r w:rsidRPr="00F03917" w:rsidDel="0060762A">
              <w:t xml:space="preserve"> </w:t>
            </w:r>
            <w:r w:rsidRPr="00F03917">
              <w:t>technique. All areas below the modelled sea level are shown as inundated, regardless of connection to the sea; some inland areas may not become inundated as shown. Note the infrequent exposure to coastal storm inundation at present will increase with increased RSLR.</w:t>
            </w:r>
          </w:p>
          <w:p w14:paraId="7EE5BB21" w14:textId="3AD8A63F" w:rsidR="00C72C7A" w:rsidRPr="00F03917" w:rsidRDefault="00C72C7A" w:rsidP="001B304E">
            <w:pPr>
              <w:pStyle w:val="Boxtext"/>
              <w:spacing w:before="0" w:after="240"/>
            </w:pPr>
            <w:r w:rsidRPr="00F03917">
              <w:rPr>
                <w:sz w:val="18"/>
                <w:szCs w:val="16"/>
              </w:rPr>
              <w:t>Graphics: Sanjay Wadhwa, NIWA; base maps developed from Auckland Council LiDAR data.</w:t>
            </w:r>
          </w:p>
        </w:tc>
      </w:tr>
    </w:tbl>
    <w:p w14:paraId="244F8E32" w14:textId="36A8F2C4" w:rsidR="00AA4A20" w:rsidRPr="00F03917" w:rsidRDefault="00AA4A20" w:rsidP="00E66318">
      <w:pPr>
        <w:pStyle w:val="BodyText"/>
        <w:spacing w:after="0"/>
        <w:rPr>
          <w:rFonts w:cs="Arial"/>
        </w:rPr>
      </w:pPr>
      <w:r w:rsidRPr="00F03917">
        <w:rPr>
          <w:noProof/>
        </w:rPr>
        <w:lastRenderedPageBreak/>
        <w:drawing>
          <wp:inline distT="0" distB="0" distL="0" distR="0" wp14:anchorId="1DC1351E" wp14:editId="3D8ABD1C">
            <wp:extent cx="5486400" cy="4958366"/>
            <wp:effectExtent l="0" t="0" r="95250" b="0"/>
            <wp:docPr id="937751155" name="Diagram 9377511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9" r:lo="rId90" r:qs="rId91" r:cs="rId92"/>
              </a:graphicData>
            </a:graphic>
          </wp:inline>
        </w:drawing>
      </w:r>
    </w:p>
    <w:p w14:paraId="46C70C9B" w14:textId="77777777" w:rsidR="00347E48" w:rsidRPr="00F03917" w:rsidRDefault="00347E48" w:rsidP="00202C72">
      <w:pPr>
        <w:pStyle w:val="BodyText"/>
        <w:spacing w:before="0" w:after="0"/>
      </w:pPr>
    </w:p>
    <w:p w14:paraId="19439E71" w14:textId="1D2489A5" w:rsidR="00347E48" w:rsidRPr="00F03917" w:rsidRDefault="00347E48" w:rsidP="00202C72">
      <w:pPr>
        <w:spacing w:line="280" w:lineRule="atLeast"/>
        <w:rPr>
          <w:rFonts w:ascii="Calibri" w:eastAsia="MS Mincho" w:hAnsi="Calibri" w:cs="Arial"/>
          <w:kern w:val="0"/>
          <w:sz w:val="22"/>
          <w:szCs w:val="22"/>
          <w:lang w:eastAsia="en-NZ"/>
          <w14:ligatures w14:val="none"/>
        </w:rPr>
        <w:sectPr w:rsidR="00347E48" w:rsidRPr="00F03917" w:rsidSect="007E5AB2">
          <w:headerReference w:type="default" r:id="rId94"/>
          <w:footerReference w:type="default" r:id="rId95"/>
          <w:headerReference w:type="first" r:id="rId96"/>
          <w:pgSz w:w="11907" w:h="16840" w:code="9"/>
          <w:pgMar w:top="1134" w:right="1701" w:bottom="1134" w:left="1701" w:header="567" w:footer="567" w:gutter="0"/>
          <w:cols w:space="720"/>
          <w:titlePg/>
          <w:docGrid w:linePitch="326"/>
        </w:sectPr>
      </w:pPr>
    </w:p>
    <w:p w14:paraId="42E5DA1C" w14:textId="6AAA9591" w:rsidR="006E155C" w:rsidRPr="00F03917" w:rsidRDefault="006E155C" w:rsidP="000A1A25">
      <w:pPr>
        <w:pStyle w:val="PARTHEADING"/>
      </w:pPr>
      <w:bookmarkStart w:id="87" w:name="_6.5.5_Data_requirements"/>
      <w:bookmarkStart w:id="88" w:name="_6.6_Coastal_hazard"/>
      <w:bookmarkStart w:id="89" w:name="_7_Establishing_values"/>
      <w:bookmarkStart w:id="90" w:name="_8_Vulnerability_and"/>
      <w:bookmarkStart w:id="91" w:name="_Toc160096238"/>
      <w:bookmarkStart w:id="92" w:name="_Toc465847573"/>
      <w:bookmarkStart w:id="93" w:name="_Toc466014432"/>
      <w:bookmarkEnd w:id="87"/>
      <w:bookmarkEnd w:id="88"/>
      <w:bookmarkEnd w:id="89"/>
      <w:bookmarkEnd w:id="90"/>
      <w:r w:rsidRPr="00F03917">
        <w:lastRenderedPageBreak/>
        <w:t>Part B: What matters most?</w:t>
      </w:r>
      <w:bookmarkEnd w:id="91"/>
    </w:p>
    <w:p w14:paraId="29001149" w14:textId="3EFB860C" w:rsidR="003964E8" w:rsidRPr="00F03917" w:rsidRDefault="003964E8" w:rsidP="005208AE">
      <w:pPr>
        <w:pStyle w:val="Heading1"/>
        <w:spacing w:after="120"/>
      </w:pPr>
      <w:bookmarkStart w:id="94" w:name="_Step_3:_Establish"/>
      <w:bookmarkStart w:id="95" w:name="_Toc160096239"/>
      <w:bookmarkEnd w:id="94"/>
      <w:r w:rsidRPr="00F03917">
        <w:t>Step 3: Establish values and objectives</w:t>
      </w:r>
      <w:bookmarkEnd w:id="95"/>
    </w:p>
    <w:p w14:paraId="62C08ADB" w14:textId="7EB5805C" w:rsidR="003964E8" w:rsidRPr="00F03917" w:rsidRDefault="003964E8" w:rsidP="005208AE">
      <w:pPr>
        <w:pStyle w:val="BodyText"/>
        <w:jc w:val="center"/>
      </w:pPr>
      <w:r w:rsidRPr="00F03917">
        <w:rPr>
          <w:noProof/>
        </w:rPr>
        <w:drawing>
          <wp:inline distT="0" distB="0" distL="0" distR="0" wp14:anchorId="797C158F" wp14:editId="676E18E1">
            <wp:extent cx="4419553" cy="421909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rotWithShape="1">
                    <a:blip r:embed="rId97" cstate="print">
                      <a:extLst>
                        <a:ext uri="{28A0092B-C50C-407E-A947-70E740481C1C}">
                          <a14:useLocalDpi xmlns:a14="http://schemas.microsoft.com/office/drawing/2010/main" val="0"/>
                        </a:ext>
                      </a:extLst>
                    </a:blip>
                    <a:srcRect l="-3015" t="-1317" r="-3737" b="-594"/>
                    <a:stretch/>
                  </pic:blipFill>
                  <pic:spPr bwMode="auto">
                    <a:xfrm>
                      <a:off x="0" y="0"/>
                      <a:ext cx="4419553" cy="4219092"/>
                    </a:xfrm>
                    <a:prstGeom prst="rect">
                      <a:avLst/>
                    </a:prstGeom>
                    <a:ln>
                      <a:noFill/>
                    </a:ln>
                    <a:extLst>
                      <a:ext uri="{53640926-AAD7-44D8-BBD7-CCE9431645EC}">
                        <a14:shadowObscured xmlns:a14="http://schemas.microsoft.com/office/drawing/2010/main"/>
                      </a:ext>
                    </a:extLst>
                  </pic:spPr>
                </pic:pic>
              </a:graphicData>
            </a:graphic>
          </wp:inline>
        </w:drawing>
      </w:r>
    </w:p>
    <w:p w14:paraId="0F9BECB9" w14:textId="22ABD9F3" w:rsidR="003964E8" w:rsidRPr="00F03917" w:rsidRDefault="001C4B75" w:rsidP="00B765D7">
      <w:pPr>
        <w:pStyle w:val="Heading2"/>
        <w:numPr>
          <w:ilvl w:val="0"/>
          <w:numId w:val="24"/>
        </w:numPr>
      </w:pPr>
      <w:bookmarkStart w:id="96" w:name="_Toc160096240"/>
      <w:r w:rsidRPr="00F03917">
        <w:t xml:space="preserve">Mana </w:t>
      </w:r>
      <w:r w:rsidR="05876081" w:rsidRPr="00F03917">
        <w:t>w</w:t>
      </w:r>
      <w:r w:rsidRPr="00F03917">
        <w:t xml:space="preserve">henua and </w:t>
      </w:r>
      <w:r w:rsidR="29EF16A9" w:rsidRPr="00F03917">
        <w:t>c</w:t>
      </w:r>
      <w:r w:rsidR="003964E8" w:rsidRPr="00F03917">
        <w:t>ommunity values and objectives</w:t>
      </w:r>
      <w:bookmarkEnd w:id="96"/>
    </w:p>
    <w:p w14:paraId="6BD534AB" w14:textId="5BCC8FE0" w:rsidR="003964E8" w:rsidRPr="00F03917" w:rsidRDefault="003964E8" w:rsidP="00B765D7">
      <w:pPr>
        <w:pStyle w:val="Heading3"/>
        <w:numPr>
          <w:ilvl w:val="0"/>
          <w:numId w:val="25"/>
        </w:numPr>
        <w:spacing w:before="240"/>
      </w:pPr>
      <w:r w:rsidRPr="00F03917">
        <w:t>What are community values?</w:t>
      </w:r>
    </w:p>
    <w:p w14:paraId="6D527E8D" w14:textId="23A4DD67" w:rsidR="003964E8" w:rsidRPr="00F03917" w:rsidRDefault="00DF1FEC" w:rsidP="00DD520C">
      <w:pPr>
        <w:pStyle w:val="BodyText"/>
      </w:pPr>
      <w:r w:rsidRPr="00F03917">
        <w:t>C</w:t>
      </w:r>
      <w:r w:rsidR="003964E8" w:rsidRPr="00F03917">
        <w:t xml:space="preserve">ouncils </w:t>
      </w:r>
      <w:r w:rsidR="00657A9E" w:rsidRPr="00F03917">
        <w:t xml:space="preserve">should </w:t>
      </w:r>
      <w:r w:rsidR="003964E8" w:rsidRPr="00F03917">
        <w:t xml:space="preserve">engage with the wider community to understand what ‘things or objects’ of value could be affected by increasing coastal hazards and rising sea levels. </w:t>
      </w:r>
      <w:r w:rsidR="00892598" w:rsidRPr="00F03917">
        <w:t xml:space="preserve">This </w:t>
      </w:r>
      <w:r w:rsidR="00F8306E" w:rsidRPr="00F03917">
        <w:t xml:space="preserve">engagement </w:t>
      </w:r>
      <w:r w:rsidR="009E332E" w:rsidRPr="00F03917">
        <w:t>should</w:t>
      </w:r>
      <w:r w:rsidR="00892598" w:rsidRPr="00F03917">
        <w:t xml:space="preserve"> be done</w:t>
      </w:r>
      <w:r w:rsidRPr="00F03917">
        <w:t xml:space="preserve"> </w:t>
      </w:r>
      <w:r w:rsidR="009E332E" w:rsidRPr="00F03917">
        <w:t>after</w:t>
      </w:r>
      <w:r w:rsidR="00892598" w:rsidRPr="00F03917">
        <w:t xml:space="preserve"> the coastal hazards</w:t>
      </w:r>
      <w:r w:rsidRPr="00F03917">
        <w:t xml:space="preserve"> </w:t>
      </w:r>
      <w:r w:rsidR="009E332E" w:rsidRPr="00F03917">
        <w:t>and SLR</w:t>
      </w:r>
      <w:r w:rsidRPr="00F03917">
        <w:t xml:space="preserve"> assessments</w:t>
      </w:r>
      <w:r w:rsidR="00892598" w:rsidRPr="00F03917">
        <w:t xml:space="preserve"> are complete</w:t>
      </w:r>
      <w:r w:rsidRPr="00F03917">
        <w:t xml:space="preserve">. </w:t>
      </w:r>
      <w:r w:rsidR="003964E8" w:rsidRPr="00F03917">
        <w:t>These values may</w:t>
      </w:r>
      <w:r w:rsidR="00911962" w:rsidRPr="00F03917">
        <w:t> </w:t>
      </w:r>
      <w:r w:rsidR="003964E8" w:rsidRPr="00F03917">
        <w:t>include:</w:t>
      </w:r>
    </w:p>
    <w:p w14:paraId="10CDDFEF" w14:textId="0C5714C0" w:rsidR="003964E8" w:rsidRPr="00F03917" w:rsidRDefault="7B8892DE" w:rsidP="00174F6E">
      <w:pPr>
        <w:pStyle w:val="BulletFIX"/>
      </w:pPr>
      <w:r w:rsidRPr="00F03917">
        <w:t>physical items like</w:t>
      </w:r>
      <w:r w:rsidR="332FA230" w:rsidRPr="00F03917">
        <w:t xml:space="preserve"> homes and property, </w:t>
      </w:r>
      <w:r w:rsidR="0D503E3D" w:rsidRPr="00F03917">
        <w:t>marae and urup</w:t>
      </w:r>
      <w:r w:rsidR="039AEF25" w:rsidRPr="00F03917">
        <w:t>ā</w:t>
      </w:r>
      <w:r w:rsidR="0D503E3D" w:rsidRPr="00F03917">
        <w:t xml:space="preserve">, </w:t>
      </w:r>
      <w:r w:rsidR="332FA230" w:rsidRPr="00F03917">
        <w:t>public</w:t>
      </w:r>
      <w:r w:rsidRPr="00F03917">
        <w:t xml:space="preserve"> land and buildings, roads, services and utilities, parks and reserves, retail and commercial centres, recreational services, community assets</w:t>
      </w:r>
      <w:r w:rsidR="039AEF25" w:rsidRPr="00F03917">
        <w:t>,</w:t>
      </w:r>
      <w:r w:rsidRPr="00F03917">
        <w:t xml:space="preserve"> </w:t>
      </w:r>
      <w:r w:rsidR="70C6008B" w:rsidRPr="00F03917">
        <w:t>as well as cultural and historical sites</w:t>
      </w:r>
    </w:p>
    <w:p w14:paraId="283CD0B6" w14:textId="0A43C871" w:rsidR="00357FCE" w:rsidRPr="00F03917" w:rsidRDefault="403545D9" w:rsidP="00174F6E">
      <w:pPr>
        <w:pStyle w:val="BulletFIX"/>
      </w:pPr>
      <w:r w:rsidRPr="00F03917">
        <w:t xml:space="preserve">natural </w:t>
      </w:r>
      <w:r w:rsidR="625082D8" w:rsidRPr="00F03917">
        <w:t xml:space="preserve">values, like </w:t>
      </w:r>
      <w:r w:rsidR="59B137AF" w:rsidRPr="00F03917">
        <w:t>coastal wetlands</w:t>
      </w:r>
      <w:r w:rsidR="4A029F88" w:rsidRPr="00F03917">
        <w:t xml:space="preserve"> and estuaries</w:t>
      </w:r>
      <w:r w:rsidR="59B137AF" w:rsidRPr="00F03917">
        <w:t xml:space="preserve">, </w:t>
      </w:r>
      <w:r w:rsidR="6C34B052" w:rsidRPr="00F03917">
        <w:t>shorebirds</w:t>
      </w:r>
      <w:r w:rsidR="5DC1DCAA" w:rsidRPr="00F03917">
        <w:t xml:space="preserve">, </w:t>
      </w:r>
      <w:r w:rsidR="64E57372" w:rsidRPr="00F03917">
        <w:t>native fish</w:t>
      </w:r>
      <w:r w:rsidR="5A2B5C40" w:rsidRPr="00F03917">
        <w:t xml:space="preserve"> and lizards</w:t>
      </w:r>
      <w:r w:rsidR="38ED2582" w:rsidRPr="00F03917">
        <w:t>, as</w:t>
      </w:r>
      <w:r w:rsidR="00836C8F" w:rsidRPr="00F03917">
        <w:t> </w:t>
      </w:r>
      <w:r w:rsidR="38ED2582" w:rsidRPr="00F03917">
        <w:t>well as mahinga kai practices</w:t>
      </w:r>
    </w:p>
    <w:p w14:paraId="45149F47" w14:textId="5887234B" w:rsidR="003964E8" w:rsidRPr="00F03917" w:rsidRDefault="7B8892DE" w:rsidP="00174F6E">
      <w:pPr>
        <w:pStyle w:val="BulletFIX"/>
      </w:pPr>
      <w:r w:rsidRPr="00F03917">
        <w:t xml:space="preserve">intangible </w:t>
      </w:r>
      <w:r w:rsidR="007C0373" w:rsidRPr="00F03917">
        <w:t>values</w:t>
      </w:r>
      <w:r w:rsidRPr="00F03917">
        <w:t xml:space="preserve"> like the ability to practise tikanga, community cohesion and spirit</w:t>
      </w:r>
      <w:r w:rsidR="007C0373" w:rsidRPr="00F03917">
        <w:t>, wellbeing</w:t>
      </w:r>
      <w:r w:rsidR="6008FBA7" w:rsidRPr="00F03917">
        <w:t xml:space="preserve"> </w:t>
      </w:r>
      <w:r w:rsidR="70C6008B" w:rsidRPr="00F03917">
        <w:t xml:space="preserve">and </w:t>
      </w:r>
      <w:r w:rsidRPr="00F03917">
        <w:t>occupational identities</w:t>
      </w:r>
      <w:r w:rsidR="7C5A10E0" w:rsidRPr="00F03917">
        <w:t xml:space="preserve"> </w:t>
      </w:r>
      <w:r w:rsidRPr="00F03917">
        <w:t xml:space="preserve">(Barnett et al, 2016).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22778E" w:rsidRPr="00F03917" w14:paraId="2E318E65" w14:textId="77777777" w:rsidTr="0036266A">
        <w:tc>
          <w:tcPr>
            <w:tcW w:w="8505" w:type="dxa"/>
            <w:shd w:val="clear" w:color="auto" w:fill="D5EBE8" w:themeFill="accent3"/>
          </w:tcPr>
          <w:p w14:paraId="57D5552D" w14:textId="2BCBA959" w:rsidR="0022778E" w:rsidRPr="00F03917" w:rsidRDefault="0022778E" w:rsidP="0022778E">
            <w:pPr>
              <w:pStyle w:val="Boxtext"/>
              <w:spacing w:before="240" w:after="240"/>
            </w:pPr>
            <w:r w:rsidRPr="00F03917">
              <w:lastRenderedPageBreak/>
              <w:t>A comprehensive understanding of what is important, and who it is important to, will underpin</w:t>
            </w:r>
            <w:r w:rsidR="005C4E4D" w:rsidRPr="00F03917">
              <w:t> </w:t>
            </w:r>
            <w:r w:rsidRPr="00F03917">
              <w:t>decisions about the value of what is at risk and inform adaptation options and their</w:t>
            </w:r>
            <w:r w:rsidR="005C4E4D" w:rsidRPr="00F03917">
              <w:t> </w:t>
            </w:r>
            <w:r w:rsidRPr="00F03917">
              <w:t>implementation,</w:t>
            </w:r>
            <w:r w:rsidR="005C4E4D" w:rsidRPr="00F03917">
              <w:t xml:space="preserve"> </w:t>
            </w:r>
            <w:r w:rsidRPr="00F03917">
              <w:t xml:space="preserve">evaluation and the monitoring of </w:t>
            </w:r>
            <w:r w:rsidR="007078DE" w:rsidRPr="00F03917">
              <w:t>adaptive planning</w:t>
            </w:r>
            <w:r w:rsidR="00E76859" w:rsidRPr="00F03917">
              <w:t xml:space="preserve"> strategies</w:t>
            </w:r>
            <w:r w:rsidRPr="00F03917">
              <w:t>.</w:t>
            </w:r>
          </w:p>
        </w:tc>
      </w:tr>
    </w:tbl>
    <w:p w14:paraId="064DFE59" w14:textId="05751A89" w:rsidR="003964E8" w:rsidRPr="00F03917" w:rsidRDefault="003964E8" w:rsidP="0022778E">
      <w:pPr>
        <w:pStyle w:val="BodyText"/>
        <w:keepLines/>
        <w:spacing w:before="240"/>
      </w:pPr>
      <w:r w:rsidRPr="00F03917">
        <w:t>Without this knowledge, community values are unlikely to be fully considered in consent, policy and adaptation decisions. Th</w:t>
      </w:r>
      <w:r w:rsidR="00254E10" w:rsidRPr="00F03917">
        <w:t>erefore</w:t>
      </w:r>
      <w:r w:rsidR="00396669" w:rsidRPr="00F03917">
        <w:t>,</w:t>
      </w:r>
      <w:r w:rsidR="00254E10" w:rsidRPr="00F03917">
        <w:t xml:space="preserve"> there is a</w:t>
      </w:r>
      <w:r w:rsidRPr="00F03917">
        <w:t xml:space="preserve"> risk</w:t>
      </w:r>
      <w:r w:rsidRPr="00F03917" w:rsidDel="00580BD4">
        <w:t xml:space="preserve"> </w:t>
      </w:r>
      <w:r w:rsidR="00580BD4" w:rsidRPr="00F03917">
        <w:t xml:space="preserve">that </w:t>
      </w:r>
      <w:r w:rsidRPr="00F03917">
        <w:t>community acceptance of decisions</w:t>
      </w:r>
      <w:r w:rsidR="00580BD4" w:rsidRPr="00F03917">
        <w:t xml:space="preserve"> will be </w:t>
      </w:r>
      <w:r w:rsidR="00BE1C05" w:rsidRPr="00F03917">
        <w:t>affected</w:t>
      </w:r>
      <w:r w:rsidRPr="00F03917">
        <w:t>, which can result in opposition to the adaptation plan. Investing time and effort at this step of the decision cycle is more likely to result in successful outcomes later.</w:t>
      </w:r>
    </w:p>
    <w:p w14:paraId="792348FC" w14:textId="12387D19" w:rsidR="003964E8" w:rsidRPr="00F03917" w:rsidRDefault="003964E8" w:rsidP="0022778E">
      <w:pPr>
        <w:pStyle w:val="BodyText"/>
      </w:pPr>
      <w:r w:rsidRPr="00F03917">
        <w:t>Understanding and capturing values and forming objectives can range from scoping studies to</w:t>
      </w:r>
      <w:r w:rsidR="000B5B74" w:rsidRPr="00F03917">
        <w:t> </w:t>
      </w:r>
      <w:r w:rsidRPr="00F03917">
        <w:t xml:space="preserve">more detailed investigations, depending on the scale and detail of the hazard and </w:t>
      </w:r>
      <w:r w:rsidR="6EF0DA9A" w:rsidRPr="00F03917">
        <w:t>sea-level rise (</w:t>
      </w:r>
      <w:r w:rsidRPr="00F03917">
        <w:t>SLR</w:t>
      </w:r>
      <w:r w:rsidR="1FA0DDAB" w:rsidRPr="00F03917">
        <w:t>)</w:t>
      </w:r>
      <w:r w:rsidRPr="00F03917">
        <w:t xml:space="preserve"> assessments and the nature of the decision. Three stages are involved</w:t>
      </w:r>
      <w:r w:rsidR="0B6CDB06" w:rsidRPr="00F03917">
        <w:t>.</w:t>
      </w:r>
      <w:r w:rsidRPr="00F03917">
        <w:t xml:space="preserve"> </w:t>
      </w:r>
    </w:p>
    <w:p w14:paraId="59B3F5A3" w14:textId="77777777" w:rsidR="003964E8" w:rsidRPr="00F03917" w:rsidRDefault="003964E8" w:rsidP="00A34F42">
      <w:pPr>
        <w:pStyle w:val="Numberedparagraph"/>
      </w:pPr>
      <w:r w:rsidRPr="00F03917">
        <w:rPr>
          <w:b/>
          <w:bCs/>
        </w:rPr>
        <w:t>Explore and capture community, iwi/hapū and stakeholder values</w:t>
      </w:r>
      <w:r w:rsidRPr="00F03917">
        <w:t xml:space="preserve"> in a way that clearly expresses: </w:t>
      </w:r>
    </w:p>
    <w:p w14:paraId="67E3656C" w14:textId="77777777" w:rsidR="003964E8" w:rsidRPr="00F03917" w:rsidRDefault="003964E8" w:rsidP="00FA1C4A">
      <w:pPr>
        <w:pStyle w:val="Sub-lista"/>
        <w:numPr>
          <w:ilvl w:val="0"/>
          <w:numId w:val="52"/>
        </w:numPr>
      </w:pPr>
      <w:r w:rsidRPr="00F03917">
        <w:t xml:space="preserve">what of value is potentially affected by coastal hazards and SLR </w:t>
      </w:r>
    </w:p>
    <w:p w14:paraId="19B6E011" w14:textId="77777777" w:rsidR="003964E8" w:rsidRPr="00F03917" w:rsidRDefault="003964E8" w:rsidP="000C231E">
      <w:pPr>
        <w:pStyle w:val="Sub-lista"/>
      </w:pPr>
      <w:r w:rsidRPr="00F03917">
        <w:t>who values it</w:t>
      </w:r>
    </w:p>
    <w:p w14:paraId="17BE9B02" w14:textId="77777777" w:rsidR="003964E8" w:rsidRPr="00F03917" w:rsidRDefault="003964E8" w:rsidP="000C231E">
      <w:pPr>
        <w:pStyle w:val="Sub-lista"/>
      </w:pPr>
      <w:r w:rsidRPr="00F03917">
        <w:t xml:space="preserve">where is it located geographically. </w:t>
      </w:r>
    </w:p>
    <w:p w14:paraId="064D635D" w14:textId="58909134" w:rsidR="003964E8" w:rsidRPr="00F03917" w:rsidRDefault="003964E8" w:rsidP="000C231E">
      <w:pPr>
        <w:pStyle w:val="BodyText"/>
        <w:ind w:left="397"/>
      </w:pPr>
      <w:r w:rsidRPr="00F03917">
        <w:t xml:space="preserve">This includes considering the needs of </w:t>
      </w:r>
      <w:r w:rsidR="4B28C1C6" w:rsidRPr="00F03917">
        <w:t xml:space="preserve">at least two </w:t>
      </w:r>
      <w:r w:rsidRPr="00F03917">
        <w:t xml:space="preserve">future generations and how decisions today could affect communities in the future. </w:t>
      </w:r>
      <w:r w:rsidR="00E9625A" w:rsidRPr="00F03917">
        <w:t>C</w:t>
      </w:r>
      <w:r w:rsidRPr="00F03917">
        <w:t xml:space="preserve">arefully consider who should participate, how they will participate, and the tools and techniques that will be used to uncover community values (see </w:t>
      </w:r>
      <w:hyperlink w:anchor="_Supplements" w:history="1">
        <w:r w:rsidR="0000300C" w:rsidRPr="00F03917">
          <w:rPr>
            <w:rStyle w:val="Hyperlink"/>
            <w:i/>
          </w:rPr>
          <w:t>Community engagement principles and approaches, and practice methods: Coastal hazards and climate change guidance – Supplement B</w:t>
        </w:r>
      </w:hyperlink>
      <w:r w:rsidRPr="00F03917">
        <w:t>).</w:t>
      </w:r>
    </w:p>
    <w:p w14:paraId="61E98CC6" w14:textId="77777777" w:rsidR="003964E8" w:rsidRPr="00F03917" w:rsidRDefault="003964E8" w:rsidP="00A34F42">
      <w:pPr>
        <w:pStyle w:val="Numberedparagraph"/>
        <w:spacing w:before="80"/>
      </w:pPr>
      <w:r w:rsidRPr="00F03917">
        <w:rPr>
          <w:b/>
          <w:bCs/>
        </w:rPr>
        <w:t>Reframe the agreed community values into objectives</w:t>
      </w:r>
      <w:r w:rsidRPr="00F03917">
        <w:t xml:space="preserve"> for public and private</w:t>
      </w:r>
      <w:r w:rsidRPr="00F03917" w:rsidDel="00E26CCF">
        <w:t xml:space="preserve"> </w:t>
      </w:r>
      <w:r w:rsidRPr="00F03917">
        <w:t>stakeholders to ensure inclusion in the vulnerability assessment and future adaptation decisions.</w:t>
      </w:r>
    </w:p>
    <w:p w14:paraId="57CA654A" w14:textId="77777777" w:rsidR="003964E8" w:rsidRPr="00F03917" w:rsidRDefault="003964E8" w:rsidP="00774644">
      <w:pPr>
        <w:pStyle w:val="Numberedparagraph"/>
        <w:rPr>
          <w:rFonts w:cs="Arial"/>
        </w:rPr>
      </w:pPr>
      <w:r w:rsidRPr="00F03917">
        <w:rPr>
          <w:rFonts w:cs="Arial"/>
          <w:b/>
        </w:rPr>
        <w:t>C</w:t>
      </w:r>
      <w:r w:rsidRPr="00F03917">
        <w:rPr>
          <w:rFonts w:cs="Arial"/>
          <w:b/>
          <w:bCs/>
        </w:rPr>
        <w:t>larify and agree on local government jurisdictions, functions and statutory outcomes or limits</w:t>
      </w:r>
      <w:r w:rsidRPr="00F03917">
        <w:rPr>
          <w:rFonts w:cs="Arial"/>
        </w:rPr>
        <w:t>. Agreement will require multi-party, multi-function discussion.</w:t>
      </w:r>
    </w:p>
    <w:p w14:paraId="0A9CAE2A" w14:textId="43CF7FA4" w:rsidR="003964E8" w:rsidRPr="00F03917" w:rsidRDefault="003964E8" w:rsidP="007E49AA">
      <w:pPr>
        <w:pStyle w:val="BodyText"/>
      </w:pPr>
      <w:r w:rsidRPr="00F03917">
        <w:t xml:space="preserve">These three stages will help councils gauge the feasibility </w:t>
      </w:r>
      <w:r w:rsidR="00A63506" w:rsidRPr="00F03917">
        <w:t xml:space="preserve">and effectiveness </w:t>
      </w:r>
      <w:r w:rsidRPr="00F03917">
        <w:t xml:space="preserve">of adaptation plans at the implementation stage. </w:t>
      </w:r>
    </w:p>
    <w:p w14:paraId="37D23269" w14:textId="74270F26" w:rsidR="003964E8" w:rsidRPr="00F03917" w:rsidRDefault="003964E8" w:rsidP="00A34F42">
      <w:pPr>
        <w:pStyle w:val="BodyText"/>
        <w:spacing w:after="240"/>
      </w:pPr>
      <w:r w:rsidRPr="00F03917">
        <w:t>Box</w:t>
      </w:r>
      <w:r w:rsidRPr="00F03917" w:rsidDel="005316CC">
        <w:t xml:space="preserve"> </w:t>
      </w:r>
      <w:r w:rsidR="005316CC" w:rsidRPr="00F03917">
        <w:t>8</w:t>
      </w:r>
      <w:r w:rsidRPr="00F03917">
        <w:t xml:space="preserve"> lists potential effects on coastal communities, which can be used in value</w:t>
      </w:r>
      <w:r w:rsidR="00135780" w:rsidRPr="00F03917">
        <w:t>s</w:t>
      </w:r>
      <w:r w:rsidRPr="00F03917">
        <w:t xml:space="preserve"> identification.</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6FBF9"/>
        <w:tblLook w:val="04A0" w:firstRow="1" w:lastRow="0" w:firstColumn="1" w:lastColumn="0" w:noHBand="0" w:noVBand="1"/>
      </w:tblPr>
      <w:tblGrid>
        <w:gridCol w:w="8505"/>
      </w:tblGrid>
      <w:tr w:rsidR="003964E8" w:rsidRPr="00F03917" w14:paraId="048BEDE0" w14:textId="77777777" w:rsidTr="00A34F42">
        <w:trPr>
          <w:tblHeader/>
        </w:trPr>
        <w:tc>
          <w:tcPr>
            <w:tcW w:w="8562" w:type="dxa"/>
            <w:tcBorders>
              <w:top w:val="single" w:sz="4" w:space="0" w:color="1B556B" w:themeColor="text2"/>
              <w:left w:val="single" w:sz="4" w:space="0" w:color="1B556B" w:themeColor="text2"/>
              <w:bottom w:val="nil"/>
              <w:right w:val="single" w:sz="4" w:space="0" w:color="1B556B" w:themeColor="text2"/>
            </w:tcBorders>
            <w:shd w:val="clear" w:color="auto" w:fill="1B556B" w:themeFill="text2"/>
            <w:vAlign w:val="center"/>
          </w:tcPr>
          <w:p w14:paraId="15E4C5FB" w14:textId="1EBA2DE3" w:rsidR="003964E8" w:rsidRPr="00F03917" w:rsidDel="00D5390D" w:rsidRDefault="003964E8" w:rsidP="00C2018B">
            <w:pPr>
              <w:pStyle w:val="Casestudyheading"/>
              <w:ind w:right="113"/>
            </w:pPr>
            <w:r w:rsidRPr="00F03917">
              <w:t xml:space="preserve">: potential effects of </w:t>
            </w:r>
            <w:r w:rsidR="00AE238A" w:rsidRPr="00F03917">
              <w:t>COASTAL HAZARDS</w:t>
            </w:r>
            <w:r w:rsidRPr="00F03917">
              <w:t xml:space="preserve"> on Coastal community values</w:t>
            </w:r>
          </w:p>
        </w:tc>
      </w:tr>
      <w:tr w:rsidR="003964E8" w:rsidRPr="00F03917" w14:paraId="506D3824" w14:textId="77777777" w:rsidTr="00A34F42">
        <w:tc>
          <w:tcPr>
            <w:tcW w:w="8562" w:type="dxa"/>
            <w:tcBorders>
              <w:top w:val="nil"/>
              <w:left w:val="single" w:sz="4" w:space="0" w:color="D2DDE1" w:themeColor="background2"/>
              <w:bottom w:val="single" w:sz="4" w:space="0" w:color="D2DDE1" w:themeColor="background2"/>
              <w:right w:val="single" w:sz="4" w:space="0" w:color="D2DDE1" w:themeColor="background2"/>
            </w:tcBorders>
            <w:shd w:val="clear" w:color="auto" w:fill="D2DDE1" w:themeFill="background2"/>
          </w:tcPr>
          <w:p w14:paraId="07316CFD" w14:textId="77777777" w:rsidR="003964E8" w:rsidRPr="00F03917" w:rsidRDefault="003964E8" w:rsidP="007E49AA">
            <w:pPr>
              <w:pStyle w:val="Boxtext"/>
              <w:spacing w:after="80"/>
              <w:rPr>
                <w:b/>
                <w:bCs/>
              </w:rPr>
            </w:pPr>
            <w:r w:rsidRPr="00F03917">
              <w:rPr>
                <w:b/>
                <w:bCs/>
              </w:rPr>
              <w:t>Private property and businesses</w:t>
            </w:r>
          </w:p>
          <w:p w14:paraId="0E2EEBBF" w14:textId="77777777" w:rsidR="003964E8" w:rsidRPr="00F03917" w:rsidRDefault="003964E8" w:rsidP="007E49AA">
            <w:pPr>
              <w:pStyle w:val="Boxbullet"/>
              <w:spacing w:after="80"/>
            </w:pPr>
            <w:r w:rsidRPr="00F03917">
              <w:t xml:space="preserve">Flooding of homes and businesses </w:t>
            </w:r>
          </w:p>
          <w:p w14:paraId="3916BCF4" w14:textId="77777777" w:rsidR="003964E8" w:rsidRPr="00F03917" w:rsidRDefault="003964E8" w:rsidP="007E49AA">
            <w:pPr>
              <w:pStyle w:val="Boxbullet"/>
              <w:spacing w:after="80"/>
            </w:pPr>
            <w:r w:rsidRPr="00F03917">
              <w:t>Damage or destruction of beachfront property from erosion or inundation</w:t>
            </w:r>
          </w:p>
          <w:p w14:paraId="385BA9D1" w14:textId="77777777" w:rsidR="003964E8" w:rsidRPr="00F03917" w:rsidRDefault="003964E8" w:rsidP="007E49AA">
            <w:pPr>
              <w:pStyle w:val="Boxbullet"/>
              <w:spacing w:after="80"/>
            </w:pPr>
            <w:r w:rsidRPr="00F03917">
              <w:t>Property loss, compensation and insurance claims leading to financial instability</w:t>
            </w:r>
          </w:p>
          <w:p w14:paraId="2F8E9436" w14:textId="77777777" w:rsidR="003964E8" w:rsidRPr="00F03917" w:rsidRDefault="003964E8" w:rsidP="007E49AA">
            <w:pPr>
              <w:pStyle w:val="Boxbullet"/>
              <w:spacing w:after="80"/>
            </w:pPr>
            <w:r w:rsidRPr="00F03917">
              <w:t>Devaluation of land due to erosion or inundation</w:t>
            </w:r>
          </w:p>
          <w:p w14:paraId="0BD8BAEE" w14:textId="77777777" w:rsidR="003964E8" w:rsidRPr="00F03917" w:rsidRDefault="003964E8" w:rsidP="007E49AA">
            <w:pPr>
              <w:pStyle w:val="Boxbullet"/>
              <w:spacing w:after="80"/>
            </w:pPr>
            <w:r w:rsidRPr="00F03917">
              <w:t>Loss of productive land due to saltwater intrusion</w:t>
            </w:r>
          </w:p>
          <w:p w14:paraId="1487F1BD" w14:textId="77777777" w:rsidR="003964E8" w:rsidRPr="00F03917" w:rsidRDefault="003964E8" w:rsidP="007E49AA">
            <w:pPr>
              <w:pStyle w:val="Boxbullet"/>
            </w:pPr>
            <w:r w:rsidRPr="00F03917">
              <w:t>Loss of land, farm stock and related economic opportunities</w:t>
            </w:r>
          </w:p>
          <w:p w14:paraId="3E5198C2" w14:textId="31CD176B" w:rsidR="003964E8" w:rsidRPr="00F03917" w:rsidRDefault="003964E8" w:rsidP="00E67861">
            <w:pPr>
              <w:pStyle w:val="Boxtext"/>
              <w:spacing w:before="80" w:after="80"/>
              <w:rPr>
                <w:b/>
                <w:bCs/>
              </w:rPr>
            </w:pPr>
            <w:r w:rsidRPr="00F03917">
              <w:rPr>
                <w:b/>
                <w:bCs/>
              </w:rPr>
              <w:t>Local infrastructure</w:t>
            </w:r>
          </w:p>
          <w:p w14:paraId="5B5E0DB0" w14:textId="290BDBA3" w:rsidR="003964E8" w:rsidRPr="00F03917" w:rsidRDefault="003964E8" w:rsidP="00C2018B">
            <w:pPr>
              <w:pStyle w:val="Boxbullet"/>
              <w:spacing w:after="80"/>
            </w:pPr>
            <w:r w:rsidRPr="00F03917">
              <w:t>Damage to lifeline infrastructure, community facilities, stormwater</w:t>
            </w:r>
            <w:r w:rsidR="00135780" w:rsidRPr="00F03917">
              <w:t>,</w:t>
            </w:r>
            <w:r w:rsidRPr="00F03917">
              <w:t xml:space="preserve"> wastewater </w:t>
            </w:r>
            <w:r w:rsidR="00135780" w:rsidRPr="00F03917">
              <w:t xml:space="preserve">and water supply </w:t>
            </w:r>
            <w:r w:rsidRPr="00F03917">
              <w:t>systems</w:t>
            </w:r>
          </w:p>
          <w:p w14:paraId="423FF027" w14:textId="77777777" w:rsidR="003964E8" w:rsidRPr="00F03917" w:rsidRDefault="003964E8" w:rsidP="00C2018B">
            <w:pPr>
              <w:pStyle w:val="Boxbullet"/>
            </w:pPr>
            <w:r w:rsidRPr="00F03917">
              <w:lastRenderedPageBreak/>
              <w:t>Compromising of road access and safety along the foreshore</w:t>
            </w:r>
          </w:p>
          <w:p w14:paraId="6839813E" w14:textId="40BD1A68" w:rsidR="00135780" w:rsidRPr="00F03917" w:rsidRDefault="00135780" w:rsidP="00C2018B">
            <w:pPr>
              <w:pStyle w:val="Boxbullet"/>
              <w:spacing w:before="120" w:after="80"/>
            </w:pPr>
            <w:r w:rsidRPr="00F03917">
              <w:t>Flooding and sedimentation of land and buildings leading to</w:t>
            </w:r>
            <w:r w:rsidR="00A50558" w:rsidRPr="00F03917">
              <w:t xml:space="preserve"> loss of access to services</w:t>
            </w:r>
            <w:r w:rsidR="006F52D2" w:rsidRPr="00F03917">
              <w:t xml:space="preserve"> and</w:t>
            </w:r>
            <w:r w:rsidR="007051D2" w:rsidRPr="00F03917">
              <w:t> </w:t>
            </w:r>
            <w:r w:rsidR="006F52D2" w:rsidRPr="00F03917">
              <w:t>emergency assistance</w:t>
            </w:r>
          </w:p>
          <w:p w14:paraId="29ECF27E" w14:textId="79BA584B" w:rsidR="003964E8" w:rsidRPr="00F03917" w:rsidRDefault="003964E8" w:rsidP="007E49AA">
            <w:pPr>
              <w:pStyle w:val="Boxbullet"/>
            </w:pPr>
            <w:r w:rsidRPr="00F03917">
              <w:t>Loss of cultural assets (eg, marae, urupā and kura kaupapa)</w:t>
            </w:r>
          </w:p>
          <w:p w14:paraId="021F9BF3" w14:textId="77777777" w:rsidR="003964E8" w:rsidRPr="00F03917" w:rsidRDefault="003964E8" w:rsidP="00E67861">
            <w:pPr>
              <w:pStyle w:val="Boxtext"/>
              <w:spacing w:after="80"/>
              <w:rPr>
                <w:b/>
                <w:bCs/>
              </w:rPr>
            </w:pPr>
            <w:r w:rsidRPr="00F03917">
              <w:rPr>
                <w:b/>
                <w:bCs/>
              </w:rPr>
              <w:t>Community lifeways and recreation</w:t>
            </w:r>
          </w:p>
          <w:p w14:paraId="11AE7A65" w14:textId="77777777" w:rsidR="003964E8" w:rsidRPr="00F03917" w:rsidRDefault="003964E8" w:rsidP="00E67861">
            <w:pPr>
              <w:pStyle w:val="Boxbullet"/>
              <w:spacing w:after="80"/>
            </w:pPr>
            <w:r w:rsidRPr="00F03917">
              <w:t>Loss of community events</w:t>
            </w:r>
          </w:p>
          <w:p w14:paraId="6D9A223F" w14:textId="77777777" w:rsidR="003964E8" w:rsidRPr="00F03917" w:rsidRDefault="003964E8" w:rsidP="00E67861">
            <w:pPr>
              <w:pStyle w:val="Boxbullet"/>
              <w:spacing w:after="80"/>
            </w:pPr>
            <w:r w:rsidRPr="00F03917">
              <w:t>Limiting beach access for recreation and public use</w:t>
            </w:r>
          </w:p>
          <w:p w14:paraId="4D20CC83" w14:textId="77777777" w:rsidR="003964E8" w:rsidRPr="00F03917" w:rsidRDefault="003964E8" w:rsidP="00E67861">
            <w:pPr>
              <w:pStyle w:val="Boxbullet"/>
              <w:spacing w:after="80"/>
            </w:pPr>
            <w:r w:rsidRPr="00F03917">
              <w:t>Loss of sandy beaches due to erosion or coastal protection works</w:t>
            </w:r>
          </w:p>
          <w:p w14:paraId="7E52A0B7" w14:textId="77777777" w:rsidR="003964E8" w:rsidRPr="00F03917" w:rsidRDefault="003964E8" w:rsidP="00E67861">
            <w:pPr>
              <w:pStyle w:val="Boxbullet"/>
              <w:spacing w:after="80"/>
            </w:pPr>
            <w:r w:rsidRPr="00F03917">
              <w:t>Loss of esplanade reserves for recreational use</w:t>
            </w:r>
          </w:p>
          <w:p w14:paraId="42EC9899" w14:textId="77777777" w:rsidR="003964E8" w:rsidRPr="00F03917" w:rsidRDefault="003964E8" w:rsidP="00E67861">
            <w:pPr>
              <w:pStyle w:val="Boxbullet"/>
              <w:spacing w:after="80"/>
            </w:pPr>
            <w:r w:rsidRPr="00F03917">
              <w:t>Destruction of wild foods (eg, shellfish) used recreationally and as food resources</w:t>
            </w:r>
          </w:p>
          <w:p w14:paraId="09A6F2D6" w14:textId="77777777" w:rsidR="003964E8" w:rsidRPr="00F03917" w:rsidRDefault="003964E8" w:rsidP="00E67861">
            <w:pPr>
              <w:pStyle w:val="Boxbullet"/>
              <w:spacing w:after="80"/>
            </w:pPr>
            <w:r w:rsidRPr="00F03917">
              <w:t>Damage to safety and usability of public coastal reserves and estuaries</w:t>
            </w:r>
          </w:p>
          <w:p w14:paraId="64BEB9A2" w14:textId="70B1A06E" w:rsidR="003964E8" w:rsidRPr="00F03917" w:rsidRDefault="003964E8" w:rsidP="00E67861">
            <w:pPr>
              <w:pStyle w:val="Boxbullet"/>
              <w:spacing w:after="80"/>
            </w:pPr>
            <w:r w:rsidRPr="00F03917">
              <w:t>Degradation of sacred places and sites resulting in loss of identity, whakapapa and</w:t>
            </w:r>
            <w:r w:rsidR="007051D2" w:rsidRPr="00F03917">
              <w:t> </w:t>
            </w:r>
            <w:r w:rsidRPr="00F03917">
              <w:t>wellbeing</w:t>
            </w:r>
          </w:p>
          <w:p w14:paraId="03E4570B" w14:textId="77777777" w:rsidR="003964E8" w:rsidRPr="00F03917" w:rsidRDefault="003964E8" w:rsidP="00E67861">
            <w:pPr>
              <w:pStyle w:val="Boxbullet"/>
              <w:spacing w:after="80"/>
            </w:pPr>
            <w:r w:rsidRPr="00F03917">
              <w:t>Displacement of people and loss of social cohesion</w:t>
            </w:r>
          </w:p>
          <w:p w14:paraId="69EBF6A4" w14:textId="271B0A19" w:rsidR="003964E8" w:rsidRPr="00F03917" w:rsidRDefault="003964E8" w:rsidP="00E67861">
            <w:pPr>
              <w:pStyle w:val="Boxtext"/>
              <w:spacing w:after="80"/>
              <w:rPr>
                <w:b/>
                <w:bCs/>
              </w:rPr>
            </w:pPr>
            <w:r w:rsidRPr="00F03917">
              <w:rPr>
                <w:b/>
                <w:bCs/>
              </w:rPr>
              <w:t>Ecology and biodiversity</w:t>
            </w:r>
          </w:p>
          <w:p w14:paraId="1C61F3E2" w14:textId="77777777" w:rsidR="003964E8" w:rsidRPr="00F03917" w:rsidRDefault="003964E8" w:rsidP="00E67861">
            <w:pPr>
              <w:pStyle w:val="Boxbullet"/>
              <w:spacing w:after="80"/>
            </w:pPr>
            <w:r w:rsidRPr="00F03917">
              <w:t>Potential to lose species or biodiversity in coastal habitats</w:t>
            </w:r>
          </w:p>
          <w:p w14:paraId="74D5D3B4" w14:textId="77777777" w:rsidR="003964E8" w:rsidRPr="00F03917" w:rsidRDefault="003964E8" w:rsidP="00E67861">
            <w:pPr>
              <w:pStyle w:val="Boxbullet"/>
              <w:spacing w:after="80"/>
            </w:pPr>
            <w:r w:rsidRPr="00F03917">
              <w:t>Potential extinction of rare species (eg, New Zealand dotterel)</w:t>
            </w:r>
          </w:p>
          <w:p w14:paraId="4A279FD8" w14:textId="77777777" w:rsidR="003964E8" w:rsidRPr="00F03917" w:rsidRDefault="003964E8" w:rsidP="00E67861">
            <w:pPr>
              <w:pStyle w:val="Boxbullet"/>
              <w:spacing w:after="80"/>
            </w:pPr>
            <w:r w:rsidRPr="00F03917">
              <w:t xml:space="preserve">Degradation of ecology leading to loss of traditional knowledge </w:t>
            </w:r>
          </w:p>
          <w:p w14:paraId="6D2BFA42" w14:textId="77777777" w:rsidR="003964E8" w:rsidRPr="00F03917" w:rsidRDefault="003964E8" w:rsidP="00E67861">
            <w:pPr>
              <w:pStyle w:val="Boxbullet"/>
              <w:spacing w:after="80"/>
            </w:pPr>
            <w:r w:rsidRPr="00F03917">
              <w:t>Loss of or damage to coastal wetlands, marshes and intertidal areas</w:t>
            </w:r>
          </w:p>
          <w:p w14:paraId="4B2C992E" w14:textId="037B11D9" w:rsidR="003964E8" w:rsidRPr="00F03917" w:rsidRDefault="003964E8" w:rsidP="00E67861">
            <w:pPr>
              <w:pStyle w:val="Boxbullet"/>
              <w:spacing w:after="80"/>
            </w:pPr>
            <w:r w:rsidRPr="00F03917">
              <w:t>Adverse impacts on mahinga kai and whānau health from loss of habitat and</w:t>
            </w:r>
            <w:r w:rsidRPr="00F03917" w:rsidDel="00B84BD5">
              <w:t xml:space="preserve"> </w:t>
            </w:r>
            <w:r w:rsidRPr="00F03917">
              <w:t>dysfunction</w:t>
            </w:r>
            <w:r w:rsidR="007051D2" w:rsidRPr="00F03917">
              <w:t> </w:t>
            </w:r>
            <w:r w:rsidRPr="00F03917">
              <w:t>of sewerage</w:t>
            </w:r>
            <w:r w:rsidR="3DEBD66F" w:rsidRPr="00F03917">
              <w:t xml:space="preserve"> and </w:t>
            </w:r>
            <w:r w:rsidRPr="00F03917">
              <w:t>stormwater networks and septic tanks</w:t>
            </w:r>
          </w:p>
          <w:p w14:paraId="08FD6670" w14:textId="77777777" w:rsidR="003964E8" w:rsidRPr="00F03917" w:rsidRDefault="003964E8" w:rsidP="00E67861">
            <w:pPr>
              <w:pStyle w:val="Boxbullet"/>
              <w:spacing w:after="80"/>
            </w:pPr>
            <w:r w:rsidRPr="00F03917">
              <w:t>Damage to human–environment relationships and wellbeing</w:t>
            </w:r>
          </w:p>
          <w:p w14:paraId="7C4F794D" w14:textId="77777777" w:rsidR="003964E8" w:rsidRPr="00F03917" w:rsidRDefault="003964E8" w:rsidP="00A34F42">
            <w:pPr>
              <w:pStyle w:val="Boxbullet"/>
              <w:spacing w:after="80"/>
            </w:pPr>
            <w:r w:rsidRPr="00F03917">
              <w:t>Saltwater intrusion (salinisation) of freshwater resources</w:t>
            </w:r>
          </w:p>
          <w:p w14:paraId="0FED7C08" w14:textId="77777777" w:rsidR="003964E8" w:rsidRPr="00F03917" w:rsidRDefault="003964E8" w:rsidP="00E67861">
            <w:pPr>
              <w:pStyle w:val="Boxtext"/>
              <w:spacing w:after="80"/>
              <w:rPr>
                <w:b/>
                <w:bCs/>
              </w:rPr>
            </w:pPr>
            <w:r w:rsidRPr="00F03917">
              <w:rPr>
                <w:b/>
                <w:bCs/>
              </w:rPr>
              <w:t>Aesthetics</w:t>
            </w:r>
          </w:p>
          <w:p w14:paraId="24BBF887" w14:textId="2463D063" w:rsidR="003964E8" w:rsidRPr="00F03917" w:rsidRDefault="003964E8" w:rsidP="00E67861">
            <w:pPr>
              <w:pStyle w:val="Boxbullet"/>
              <w:spacing w:after="80"/>
            </w:pPr>
            <w:r w:rsidRPr="00F03917">
              <w:t>Damage to the natural appearance of coastal environments, especially if hard engineering</w:t>
            </w:r>
            <w:r w:rsidR="007051D2" w:rsidRPr="00F03917">
              <w:t> </w:t>
            </w:r>
            <w:r w:rsidRPr="00F03917">
              <w:t>solutions are enacted</w:t>
            </w:r>
          </w:p>
          <w:p w14:paraId="5A3A20AB" w14:textId="77777777" w:rsidR="003964E8" w:rsidRPr="00F03917" w:rsidRDefault="003964E8" w:rsidP="00E67861">
            <w:pPr>
              <w:pStyle w:val="Boxbullet"/>
            </w:pPr>
            <w:r w:rsidRPr="00F03917">
              <w:t>Damage to the appeal of the area as a nice place to live.</w:t>
            </w:r>
          </w:p>
          <w:p w14:paraId="030420DC" w14:textId="418D5E75" w:rsidR="003964E8" w:rsidRPr="00F03917" w:rsidRDefault="003964E8" w:rsidP="00A34F42">
            <w:pPr>
              <w:pStyle w:val="Boxtext"/>
              <w:spacing w:before="0" w:after="240"/>
            </w:pPr>
            <w:r w:rsidRPr="00F03917">
              <w:rPr>
                <w:sz w:val="18"/>
                <w:szCs w:val="18"/>
              </w:rPr>
              <w:t>Source: Rouse et al (2016)</w:t>
            </w:r>
          </w:p>
        </w:tc>
      </w:tr>
    </w:tbl>
    <w:p w14:paraId="0118ADCF" w14:textId="5B24376C" w:rsidR="003964E8" w:rsidRPr="00F03917" w:rsidRDefault="003964E8" w:rsidP="00C2018B">
      <w:pPr>
        <w:pStyle w:val="Heading3"/>
        <w:numPr>
          <w:ilvl w:val="0"/>
          <w:numId w:val="25"/>
        </w:numPr>
        <w:spacing w:before="440"/>
      </w:pPr>
      <w:r w:rsidRPr="00F03917">
        <w:lastRenderedPageBreak/>
        <w:t xml:space="preserve">Methods for understanding </w:t>
      </w:r>
      <w:r w:rsidR="003C0565" w:rsidRPr="00F03917">
        <w:t>mana whenua and</w:t>
      </w:r>
      <w:r w:rsidR="007051D2" w:rsidRPr="00F03917">
        <w:t> </w:t>
      </w:r>
      <w:r w:rsidRPr="00F03917">
        <w:t>community values</w:t>
      </w:r>
    </w:p>
    <w:p w14:paraId="1C57E3B5" w14:textId="274F03F3" w:rsidR="003964E8" w:rsidRPr="00F03917" w:rsidRDefault="003C0565" w:rsidP="00151319">
      <w:pPr>
        <w:pStyle w:val="BodyText"/>
      </w:pPr>
      <w:r w:rsidRPr="00F03917">
        <w:t>Mana whenua and c</w:t>
      </w:r>
      <w:r w:rsidR="006E52FF" w:rsidRPr="00F03917">
        <w:t>ommunity values are wide ranging</w:t>
      </w:r>
      <w:r w:rsidR="0AEABF11" w:rsidRPr="00F03917">
        <w:t>,</w:t>
      </w:r>
      <w:r w:rsidR="00647260" w:rsidRPr="00F03917">
        <w:t xml:space="preserve"> and </w:t>
      </w:r>
      <w:r w:rsidR="007B45EF" w:rsidRPr="00F03917">
        <w:t xml:space="preserve">not all values are easy </w:t>
      </w:r>
      <w:r w:rsidR="00494A93" w:rsidRPr="00F03917">
        <w:t>to</w:t>
      </w:r>
      <w:r w:rsidR="007B45EF" w:rsidRPr="00F03917">
        <w:t xml:space="preserve"> </w:t>
      </w:r>
      <w:r w:rsidR="00443117" w:rsidRPr="00F03917">
        <w:t xml:space="preserve">draw out </w:t>
      </w:r>
      <w:r w:rsidR="00C56625" w:rsidRPr="00F03917">
        <w:t xml:space="preserve">or </w:t>
      </w:r>
      <w:r w:rsidR="74334D97" w:rsidRPr="00F03917">
        <w:t>describe</w:t>
      </w:r>
      <w:r w:rsidR="007B45EF" w:rsidRPr="00F03917">
        <w:t>.</w:t>
      </w:r>
      <w:r w:rsidR="0073120D" w:rsidRPr="00F03917">
        <w:t xml:space="preserve"> </w:t>
      </w:r>
      <w:r w:rsidR="003964E8" w:rsidRPr="00F03917">
        <w:t>Two things to remember when collecting data on values are:</w:t>
      </w:r>
    </w:p>
    <w:p w14:paraId="72C758A7" w14:textId="56745CE5" w:rsidR="003964E8" w:rsidRPr="00F03917" w:rsidRDefault="1EA73DB2" w:rsidP="000B0CD5">
      <w:pPr>
        <w:pStyle w:val="BulletFIX"/>
      </w:pPr>
      <w:r w:rsidRPr="00F03917">
        <w:t>p</w:t>
      </w:r>
      <w:r w:rsidR="0853C960" w:rsidRPr="00F03917">
        <w:t>eople</w:t>
      </w:r>
      <w:r w:rsidR="7B8892DE" w:rsidRPr="00F03917">
        <w:t xml:space="preserve"> undervalue infrastructure until its performance is imperilled</w:t>
      </w:r>
      <w:r w:rsidR="00883E3F" w:rsidRPr="00F03917">
        <w:t>;</w:t>
      </w:r>
      <w:r w:rsidR="7B8892DE" w:rsidRPr="00F03917">
        <w:t xml:space="preserve"> </w:t>
      </w:r>
      <w:r w:rsidR="00883E3F" w:rsidRPr="00F03917">
        <w:t>a</w:t>
      </w:r>
      <w:r w:rsidR="00E61B7E" w:rsidRPr="00F03917">
        <w:t>ssumptions should be made and factored into the objectives</w:t>
      </w:r>
      <w:r w:rsidR="7B8892DE" w:rsidRPr="00F03917">
        <w:t xml:space="preserve"> </w:t>
      </w:r>
    </w:p>
    <w:p w14:paraId="036652C1" w14:textId="436E0E76" w:rsidR="00DA14A3" w:rsidRPr="00F03917" w:rsidRDefault="00C73BED" w:rsidP="000B0CD5">
      <w:pPr>
        <w:pStyle w:val="BulletFIX"/>
      </w:pPr>
      <w:r w:rsidRPr="00F03917">
        <w:t xml:space="preserve">it is important to </w:t>
      </w:r>
      <w:r w:rsidR="00F17C67" w:rsidRPr="00F03917">
        <w:t>f</w:t>
      </w:r>
      <w:r w:rsidR="003964E8" w:rsidRPr="00F03917">
        <w:t xml:space="preserve">ocus on the functional aspects of the things the community values, in addition to the current locations of things. For example, people may value specific green spaces or community facilities, but those functions might be able to be provided elsewhere away from coastal hazards. </w:t>
      </w:r>
    </w:p>
    <w:p w14:paraId="413AD5BA" w14:textId="281F530C" w:rsidR="00D02985" w:rsidRPr="00F03917" w:rsidRDefault="4BCBE170" w:rsidP="00883E3F">
      <w:pPr>
        <w:pStyle w:val="BodyText"/>
        <w:rPr>
          <w:rFonts w:eastAsia="MS Mincho"/>
        </w:rPr>
      </w:pPr>
      <w:r w:rsidRPr="00F03917">
        <w:rPr>
          <w:spacing w:val="-2"/>
        </w:rPr>
        <w:lastRenderedPageBreak/>
        <w:t>M</w:t>
      </w:r>
      <w:r w:rsidR="6486657E" w:rsidRPr="00F03917">
        <w:rPr>
          <w:spacing w:val="-2"/>
        </w:rPr>
        <w:t>a</w:t>
      </w:r>
      <w:r w:rsidR="268EC468" w:rsidRPr="00F03917">
        <w:rPr>
          <w:spacing w:val="-2"/>
        </w:rPr>
        <w:t>ny</w:t>
      </w:r>
      <w:r w:rsidR="006B4795" w:rsidRPr="00F03917">
        <w:rPr>
          <w:spacing w:val="-2"/>
        </w:rPr>
        <w:t xml:space="preserve"> </w:t>
      </w:r>
      <w:r w:rsidR="00576E00" w:rsidRPr="00F03917">
        <w:rPr>
          <w:spacing w:val="-2"/>
        </w:rPr>
        <w:t xml:space="preserve">tools </w:t>
      </w:r>
      <w:r w:rsidR="4BE0CD21" w:rsidRPr="00F03917">
        <w:rPr>
          <w:spacing w:val="-2"/>
        </w:rPr>
        <w:t xml:space="preserve">can be used </w:t>
      </w:r>
      <w:r w:rsidR="6FE759E2" w:rsidRPr="00F03917">
        <w:rPr>
          <w:spacing w:val="-2"/>
        </w:rPr>
        <w:t>to</w:t>
      </w:r>
      <w:r w:rsidR="268EC468" w:rsidRPr="00F03917">
        <w:rPr>
          <w:spacing w:val="-2"/>
        </w:rPr>
        <w:t xml:space="preserve"> engag</w:t>
      </w:r>
      <w:r w:rsidR="1ECCC381" w:rsidRPr="00F03917">
        <w:rPr>
          <w:spacing w:val="-2"/>
        </w:rPr>
        <w:t>e</w:t>
      </w:r>
      <w:r w:rsidR="006B4795" w:rsidRPr="00F03917">
        <w:rPr>
          <w:spacing w:val="-2"/>
        </w:rPr>
        <w:t xml:space="preserve"> </w:t>
      </w:r>
      <w:r w:rsidR="008B6721" w:rsidRPr="00F03917">
        <w:rPr>
          <w:spacing w:val="-2"/>
        </w:rPr>
        <w:t>and</w:t>
      </w:r>
      <w:r w:rsidR="006B4795" w:rsidRPr="00F03917">
        <w:rPr>
          <w:spacing w:val="-2"/>
        </w:rPr>
        <w:t xml:space="preserve"> gather information on valu</w:t>
      </w:r>
      <w:r w:rsidR="00503F0A" w:rsidRPr="00F03917">
        <w:rPr>
          <w:spacing w:val="-2"/>
        </w:rPr>
        <w:t>es</w:t>
      </w:r>
      <w:r w:rsidR="0013150C" w:rsidRPr="00F03917">
        <w:rPr>
          <w:spacing w:val="-2"/>
        </w:rPr>
        <w:t>, including online resources</w:t>
      </w:r>
      <w:r w:rsidR="007F704F" w:rsidRPr="00F03917">
        <w:t xml:space="preserve">. </w:t>
      </w:r>
      <w:r w:rsidR="00BD5C05" w:rsidRPr="00F03917">
        <w:t xml:space="preserve">Table </w:t>
      </w:r>
      <w:r w:rsidR="00FD7884" w:rsidRPr="00F03917">
        <w:t>10</w:t>
      </w:r>
      <w:r w:rsidR="00BD5C05" w:rsidRPr="00F03917">
        <w:t xml:space="preserve"> </w:t>
      </w:r>
      <w:r w:rsidR="00883E3F" w:rsidRPr="00F03917">
        <w:t xml:space="preserve">shows </w:t>
      </w:r>
      <w:r w:rsidR="008A0950" w:rsidRPr="00F03917">
        <w:t>f</w:t>
      </w:r>
      <w:r w:rsidR="00D02985" w:rsidRPr="00F03917">
        <w:t xml:space="preserve">our methods </w:t>
      </w:r>
      <w:r w:rsidR="00C30DD0" w:rsidRPr="00F03917">
        <w:t>that</w:t>
      </w:r>
      <w:r w:rsidR="0080156C" w:rsidRPr="00F03917">
        <w:t xml:space="preserve"> </w:t>
      </w:r>
      <w:r w:rsidR="00D02985" w:rsidRPr="00F03917">
        <w:t xml:space="preserve">can be used to understand </w:t>
      </w:r>
      <w:r w:rsidR="003C0565" w:rsidRPr="00F03917">
        <w:t xml:space="preserve">mana whenua and </w:t>
      </w:r>
      <w:r w:rsidR="00D02985" w:rsidRPr="00F03917">
        <w:t xml:space="preserve">community values. They can be used in combination, depending on the scale of the process planned. </w:t>
      </w:r>
    </w:p>
    <w:p w14:paraId="0B130444" w14:textId="52C1A092" w:rsidR="003964E8" w:rsidRPr="00F03917" w:rsidRDefault="00477FB2" w:rsidP="006258D2">
      <w:pPr>
        <w:pStyle w:val="Tableheading"/>
      </w:pPr>
      <w:bookmarkStart w:id="97" w:name="_Toc160098404"/>
      <w:r w:rsidRPr="00F03917">
        <w:t xml:space="preserve">Example of </w:t>
      </w:r>
      <w:r w:rsidR="003973A8" w:rsidRPr="00F03917">
        <w:t>f</w:t>
      </w:r>
      <w:r w:rsidR="003964E8" w:rsidRPr="00F03917">
        <w:t xml:space="preserve">our methods </w:t>
      </w:r>
      <w:r w:rsidR="003964E8" w:rsidRPr="00F03917" w:rsidDel="0064122C">
        <w:t xml:space="preserve">that </w:t>
      </w:r>
      <w:r w:rsidR="003964E8" w:rsidRPr="00F03917">
        <w:t>can be used</w:t>
      </w:r>
      <w:r w:rsidR="00247BB3" w:rsidRPr="00F03917">
        <w:t xml:space="preserve"> in combination</w:t>
      </w:r>
      <w:r w:rsidR="003964E8" w:rsidRPr="00F03917">
        <w:t xml:space="preserve"> to understand </w:t>
      </w:r>
      <w:r w:rsidR="003C0565" w:rsidRPr="00F03917">
        <w:t xml:space="preserve">mana whenua and </w:t>
      </w:r>
      <w:r w:rsidR="003964E8" w:rsidRPr="00F03917">
        <w:t>community values</w:t>
      </w:r>
      <w:bookmarkEnd w:id="97"/>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2121"/>
        <w:gridCol w:w="2119"/>
        <w:gridCol w:w="2281"/>
        <w:gridCol w:w="1984"/>
      </w:tblGrid>
      <w:tr w:rsidR="00151319" w:rsidRPr="00F03917" w14:paraId="60DACF31" w14:textId="77777777" w:rsidTr="00151319">
        <w:trPr>
          <w:tblHeader/>
        </w:trPr>
        <w:tc>
          <w:tcPr>
            <w:tcW w:w="2121" w:type="dxa"/>
            <w:shd w:val="clear" w:color="auto" w:fill="1B556B" w:themeFill="text2"/>
          </w:tcPr>
          <w:p w14:paraId="73976597" w14:textId="77777777" w:rsidR="003964E8" w:rsidRPr="00F03917" w:rsidRDefault="003964E8" w:rsidP="00151319">
            <w:pPr>
              <w:pStyle w:val="TableTextbold"/>
              <w:rPr>
                <w:color w:val="FFFFFF" w:themeColor="background1"/>
              </w:rPr>
            </w:pPr>
            <w:r w:rsidRPr="00F03917">
              <w:rPr>
                <w:color w:val="FFFFFF" w:themeColor="background1"/>
              </w:rPr>
              <w:t>Method</w:t>
            </w:r>
          </w:p>
        </w:tc>
        <w:tc>
          <w:tcPr>
            <w:tcW w:w="2119" w:type="dxa"/>
            <w:shd w:val="clear" w:color="auto" w:fill="1B556B" w:themeFill="text2"/>
          </w:tcPr>
          <w:p w14:paraId="1221373D" w14:textId="77777777" w:rsidR="003964E8" w:rsidRPr="00F03917" w:rsidRDefault="003964E8" w:rsidP="00151319">
            <w:pPr>
              <w:pStyle w:val="TableTextbold"/>
              <w:rPr>
                <w:color w:val="FFFFFF" w:themeColor="background1"/>
              </w:rPr>
            </w:pPr>
            <w:r w:rsidRPr="00F03917">
              <w:rPr>
                <w:color w:val="FFFFFF" w:themeColor="background1"/>
              </w:rPr>
              <w:t>Advantages</w:t>
            </w:r>
          </w:p>
        </w:tc>
        <w:tc>
          <w:tcPr>
            <w:tcW w:w="2281" w:type="dxa"/>
            <w:shd w:val="clear" w:color="auto" w:fill="1B556B" w:themeFill="text2"/>
          </w:tcPr>
          <w:p w14:paraId="1F50C97F" w14:textId="77777777" w:rsidR="003964E8" w:rsidRPr="00F03917" w:rsidRDefault="003964E8" w:rsidP="00151319">
            <w:pPr>
              <w:pStyle w:val="TableTextbold"/>
              <w:rPr>
                <w:color w:val="FFFFFF" w:themeColor="background1"/>
              </w:rPr>
            </w:pPr>
            <w:r w:rsidRPr="00F03917">
              <w:rPr>
                <w:color w:val="FFFFFF" w:themeColor="background1"/>
              </w:rPr>
              <w:t xml:space="preserve">Disadvantages </w:t>
            </w:r>
          </w:p>
        </w:tc>
        <w:tc>
          <w:tcPr>
            <w:tcW w:w="1984" w:type="dxa"/>
            <w:shd w:val="clear" w:color="auto" w:fill="1B556B" w:themeFill="text2"/>
          </w:tcPr>
          <w:p w14:paraId="794ED8A9" w14:textId="77777777" w:rsidR="003964E8" w:rsidRPr="00F03917" w:rsidRDefault="003964E8" w:rsidP="00151319">
            <w:pPr>
              <w:pStyle w:val="TableTextbold"/>
              <w:rPr>
                <w:color w:val="FFFFFF" w:themeColor="background1"/>
              </w:rPr>
            </w:pPr>
            <w:r w:rsidRPr="00F03917">
              <w:rPr>
                <w:color w:val="FFFFFF" w:themeColor="background1"/>
              </w:rPr>
              <w:t xml:space="preserve">Examples </w:t>
            </w:r>
          </w:p>
        </w:tc>
      </w:tr>
      <w:tr w:rsidR="003964E8" w:rsidRPr="00F03917" w14:paraId="0A3D1067" w14:textId="77777777" w:rsidTr="00151319">
        <w:tc>
          <w:tcPr>
            <w:tcW w:w="2121" w:type="dxa"/>
          </w:tcPr>
          <w:p w14:paraId="454B781F" w14:textId="4B5A5BDA" w:rsidR="003964E8" w:rsidRPr="00F03917" w:rsidRDefault="003964E8" w:rsidP="00DA14A3">
            <w:pPr>
              <w:pStyle w:val="TableText"/>
            </w:pPr>
            <w:r w:rsidRPr="00F03917">
              <w:t>Review existing documents (eg, iwi/hapū management and natural resource management plans, community outcome documentation, surveys, reports)</w:t>
            </w:r>
          </w:p>
        </w:tc>
        <w:tc>
          <w:tcPr>
            <w:tcW w:w="2119" w:type="dxa"/>
          </w:tcPr>
          <w:p w14:paraId="7B4C179F" w14:textId="114DC883" w:rsidR="003964E8" w:rsidRPr="00F03917" w:rsidRDefault="00EF25E6" w:rsidP="00DA14A3">
            <w:pPr>
              <w:pStyle w:val="TableText"/>
            </w:pPr>
            <w:r w:rsidRPr="00F03917">
              <w:t>May uncover existing community objectives, a</w:t>
            </w:r>
            <w:r w:rsidR="003964E8" w:rsidRPr="00F03917">
              <w:t>voids repeating questions and provides context for future engagement.</w:t>
            </w:r>
          </w:p>
        </w:tc>
        <w:tc>
          <w:tcPr>
            <w:tcW w:w="2281" w:type="dxa"/>
          </w:tcPr>
          <w:p w14:paraId="31333137" w14:textId="77777777" w:rsidR="003964E8" w:rsidRPr="00F03917" w:rsidRDefault="003964E8" w:rsidP="00151319">
            <w:pPr>
              <w:pStyle w:val="TableText"/>
            </w:pPr>
            <w:r w:rsidRPr="00F03917">
              <w:t>Information may be outdated and will need to be verified through subsequent methods.</w:t>
            </w:r>
          </w:p>
        </w:tc>
        <w:tc>
          <w:tcPr>
            <w:tcW w:w="1984" w:type="dxa"/>
          </w:tcPr>
          <w:p w14:paraId="13F3C79A" w14:textId="1A5C2755" w:rsidR="003964E8" w:rsidRPr="00F03917" w:rsidRDefault="00000000" w:rsidP="0082542C">
            <w:pPr>
              <w:pStyle w:val="TableText"/>
            </w:pPr>
            <w:hyperlink w:anchor="_Supplements" w:history="1">
              <w:r w:rsidR="003A0DC0" w:rsidRPr="00F03917">
                <w:rPr>
                  <w:rStyle w:val="Hyperlink"/>
                  <w:rFonts w:cstheme="minorBidi"/>
                </w:rPr>
                <w:t>Supplement B</w:t>
              </w:r>
            </w:hyperlink>
          </w:p>
        </w:tc>
      </w:tr>
      <w:tr w:rsidR="003964E8" w:rsidRPr="00F03917" w14:paraId="647F559B" w14:textId="77777777" w:rsidTr="00151319">
        <w:tc>
          <w:tcPr>
            <w:tcW w:w="2121" w:type="dxa"/>
          </w:tcPr>
          <w:p w14:paraId="63AAEE65" w14:textId="77777777" w:rsidR="003964E8" w:rsidRPr="00F03917" w:rsidRDefault="003964E8" w:rsidP="00DA14A3">
            <w:pPr>
              <w:pStyle w:val="TableText"/>
            </w:pPr>
            <w:r w:rsidRPr="00F03917">
              <w:t>Postal, internet-based or telephone surveys</w:t>
            </w:r>
          </w:p>
        </w:tc>
        <w:tc>
          <w:tcPr>
            <w:tcW w:w="2119" w:type="dxa"/>
          </w:tcPr>
          <w:p w14:paraId="2F8894A0" w14:textId="77777777" w:rsidR="003964E8" w:rsidRPr="00F03917" w:rsidRDefault="003964E8" w:rsidP="00911962">
            <w:pPr>
              <w:pStyle w:val="TableText"/>
              <w:spacing w:after="0"/>
            </w:pPr>
            <w:r w:rsidRPr="00F03917">
              <w:t xml:space="preserve">Can obtain responses from many people across the region. </w:t>
            </w:r>
          </w:p>
          <w:p w14:paraId="25BA823D" w14:textId="77777777" w:rsidR="003964E8" w:rsidRPr="00F03917" w:rsidRDefault="003964E8" w:rsidP="00911962">
            <w:pPr>
              <w:pStyle w:val="TableText"/>
              <w:spacing w:after="0"/>
            </w:pPr>
            <w:r w:rsidRPr="00F03917">
              <w:t xml:space="preserve">Raises awareness of the issues. </w:t>
            </w:r>
          </w:p>
          <w:p w14:paraId="7F2315E7" w14:textId="77777777" w:rsidR="003964E8" w:rsidRPr="00F03917" w:rsidRDefault="003964E8" w:rsidP="00911962">
            <w:pPr>
              <w:pStyle w:val="TableText"/>
              <w:spacing w:after="0"/>
            </w:pPr>
            <w:r w:rsidRPr="00F03917">
              <w:t xml:space="preserve">Potentially low cost. </w:t>
            </w:r>
          </w:p>
          <w:p w14:paraId="000C4485" w14:textId="77777777" w:rsidR="003964E8" w:rsidRPr="00F03917" w:rsidRDefault="003964E8" w:rsidP="00DA14A3">
            <w:pPr>
              <w:pStyle w:val="TableText"/>
            </w:pPr>
            <w:r w:rsidRPr="00F03917">
              <w:t>Identifies</w:t>
            </w:r>
            <w:r w:rsidRPr="00F03917" w:rsidDel="0064122C">
              <w:t xml:space="preserve"> </w:t>
            </w:r>
            <w:r w:rsidRPr="00F03917">
              <w:t>issues that are critical at a regional scale.</w:t>
            </w:r>
          </w:p>
        </w:tc>
        <w:tc>
          <w:tcPr>
            <w:tcW w:w="2281" w:type="dxa"/>
          </w:tcPr>
          <w:p w14:paraId="71AD50B2" w14:textId="10B10476" w:rsidR="003964E8" w:rsidRPr="00F03917" w:rsidRDefault="00E85786" w:rsidP="00911962">
            <w:pPr>
              <w:pStyle w:val="TableText"/>
              <w:spacing w:after="0"/>
            </w:pPr>
            <w:r w:rsidRPr="00F03917">
              <w:t>Can p</w:t>
            </w:r>
            <w:r w:rsidR="003964E8" w:rsidRPr="00F03917">
              <w:t xml:space="preserve">roduce superficial data. </w:t>
            </w:r>
          </w:p>
          <w:p w14:paraId="20FDA737" w14:textId="77777777" w:rsidR="003964E8" w:rsidRPr="00F03917" w:rsidRDefault="003964E8" w:rsidP="00911962">
            <w:pPr>
              <w:pStyle w:val="TableText"/>
              <w:spacing w:after="0"/>
            </w:pPr>
            <w:r w:rsidRPr="00F03917">
              <w:t xml:space="preserve">Response rates can be low and represent only certain demographics. </w:t>
            </w:r>
          </w:p>
          <w:p w14:paraId="3E04B57C" w14:textId="77777777" w:rsidR="003964E8" w:rsidRPr="00F03917" w:rsidRDefault="003964E8" w:rsidP="00911962">
            <w:pPr>
              <w:pStyle w:val="TableText"/>
              <w:spacing w:after="0"/>
            </w:pPr>
            <w:r w:rsidRPr="00F03917">
              <w:t xml:space="preserve">Little opportunity for learning, discussion or interactions. </w:t>
            </w:r>
          </w:p>
          <w:p w14:paraId="55B31AFB" w14:textId="6181A98D" w:rsidR="003964E8" w:rsidRPr="00F03917" w:rsidRDefault="003964E8" w:rsidP="00DA14A3">
            <w:pPr>
              <w:pStyle w:val="TableText"/>
            </w:pPr>
            <w:r w:rsidRPr="00F03917">
              <w:t xml:space="preserve">Risks missing </w:t>
            </w:r>
            <w:r w:rsidR="0E926504" w:rsidRPr="00F03917">
              <w:t>important</w:t>
            </w:r>
            <w:r w:rsidRPr="00F03917">
              <w:t xml:space="preserve"> information. </w:t>
            </w:r>
          </w:p>
        </w:tc>
        <w:tc>
          <w:tcPr>
            <w:tcW w:w="1984" w:type="dxa"/>
          </w:tcPr>
          <w:p w14:paraId="531EED38" w14:textId="4F2B9504" w:rsidR="003964E8" w:rsidRPr="00F03917" w:rsidRDefault="00000000" w:rsidP="0082542C">
            <w:pPr>
              <w:pStyle w:val="TableText"/>
            </w:pPr>
            <w:hyperlink w:anchor="_Supplements" w:history="1">
              <w:r w:rsidR="00DC10A4" w:rsidRPr="00F03917">
                <w:rPr>
                  <w:rStyle w:val="Hyperlink"/>
                  <w:rFonts w:cstheme="minorBidi"/>
                </w:rPr>
                <w:t>Supplement B</w:t>
              </w:r>
            </w:hyperlink>
          </w:p>
        </w:tc>
      </w:tr>
      <w:tr w:rsidR="003964E8" w:rsidRPr="00F03917" w14:paraId="5A80A5E0" w14:textId="77777777" w:rsidTr="00151319">
        <w:tc>
          <w:tcPr>
            <w:tcW w:w="2121" w:type="dxa"/>
          </w:tcPr>
          <w:p w14:paraId="04041A77" w14:textId="4E4096EF" w:rsidR="003964E8" w:rsidRPr="00F03917" w:rsidRDefault="536EB57B" w:rsidP="00DA14A3">
            <w:pPr>
              <w:pStyle w:val="TableText"/>
            </w:pPr>
            <w:r w:rsidRPr="00F03917">
              <w:t>Important</w:t>
            </w:r>
            <w:r w:rsidR="003964E8" w:rsidRPr="00F03917">
              <w:t xml:space="preserve"> informant interviews</w:t>
            </w:r>
          </w:p>
        </w:tc>
        <w:tc>
          <w:tcPr>
            <w:tcW w:w="2119" w:type="dxa"/>
          </w:tcPr>
          <w:p w14:paraId="2C780413" w14:textId="77777777" w:rsidR="003964E8" w:rsidRPr="00F03917" w:rsidRDefault="003964E8" w:rsidP="00911962">
            <w:pPr>
              <w:pStyle w:val="TableText"/>
              <w:spacing w:after="0"/>
            </w:pPr>
            <w:r w:rsidRPr="00F03917">
              <w:t xml:space="preserve">Opportunity to gather detailed information on topics of interest. </w:t>
            </w:r>
          </w:p>
          <w:p w14:paraId="13411343" w14:textId="77777777" w:rsidR="003964E8" w:rsidRPr="00F03917" w:rsidRDefault="003964E8" w:rsidP="00DA14A3">
            <w:pPr>
              <w:pStyle w:val="TableText"/>
            </w:pPr>
            <w:r w:rsidRPr="00F03917">
              <w:t xml:space="preserve">Obtains views of those who are not comfortable contributing in other ways. </w:t>
            </w:r>
          </w:p>
        </w:tc>
        <w:tc>
          <w:tcPr>
            <w:tcW w:w="2281" w:type="dxa"/>
          </w:tcPr>
          <w:p w14:paraId="428CBA52" w14:textId="77777777" w:rsidR="003964E8" w:rsidRPr="00F03917" w:rsidRDefault="003964E8" w:rsidP="00911962">
            <w:pPr>
              <w:pStyle w:val="TableText"/>
              <w:spacing w:after="0"/>
            </w:pPr>
            <w:r w:rsidRPr="00F03917">
              <w:t xml:space="preserve">May miss sections of the community. </w:t>
            </w:r>
          </w:p>
          <w:p w14:paraId="2BD4B27C" w14:textId="0A2A9AFF" w:rsidR="003964E8" w:rsidRPr="00F03917" w:rsidRDefault="003964E8" w:rsidP="00DA14A3">
            <w:pPr>
              <w:pStyle w:val="TableText"/>
            </w:pPr>
            <w:r w:rsidRPr="00F03917">
              <w:t>No opportunity for participants to listen to</w:t>
            </w:r>
            <w:r w:rsidR="260FDBCC" w:rsidRPr="00F03917">
              <w:t>,</w:t>
            </w:r>
            <w:r w:rsidRPr="00F03917">
              <w:t xml:space="preserve"> or learn from</w:t>
            </w:r>
            <w:r w:rsidR="5AED1324" w:rsidRPr="00F03917">
              <w:t>,</w:t>
            </w:r>
            <w:r w:rsidRPr="00F03917">
              <w:t xml:space="preserve"> others. </w:t>
            </w:r>
          </w:p>
        </w:tc>
        <w:tc>
          <w:tcPr>
            <w:tcW w:w="1984" w:type="dxa"/>
          </w:tcPr>
          <w:p w14:paraId="19CFF898" w14:textId="77777777" w:rsidR="003964E8" w:rsidRPr="00F03917" w:rsidRDefault="003964E8" w:rsidP="00DA14A3">
            <w:pPr>
              <w:pStyle w:val="TableText"/>
            </w:pPr>
            <w:r w:rsidRPr="00F03917">
              <w:t>Blackett et al, 2010a; King et al, 2011, 2012, 2013; Schneider, 2014</w:t>
            </w:r>
          </w:p>
        </w:tc>
      </w:tr>
      <w:tr w:rsidR="003964E8" w:rsidRPr="00F03917" w14:paraId="3F75029D" w14:textId="77777777" w:rsidTr="00151319">
        <w:tc>
          <w:tcPr>
            <w:tcW w:w="2121" w:type="dxa"/>
          </w:tcPr>
          <w:p w14:paraId="1468673B" w14:textId="77777777" w:rsidR="003964E8" w:rsidRPr="00F03917" w:rsidRDefault="003964E8" w:rsidP="00DA14A3">
            <w:pPr>
              <w:pStyle w:val="TableText"/>
            </w:pPr>
            <w:r w:rsidRPr="00F03917">
              <w:t>Public meetings, hui or other events (eg, open days, field days)</w:t>
            </w:r>
          </w:p>
        </w:tc>
        <w:tc>
          <w:tcPr>
            <w:tcW w:w="2119" w:type="dxa"/>
          </w:tcPr>
          <w:p w14:paraId="044D08A5" w14:textId="22946D1B" w:rsidR="003964E8" w:rsidRPr="00F03917" w:rsidRDefault="003964E8" w:rsidP="00911962">
            <w:pPr>
              <w:pStyle w:val="TableText"/>
              <w:spacing w:after="0"/>
            </w:pPr>
            <w:r w:rsidRPr="00F03917">
              <w:t xml:space="preserve">Can apply </w:t>
            </w:r>
            <w:r w:rsidR="3F361F91" w:rsidRPr="00F03917">
              <w:t>several</w:t>
            </w:r>
            <w:r w:rsidRPr="00F03917">
              <w:t xml:space="preserve"> participatory data collection methods in this setting. </w:t>
            </w:r>
          </w:p>
          <w:p w14:paraId="1A515CFD" w14:textId="77777777" w:rsidR="003964E8" w:rsidRPr="00F03917" w:rsidRDefault="003964E8" w:rsidP="00911962">
            <w:pPr>
              <w:pStyle w:val="TableText"/>
              <w:spacing w:after="0"/>
            </w:pPr>
            <w:r w:rsidRPr="00F03917">
              <w:t xml:space="preserve">Suited to the local scale. </w:t>
            </w:r>
          </w:p>
          <w:p w14:paraId="3E690E7B" w14:textId="77777777" w:rsidR="003964E8" w:rsidRPr="00F03917" w:rsidRDefault="003964E8" w:rsidP="00DA14A3">
            <w:pPr>
              <w:pStyle w:val="TableText"/>
            </w:pPr>
            <w:r w:rsidRPr="00F03917">
              <w:t>Listening and learning can be built in.</w:t>
            </w:r>
          </w:p>
        </w:tc>
        <w:tc>
          <w:tcPr>
            <w:tcW w:w="2281" w:type="dxa"/>
          </w:tcPr>
          <w:p w14:paraId="5F5D63D7" w14:textId="77777777" w:rsidR="003964E8" w:rsidRPr="00F03917" w:rsidRDefault="003964E8" w:rsidP="00911962">
            <w:pPr>
              <w:pStyle w:val="TableText"/>
              <w:spacing w:after="0"/>
            </w:pPr>
            <w:r w:rsidRPr="00F03917">
              <w:t xml:space="preserve">May miss sections of the community who cannot attend. </w:t>
            </w:r>
          </w:p>
          <w:p w14:paraId="1CCC232C" w14:textId="77777777" w:rsidR="003964E8" w:rsidRPr="00F03917" w:rsidRDefault="003964E8" w:rsidP="00DA14A3">
            <w:pPr>
              <w:pStyle w:val="TableText"/>
            </w:pPr>
            <w:r w:rsidRPr="00F03917">
              <w:t xml:space="preserve">Careful organisation will be required to ensure balanced dialogue. </w:t>
            </w:r>
          </w:p>
        </w:tc>
        <w:tc>
          <w:tcPr>
            <w:tcW w:w="1984" w:type="dxa"/>
          </w:tcPr>
          <w:p w14:paraId="5E6E1052" w14:textId="4219E8A9" w:rsidR="003964E8" w:rsidRPr="00F03917" w:rsidRDefault="003964E8" w:rsidP="00DA14A3">
            <w:pPr>
              <w:pStyle w:val="TableText"/>
            </w:pPr>
            <w:r w:rsidRPr="00F03917">
              <w:t xml:space="preserve">Blackett et al, 2010b; </w:t>
            </w:r>
            <w:r w:rsidR="17FB1073" w:rsidRPr="00F03917">
              <w:t xml:space="preserve">John and Martin, 2022; </w:t>
            </w:r>
            <w:r w:rsidRPr="00F03917">
              <w:t>King et al, 2011, 2012, 2013; Rouse and Blackett, 2011; Rouse et al, 2011, 2013</w:t>
            </w:r>
          </w:p>
        </w:tc>
      </w:tr>
    </w:tbl>
    <w:p w14:paraId="06F21F4C" w14:textId="1E435669" w:rsidR="003964E8" w:rsidRPr="00F03917" w:rsidRDefault="003964E8" w:rsidP="00151319">
      <w:pPr>
        <w:pStyle w:val="BodyText"/>
        <w:spacing w:before="240"/>
      </w:pPr>
      <w:r w:rsidRPr="00F03917">
        <w:t xml:space="preserve">The outcome of this engagement should be a summary of community values, including: </w:t>
      </w:r>
    </w:p>
    <w:p w14:paraId="11A76D6B" w14:textId="77777777" w:rsidR="003964E8" w:rsidRPr="00F03917" w:rsidRDefault="7B8892DE" w:rsidP="00174F6E">
      <w:pPr>
        <w:pStyle w:val="BulletFIX"/>
      </w:pPr>
      <w:r w:rsidRPr="00F03917">
        <w:t xml:space="preserve">what values are likely to be affected by coastal hazards and SLR </w:t>
      </w:r>
    </w:p>
    <w:p w14:paraId="5F1D6E4C" w14:textId="77777777" w:rsidR="003964E8" w:rsidRPr="00F03917" w:rsidRDefault="7B8892DE" w:rsidP="00174F6E">
      <w:pPr>
        <w:pStyle w:val="BulletFIX"/>
      </w:pPr>
      <w:r w:rsidRPr="00F03917">
        <w:t>where the values are and who finds them valuable</w:t>
      </w:r>
    </w:p>
    <w:p w14:paraId="071D3DF1" w14:textId="77777777" w:rsidR="003964E8" w:rsidRPr="00F03917" w:rsidRDefault="7B8892DE" w:rsidP="00174F6E">
      <w:pPr>
        <w:pStyle w:val="BulletFIX"/>
      </w:pPr>
      <w:r w:rsidRPr="00F03917">
        <w:t xml:space="preserve">the diversity and degree of agreement in values and norms </w:t>
      </w:r>
    </w:p>
    <w:p w14:paraId="07DE0259" w14:textId="3ABDD82E" w:rsidR="003964E8" w:rsidRPr="00F03917" w:rsidRDefault="7B8892DE" w:rsidP="00174F6E">
      <w:pPr>
        <w:pStyle w:val="BulletFIX"/>
      </w:pPr>
      <w:r w:rsidRPr="00F03917">
        <w:t xml:space="preserve">the extent to which different groups in the community will be affected.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F737B2" w:rsidRPr="00F03917" w14:paraId="42A70D33" w14:textId="77777777" w:rsidTr="0036266A">
        <w:tc>
          <w:tcPr>
            <w:tcW w:w="8505" w:type="dxa"/>
            <w:shd w:val="clear" w:color="auto" w:fill="D5EBE8" w:themeFill="accent3"/>
          </w:tcPr>
          <w:p w14:paraId="1FC0CDE2" w14:textId="2C45BF2E" w:rsidR="00F737B2" w:rsidRPr="00F03917" w:rsidRDefault="00F737B2" w:rsidP="00911962">
            <w:pPr>
              <w:pStyle w:val="Boxtext"/>
              <w:spacing w:before="180" w:after="180"/>
            </w:pPr>
            <w:r w:rsidRPr="00F03917">
              <w:t>Highlight and consider the values of all social groups when assessing risk</w:t>
            </w:r>
            <w:r w:rsidR="00D53808" w:rsidRPr="00F03917">
              <w:t>, identifying and</w:t>
            </w:r>
            <w:r w:rsidRPr="00F03917">
              <w:t xml:space="preserve"> </w:t>
            </w:r>
            <w:r w:rsidR="002C510D" w:rsidRPr="00F03917">
              <w:t xml:space="preserve">evaluating options and pathways and when implementing and monitoring at </w:t>
            </w:r>
            <w:r w:rsidR="503787D9" w:rsidRPr="00F03917">
              <w:t>s</w:t>
            </w:r>
            <w:r w:rsidR="17BEAEF3" w:rsidRPr="00F03917">
              <w:t>tep</w:t>
            </w:r>
            <w:r w:rsidR="4B0B2520" w:rsidRPr="00F03917">
              <w:t>s</w:t>
            </w:r>
            <w:r w:rsidR="002C510D" w:rsidRPr="00F03917">
              <w:t xml:space="preserve"> 4</w:t>
            </w:r>
            <w:r w:rsidR="00184B65" w:rsidRPr="00F03917">
              <w:t xml:space="preserve"> to </w:t>
            </w:r>
            <w:r w:rsidR="002C510D" w:rsidRPr="00F03917">
              <w:t>10 of</w:t>
            </w:r>
            <w:r w:rsidR="00184B65" w:rsidRPr="00F03917">
              <w:t> </w:t>
            </w:r>
            <w:r w:rsidR="002C510D" w:rsidRPr="00F03917">
              <w:t>the decision cycle.</w:t>
            </w:r>
          </w:p>
        </w:tc>
      </w:tr>
    </w:tbl>
    <w:p w14:paraId="6375F13B" w14:textId="786593B2" w:rsidR="003964E8" w:rsidRPr="00F03917" w:rsidRDefault="003964E8" w:rsidP="00B765D7">
      <w:pPr>
        <w:pStyle w:val="Heading3"/>
        <w:numPr>
          <w:ilvl w:val="0"/>
          <w:numId w:val="25"/>
        </w:numPr>
      </w:pPr>
      <w:r w:rsidRPr="00F03917">
        <w:lastRenderedPageBreak/>
        <w:t>Refram</w:t>
      </w:r>
      <w:r w:rsidR="006944C8" w:rsidRPr="00F03917">
        <w:t>e</w:t>
      </w:r>
      <w:r w:rsidRPr="00F03917">
        <w:t xml:space="preserve"> values as objectives </w:t>
      </w:r>
    </w:p>
    <w:p w14:paraId="3EB45C3F" w14:textId="4A910609" w:rsidR="003964E8" w:rsidRPr="00F03917" w:rsidRDefault="003964E8" w:rsidP="00F737B2">
      <w:pPr>
        <w:pStyle w:val="BodyText"/>
      </w:pPr>
      <w:r w:rsidRPr="00F03917">
        <w:t>Once the community values have been articulated, aggregate the data into themes, where</w:t>
      </w:r>
      <w:r w:rsidR="000B7D0B" w:rsidRPr="00F03917">
        <w:t> </w:t>
      </w:r>
      <w:r w:rsidRPr="00F03917">
        <w:t>possible</w:t>
      </w:r>
      <w:r w:rsidR="00B709FB" w:rsidRPr="00F03917">
        <w:t>,</w:t>
      </w:r>
      <w:r w:rsidRPr="00F03917">
        <w:t xml:space="preserve"> and appropriate (</w:t>
      </w:r>
      <w:r w:rsidR="387086C3" w:rsidRPr="00F03917">
        <w:t xml:space="preserve">Flick, 2009; </w:t>
      </w:r>
      <w:r w:rsidRPr="00F03917">
        <w:t xml:space="preserve">Kitchin and Tate, 2000). </w:t>
      </w:r>
      <w:r w:rsidR="00192CA8" w:rsidRPr="00F03917">
        <w:t>T</w:t>
      </w:r>
      <w:r w:rsidRPr="00F03917">
        <w:t>he original list of values</w:t>
      </w:r>
      <w:r w:rsidR="000B7D0B" w:rsidRPr="00F03917">
        <w:t> </w:t>
      </w:r>
      <w:r w:rsidR="00192CA8" w:rsidRPr="00F03917">
        <w:t>should be kept</w:t>
      </w:r>
      <w:r w:rsidRPr="00F03917">
        <w:t>, with their underlying richness and detail, for reflection throughout the</w:t>
      </w:r>
      <w:r w:rsidR="000B7D0B" w:rsidRPr="00F03917">
        <w:t> </w:t>
      </w:r>
      <w:r w:rsidRPr="00F03917">
        <w:t xml:space="preserve">engagement process. </w:t>
      </w:r>
    </w:p>
    <w:p w14:paraId="2843A15F" w14:textId="147ED2C1" w:rsidR="003964E8" w:rsidRPr="00F03917" w:rsidRDefault="003964E8" w:rsidP="00F737B2">
      <w:pPr>
        <w:pStyle w:val="BodyText"/>
      </w:pPr>
      <w:r w:rsidRPr="00F03917">
        <w:t>A usable objective is:</w:t>
      </w:r>
    </w:p>
    <w:p w14:paraId="4592941A" w14:textId="7086F7E3" w:rsidR="003964E8" w:rsidRPr="00F03917" w:rsidRDefault="7B8892DE" w:rsidP="00174F6E">
      <w:pPr>
        <w:pStyle w:val="BulletFIX"/>
      </w:pPr>
      <w:r w:rsidRPr="00F03917">
        <w:t xml:space="preserve">relevant to the community </w:t>
      </w:r>
      <w:r w:rsidR="2FB735DB" w:rsidRPr="00F03917">
        <w:t>and mana</w:t>
      </w:r>
      <w:r w:rsidR="4EEA69EA" w:rsidRPr="00F03917">
        <w:t xml:space="preserve"> </w:t>
      </w:r>
      <w:r w:rsidR="2FB735DB" w:rsidRPr="00F03917">
        <w:t>whenua</w:t>
      </w:r>
      <w:r w:rsidRPr="00F03917">
        <w:t xml:space="preserve"> (eg, a safe place to live, with access to</w:t>
      </w:r>
      <w:r w:rsidR="000B7D0B" w:rsidRPr="00F03917">
        <w:t> </w:t>
      </w:r>
      <w:r w:rsidRPr="00F03917">
        <w:t>amenities</w:t>
      </w:r>
      <w:r w:rsidR="74AC30BE" w:rsidRPr="00F03917">
        <w:t xml:space="preserve">, </w:t>
      </w:r>
      <w:r w:rsidR="004A433A" w:rsidRPr="00F03917">
        <w:t xml:space="preserve">expression of </w:t>
      </w:r>
      <w:r w:rsidR="74AC30BE" w:rsidRPr="00F03917">
        <w:t>M</w:t>
      </w:r>
      <w:r w:rsidR="0AFFA87A" w:rsidRPr="00F03917">
        <w:t>āori values</w:t>
      </w:r>
      <w:r w:rsidRPr="00F03917">
        <w:t xml:space="preserve">) </w:t>
      </w:r>
    </w:p>
    <w:p w14:paraId="23487413" w14:textId="1D93FD80" w:rsidR="003964E8" w:rsidRPr="00F03917" w:rsidRDefault="7B8892DE" w:rsidP="00174F6E">
      <w:pPr>
        <w:pStyle w:val="BulletFIX"/>
      </w:pPr>
      <w:r w:rsidRPr="00F03917">
        <w:t>measurable (eg, climate disruption minimised, using the metric of frequency of storms</w:t>
      </w:r>
      <w:r w:rsidR="0BFAFBE0" w:rsidRPr="00F03917">
        <w:t> </w:t>
      </w:r>
      <w:r w:rsidR="00D07BAA" w:rsidRPr="00F03917">
        <w:t xml:space="preserve">damage </w:t>
      </w:r>
      <w:r w:rsidRPr="00F03917">
        <w:t>avoided)</w:t>
      </w:r>
    </w:p>
    <w:p w14:paraId="2D99D372" w14:textId="4FC1E320" w:rsidR="003964E8" w:rsidRPr="00F03917" w:rsidRDefault="7B8892DE" w:rsidP="00174F6E">
      <w:pPr>
        <w:pStyle w:val="BulletFIX"/>
      </w:pPr>
      <w:r w:rsidRPr="00F03917">
        <w:t>linked to the decision triggers and adaptation thresholds (eg,</w:t>
      </w:r>
      <w:r w:rsidR="0BFAFBE0" w:rsidRPr="00F03917">
        <w:t> </w:t>
      </w:r>
      <w:r w:rsidR="00420740" w:rsidRPr="00F03917">
        <w:t xml:space="preserve">disruption to mobility, </w:t>
      </w:r>
      <w:r w:rsidRPr="00F03917">
        <w:t xml:space="preserve">community tolerance levels or council requirements) </w:t>
      </w:r>
    </w:p>
    <w:p w14:paraId="01518E64" w14:textId="563098B4" w:rsidR="003964E8" w:rsidRPr="00F03917" w:rsidRDefault="00182E55" w:rsidP="00174F6E">
      <w:pPr>
        <w:pStyle w:val="BulletFIX"/>
      </w:pPr>
      <w:r w:rsidRPr="00F03917">
        <w:t>able to</w:t>
      </w:r>
      <w:r w:rsidR="50343915" w:rsidRPr="00F03917">
        <w:t xml:space="preserve"> be </w:t>
      </w:r>
      <w:r w:rsidR="7B8892DE" w:rsidRPr="00F03917">
        <w:t xml:space="preserve">embedded in the monitoring system for the </w:t>
      </w:r>
      <w:r w:rsidR="00A14CE1" w:rsidRPr="00F03917">
        <w:t>adaptive planning strategy</w:t>
      </w:r>
      <w:r w:rsidR="00304F56" w:rsidRPr="00F03917">
        <w:t xml:space="preserve"> </w:t>
      </w:r>
      <w:r w:rsidR="003B1770" w:rsidRPr="00F03917">
        <w:t>(s</w:t>
      </w:r>
      <w:r w:rsidR="00304F56" w:rsidRPr="00F03917">
        <w:t>ee</w:t>
      </w:r>
      <w:r w:rsidR="000B7D0B" w:rsidRPr="00F03917">
        <w:t> </w:t>
      </w:r>
      <w:hyperlink w:anchor="_Step_9:_Monitor">
        <w:r w:rsidR="003B1770" w:rsidRPr="00F03917">
          <w:rPr>
            <w:rStyle w:val="Hyperlink"/>
          </w:rPr>
          <w:t>step</w:t>
        </w:r>
        <w:r w:rsidR="00714EED" w:rsidRPr="00F03917">
          <w:rPr>
            <w:rStyle w:val="Hyperlink"/>
          </w:rPr>
          <w:t> </w:t>
        </w:r>
        <w:r w:rsidR="00E936EB" w:rsidRPr="00F03917">
          <w:rPr>
            <w:rStyle w:val="Hyperlink"/>
          </w:rPr>
          <w:t>9</w:t>
        </w:r>
      </w:hyperlink>
      <w:r w:rsidR="003B1770" w:rsidRPr="00F03917">
        <w:t>)</w:t>
      </w:r>
      <w:r w:rsidR="00304F56" w:rsidRPr="00F03917">
        <w:t>.</w:t>
      </w:r>
    </w:p>
    <w:p w14:paraId="30D03ADE" w14:textId="08E3CFF8" w:rsidR="003964E8" w:rsidRPr="00F03917" w:rsidRDefault="003964E8" w:rsidP="00F737B2">
      <w:pPr>
        <w:pStyle w:val="BodyText"/>
      </w:pPr>
      <w:r w:rsidRPr="00F03917">
        <w:t xml:space="preserve">Table </w:t>
      </w:r>
      <w:r w:rsidR="00D14137" w:rsidRPr="00F03917">
        <w:t>11</w:t>
      </w:r>
      <w:r w:rsidRPr="00F03917">
        <w:t xml:space="preserve"> gives two examples of how values can be translated into objectives. The translated objectives can help provide guidance on adaptation options.</w:t>
      </w:r>
    </w:p>
    <w:p w14:paraId="3F6F1464" w14:textId="4D286D10" w:rsidR="003964E8" w:rsidRPr="00F03917" w:rsidRDefault="003964E8" w:rsidP="006258D2">
      <w:pPr>
        <w:pStyle w:val="Tableheading"/>
      </w:pPr>
      <w:bookmarkStart w:id="98" w:name="_Toc160098405"/>
      <w:r w:rsidRPr="00F03917">
        <w:t>Two examples of translating values into objectives</w:t>
      </w:r>
      <w:bookmarkEnd w:id="98"/>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4652"/>
        <w:gridCol w:w="3853"/>
      </w:tblGrid>
      <w:tr w:rsidR="00F737B2" w:rsidRPr="00F03917" w14:paraId="0EB24829" w14:textId="77777777" w:rsidTr="00F737B2">
        <w:tc>
          <w:tcPr>
            <w:tcW w:w="4575" w:type="dxa"/>
            <w:tcBorders>
              <w:right w:val="nil"/>
            </w:tcBorders>
            <w:shd w:val="clear" w:color="auto" w:fill="1B556B" w:themeFill="text2"/>
          </w:tcPr>
          <w:p w14:paraId="236E1915" w14:textId="77777777" w:rsidR="003964E8" w:rsidRPr="00F03917" w:rsidRDefault="003964E8" w:rsidP="00F735BD">
            <w:pPr>
              <w:pStyle w:val="TableTextbold"/>
              <w:spacing w:before="40" w:after="40"/>
              <w:rPr>
                <w:color w:val="FFFFFF" w:themeColor="background1"/>
              </w:rPr>
            </w:pPr>
            <w:r w:rsidRPr="00F03917">
              <w:rPr>
                <w:color w:val="FFFFFF" w:themeColor="background1"/>
              </w:rPr>
              <w:t>Theme: public access to greenspace</w:t>
            </w:r>
          </w:p>
        </w:tc>
        <w:tc>
          <w:tcPr>
            <w:tcW w:w="3789" w:type="dxa"/>
            <w:tcBorders>
              <w:left w:val="nil"/>
            </w:tcBorders>
            <w:shd w:val="clear" w:color="auto" w:fill="1B556B" w:themeFill="text2"/>
          </w:tcPr>
          <w:p w14:paraId="51C50734" w14:textId="77777777" w:rsidR="003964E8" w:rsidRPr="00F03917" w:rsidRDefault="003964E8" w:rsidP="00F735BD">
            <w:pPr>
              <w:pStyle w:val="TableTextbold"/>
              <w:spacing w:before="40" w:after="40"/>
              <w:rPr>
                <w:color w:val="FFFFFF" w:themeColor="background1"/>
              </w:rPr>
            </w:pPr>
          </w:p>
        </w:tc>
      </w:tr>
      <w:tr w:rsidR="003964E8" w:rsidRPr="00F03917" w14:paraId="2341645B" w14:textId="77777777" w:rsidTr="00F737B2">
        <w:tc>
          <w:tcPr>
            <w:tcW w:w="4575" w:type="dxa"/>
          </w:tcPr>
          <w:p w14:paraId="68870071" w14:textId="77777777" w:rsidR="003964E8" w:rsidRPr="00F03917" w:rsidRDefault="003964E8" w:rsidP="00F735BD">
            <w:pPr>
              <w:pStyle w:val="TableText"/>
              <w:spacing w:before="40" w:after="40"/>
            </w:pPr>
            <w:r w:rsidRPr="00F03917">
              <w:t>What is valued by the community</w:t>
            </w:r>
          </w:p>
        </w:tc>
        <w:tc>
          <w:tcPr>
            <w:tcW w:w="3789" w:type="dxa"/>
          </w:tcPr>
          <w:p w14:paraId="1E28EE0E" w14:textId="77777777" w:rsidR="003964E8" w:rsidRPr="00F03917" w:rsidRDefault="003964E8" w:rsidP="00F735BD">
            <w:pPr>
              <w:pStyle w:val="TableText"/>
              <w:spacing w:before="40" w:after="40"/>
            </w:pPr>
            <w:r w:rsidRPr="00F03917">
              <w:t xml:space="preserve">Translated objective </w:t>
            </w:r>
          </w:p>
        </w:tc>
      </w:tr>
      <w:tr w:rsidR="003964E8" w:rsidRPr="00F03917" w14:paraId="6E9553DC" w14:textId="77777777" w:rsidTr="00F737B2">
        <w:tc>
          <w:tcPr>
            <w:tcW w:w="4575" w:type="dxa"/>
          </w:tcPr>
          <w:p w14:paraId="1EB3C5A9" w14:textId="77777777" w:rsidR="003964E8" w:rsidRPr="00F03917" w:rsidRDefault="003964E8" w:rsidP="00F735BD">
            <w:pPr>
              <w:pStyle w:val="TableText"/>
              <w:spacing w:before="40" w:after="40"/>
            </w:pPr>
            <w:r w:rsidRPr="00F03917">
              <w:t>Public recreational space for picnics and family activities</w:t>
            </w:r>
          </w:p>
        </w:tc>
        <w:tc>
          <w:tcPr>
            <w:tcW w:w="3789" w:type="dxa"/>
            <w:vMerge w:val="restart"/>
          </w:tcPr>
          <w:p w14:paraId="71B2AC9F" w14:textId="29505ADD" w:rsidR="003964E8" w:rsidRPr="00F03917" w:rsidRDefault="003964E8" w:rsidP="00F735BD">
            <w:pPr>
              <w:pStyle w:val="TableText"/>
              <w:spacing w:before="40" w:after="40"/>
            </w:pPr>
            <w:r w:rsidRPr="00F03917">
              <w:t>Maintain safe, aesthetically pleasing public greenspaces (including picnic and playground facilities) along or near the foreshore and distributed throughout the community.</w:t>
            </w:r>
          </w:p>
        </w:tc>
      </w:tr>
      <w:tr w:rsidR="003964E8" w:rsidRPr="00F03917" w14:paraId="3BEF57CE" w14:textId="77777777" w:rsidTr="00F737B2">
        <w:tc>
          <w:tcPr>
            <w:tcW w:w="4575" w:type="dxa"/>
          </w:tcPr>
          <w:p w14:paraId="71BF01C0" w14:textId="02E59415" w:rsidR="003964E8" w:rsidRPr="00F03917" w:rsidRDefault="003964E8" w:rsidP="00F735BD">
            <w:pPr>
              <w:pStyle w:val="TableText"/>
              <w:spacing w:before="40" w:after="40"/>
            </w:pPr>
            <w:r w:rsidRPr="00F03917">
              <w:t>Safe playgrou</w:t>
            </w:r>
            <w:r w:rsidR="004B20C9" w:rsidRPr="00F03917">
              <w:t>nd</w:t>
            </w:r>
            <w:r w:rsidRPr="00F03917">
              <w:t>s for children to play</w:t>
            </w:r>
          </w:p>
        </w:tc>
        <w:tc>
          <w:tcPr>
            <w:tcW w:w="3789" w:type="dxa"/>
            <w:vMerge/>
          </w:tcPr>
          <w:p w14:paraId="47B31311" w14:textId="77777777" w:rsidR="003964E8" w:rsidRPr="00F03917" w:rsidRDefault="003964E8" w:rsidP="00F735BD">
            <w:pPr>
              <w:pStyle w:val="TableText"/>
              <w:spacing w:before="40" w:after="40"/>
            </w:pPr>
          </w:p>
        </w:tc>
      </w:tr>
      <w:tr w:rsidR="003964E8" w:rsidRPr="00F03917" w14:paraId="7B3DF9E0" w14:textId="77777777" w:rsidTr="00F737B2">
        <w:tc>
          <w:tcPr>
            <w:tcW w:w="4575" w:type="dxa"/>
          </w:tcPr>
          <w:p w14:paraId="68085180" w14:textId="77777777" w:rsidR="003964E8" w:rsidRPr="00F03917" w:rsidRDefault="003964E8" w:rsidP="00F735BD">
            <w:pPr>
              <w:pStyle w:val="TableText"/>
              <w:spacing w:before="40" w:after="40"/>
            </w:pPr>
            <w:r w:rsidRPr="00F03917">
              <w:t>Aesthetics</w:t>
            </w:r>
          </w:p>
        </w:tc>
        <w:tc>
          <w:tcPr>
            <w:tcW w:w="3789" w:type="dxa"/>
            <w:vMerge/>
          </w:tcPr>
          <w:p w14:paraId="222B8946" w14:textId="77777777" w:rsidR="003964E8" w:rsidRPr="00F03917" w:rsidRDefault="003964E8" w:rsidP="00F735BD">
            <w:pPr>
              <w:pStyle w:val="TableText"/>
              <w:spacing w:before="40" w:after="40"/>
            </w:pPr>
          </w:p>
        </w:tc>
      </w:tr>
      <w:tr w:rsidR="003964E8" w:rsidRPr="00F03917" w14:paraId="6387C3BF" w14:textId="77777777" w:rsidTr="00F737B2">
        <w:tc>
          <w:tcPr>
            <w:tcW w:w="4575" w:type="dxa"/>
          </w:tcPr>
          <w:p w14:paraId="13A7F01A" w14:textId="77777777" w:rsidR="003964E8" w:rsidRPr="00F03917" w:rsidRDefault="003964E8" w:rsidP="00F735BD">
            <w:pPr>
              <w:pStyle w:val="TableText"/>
              <w:spacing w:before="40" w:after="40"/>
            </w:pPr>
            <w:r w:rsidRPr="00F03917">
              <w:t>Greenspaces along the foreshore</w:t>
            </w:r>
          </w:p>
        </w:tc>
        <w:tc>
          <w:tcPr>
            <w:tcW w:w="3789" w:type="dxa"/>
            <w:vMerge/>
          </w:tcPr>
          <w:p w14:paraId="2CB2D450" w14:textId="77777777" w:rsidR="003964E8" w:rsidRPr="00F03917" w:rsidRDefault="003964E8" w:rsidP="00F735BD">
            <w:pPr>
              <w:pStyle w:val="TableText"/>
              <w:spacing w:before="40" w:after="40"/>
            </w:pPr>
          </w:p>
        </w:tc>
      </w:tr>
      <w:tr w:rsidR="003964E8" w:rsidRPr="00F03917" w14:paraId="30212B75" w14:textId="77777777" w:rsidTr="37451342">
        <w:tc>
          <w:tcPr>
            <w:tcW w:w="4575" w:type="dxa"/>
            <w:tcBorders>
              <w:bottom w:val="single" w:sz="4" w:space="0" w:color="1B556B" w:themeColor="text2"/>
            </w:tcBorders>
          </w:tcPr>
          <w:p w14:paraId="6A6D698D" w14:textId="0EEA7D27" w:rsidR="003964E8" w:rsidRPr="00F03917" w:rsidRDefault="396D26DE" w:rsidP="00F735BD">
            <w:pPr>
              <w:pStyle w:val="TableText"/>
              <w:spacing w:before="40" w:after="40"/>
            </w:pPr>
            <w:r w:rsidRPr="00F03917">
              <w:t>P</w:t>
            </w:r>
            <w:r w:rsidR="577E8231" w:rsidRPr="00F03917">
              <w:t>roximity</w:t>
            </w:r>
            <w:r w:rsidR="003964E8" w:rsidRPr="00F03917">
              <w:t xml:space="preserve"> and easy access to parks and reserves</w:t>
            </w:r>
          </w:p>
        </w:tc>
        <w:tc>
          <w:tcPr>
            <w:tcW w:w="3789" w:type="dxa"/>
            <w:vMerge/>
          </w:tcPr>
          <w:p w14:paraId="02772709" w14:textId="77777777" w:rsidR="003964E8" w:rsidRPr="00F03917" w:rsidRDefault="003964E8" w:rsidP="00F735BD">
            <w:pPr>
              <w:pStyle w:val="TableText"/>
              <w:spacing w:before="40" w:after="40"/>
            </w:pPr>
          </w:p>
        </w:tc>
      </w:tr>
      <w:tr w:rsidR="00F737B2" w:rsidRPr="00F03917" w14:paraId="537695C6" w14:textId="77777777" w:rsidTr="00F737B2">
        <w:tc>
          <w:tcPr>
            <w:tcW w:w="8364" w:type="dxa"/>
            <w:gridSpan w:val="2"/>
            <w:shd w:val="clear" w:color="auto" w:fill="1B556B" w:themeFill="text2"/>
          </w:tcPr>
          <w:p w14:paraId="038D0146" w14:textId="77777777" w:rsidR="003964E8" w:rsidRPr="00F03917" w:rsidRDefault="003964E8" w:rsidP="00F735BD">
            <w:pPr>
              <w:pStyle w:val="TableTextbold"/>
              <w:spacing w:before="40" w:after="40"/>
              <w:rPr>
                <w:color w:val="FFFFFF" w:themeColor="background1"/>
              </w:rPr>
            </w:pPr>
            <w:r w:rsidRPr="00F03917">
              <w:rPr>
                <w:color w:val="FFFFFF" w:themeColor="background1"/>
              </w:rPr>
              <w:t>Theme: biodiversity and ecology</w:t>
            </w:r>
          </w:p>
        </w:tc>
      </w:tr>
      <w:tr w:rsidR="003964E8" w:rsidRPr="00F03917" w14:paraId="46E0266C" w14:textId="77777777" w:rsidTr="00F737B2">
        <w:tc>
          <w:tcPr>
            <w:tcW w:w="4575" w:type="dxa"/>
          </w:tcPr>
          <w:p w14:paraId="075CA161" w14:textId="77777777" w:rsidR="003964E8" w:rsidRPr="00F03917" w:rsidRDefault="003964E8" w:rsidP="00F735BD">
            <w:pPr>
              <w:pStyle w:val="TableText"/>
              <w:spacing w:before="40" w:after="40"/>
            </w:pPr>
            <w:r w:rsidRPr="00F03917">
              <w:t>What is valued by the community</w:t>
            </w:r>
          </w:p>
        </w:tc>
        <w:tc>
          <w:tcPr>
            <w:tcW w:w="3789" w:type="dxa"/>
          </w:tcPr>
          <w:p w14:paraId="07A7AE8E" w14:textId="77777777" w:rsidR="003964E8" w:rsidRPr="00F03917" w:rsidRDefault="003964E8" w:rsidP="00F735BD">
            <w:pPr>
              <w:pStyle w:val="TableText"/>
              <w:spacing w:before="40" w:after="40"/>
            </w:pPr>
            <w:r w:rsidRPr="00F03917">
              <w:t xml:space="preserve">Translated objective </w:t>
            </w:r>
          </w:p>
        </w:tc>
      </w:tr>
      <w:tr w:rsidR="003964E8" w:rsidRPr="00F03917" w14:paraId="3ABE341F" w14:textId="77777777" w:rsidTr="00F737B2">
        <w:tc>
          <w:tcPr>
            <w:tcW w:w="4575" w:type="dxa"/>
          </w:tcPr>
          <w:p w14:paraId="202ED6DA" w14:textId="77777777" w:rsidR="003964E8" w:rsidRPr="00F03917" w:rsidRDefault="003964E8" w:rsidP="00F735BD">
            <w:pPr>
              <w:pStyle w:val="TableText"/>
              <w:spacing w:before="40" w:after="40"/>
            </w:pPr>
            <w:r w:rsidRPr="00F03917">
              <w:t>Native coastal species</w:t>
            </w:r>
          </w:p>
        </w:tc>
        <w:tc>
          <w:tcPr>
            <w:tcW w:w="3789" w:type="dxa"/>
            <w:vMerge w:val="restart"/>
          </w:tcPr>
          <w:p w14:paraId="3FF525F6" w14:textId="77777777" w:rsidR="003964E8" w:rsidRPr="00F03917" w:rsidRDefault="003964E8" w:rsidP="00F735BD">
            <w:pPr>
              <w:pStyle w:val="TableText"/>
              <w:spacing w:before="40" w:after="40"/>
            </w:pPr>
            <w:r w:rsidRPr="00F03917">
              <w:t>Ensure a functioning coastal ecosystem that supports rare and mahinga kai species.</w:t>
            </w:r>
          </w:p>
        </w:tc>
      </w:tr>
      <w:tr w:rsidR="003964E8" w:rsidRPr="00F03917" w14:paraId="37623CE0" w14:textId="77777777" w:rsidTr="00F737B2">
        <w:tc>
          <w:tcPr>
            <w:tcW w:w="4575" w:type="dxa"/>
          </w:tcPr>
          <w:p w14:paraId="2DE2565D" w14:textId="77777777" w:rsidR="003964E8" w:rsidRPr="00F03917" w:rsidRDefault="003964E8" w:rsidP="00F735BD">
            <w:pPr>
              <w:pStyle w:val="TableText"/>
              <w:spacing w:before="40" w:after="40"/>
            </w:pPr>
            <w:r w:rsidRPr="00F03917">
              <w:t>Rare species (eg, New Zealand dotterel)</w:t>
            </w:r>
          </w:p>
        </w:tc>
        <w:tc>
          <w:tcPr>
            <w:tcW w:w="3789" w:type="dxa"/>
            <w:vMerge/>
          </w:tcPr>
          <w:p w14:paraId="5F18041A" w14:textId="77777777" w:rsidR="003964E8" w:rsidRPr="00F03917" w:rsidRDefault="003964E8" w:rsidP="00F735BD">
            <w:pPr>
              <w:pStyle w:val="TableText"/>
              <w:spacing w:before="40" w:after="40"/>
            </w:pPr>
          </w:p>
        </w:tc>
      </w:tr>
      <w:tr w:rsidR="003964E8" w:rsidRPr="00F03917" w14:paraId="7A7C5DFA" w14:textId="77777777" w:rsidTr="00F737B2">
        <w:tc>
          <w:tcPr>
            <w:tcW w:w="4575" w:type="dxa"/>
          </w:tcPr>
          <w:p w14:paraId="4EC638A3" w14:textId="77777777" w:rsidR="003964E8" w:rsidRPr="00F03917" w:rsidRDefault="003964E8" w:rsidP="00F735BD">
            <w:pPr>
              <w:pStyle w:val="TableText"/>
              <w:spacing w:before="40" w:after="40"/>
            </w:pPr>
            <w:r w:rsidRPr="00F03917">
              <w:t>Functional viable coastal ecosystems</w:t>
            </w:r>
          </w:p>
        </w:tc>
        <w:tc>
          <w:tcPr>
            <w:tcW w:w="3789" w:type="dxa"/>
            <w:vMerge/>
          </w:tcPr>
          <w:p w14:paraId="2577A832" w14:textId="77777777" w:rsidR="003964E8" w:rsidRPr="00F03917" w:rsidRDefault="003964E8" w:rsidP="00F735BD">
            <w:pPr>
              <w:pStyle w:val="TableText"/>
              <w:spacing w:before="40" w:after="40"/>
            </w:pPr>
          </w:p>
        </w:tc>
      </w:tr>
      <w:tr w:rsidR="003964E8" w:rsidRPr="00F03917" w14:paraId="39654E04" w14:textId="77777777" w:rsidTr="00F737B2">
        <w:tc>
          <w:tcPr>
            <w:tcW w:w="4575" w:type="dxa"/>
          </w:tcPr>
          <w:p w14:paraId="102E3B88" w14:textId="77777777" w:rsidR="003964E8" w:rsidRPr="00F03917" w:rsidRDefault="003964E8" w:rsidP="00F735BD">
            <w:pPr>
              <w:pStyle w:val="TableText"/>
              <w:spacing w:before="40" w:after="40"/>
            </w:pPr>
            <w:r w:rsidRPr="00F03917">
              <w:t>Mahinga kai species present and safe to harvest</w:t>
            </w:r>
          </w:p>
        </w:tc>
        <w:tc>
          <w:tcPr>
            <w:tcW w:w="3789" w:type="dxa"/>
            <w:vMerge/>
          </w:tcPr>
          <w:p w14:paraId="58AE7FAF" w14:textId="77777777" w:rsidR="003964E8" w:rsidRPr="00F03917" w:rsidRDefault="003964E8" w:rsidP="00F735BD">
            <w:pPr>
              <w:pStyle w:val="TableText"/>
              <w:spacing w:before="40" w:after="40"/>
            </w:pPr>
          </w:p>
        </w:tc>
      </w:tr>
    </w:tbl>
    <w:p w14:paraId="7E6EC970" w14:textId="77777777" w:rsidR="003964E8" w:rsidRPr="00F03917" w:rsidRDefault="003964E8" w:rsidP="00F737B2">
      <w:pPr>
        <w:pStyle w:val="Source"/>
        <w:rPr>
          <w:szCs w:val="20"/>
        </w:rPr>
      </w:pPr>
      <w:r w:rsidRPr="00F03917">
        <w:t>Source: Rouse et al (2011, 2016)</w:t>
      </w:r>
    </w:p>
    <w:p w14:paraId="7B32D3A8" w14:textId="18EE22DD" w:rsidR="003964E8" w:rsidRPr="00F03917" w:rsidRDefault="003964E8" w:rsidP="00B765D7">
      <w:pPr>
        <w:pStyle w:val="Heading2"/>
        <w:numPr>
          <w:ilvl w:val="0"/>
          <w:numId w:val="24"/>
        </w:numPr>
      </w:pPr>
      <w:bookmarkStart w:id="99" w:name="_Toc160096241"/>
      <w:r w:rsidRPr="00F03917">
        <w:t>Local government objectives</w:t>
      </w:r>
      <w:bookmarkEnd w:id="99"/>
    </w:p>
    <w:p w14:paraId="46007F67" w14:textId="6C0D12CF" w:rsidR="003964E8" w:rsidRPr="00F03917" w:rsidRDefault="00C10FA2" w:rsidP="008F38F3">
      <w:pPr>
        <w:pStyle w:val="BodyText"/>
      </w:pPr>
      <w:r w:rsidRPr="00F03917">
        <w:t>L</w:t>
      </w:r>
      <w:r w:rsidR="003964E8" w:rsidRPr="00F03917">
        <w:t>ocal authorities should work together to identify</w:t>
      </w:r>
      <w:r w:rsidR="003964E8" w:rsidRPr="00F03917" w:rsidDel="00D4675C">
        <w:t xml:space="preserve"> and </w:t>
      </w:r>
      <w:r w:rsidR="003964E8" w:rsidRPr="00F03917">
        <w:t xml:space="preserve">consolidate objectives for the region or district. </w:t>
      </w:r>
      <w:r w:rsidR="00BC7F0B" w:rsidRPr="00F03917">
        <w:t xml:space="preserve">This can </w:t>
      </w:r>
      <w:r w:rsidR="0052711C" w:rsidRPr="00F03917">
        <w:t>begin</w:t>
      </w:r>
      <w:r w:rsidR="00BC7F0B" w:rsidRPr="00F03917">
        <w:t xml:space="preserve"> </w:t>
      </w:r>
      <w:r w:rsidR="005D7C93" w:rsidRPr="00F03917">
        <w:t>prior</w:t>
      </w:r>
      <w:r w:rsidR="00D0413C" w:rsidRPr="00F03917">
        <w:t xml:space="preserve"> </w:t>
      </w:r>
      <w:r w:rsidR="52C8F9B3" w:rsidRPr="00F03917">
        <w:t xml:space="preserve">to, </w:t>
      </w:r>
      <w:r w:rsidR="00D0413C" w:rsidRPr="00F03917">
        <w:t>and</w:t>
      </w:r>
      <w:r w:rsidR="00BC7F0B" w:rsidRPr="00F03917">
        <w:t xml:space="preserve"> </w:t>
      </w:r>
      <w:r w:rsidR="00814686" w:rsidRPr="00F03917">
        <w:t>happen alo</w:t>
      </w:r>
      <w:r w:rsidR="004F4797" w:rsidRPr="00F03917">
        <w:t>ngside</w:t>
      </w:r>
      <w:r w:rsidR="05CB9E53" w:rsidRPr="00F03917">
        <w:t>,</w:t>
      </w:r>
      <w:r w:rsidR="004F4797" w:rsidRPr="00F03917">
        <w:t xml:space="preserve"> community objectives </w:t>
      </w:r>
      <w:r w:rsidR="00567203" w:rsidRPr="00F03917">
        <w:t>being</w:t>
      </w:r>
      <w:r w:rsidRPr="00F03917">
        <w:t xml:space="preserve"> articulated</w:t>
      </w:r>
      <w:r w:rsidR="003373FC" w:rsidRPr="00F03917">
        <w:t xml:space="preserve">, but </w:t>
      </w:r>
      <w:r w:rsidR="00FE1F64" w:rsidRPr="00F03917">
        <w:t>should</w:t>
      </w:r>
      <w:r w:rsidR="003373FC" w:rsidRPr="00F03917">
        <w:t xml:space="preserve"> include </w:t>
      </w:r>
      <w:r w:rsidR="00174BE0" w:rsidRPr="00F03917">
        <w:t>consideration of</w:t>
      </w:r>
      <w:r w:rsidR="003373FC" w:rsidRPr="00F03917">
        <w:t xml:space="preserve"> the community objective</w:t>
      </w:r>
      <w:r w:rsidR="00ED2FCD" w:rsidRPr="00F03917">
        <w:t>s</w:t>
      </w:r>
      <w:r w:rsidR="005A3647" w:rsidRPr="00F03917">
        <w:t>.</w:t>
      </w:r>
      <w:r w:rsidR="00166A20" w:rsidRPr="00F03917">
        <w:t xml:space="preserve"> </w:t>
      </w:r>
      <w:r w:rsidR="008D7B30" w:rsidRPr="00F03917">
        <w:t xml:space="preserve">Integrating council and community objectives through engagement can address conflict between community </w:t>
      </w:r>
      <w:r w:rsidR="00813447" w:rsidRPr="00F03917">
        <w:t>aspirations</w:t>
      </w:r>
      <w:r w:rsidR="008D7B30" w:rsidRPr="00F03917">
        <w:t xml:space="preserve"> and councils’ statutory </w:t>
      </w:r>
      <w:r w:rsidR="006E466D" w:rsidRPr="00F03917">
        <w:t>requirements</w:t>
      </w:r>
      <w:r w:rsidR="000A3480" w:rsidRPr="00F03917">
        <w:t xml:space="preserve"> which must be met</w:t>
      </w:r>
      <w:r w:rsidR="008D7B30" w:rsidRPr="00F03917">
        <w:t>.</w:t>
      </w:r>
      <w:r w:rsidR="00977ED4" w:rsidRPr="00F03917">
        <w:t xml:space="preserve"> </w:t>
      </w:r>
      <w:r w:rsidR="4ADC8B6B" w:rsidRPr="00F03917">
        <w:rPr>
          <w:rFonts w:asciiTheme="minorHAnsi" w:hAnsiTheme="minorHAnsi"/>
        </w:rPr>
        <w:t xml:space="preserve">It is therefore important to be clear in communications and engagement material that setting community objectives </w:t>
      </w:r>
      <w:r w:rsidR="3B74E8F2" w:rsidRPr="00F03917">
        <w:rPr>
          <w:rFonts w:asciiTheme="minorHAnsi" w:hAnsiTheme="minorHAnsi"/>
        </w:rPr>
        <w:t>is</w:t>
      </w:r>
      <w:r w:rsidR="4ADC8B6B" w:rsidRPr="00F03917">
        <w:rPr>
          <w:rFonts w:asciiTheme="minorHAnsi" w:hAnsiTheme="minorHAnsi"/>
        </w:rPr>
        <w:t xml:space="preserve"> only one part of the process and must be considered in the context of complying with the requirements of the </w:t>
      </w:r>
      <w:r w:rsidR="7411B5C8" w:rsidRPr="00F03917">
        <w:rPr>
          <w:rFonts w:asciiTheme="minorHAnsi" w:hAnsiTheme="minorHAnsi"/>
        </w:rPr>
        <w:t>Resource Management Act 1991</w:t>
      </w:r>
      <w:r w:rsidR="7411B5C8" w:rsidRPr="00F03917">
        <w:t xml:space="preserve"> </w:t>
      </w:r>
      <w:r w:rsidR="4ADC8B6B" w:rsidRPr="00F03917">
        <w:rPr>
          <w:rFonts w:asciiTheme="minorHAnsi" w:hAnsiTheme="minorHAnsi"/>
        </w:rPr>
        <w:t xml:space="preserve">and </w:t>
      </w:r>
      <w:r w:rsidR="14B83DEF" w:rsidRPr="00F03917">
        <w:rPr>
          <w:rFonts w:asciiTheme="minorHAnsi" w:hAnsiTheme="minorHAnsi"/>
        </w:rPr>
        <w:t>New Zealand Coastal Policy Statement 2010 (</w:t>
      </w:r>
      <w:r w:rsidR="4ADC8B6B" w:rsidRPr="00F03917">
        <w:rPr>
          <w:rFonts w:asciiTheme="minorHAnsi" w:hAnsiTheme="minorHAnsi"/>
        </w:rPr>
        <w:t>NZCPS</w:t>
      </w:r>
      <w:r w:rsidR="7A2235BB" w:rsidRPr="00F03917">
        <w:rPr>
          <w:rFonts w:asciiTheme="minorHAnsi" w:hAnsiTheme="minorHAnsi"/>
        </w:rPr>
        <w:t>) (</w:t>
      </w:r>
      <w:r w:rsidR="7A2235BB" w:rsidRPr="00F03917">
        <w:rPr>
          <w:rFonts w:eastAsia="Calibri" w:cs="Calibri"/>
        </w:rPr>
        <w:t>D</w:t>
      </w:r>
      <w:r w:rsidR="19DCBCEC" w:rsidRPr="00F03917">
        <w:rPr>
          <w:rFonts w:eastAsia="Calibri" w:cs="Calibri"/>
        </w:rPr>
        <w:t>O</w:t>
      </w:r>
      <w:r w:rsidR="7A2235BB" w:rsidRPr="00F03917">
        <w:rPr>
          <w:rFonts w:eastAsia="Calibri" w:cs="Calibri"/>
        </w:rPr>
        <w:t>C</w:t>
      </w:r>
      <w:r w:rsidR="7A2235BB" w:rsidRPr="00F03917">
        <w:rPr>
          <w:rFonts w:asciiTheme="minorHAnsi" w:hAnsiTheme="minorHAnsi"/>
        </w:rPr>
        <w:t>, 2010)</w:t>
      </w:r>
      <w:r w:rsidR="364F3946" w:rsidRPr="00F03917">
        <w:rPr>
          <w:rFonts w:asciiTheme="minorHAnsi" w:hAnsiTheme="minorHAnsi"/>
        </w:rPr>
        <w:t xml:space="preserve">. </w:t>
      </w:r>
      <w:r w:rsidR="003964E8" w:rsidRPr="00F03917">
        <w:t xml:space="preserve">These </w:t>
      </w:r>
      <w:r w:rsidR="42862B14" w:rsidRPr="00F03917">
        <w:t>requirements</w:t>
      </w:r>
      <w:r w:rsidR="003964E8" w:rsidRPr="00F03917" w:rsidDel="009B4367">
        <w:t xml:space="preserve"> </w:t>
      </w:r>
      <w:r w:rsidR="003964E8" w:rsidRPr="00F03917">
        <w:t xml:space="preserve">may be formalised in statutory </w:t>
      </w:r>
      <w:r w:rsidR="003964E8" w:rsidRPr="00F03917">
        <w:lastRenderedPageBreak/>
        <w:t>planning documents, long-term plans and 30</w:t>
      </w:r>
      <w:r w:rsidR="00F735BD" w:rsidRPr="00F03917">
        <w:noBreakHyphen/>
      </w:r>
      <w:r w:rsidR="577E8231" w:rsidRPr="00F03917">
        <w:t>year</w:t>
      </w:r>
      <w:r w:rsidR="003964E8" w:rsidRPr="00F03917">
        <w:t xml:space="preserve"> infrastructure strategies</w:t>
      </w:r>
      <w:r w:rsidR="00E9165C" w:rsidRPr="00F03917">
        <w:t xml:space="preserve">, </w:t>
      </w:r>
      <w:r w:rsidR="0028105D" w:rsidRPr="00F03917">
        <w:t>a</w:t>
      </w:r>
      <w:r w:rsidR="00E9165C" w:rsidRPr="00F03917">
        <w:t>nd will have already been through statutory consultation processes</w:t>
      </w:r>
      <w:r w:rsidR="003964E8" w:rsidRPr="00F03917">
        <w:t xml:space="preserve">. Table </w:t>
      </w:r>
      <w:r w:rsidR="009B500A" w:rsidRPr="00F03917">
        <w:t>12</w:t>
      </w:r>
      <w:r w:rsidR="003964E8" w:rsidRPr="00F03917">
        <w:t xml:space="preserve"> lists questions t</w:t>
      </w:r>
      <w:r w:rsidR="5FFCD687" w:rsidRPr="00F03917">
        <w:t>hat could</w:t>
      </w:r>
      <w:r w:rsidR="003964E8" w:rsidRPr="00F03917">
        <w:t xml:space="preserve"> guide the generation of local government objectives. </w:t>
      </w:r>
    </w:p>
    <w:p w14:paraId="1C246A9C" w14:textId="74AD1DB8" w:rsidR="003964E8" w:rsidRPr="00F03917" w:rsidRDefault="003964E8" w:rsidP="006258D2">
      <w:pPr>
        <w:pStyle w:val="Tableheading"/>
      </w:pPr>
      <w:bookmarkStart w:id="100" w:name="_Toc160098406"/>
      <w:r w:rsidRPr="00F03917">
        <w:t>Questions to generate local government objectives</w:t>
      </w:r>
      <w:bookmarkEnd w:id="100"/>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3275"/>
        <w:gridCol w:w="5230"/>
      </w:tblGrid>
      <w:tr w:rsidR="00657677" w:rsidRPr="00F03917" w14:paraId="614E046D" w14:textId="77777777" w:rsidTr="00F735BD">
        <w:trPr>
          <w:tblHeader/>
        </w:trPr>
        <w:tc>
          <w:tcPr>
            <w:tcW w:w="3294" w:type="dxa"/>
            <w:shd w:val="clear" w:color="auto" w:fill="1B556B" w:themeFill="text2"/>
          </w:tcPr>
          <w:p w14:paraId="3C1AB47E" w14:textId="77777777" w:rsidR="003964E8" w:rsidRPr="00F03917" w:rsidRDefault="003964E8" w:rsidP="00F735BD">
            <w:pPr>
              <w:pStyle w:val="TableTextbold"/>
              <w:spacing w:before="40" w:after="40"/>
              <w:rPr>
                <w:color w:val="FFFFFF" w:themeColor="background1"/>
              </w:rPr>
            </w:pPr>
            <w:r w:rsidRPr="00F03917">
              <w:rPr>
                <w:color w:val="FFFFFF" w:themeColor="background1"/>
              </w:rPr>
              <w:t xml:space="preserve">Question </w:t>
            </w:r>
          </w:p>
        </w:tc>
        <w:tc>
          <w:tcPr>
            <w:tcW w:w="5268" w:type="dxa"/>
            <w:shd w:val="clear" w:color="auto" w:fill="1B556B" w:themeFill="text2"/>
          </w:tcPr>
          <w:p w14:paraId="678B2D19" w14:textId="77777777" w:rsidR="003964E8" w:rsidRPr="00F03917" w:rsidRDefault="003964E8" w:rsidP="00F735BD">
            <w:pPr>
              <w:pStyle w:val="TableTextbold"/>
              <w:spacing w:before="40" w:after="40"/>
              <w:rPr>
                <w:color w:val="FFFFFF" w:themeColor="background1"/>
              </w:rPr>
            </w:pPr>
            <w:r w:rsidRPr="00F03917">
              <w:rPr>
                <w:color w:val="FFFFFF" w:themeColor="background1"/>
              </w:rPr>
              <w:t>Supporting questions</w:t>
            </w:r>
          </w:p>
        </w:tc>
      </w:tr>
      <w:tr w:rsidR="003964E8" w:rsidRPr="00F03917" w14:paraId="111CB1C6" w14:textId="77777777" w:rsidTr="00657677">
        <w:tc>
          <w:tcPr>
            <w:tcW w:w="3294" w:type="dxa"/>
          </w:tcPr>
          <w:p w14:paraId="090CBC77" w14:textId="77777777" w:rsidR="003964E8" w:rsidRPr="00F03917" w:rsidRDefault="003964E8" w:rsidP="00F735BD">
            <w:pPr>
              <w:pStyle w:val="TableText"/>
              <w:spacing w:before="40" w:after="40"/>
            </w:pPr>
            <w:r w:rsidRPr="00F03917">
              <w:t xml:space="preserve">Who needs to be part of the conversation? </w:t>
            </w:r>
          </w:p>
        </w:tc>
        <w:tc>
          <w:tcPr>
            <w:tcW w:w="5268" w:type="dxa"/>
          </w:tcPr>
          <w:p w14:paraId="48A6E62A" w14:textId="77777777" w:rsidR="003964E8" w:rsidRPr="00F03917" w:rsidRDefault="003964E8" w:rsidP="00F735BD">
            <w:pPr>
              <w:pStyle w:val="TableText"/>
              <w:spacing w:before="40" w:after="40"/>
            </w:pPr>
            <w:r w:rsidRPr="00F03917">
              <w:t>Who has jurisdiction in this area?</w:t>
            </w:r>
          </w:p>
          <w:p w14:paraId="45D8B74B" w14:textId="77777777" w:rsidR="003964E8" w:rsidRPr="00F03917" w:rsidRDefault="003964E8" w:rsidP="00F735BD">
            <w:pPr>
              <w:pStyle w:val="TableText"/>
              <w:spacing w:before="40" w:after="40"/>
            </w:pPr>
            <w:r w:rsidRPr="00F03917">
              <w:t>Which functions need to be represented?</w:t>
            </w:r>
          </w:p>
          <w:p w14:paraId="25FC9083" w14:textId="0D7E8E7A" w:rsidR="003964E8" w:rsidRPr="00F03917" w:rsidRDefault="003964E8" w:rsidP="00F735BD">
            <w:pPr>
              <w:pStyle w:val="TableText"/>
              <w:spacing w:before="40" w:after="40"/>
            </w:pPr>
            <w:r w:rsidRPr="00F03917">
              <w:t xml:space="preserve">Who can represent the </w:t>
            </w:r>
            <w:r w:rsidR="2AB5D3F2" w:rsidRPr="00F03917">
              <w:t>main</w:t>
            </w:r>
            <w:r w:rsidRPr="00F03917">
              <w:t xml:space="preserve"> groups?</w:t>
            </w:r>
          </w:p>
          <w:p w14:paraId="6540CA61" w14:textId="77777777" w:rsidR="003964E8" w:rsidRPr="00F03917" w:rsidRDefault="003964E8" w:rsidP="00F735BD">
            <w:pPr>
              <w:pStyle w:val="TableText"/>
              <w:spacing w:before="40" w:after="40"/>
            </w:pPr>
            <w:r w:rsidRPr="00F03917">
              <w:t>What and who is missing?</w:t>
            </w:r>
          </w:p>
          <w:p w14:paraId="01A0CE73" w14:textId="77777777" w:rsidR="003964E8" w:rsidRPr="00F03917" w:rsidRDefault="003964E8" w:rsidP="00F735BD">
            <w:pPr>
              <w:pStyle w:val="TableText"/>
              <w:spacing w:before="40" w:after="40"/>
            </w:pPr>
            <w:r w:rsidRPr="00F03917">
              <w:t>Should other council-controlled organisations and non-council organisations be part of this discussion?</w:t>
            </w:r>
          </w:p>
        </w:tc>
      </w:tr>
      <w:tr w:rsidR="003964E8" w:rsidRPr="00F03917" w14:paraId="1B6FE1A5" w14:textId="77777777" w:rsidTr="00657677">
        <w:tc>
          <w:tcPr>
            <w:tcW w:w="3294" w:type="dxa"/>
          </w:tcPr>
          <w:p w14:paraId="14DCC1EA" w14:textId="77777777" w:rsidR="003964E8" w:rsidRPr="00F03917" w:rsidRDefault="003964E8" w:rsidP="00F735BD">
            <w:pPr>
              <w:pStyle w:val="TableText"/>
              <w:spacing w:before="40" w:after="40"/>
            </w:pPr>
            <w:r w:rsidRPr="00F03917">
              <w:t>What are the different objectives across the local government functions?</w:t>
            </w:r>
          </w:p>
        </w:tc>
        <w:tc>
          <w:tcPr>
            <w:tcW w:w="5268" w:type="dxa"/>
          </w:tcPr>
          <w:p w14:paraId="7407E9D6" w14:textId="77777777" w:rsidR="003964E8" w:rsidRPr="00F03917" w:rsidRDefault="003964E8" w:rsidP="00F735BD">
            <w:pPr>
              <w:pStyle w:val="TableText"/>
              <w:spacing w:before="40" w:after="40"/>
            </w:pPr>
            <w:r w:rsidRPr="00F03917">
              <w:t>What plans and policies exist?</w:t>
            </w:r>
          </w:p>
          <w:p w14:paraId="6EA2A54C" w14:textId="77777777" w:rsidR="003964E8" w:rsidRPr="00F03917" w:rsidRDefault="003964E8" w:rsidP="00F735BD">
            <w:pPr>
              <w:pStyle w:val="TableText"/>
              <w:spacing w:before="40" w:after="40"/>
            </w:pPr>
            <w:r w:rsidRPr="00F03917">
              <w:t>What are the standards and expectations of levels of service for utilities and infrastructure?</w:t>
            </w:r>
          </w:p>
          <w:p w14:paraId="0657934A" w14:textId="3E782B0B" w:rsidR="003964E8" w:rsidRPr="00F03917" w:rsidRDefault="003964E8" w:rsidP="00F735BD">
            <w:pPr>
              <w:pStyle w:val="TableText"/>
              <w:spacing w:before="40" w:after="40"/>
            </w:pPr>
            <w:r w:rsidRPr="00F03917">
              <w:t>What goals and objectives exist and why? Are they aligned?</w:t>
            </w:r>
          </w:p>
          <w:p w14:paraId="70AC4214" w14:textId="3E72BA64" w:rsidR="003964E8" w:rsidRPr="00F03917" w:rsidRDefault="72476A6B" w:rsidP="00F735BD">
            <w:pPr>
              <w:pStyle w:val="TableText"/>
              <w:spacing w:before="40" w:after="40"/>
            </w:pPr>
            <w:r w:rsidRPr="00F03917">
              <w:t xml:space="preserve">How might community objectives fit with requirements under the </w:t>
            </w:r>
            <w:r w:rsidR="7587D349" w:rsidRPr="00F03917">
              <w:t>N</w:t>
            </w:r>
            <w:r w:rsidR="596268A9" w:rsidRPr="00F03917">
              <w:t xml:space="preserve">ew </w:t>
            </w:r>
            <w:r w:rsidR="7587D349" w:rsidRPr="00F03917">
              <w:t>Z</w:t>
            </w:r>
            <w:r w:rsidR="0BDB479C" w:rsidRPr="00F03917">
              <w:t xml:space="preserve">ealand </w:t>
            </w:r>
            <w:r w:rsidR="7587D349" w:rsidRPr="00F03917">
              <w:t>C</w:t>
            </w:r>
            <w:r w:rsidR="14D237B7" w:rsidRPr="00F03917">
              <w:t xml:space="preserve">oastal </w:t>
            </w:r>
            <w:r w:rsidR="7587D349" w:rsidRPr="00F03917">
              <w:t>P</w:t>
            </w:r>
            <w:r w:rsidR="3DBFD39B" w:rsidRPr="00F03917">
              <w:t xml:space="preserve">olicy </w:t>
            </w:r>
            <w:r w:rsidR="7587D349" w:rsidRPr="00F03917">
              <w:t>S</w:t>
            </w:r>
            <w:r w:rsidR="6FDE193C" w:rsidRPr="00F03917">
              <w:t>tatement</w:t>
            </w:r>
            <w:r w:rsidR="3C485096" w:rsidRPr="00F03917">
              <w:t xml:space="preserve"> 2010</w:t>
            </w:r>
            <w:r w:rsidR="002F3D2F" w:rsidRPr="00F03917">
              <w:t>,</w:t>
            </w:r>
            <w:r w:rsidRPr="00F03917" w:rsidDel="002F3D2F">
              <w:t xml:space="preserve"> </w:t>
            </w:r>
            <w:r w:rsidR="7587D349" w:rsidRPr="00F03917">
              <w:t>R</w:t>
            </w:r>
            <w:r w:rsidR="09A99A38" w:rsidRPr="00F03917">
              <w:t xml:space="preserve">esource </w:t>
            </w:r>
            <w:r w:rsidR="7587D349" w:rsidRPr="00F03917">
              <w:t>M</w:t>
            </w:r>
            <w:r w:rsidR="535A2CFB" w:rsidRPr="00F03917">
              <w:t xml:space="preserve">anagement </w:t>
            </w:r>
            <w:r w:rsidR="7587D349" w:rsidRPr="00F03917">
              <w:t>A</w:t>
            </w:r>
            <w:r w:rsidR="51764CD0" w:rsidRPr="00F03917">
              <w:t xml:space="preserve">ct </w:t>
            </w:r>
            <w:r w:rsidR="51E2A9F6" w:rsidRPr="00F03917">
              <w:t>1991</w:t>
            </w:r>
            <w:r w:rsidR="00A52E47" w:rsidRPr="00F03917">
              <w:t xml:space="preserve"> and any other legislative requirements</w:t>
            </w:r>
            <w:r w:rsidRPr="00F03917">
              <w:t>?</w:t>
            </w:r>
          </w:p>
        </w:tc>
      </w:tr>
      <w:tr w:rsidR="003964E8" w:rsidRPr="00F03917" w14:paraId="1E63C45F" w14:textId="77777777" w:rsidTr="00657677">
        <w:tc>
          <w:tcPr>
            <w:tcW w:w="3294" w:type="dxa"/>
          </w:tcPr>
          <w:p w14:paraId="2E302B78" w14:textId="77777777" w:rsidR="003964E8" w:rsidRPr="00F03917" w:rsidRDefault="003964E8" w:rsidP="00F735BD">
            <w:pPr>
              <w:pStyle w:val="TableText"/>
              <w:spacing w:before="40" w:after="40"/>
            </w:pPr>
            <w:r w:rsidRPr="00F03917">
              <w:t>What are the agreed objectives?</w:t>
            </w:r>
          </w:p>
        </w:tc>
        <w:tc>
          <w:tcPr>
            <w:tcW w:w="5268" w:type="dxa"/>
          </w:tcPr>
          <w:p w14:paraId="09005ABC" w14:textId="77777777" w:rsidR="003964E8" w:rsidRPr="00F03917" w:rsidRDefault="003964E8" w:rsidP="00F735BD">
            <w:pPr>
              <w:pStyle w:val="TableText"/>
              <w:spacing w:before="40" w:after="40"/>
            </w:pPr>
            <w:r w:rsidRPr="00F03917">
              <w:t>How can we identify the most important objectives?</w:t>
            </w:r>
          </w:p>
          <w:p w14:paraId="6DA5A45A" w14:textId="77777777" w:rsidR="003964E8" w:rsidRPr="00F03917" w:rsidRDefault="003964E8" w:rsidP="00F735BD">
            <w:pPr>
              <w:pStyle w:val="TableText"/>
              <w:spacing w:before="40" w:after="40"/>
            </w:pPr>
            <w:r w:rsidRPr="00F03917">
              <w:t>How can we address any misalignment?</w:t>
            </w:r>
          </w:p>
          <w:p w14:paraId="069F0A88" w14:textId="77777777" w:rsidR="003964E8" w:rsidRPr="00F03917" w:rsidRDefault="003964E8" w:rsidP="00F735BD">
            <w:pPr>
              <w:pStyle w:val="TableText"/>
              <w:spacing w:before="40" w:after="40"/>
            </w:pPr>
            <w:r w:rsidRPr="00F03917">
              <w:t>What are the implications and consequences of the agreed objectives for local government and external organisations?</w:t>
            </w:r>
          </w:p>
        </w:tc>
      </w:tr>
    </w:tbl>
    <w:p w14:paraId="364472A4" w14:textId="77777777" w:rsidR="003964E8" w:rsidRPr="00F03917" w:rsidRDefault="003964E8" w:rsidP="00657677">
      <w:pPr>
        <w:pStyle w:val="BodyText"/>
        <w:spacing w:before="240" w:after="240"/>
      </w:pPr>
      <w:r w:rsidRPr="00F03917">
        <w:t>Clear statements of community objectives, alongside local government objectives, are an opportunity to look for joint benefits</w:t>
      </w:r>
      <w:r w:rsidRPr="00F03917" w:rsidDel="009B4367">
        <w:t xml:space="preserve"> </w:t>
      </w:r>
      <w:r w:rsidRPr="00F03917">
        <w:t>and to manage expectations. For example, areas where development should be avoided may be able to be used as public space, if</w:t>
      </w:r>
      <w:r w:rsidRPr="00F03917" w:rsidDel="00B00849">
        <w:t xml:space="preserve"> </w:t>
      </w:r>
      <w:r w:rsidRPr="00F03917">
        <w:t xml:space="preserve">the public can be protected from future hazard events there. </w:t>
      </w:r>
    </w:p>
    <w:p w14:paraId="0600D0A1" w14:textId="77777777" w:rsidR="00D61236" w:rsidRPr="00F03917" w:rsidRDefault="00D61236" w:rsidP="00657677">
      <w:pPr>
        <w:pStyle w:val="BodyText"/>
        <w:spacing w:before="240" w:after="240"/>
      </w:pPr>
    </w:p>
    <w:p w14:paraId="39D746D1" w14:textId="62E8CD7F" w:rsidR="00347E48" w:rsidRPr="00F03917" w:rsidRDefault="008A67AC" w:rsidP="007F2DAE">
      <w:pPr>
        <w:spacing w:before="240" w:after="120" w:line="220" w:lineRule="atLeast"/>
      </w:pPr>
      <w:r w:rsidRPr="00F03917">
        <w:rPr>
          <w:rFonts w:ascii="Calibri" w:eastAsia="MS Mincho" w:hAnsi="Calibri" w:cs="Calibri"/>
          <w:noProof/>
          <w:color w:val="1B5568"/>
          <w:sz w:val="22"/>
          <w:szCs w:val="22"/>
        </w:rPr>
        <w:drawing>
          <wp:inline distT="0" distB="0" distL="0" distR="0" wp14:anchorId="0EF6D3EA" wp14:editId="051E9DB6">
            <wp:extent cx="5486400" cy="2933700"/>
            <wp:effectExtent l="0" t="0" r="57150" b="0"/>
            <wp:docPr id="587184041" name="Diagram 5871840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8" r:lo="rId99" r:qs="rId100" r:cs="rId101"/>
              </a:graphicData>
            </a:graphic>
          </wp:inline>
        </w:drawing>
      </w:r>
    </w:p>
    <w:p w14:paraId="423B56C2" w14:textId="656280DF" w:rsidR="00347E48" w:rsidRPr="00F03917" w:rsidRDefault="00347E48" w:rsidP="00714EED">
      <w:pPr>
        <w:pStyle w:val="BodyText"/>
        <w:spacing w:after="0"/>
        <w:sectPr w:rsidR="00347E48" w:rsidRPr="00F03917" w:rsidSect="007E5AB2">
          <w:headerReference w:type="default" r:id="rId103"/>
          <w:pgSz w:w="11907" w:h="16840" w:code="9"/>
          <w:pgMar w:top="1134" w:right="1701" w:bottom="1134" w:left="1701" w:header="567" w:footer="567" w:gutter="0"/>
          <w:cols w:space="720"/>
          <w:docGrid w:linePitch="326"/>
        </w:sectPr>
      </w:pPr>
    </w:p>
    <w:p w14:paraId="06F288B9" w14:textId="666E7D8C" w:rsidR="00394B3C" w:rsidRPr="00F03917" w:rsidRDefault="000E29F9" w:rsidP="007F2DAE">
      <w:pPr>
        <w:pStyle w:val="Heading1"/>
        <w:spacing w:after="120"/>
      </w:pPr>
      <w:bookmarkStart w:id="101" w:name="_Step_4:_Assess"/>
      <w:bookmarkStart w:id="102" w:name="_Toc160096242"/>
      <w:bookmarkEnd w:id="101"/>
      <w:r w:rsidRPr="00F03917">
        <w:rPr>
          <w:rFonts w:eastAsia="MS Gothic"/>
        </w:rPr>
        <w:lastRenderedPageBreak/>
        <w:t xml:space="preserve">Step 4: </w:t>
      </w:r>
      <w:r w:rsidR="00394B3C" w:rsidRPr="00F03917">
        <w:rPr>
          <w:rFonts w:eastAsia="MS Gothic"/>
        </w:rPr>
        <w:t xml:space="preserve">Assess </w:t>
      </w:r>
      <w:bookmarkEnd w:id="92"/>
      <w:bookmarkEnd w:id="93"/>
      <w:r w:rsidR="00394B3C" w:rsidRPr="00F03917">
        <w:rPr>
          <w:rFonts w:eastAsia="MS Gothic"/>
        </w:rPr>
        <w:t>vulnerability</w:t>
      </w:r>
      <w:r w:rsidR="1CD95757" w:rsidRPr="00F03917">
        <w:rPr>
          <w:rFonts w:eastAsia="MS Gothic"/>
        </w:rPr>
        <w:t xml:space="preserve"> and</w:t>
      </w:r>
      <w:r w:rsidR="00714EED" w:rsidRPr="00F03917">
        <w:rPr>
          <w:rFonts w:eastAsia="MS Gothic"/>
        </w:rPr>
        <w:t> </w:t>
      </w:r>
      <w:r w:rsidR="1CD95757" w:rsidRPr="00F03917">
        <w:rPr>
          <w:rFonts w:eastAsia="MS Gothic"/>
        </w:rPr>
        <w:t>risk</w:t>
      </w:r>
      <w:bookmarkEnd w:id="102"/>
    </w:p>
    <w:p w14:paraId="37C8F12E" w14:textId="63088172" w:rsidR="00103209" w:rsidRPr="00F03917" w:rsidRDefault="00103209" w:rsidP="00560B6D">
      <w:pPr>
        <w:pStyle w:val="BodyText"/>
      </w:pPr>
      <w:r w:rsidRPr="00F03917">
        <w:t>Climate risk assessments (</w:t>
      </w:r>
      <w:r w:rsidR="003600A0" w:rsidRPr="00F03917">
        <w:t>s</w:t>
      </w:r>
      <w:r w:rsidRPr="00F03917">
        <w:t xml:space="preserve">tep 4) build on the coastal hazard assessments completed in </w:t>
      </w:r>
      <w:hyperlink w:anchor="_Step_2:_Assess" w:history="1">
        <w:r w:rsidR="003600A0" w:rsidRPr="00F03917">
          <w:rPr>
            <w:rStyle w:val="Hyperlink"/>
          </w:rPr>
          <w:t>s</w:t>
        </w:r>
        <w:r w:rsidRPr="00F03917">
          <w:rPr>
            <w:rStyle w:val="Hyperlink"/>
          </w:rPr>
          <w:t>tep 2</w:t>
        </w:r>
      </w:hyperlink>
      <w:r w:rsidRPr="00F03917">
        <w:t xml:space="preserve"> (covering the range of the recommended</w:t>
      </w:r>
      <w:r w:rsidR="00294A4A" w:rsidRPr="00F03917">
        <w:t xml:space="preserve"> relative sea-level rise</w:t>
      </w:r>
      <w:r w:rsidRPr="00F03917">
        <w:t xml:space="preserve"> </w:t>
      </w:r>
      <w:r w:rsidR="00294A4A" w:rsidRPr="00F03917">
        <w:t>(</w:t>
      </w:r>
      <w:r w:rsidRPr="00F03917">
        <w:t>RSLR</w:t>
      </w:r>
      <w:r w:rsidR="00294A4A" w:rsidRPr="00F03917">
        <w:t>)</w:t>
      </w:r>
      <w:r w:rsidRPr="00F03917">
        <w:t xml:space="preserve"> projections and/or increments of RSLR heights) and identif</w:t>
      </w:r>
      <w:r w:rsidR="003600A0" w:rsidRPr="00F03917">
        <w:t>ying</w:t>
      </w:r>
      <w:r w:rsidRPr="00F03917">
        <w:t xml:space="preserve"> community, stakeholder and council values and objectives in </w:t>
      </w:r>
      <w:hyperlink w:anchor="_Step_3:_Establish" w:history="1">
        <w:r w:rsidR="003600A0" w:rsidRPr="00F03917">
          <w:rPr>
            <w:rStyle w:val="Hyperlink"/>
          </w:rPr>
          <w:t>s</w:t>
        </w:r>
        <w:r w:rsidRPr="00F03917">
          <w:rPr>
            <w:rStyle w:val="Hyperlink"/>
          </w:rPr>
          <w:t>tep 3</w:t>
        </w:r>
      </w:hyperlink>
      <w:r w:rsidRPr="00F03917">
        <w:t xml:space="preserve">. Outputs from the risk assessments (eg, geo-spatial platforms, maps, reports) are used in the following </w:t>
      </w:r>
      <w:hyperlink w:anchor="_Step_5:_Identify" w:history="1">
        <w:r w:rsidR="003600A0" w:rsidRPr="00F03917">
          <w:rPr>
            <w:rStyle w:val="Hyperlink"/>
          </w:rPr>
          <w:t>s</w:t>
        </w:r>
        <w:r w:rsidRPr="00F03917">
          <w:rPr>
            <w:rStyle w:val="Hyperlink"/>
          </w:rPr>
          <w:t>tep 5</w:t>
        </w:r>
      </w:hyperlink>
      <w:r w:rsidRPr="00F03917">
        <w:t xml:space="preserve"> to inform communities, iwi/hapū and decision</w:t>
      </w:r>
      <w:r w:rsidR="006060CA" w:rsidRPr="00F03917">
        <w:t>-</w:t>
      </w:r>
      <w:r w:rsidRPr="00F03917">
        <w:t>makers on identifying options and pathways to pre-emptively address the rising climate-related risks.</w:t>
      </w:r>
      <w:r w:rsidR="007B43E4" w:rsidRPr="00F03917">
        <w:t xml:space="preserve"> </w:t>
      </w:r>
    </w:p>
    <w:p w14:paraId="0E4E145C" w14:textId="3A2F6555" w:rsidR="009C6A39" w:rsidRPr="00F03917" w:rsidRDefault="009C6A39">
      <w:pPr>
        <w:pStyle w:val="BodyText"/>
        <w:jc w:val="center"/>
      </w:pPr>
      <w:r w:rsidRPr="00F03917">
        <w:rPr>
          <w:noProof/>
        </w:rPr>
        <w:drawing>
          <wp:inline distT="0" distB="0" distL="0" distR="0" wp14:anchorId="474F3463" wp14:editId="7F332061">
            <wp:extent cx="4587875" cy="4641056"/>
            <wp:effectExtent l="0" t="0" r="0" b="0"/>
            <wp:docPr id="1847978748" name="Picture 1847978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rotWithShape="1">
                    <a:blip r:embed="rId104" cstate="print">
                      <a:extLst>
                        <a:ext uri="{28A0092B-C50C-407E-A947-70E740481C1C}">
                          <a14:useLocalDpi xmlns:a14="http://schemas.microsoft.com/office/drawing/2010/main" val="0"/>
                        </a:ext>
                      </a:extLst>
                    </a:blip>
                    <a:srcRect l="-5411" t="-8893" r="-5417" b="-3220"/>
                    <a:stretch/>
                  </pic:blipFill>
                  <pic:spPr bwMode="auto">
                    <a:xfrm>
                      <a:off x="0" y="0"/>
                      <a:ext cx="4588281" cy="4641467"/>
                    </a:xfrm>
                    <a:prstGeom prst="rect">
                      <a:avLst/>
                    </a:prstGeom>
                    <a:ln>
                      <a:noFill/>
                    </a:ln>
                    <a:extLst>
                      <a:ext uri="{53640926-AAD7-44D8-BBD7-CCE9431645EC}">
                        <a14:shadowObscured xmlns:a14="http://schemas.microsoft.com/office/drawing/2010/main"/>
                      </a:ext>
                    </a:extLst>
                  </pic:spPr>
                </pic:pic>
              </a:graphicData>
            </a:graphic>
          </wp:inline>
        </w:drawing>
      </w:r>
    </w:p>
    <w:p w14:paraId="5C655C9D" w14:textId="77777777" w:rsidR="00E41864" w:rsidRPr="00F03917" w:rsidRDefault="00E41864">
      <w:pPr>
        <w:rPr>
          <w:rFonts w:ascii="Calibri" w:eastAsiaTheme="minorEastAsia" w:hAnsi="Calibri"/>
          <w:kern w:val="0"/>
          <w:sz w:val="22"/>
          <w:szCs w:val="22"/>
          <w:lang w:eastAsia="en-NZ"/>
          <w14:ligatures w14:val="none"/>
        </w:rPr>
      </w:pPr>
      <w:r w:rsidRPr="00F03917">
        <w:br w:type="page"/>
      </w:r>
    </w:p>
    <w:p w14:paraId="1170AC8A" w14:textId="00F9820A" w:rsidR="00174AE0" w:rsidRPr="00F03917" w:rsidRDefault="00174AE0" w:rsidP="00714EED">
      <w:pPr>
        <w:pStyle w:val="Heading2"/>
        <w:numPr>
          <w:ilvl w:val="0"/>
          <w:numId w:val="26"/>
        </w:numPr>
        <w:spacing w:before="320"/>
      </w:pPr>
      <w:bookmarkStart w:id="103" w:name="_Toc160030641"/>
      <w:bookmarkStart w:id="104" w:name="_Toc160081748"/>
      <w:bookmarkStart w:id="105" w:name="_Toc160096243"/>
      <w:bookmarkStart w:id="106" w:name="_Toc160096244"/>
      <w:bookmarkEnd w:id="103"/>
      <w:bookmarkEnd w:id="104"/>
      <w:bookmarkEnd w:id="105"/>
      <w:r w:rsidRPr="00F03917">
        <w:lastRenderedPageBreak/>
        <w:t>Undertak</w:t>
      </w:r>
      <w:r w:rsidR="00FE5E79" w:rsidRPr="00F03917">
        <w:t>e</w:t>
      </w:r>
      <w:r w:rsidRPr="00F03917">
        <w:t xml:space="preserve"> a coastal climate risk assessment</w:t>
      </w:r>
      <w:bookmarkEnd w:id="106"/>
      <w:r w:rsidRPr="00F03917">
        <w:t xml:space="preserve"> </w:t>
      </w:r>
    </w:p>
    <w:p w14:paraId="696F4935" w14:textId="69077857" w:rsidR="004F6AF6" w:rsidRPr="00F03917" w:rsidRDefault="00691CC6" w:rsidP="00B765D7">
      <w:pPr>
        <w:pStyle w:val="Heading3"/>
        <w:numPr>
          <w:ilvl w:val="0"/>
          <w:numId w:val="27"/>
        </w:numPr>
        <w:spacing w:before="240"/>
      </w:pPr>
      <w:r w:rsidRPr="00F03917">
        <w:t>C</w:t>
      </w:r>
      <w:r w:rsidR="004F6AF6" w:rsidRPr="00F03917">
        <w:t>limate risk and its components</w:t>
      </w:r>
    </w:p>
    <w:p w14:paraId="6D585CAE" w14:textId="227AB151" w:rsidR="004F6AF6" w:rsidRPr="00F03917" w:rsidRDefault="004F6AF6" w:rsidP="00714EED">
      <w:pPr>
        <w:pStyle w:val="BodyText"/>
      </w:pPr>
      <w:r w:rsidRPr="00F03917">
        <w:t xml:space="preserve">The core definition of </w:t>
      </w:r>
      <w:r w:rsidRPr="00F03917">
        <w:rPr>
          <w:b/>
          <w:bCs/>
        </w:rPr>
        <w:t>risk</w:t>
      </w:r>
      <w:r w:rsidRPr="00F03917">
        <w:t xml:space="preserve"> in relation to climate change (Reisinger et al, 202</w:t>
      </w:r>
      <w:r w:rsidR="00130057" w:rsidRPr="00F03917">
        <w:t>0</w:t>
      </w:r>
      <w:r w:rsidRPr="00F03917">
        <w:t>) is the potential for adverse consequences for human and ecological systems,</w:t>
      </w:r>
      <w:r w:rsidRPr="00F03917">
        <w:rPr>
          <w:rStyle w:val="FootnoteReference"/>
        </w:rPr>
        <w:footnoteReference w:id="59"/>
      </w:r>
      <w:r w:rsidRPr="00F03917">
        <w:t xml:space="preserve"> recognising the diversity of</w:t>
      </w:r>
      <w:r w:rsidR="00C90D75" w:rsidRPr="00F03917">
        <w:t xml:space="preserve"> </w:t>
      </w:r>
      <w:r w:rsidRPr="00F03917">
        <w:rPr>
          <w:spacing w:val="-2"/>
        </w:rPr>
        <w:t xml:space="preserve">values and objectives associated with such systems (determined in </w:t>
      </w:r>
      <w:hyperlink w:anchor="_Step_3:_Establish" w:history="1">
        <w:r w:rsidRPr="00F03917">
          <w:rPr>
            <w:rStyle w:val="Hyperlink"/>
            <w:spacing w:val="-2"/>
          </w:rPr>
          <w:t>step 3</w:t>
        </w:r>
      </w:hyperlink>
      <w:r w:rsidRPr="00F03917">
        <w:rPr>
          <w:spacing w:val="-2"/>
        </w:rPr>
        <w:t xml:space="preserve"> of the decision</w:t>
      </w:r>
      <w:r w:rsidR="00DE6C89" w:rsidRPr="00F03917">
        <w:rPr>
          <w:spacing w:val="-2"/>
        </w:rPr>
        <w:t> </w:t>
      </w:r>
      <w:r w:rsidRPr="00F03917">
        <w:rPr>
          <w:spacing w:val="-2"/>
        </w:rPr>
        <w:t>cycle).</w:t>
      </w:r>
      <w:r w:rsidRPr="00F03917">
        <w:t xml:space="preserve"> </w:t>
      </w:r>
    </w:p>
    <w:p w14:paraId="71E864A9" w14:textId="62683E3A" w:rsidR="004F6AF6" w:rsidRPr="00F03917" w:rsidRDefault="004F6AF6" w:rsidP="00F360D0">
      <w:pPr>
        <w:pStyle w:val="Heading4"/>
        <w:tabs>
          <w:tab w:val="left" w:pos="7250"/>
        </w:tabs>
      </w:pPr>
      <w:r w:rsidRPr="00F03917">
        <w:t>Components of risk</w:t>
      </w:r>
    </w:p>
    <w:p w14:paraId="7B6AA57F" w14:textId="225BA054" w:rsidR="004F6AF6" w:rsidRPr="00F03917" w:rsidRDefault="004F6AF6" w:rsidP="004F6AF6">
      <w:pPr>
        <w:pStyle w:val="BodyText"/>
      </w:pPr>
      <w:bookmarkStart w:id="107" w:name="_Hlk132990886"/>
      <w:r w:rsidRPr="00F03917">
        <w:t xml:space="preserve">Risk arises from the overlap of three components </w:t>
      </w:r>
      <w:r w:rsidR="000A0FDC" w:rsidRPr="00F03917">
        <w:t xml:space="preserve">that </w:t>
      </w:r>
      <w:r w:rsidRPr="00F03917">
        <w:t>increase over time as climate changes and sea level rises</w:t>
      </w:r>
      <w:bookmarkEnd w:id="107"/>
      <w:r w:rsidRPr="00F03917">
        <w:t xml:space="preserve"> (</w:t>
      </w:r>
      <w:hyperlink w:anchor="figure15" w:history="1">
        <w:r w:rsidR="0045082D" w:rsidRPr="00F03917">
          <w:rPr>
            <w:rStyle w:val="Hyperlink"/>
          </w:rPr>
          <w:t>figure 15</w:t>
        </w:r>
      </w:hyperlink>
      <w:r w:rsidRPr="00F03917">
        <w:t xml:space="preserve"> and ISO 14091:2021):</w:t>
      </w:r>
    </w:p>
    <w:p w14:paraId="455BEDF3" w14:textId="45078364" w:rsidR="004F6AF6" w:rsidRPr="00F03917" w:rsidRDefault="6D49F336" w:rsidP="00174F6E">
      <w:pPr>
        <w:pStyle w:val="BulletFIX"/>
      </w:pPr>
      <w:r w:rsidRPr="00F03917">
        <w:t xml:space="preserve">the </w:t>
      </w:r>
      <w:r w:rsidRPr="00F03917">
        <w:rPr>
          <w:b/>
          <w:bCs/>
        </w:rPr>
        <w:t>hazard</w:t>
      </w:r>
      <w:r w:rsidRPr="00F03917">
        <w:t xml:space="preserve">, either </w:t>
      </w:r>
      <w:r w:rsidRPr="00F03917">
        <w:rPr>
          <w:i/>
          <w:iCs/>
        </w:rPr>
        <w:t>singly</w:t>
      </w:r>
      <w:r w:rsidRPr="00F03917">
        <w:t xml:space="preserve"> or as a </w:t>
      </w:r>
      <w:r w:rsidRPr="00F03917">
        <w:rPr>
          <w:i/>
          <w:iCs/>
        </w:rPr>
        <w:t>multi-hazard</w:t>
      </w:r>
      <w:r w:rsidRPr="00F03917">
        <w:t xml:space="preserve"> (eg, flooding and erosion)</w:t>
      </w:r>
      <w:r w:rsidR="009E1B1B" w:rsidRPr="00F03917">
        <w:t>,</w:t>
      </w:r>
      <w:r w:rsidRPr="00F03917">
        <w:t xml:space="preserve"> or </w:t>
      </w:r>
      <w:r w:rsidRPr="00F03917">
        <w:rPr>
          <w:i/>
          <w:iCs/>
        </w:rPr>
        <w:t>compound</w:t>
      </w:r>
      <w:r w:rsidRPr="00F03917">
        <w:t xml:space="preserve"> hazard events </w:t>
      </w:r>
      <w:r w:rsidRPr="00F03917">
        <w:rPr>
          <w:u w:val="single"/>
        </w:rPr>
        <w:t>and</w:t>
      </w:r>
      <w:r w:rsidRPr="00F03917">
        <w:t xml:space="preserve"> progressive and rising changes that for the coast will be irreversible. See </w:t>
      </w:r>
      <w:hyperlink w:anchor="_Coastal_hazard_assessment">
        <w:r w:rsidR="7F9ED5F2" w:rsidRPr="00F03917">
          <w:rPr>
            <w:rStyle w:val="Hyperlink"/>
          </w:rPr>
          <w:t>section</w:t>
        </w:r>
        <w:r w:rsidRPr="00F03917">
          <w:rPr>
            <w:rStyle w:val="Hyperlink"/>
          </w:rPr>
          <w:t xml:space="preserve"> </w:t>
        </w:r>
        <w:r w:rsidR="001F63AB" w:rsidRPr="00F03917">
          <w:rPr>
            <w:rStyle w:val="Hyperlink"/>
          </w:rPr>
          <w:t>2.2</w:t>
        </w:r>
      </w:hyperlink>
      <w:r w:rsidRPr="00F03917">
        <w:t xml:space="preserve"> for hazard assessments that provide the </w:t>
      </w:r>
      <w:r w:rsidR="001F63AB" w:rsidRPr="00F03917">
        <w:t>temporal and spatial</w:t>
      </w:r>
      <w:r w:rsidR="00557CAD" w:rsidRPr="00F03917">
        <w:t xml:space="preserve"> changes in</w:t>
      </w:r>
      <w:r w:rsidRPr="00F03917">
        <w:t xml:space="preserve"> climate hazards for the risk assessment</w:t>
      </w:r>
    </w:p>
    <w:p w14:paraId="72C46402" w14:textId="43AA2512" w:rsidR="004F6AF6" w:rsidRPr="00F03917" w:rsidRDefault="6D49F336" w:rsidP="00174F6E">
      <w:pPr>
        <w:pStyle w:val="BulletFIX"/>
      </w:pPr>
      <w:r w:rsidRPr="00F03917">
        <w:t xml:space="preserve">the </w:t>
      </w:r>
      <w:r w:rsidRPr="00F03917">
        <w:rPr>
          <w:b/>
          <w:bCs/>
        </w:rPr>
        <w:t>exposure</w:t>
      </w:r>
      <w:r w:rsidRPr="00F03917">
        <w:t xml:space="preserve">, the presence of the things or networks we value (eg, people, whenua, taonga, environments, primary production, buildings, utilities, supply chains) in settings that could be adversely affected by hazards </w:t>
      </w:r>
    </w:p>
    <w:p w14:paraId="733D8DAB" w14:textId="77777777" w:rsidR="004F6AF6" w:rsidRPr="00F03917" w:rsidRDefault="6D49F336" w:rsidP="00174F6E">
      <w:pPr>
        <w:pStyle w:val="BulletFIX"/>
      </w:pPr>
      <w:r w:rsidRPr="00F03917">
        <w:t xml:space="preserve">the </w:t>
      </w:r>
      <w:r w:rsidRPr="00F03917">
        <w:rPr>
          <w:b/>
          <w:bCs/>
        </w:rPr>
        <w:t>vulnerability</w:t>
      </w:r>
      <w:r w:rsidRPr="00F03917">
        <w:t xml:space="preserve"> of the exposed things, environments or networks we value or rely on. Vulnerability is the underlying </w:t>
      </w:r>
      <w:r w:rsidRPr="00F03917">
        <w:rPr>
          <w:u w:val="single"/>
        </w:rPr>
        <w:t>predisposition</w:t>
      </w:r>
      <w:r w:rsidRPr="00F03917">
        <w:t xml:space="preserve"> of a community, region or system (eg, ecosystem or infrastructure network), including governance and financial systems, </w:t>
      </w:r>
      <w:r w:rsidRPr="00F03917">
        <w:rPr>
          <w:u w:val="single"/>
        </w:rPr>
        <w:t>to be adversely affected</w:t>
      </w:r>
      <w:r w:rsidRPr="00F03917">
        <w:t xml:space="preserve"> as climate-related risks continue to rise. </w:t>
      </w:r>
    </w:p>
    <w:p w14:paraId="1B70DD86" w14:textId="77777777" w:rsidR="004F6AF6" w:rsidRPr="00F03917" w:rsidRDefault="004F6AF6" w:rsidP="0048058C">
      <w:pPr>
        <w:pStyle w:val="BodyText"/>
        <w:spacing w:after="0"/>
      </w:pPr>
      <w:r w:rsidRPr="00F03917">
        <w:t xml:space="preserve">Vulnerability combines both </w:t>
      </w:r>
      <w:r w:rsidRPr="00F03917">
        <w:rPr>
          <w:i/>
          <w:iCs/>
        </w:rPr>
        <w:t>sensitivity</w:t>
      </w:r>
      <w:r w:rsidRPr="00F03917">
        <w:t xml:space="preserve"> (sometimes called fragility</w:t>
      </w:r>
      <w:r w:rsidRPr="00F03917">
        <w:rPr>
          <w:rStyle w:val="FootnoteReference"/>
        </w:rPr>
        <w:footnoteReference w:id="60"/>
      </w:r>
      <w:r w:rsidRPr="00F03917">
        <w:t xml:space="preserve">) and </w:t>
      </w:r>
      <w:r w:rsidRPr="00F03917">
        <w:rPr>
          <w:i/>
          <w:iCs/>
        </w:rPr>
        <w:t>adaptive capacity</w:t>
      </w:r>
      <w:r w:rsidRPr="00F03917">
        <w:t xml:space="preserve"> to cope and adapt to the ongoing changing risks over time.</w:t>
      </w:r>
    </w:p>
    <w:p w14:paraId="53EF0FA8" w14:textId="03B0B276" w:rsidR="004F6AF6" w:rsidRPr="00F03917" w:rsidRDefault="004F6AF6" w:rsidP="0048058C">
      <w:pPr>
        <w:pStyle w:val="BodyText"/>
        <w:spacing w:after="0"/>
      </w:pPr>
      <w:r w:rsidRPr="00F03917">
        <w:rPr>
          <w:i/>
          <w:iCs/>
        </w:rPr>
        <w:t>Sensitivity</w:t>
      </w:r>
      <w:r w:rsidRPr="00F03917">
        <w:t xml:space="preserve"> is the degree to which a system, infrastructure network, community or ecosystem is affected, either adversely or beneficially, by climate hazards, variability or </w:t>
      </w:r>
      <w:r w:rsidR="0004211F" w:rsidRPr="00F03917">
        <w:t xml:space="preserve">a progressive </w:t>
      </w:r>
      <w:r w:rsidRPr="00F03917">
        <w:t>change. A range of social factors may predispose some communities or individuals to harm from climate-influenced risks, such as age, mobility, ethnicity, socio-economic inequities, or pre-existing health conditions (sections 3.2.3 and 3.2.5 of MfE, 2021).</w:t>
      </w:r>
    </w:p>
    <w:p w14:paraId="2BEB4D02" w14:textId="2AC99307" w:rsidR="00424CF6" w:rsidRPr="00F03917" w:rsidRDefault="004F6AF6" w:rsidP="0048058C">
      <w:pPr>
        <w:pStyle w:val="BodyText"/>
      </w:pPr>
      <w:r w:rsidRPr="00F03917">
        <w:rPr>
          <w:i/>
          <w:iCs/>
        </w:rPr>
        <w:t>Adaptive capacity</w:t>
      </w:r>
      <w:r w:rsidRPr="00F03917">
        <w:t xml:space="preserve"> is the ability of systems, financial</w:t>
      </w:r>
      <w:r w:rsidR="00E67AF4" w:rsidRPr="00F03917">
        <w:t xml:space="preserve"> and </w:t>
      </w:r>
      <w:r w:rsidRPr="00F03917">
        <w:t>governance institutions, humans and ecosystems to adjust to the potential damage and progressive changes, to take advantage of</w:t>
      </w:r>
      <w:r w:rsidR="00F360D0" w:rsidRPr="00F03917">
        <w:t> </w:t>
      </w:r>
      <w:r w:rsidRPr="00F03917">
        <w:t>opportunities, or to adapt to consequences (ISO 14091:2021)</w:t>
      </w:r>
      <w:r w:rsidR="7D1F4E3D" w:rsidRPr="00F03917">
        <w:t>.</w:t>
      </w:r>
    </w:p>
    <w:p w14:paraId="2C694234" w14:textId="31C17AD6" w:rsidR="00D176C2" w:rsidRPr="00F03917" w:rsidRDefault="000F2C53" w:rsidP="0048058C">
      <w:pPr>
        <w:pStyle w:val="BodyText"/>
      </w:pPr>
      <w:r w:rsidRPr="00F03917">
        <w:t>Figure</w:t>
      </w:r>
      <w:r w:rsidR="00921C9A" w:rsidRPr="00F03917" w:rsidDel="001F6526">
        <w:t xml:space="preserve"> </w:t>
      </w:r>
      <w:r w:rsidR="001F6526" w:rsidRPr="00F03917">
        <w:t>15</w:t>
      </w:r>
      <w:r w:rsidR="00921C9A" w:rsidRPr="00F03917">
        <w:t xml:space="preserve"> shows t</w:t>
      </w:r>
      <w:r w:rsidR="00D176C2" w:rsidRPr="00F03917">
        <w:t xml:space="preserve">hree intersecting components </w:t>
      </w:r>
      <w:r w:rsidR="00FC3E86" w:rsidRPr="00F03917">
        <w:t xml:space="preserve">that </w:t>
      </w:r>
      <w:r w:rsidR="00D176C2" w:rsidRPr="00F03917">
        <w:t>contribut</w:t>
      </w:r>
      <w:r w:rsidR="00FC3E86" w:rsidRPr="00F03917">
        <w:t>e</w:t>
      </w:r>
      <w:r w:rsidR="00D176C2" w:rsidRPr="00F03917">
        <w:t xml:space="preserve"> to risk, </w:t>
      </w:r>
      <w:r w:rsidR="00A77997" w:rsidRPr="00F03917">
        <w:t xml:space="preserve">with actions to reduce each risk component, which will all continue </w:t>
      </w:r>
      <w:r w:rsidR="00D176C2" w:rsidRPr="00F03917">
        <w:t>rising over time</w:t>
      </w:r>
      <w:r w:rsidR="00D30403" w:rsidRPr="00F03917">
        <w:t>.</w:t>
      </w:r>
    </w:p>
    <w:p w14:paraId="7CB588F3" w14:textId="1AB8DCDC" w:rsidR="00D30403" w:rsidRPr="00F03917" w:rsidRDefault="00D30403" w:rsidP="00C52920">
      <w:pPr>
        <w:pStyle w:val="Figureheading"/>
      </w:pPr>
      <w:bookmarkStart w:id="108" w:name="figure15"/>
      <w:bookmarkStart w:id="109" w:name="_Toc160098430"/>
      <w:r w:rsidRPr="00F03917">
        <w:lastRenderedPageBreak/>
        <w:t xml:space="preserve">Figure </w:t>
      </w:r>
      <w:r w:rsidR="001F6526" w:rsidRPr="00F03917">
        <w:t>15</w:t>
      </w:r>
      <w:bookmarkEnd w:id="108"/>
      <w:r w:rsidRPr="00F03917">
        <w:t xml:space="preserve">: </w:t>
      </w:r>
      <w:r w:rsidR="00913DDD" w:rsidRPr="00F03917">
        <w:tab/>
      </w:r>
      <w:r w:rsidR="005F36B2" w:rsidRPr="00F03917">
        <w:t xml:space="preserve">Three intersecting components of risk, all </w:t>
      </w:r>
      <w:r w:rsidR="000F2C53" w:rsidRPr="00F03917">
        <w:t>increasing over time</w:t>
      </w:r>
      <w:bookmarkEnd w:id="109"/>
    </w:p>
    <w:p w14:paraId="67CDE3B8" w14:textId="0431586C" w:rsidR="00D176C2" w:rsidRPr="00F03917" w:rsidRDefault="004F6AF6" w:rsidP="001252C3">
      <w:pPr>
        <w:pStyle w:val="BodyText"/>
        <w:jc w:val="center"/>
      </w:pPr>
      <w:r w:rsidRPr="00F03917">
        <w:rPr>
          <w:noProof/>
        </w:rPr>
        <w:drawing>
          <wp:inline distT="0" distB="0" distL="0" distR="0" wp14:anchorId="4A316AB9" wp14:editId="141F4B27">
            <wp:extent cx="4783016" cy="4783016"/>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783016" cy="4783016"/>
                    </a:xfrm>
                    <a:prstGeom prst="rect">
                      <a:avLst/>
                    </a:prstGeom>
                  </pic:spPr>
                </pic:pic>
              </a:graphicData>
            </a:graphic>
          </wp:inline>
        </w:drawing>
      </w:r>
    </w:p>
    <w:p w14:paraId="2E3562DD" w14:textId="77777777" w:rsidR="00451446" w:rsidRPr="00F03917" w:rsidRDefault="00C50EC9" w:rsidP="00DE6C89">
      <w:pPr>
        <w:pStyle w:val="Source"/>
      </w:pPr>
      <w:r w:rsidRPr="00F03917">
        <w:t>Outwards pointing</w:t>
      </w:r>
      <w:r w:rsidR="00691F22" w:rsidRPr="00F03917">
        <w:t xml:space="preserve"> arrows</w:t>
      </w:r>
      <w:r w:rsidR="00D176C2" w:rsidRPr="00F03917">
        <w:t xml:space="preserve"> </w:t>
      </w:r>
      <w:r w:rsidR="00691F22" w:rsidRPr="00F03917">
        <w:t xml:space="preserve">indicate risk rising over time. </w:t>
      </w:r>
      <w:r w:rsidR="00D176C2" w:rsidRPr="00F03917">
        <w:t xml:space="preserve">The </w:t>
      </w:r>
      <w:r w:rsidRPr="00F03917">
        <w:t>inward pointing</w:t>
      </w:r>
      <w:r w:rsidR="00D176C2" w:rsidRPr="00F03917">
        <w:t xml:space="preserve"> arrows indicate examples of actions and options to reduce each rising risk component through adaptation (but with limits) for coastal areas. </w:t>
      </w:r>
    </w:p>
    <w:p w14:paraId="60A5E51B" w14:textId="4EBE5E9E" w:rsidR="00D176C2" w:rsidRPr="00F03917" w:rsidRDefault="00D176C2" w:rsidP="00451446">
      <w:pPr>
        <w:pStyle w:val="Source"/>
        <w:spacing w:before="0"/>
      </w:pPr>
      <w:r w:rsidRPr="00F03917">
        <w:t xml:space="preserve">Source: </w:t>
      </w:r>
      <w:r w:rsidR="0029593F" w:rsidRPr="00F03917">
        <w:t>A</w:t>
      </w:r>
      <w:r w:rsidRPr="00F03917">
        <w:t>dapted from Garschagen et al (2019)</w:t>
      </w:r>
    </w:p>
    <w:p w14:paraId="624214BA" w14:textId="3C4418FB" w:rsidR="00965C94" w:rsidRPr="00F03917" w:rsidRDefault="004F6AF6" w:rsidP="00DE6C89">
      <w:pPr>
        <w:pStyle w:val="BodyText"/>
      </w:pPr>
      <w:r w:rsidRPr="00F03917">
        <w:t>Due to the complexities of overlapping or competing values and objectives, climate risk assessment and management are not just technical exercises. The evaluation and review phase</w:t>
      </w:r>
      <w:r w:rsidR="000D3ABE" w:rsidRPr="00F03917">
        <w:t> </w:t>
      </w:r>
      <w:r w:rsidRPr="00F03917">
        <w:t>of risk assessments involve value judgements and precaution, particularly if there is limited quantitative information (eg, on cascading or indirect impacts or compound hazards) and/or</w:t>
      </w:r>
      <w:r w:rsidR="00AC7225" w:rsidRPr="00F03917">
        <w:t> </w:t>
      </w:r>
      <w:r w:rsidRPr="00F03917">
        <w:t xml:space="preserve">contestation of priorities (regional </w:t>
      </w:r>
      <w:r w:rsidR="004E3A3C" w:rsidRPr="00F03917">
        <w:t>versus</w:t>
      </w:r>
      <w:r w:rsidRPr="00F03917">
        <w:t xml:space="preserve"> local impacts or funding) to address the rising coastal risks.</w:t>
      </w:r>
    </w:p>
    <w:p w14:paraId="536A7BBA" w14:textId="40672763" w:rsidR="00C203B3" w:rsidRPr="00F03917" w:rsidRDefault="00C203B3" w:rsidP="00B765D7">
      <w:pPr>
        <w:pStyle w:val="Heading3"/>
        <w:numPr>
          <w:ilvl w:val="0"/>
          <w:numId w:val="27"/>
        </w:numPr>
        <w:spacing w:before="240"/>
      </w:pPr>
      <w:r w:rsidRPr="00F03917">
        <w:t>Coastal climate risk</w:t>
      </w:r>
      <w:r w:rsidR="00AB72B9" w:rsidRPr="00F03917">
        <w:t xml:space="preserve"> </w:t>
      </w:r>
      <w:r w:rsidRPr="00F03917">
        <w:t>assessment process</w:t>
      </w:r>
    </w:p>
    <w:p w14:paraId="5407CD00" w14:textId="09F769DA" w:rsidR="00394B3C" w:rsidRPr="00F03917" w:rsidRDefault="00485EAD" w:rsidP="00485EAD">
      <w:pPr>
        <w:pStyle w:val="BodyText"/>
      </w:pPr>
      <w:r w:rsidRPr="00F03917">
        <w:t>C</w:t>
      </w:r>
      <w:r w:rsidR="00394B3C" w:rsidRPr="00F03917">
        <w:t xml:space="preserve">limate </w:t>
      </w:r>
      <w:r w:rsidR="00027643" w:rsidRPr="00F03917">
        <w:t>risk assessments differ from</w:t>
      </w:r>
      <w:r w:rsidR="00394B3C" w:rsidRPr="00F03917">
        <w:t xml:space="preserve"> conventional risk assessments</w:t>
      </w:r>
      <w:r w:rsidR="001556FB" w:rsidRPr="00F03917">
        <w:t>, because the</w:t>
      </w:r>
      <w:r w:rsidR="006E1EC0" w:rsidRPr="00F03917">
        <w:t>y</w:t>
      </w:r>
      <w:r w:rsidR="0001443C" w:rsidRPr="00F03917">
        <w:t xml:space="preserve"> require</w:t>
      </w:r>
      <w:r w:rsidR="006E1EC0" w:rsidRPr="00F03917">
        <w:t xml:space="preserve"> </w:t>
      </w:r>
      <w:r w:rsidR="0001443C" w:rsidRPr="00F03917">
        <w:t>consideration</w:t>
      </w:r>
      <w:r w:rsidR="00DD4BF9" w:rsidRPr="00F03917">
        <w:t xml:space="preserve"> of</w:t>
      </w:r>
      <w:r w:rsidR="00394B3C" w:rsidRPr="00F03917">
        <w:t xml:space="preserve"> </w:t>
      </w:r>
      <w:bookmarkStart w:id="110" w:name="_Hlk139717276"/>
      <w:r w:rsidR="006809EC" w:rsidRPr="00F03917">
        <w:t>extra</w:t>
      </w:r>
      <w:r w:rsidR="005862E9" w:rsidRPr="00F03917">
        <w:t xml:space="preserve"> complexity</w:t>
      </w:r>
      <w:r w:rsidR="006E1EC0" w:rsidRPr="00F03917">
        <w:t xml:space="preserve"> and uncertainty</w:t>
      </w:r>
      <w:r w:rsidR="005862E9" w:rsidRPr="00F03917">
        <w:t xml:space="preserve">. </w:t>
      </w:r>
    </w:p>
    <w:bookmarkEnd w:id="110"/>
    <w:p w14:paraId="1F8AA528" w14:textId="565858AF" w:rsidR="00C27CD4" w:rsidRPr="00F03917" w:rsidRDefault="000847D9" w:rsidP="005808A4">
      <w:pPr>
        <w:pStyle w:val="Heading5"/>
        <w:spacing w:before="180"/>
      </w:pPr>
      <w:r w:rsidRPr="00F03917">
        <w:t>Climate risk considers both events and progressive changes</w:t>
      </w:r>
    </w:p>
    <w:p w14:paraId="19E6F85C" w14:textId="257C1803" w:rsidR="00394B3C" w:rsidRPr="00F03917" w:rsidRDefault="00394B3C" w:rsidP="00BE110A">
      <w:pPr>
        <w:pStyle w:val="BodyText"/>
      </w:pPr>
      <w:r w:rsidRPr="00F03917">
        <w:t xml:space="preserve">For coastal areas, ongoing </w:t>
      </w:r>
      <w:r w:rsidR="00195117" w:rsidRPr="00F03917">
        <w:t>R</w:t>
      </w:r>
      <w:r w:rsidRPr="00F03917">
        <w:t xml:space="preserve">SLR is </w:t>
      </w:r>
      <w:r w:rsidR="00B053FA" w:rsidRPr="00F03917">
        <w:t>one of</w:t>
      </w:r>
      <w:r w:rsidRPr="00F03917">
        <w:t xml:space="preserve"> the primary climate-related hazard</w:t>
      </w:r>
      <w:r w:rsidR="007A4F1C" w:rsidRPr="00F03917">
        <w:t>s</w:t>
      </w:r>
      <w:r w:rsidR="009A6CCB" w:rsidRPr="00F03917">
        <w:t xml:space="preserve"> that is fundamentally changing risk profiles</w:t>
      </w:r>
      <w:r w:rsidRPr="00F03917">
        <w:t xml:space="preserve">. The cumulative risk from more frequent small to medium flooding </w:t>
      </w:r>
      <w:r w:rsidR="00C00BA6" w:rsidRPr="00F03917">
        <w:t>due to</w:t>
      </w:r>
      <w:r w:rsidRPr="00F03917">
        <w:t xml:space="preserve"> a higher mean sea level will </w:t>
      </w:r>
      <w:r w:rsidR="009A6CCB" w:rsidRPr="00F03917">
        <w:t xml:space="preserve">eventually </w:t>
      </w:r>
      <w:r w:rsidRPr="00F03917">
        <w:t>outstrip the risk from extreme event</w:t>
      </w:r>
      <w:r w:rsidR="00F94D3B" w:rsidRPr="00F03917">
        <w:t>s</w:t>
      </w:r>
      <w:r w:rsidRPr="00F03917">
        <w:t xml:space="preserve"> during this century</w:t>
      </w:r>
      <w:r w:rsidR="00C45569" w:rsidRPr="00F03917">
        <w:t xml:space="preserve"> (Paulik et al, 2021), even though</w:t>
      </w:r>
      <w:r w:rsidR="00B27DBF" w:rsidRPr="00F03917">
        <w:t xml:space="preserve"> extreme events</w:t>
      </w:r>
      <w:r w:rsidR="007815A5" w:rsidRPr="00F03917">
        <w:t xml:space="preserve"> will </w:t>
      </w:r>
      <w:r w:rsidR="00C45569" w:rsidRPr="00F03917">
        <w:t>also intensify</w:t>
      </w:r>
      <w:r w:rsidRPr="00F03917">
        <w:t>.</w:t>
      </w:r>
      <w:r w:rsidR="00A26381" w:rsidRPr="00F03917">
        <w:t xml:space="preserve"> </w:t>
      </w:r>
      <w:r w:rsidRPr="00F03917">
        <w:t xml:space="preserve">Risk assessments </w:t>
      </w:r>
      <w:r w:rsidR="003178E4" w:rsidRPr="00F03917">
        <w:t>should</w:t>
      </w:r>
      <w:r w:rsidRPr="00F03917">
        <w:t xml:space="preserve"> therefore include both progressive changes </w:t>
      </w:r>
      <w:r w:rsidR="00C14846" w:rsidRPr="00F03917">
        <w:t xml:space="preserve">(eg, permanent high-tide </w:t>
      </w:r>
      <w:r w:rsidR="00C14846" w:rsidRPr="00F03917">
        <w:lastRenderedPageBreak/>
        <w:t xml:space="preserve">inundation, </w:t>
      </w:r>
      <w:r w:rsidR="00495286" w:rsidRPr="00F03917">
        <w:t xml:space="preserve">increased erosion trends, </w:t>
      </w:r>
      <w:r w:rsidR="00C14846" w:rsidRPr="00F03917">
        <w:t>salinisation, groundwater rise, shrinking wetlands</w:t>
      </w:r>
      <w:r w:rsidR="00E540CE" w:rsidRPr="00F03917">
        <w:t xml:space="preserve"> and </w:t>
      </w:r>
      <w:r w:rsidR="00C14846" w:rsidRPr="00F03917">
        <w:t>marsh</w:t>
      </w:r>
      <w:r w:rsidR="003D65EA" w:rsidRPr="00F03917">
        <w:t>es</w:t>
      </w:r>
      <w:r w:rsidR="00C14846" w:rsidRPr="00F03917">
        <w:t xml:space="preserve">) </w:t>
      </w:r>
      <w:r w:rsidRPr="00F03917">
        <w:t xml:space="preserve">and more frequent </w:t>
      </w:r>
      <w:r w:rsidR="00537855" w:rsidRPr="00F03917">
        <w:t xml:space="preserve">small to medium </w:t>
      </w:r>
      <w:r w:rsidRPr="00F03917">
        <w:t xml:space="preserve">disruptive events, in addition to the focus on episodic extreme events. </w:t>
      </w:r>
    </w:p>
    <w:p w14:paraId="7710F21C" w14:textId="454141D9" w:rsidR="00394B3C" w:rsidRPr="00F03917" w:rsidRDefault="00394B3C" w:rsidP="005808A4">
      <w:pPr>
        <w:pStyle w:val="Heading5"/>
        <w:spacing w:before="200"/>
      </w:pPr>
      <w:r w:rsidRPr="00F03917">
        <w:t>Assessment of climate risks is inherently complex and uncertain</w:t>
      </w:r>
    </w:p>
    <w:p w14:paraId="73E73892" w14:textId="53810140" w:rsidR="00DA67B4" w:rsidRPr="00F03917" w:rsidRDefault="00AD7A10" w:rsidP="00BE110A">
      <w:pPr>
        <w:pStyle w:val="BodyText"/>
      </w:pPr>
      <w:r w:rsidRPr="00F03917">
        <w:t>Assessment of climate-related risks needs to embrace the uncertainty in all three components contributing to risk (</w:t>
      </w:r>
      <w:r w:rsidR="00A02938" w:rsidRPr="00F03917">
        <w:t>figure 15</w:t>
      </w:r>
      <w:r w:rsidRPr="00F03917">
        <w:t>), noting the generic definition of risk is the effect of uncertainty in relation to objectives</w:t>
      </w:r>
      <w:r w:rsidR="002E010F" w:rsidRPr="00F03917">
        <w:t xml:space="preserve"> (ISO 14091:2021)</w:t>
      </w:r>
      <w:r w:rsidRPr="00F03917">
        <w:t xml:space="preserve">. </w:t>
      </w:r>
      <w:r w:rsidR="00394B3C" w:rsidRPr="00F03917">
        <w:t>It needs to appraise</w:t>
      </w:r>
      <w:r w:rsidR="00DA67B4" w:rsidRPr="00F03917">
        <w:t xml:space="preserve"> short- and long-term consequences,</w:t>
      </w:r>
      <w:r w:rsidR="00394B3C" w:rsidRPr="00F03917">
        <w:t xml:space="preserve"> feedbacks, </w:t>
      </w:r>
      <w:r w:rsidR="001420B6" w:rsidRPr="00F03917">
        <w:t>cascading impact chains</w:t>
      </w:r>
      <w:r w:rsidR="00BC22F7" w:rsidRPr="00F03917">
        <w:t>,</w:t>
      </w:r>
      <w:r w:rsidR="001420B6" w:rsidRPr="00F03917">
        <w:rPr>
          <w:rStyle w:val="FootnoteReference"/>
        </w:rPr>
        <w:footnoteReference w:id="61"/>
      </w:r>
      <w:r w:rsidR="00394B3C" w:rsidRPr="00F03917">
        <w:t xml:space="preserve"> non-linear behaviour and the potential for surprises (Ara Begum et al, 2022), against the backdrop of deepening uncertainty over time</w:t>
      </w:r>
      <w:r w:rsidR="00B70485" w:rsidRPr="00F03917">
        <w:t xml:space="preserve"> of climate change and </w:t>
      </w:r>
      <w:r w:rsidR="00875367" w:rsidRPr="00F03917">
        <w:t>sea-level rise (</w:t>
      </w:r>
      <w:r w:rsidR="00B70485" w:rsidRPr="00F03917">
        <w:t>SLR</w:t>
      </w:r>
      <w:r w:rsidR="00875367" w:rsidRPr="00F03917">
        <w:t>)</w:t>
      </w:r>
      <w:r w:rsidR="00394B3C" w:rsidRPr="00F03917">
        <w:t xml:space="preserve">. </w:t>
      </w:r>
    </w:p>
    <w:p w14:paraId="0A0668E7" w14:textId="5F3AD34E" w:rsidR="00394B3C" w:rsidRPr="00F03917" w:rsidRDefault="00394B3C" w:rsidP="00BE110A">
      <w:pPr>
        <w:pStyle w:val="BodyText"/>
      </w:pPr>
      <w:r w:rsidRPr="00F03917">
        <w:t xml:space="preserve">Local governments </w:t>
      </w:r>
      <w:r w:rsidR="009735FA" w:rsidRPr="00F03917">
        <w:t xml:space="preserve">need to </w:t>
      </w:r>
      <w:r w:rsidRPr="00F03917">
        <w:t>cope with rising risks that cascade and compound at distance from</w:t>
      </w:r>
      <w:r w:rsidR="00855964" w:rsidRPr="00F03917">
        <w:t> </w:t>
      </w:r>
      <w:r w:rsidRPr="00F03917">
        <w:t>the hazard driver</w:t>
      </w:r>
      <w:r w:rsidR="00612F75" w:rsidRPr="00F03917">
        <w:t xml:space="preserve">s (see </w:t>
      </w:r>
      <w:hyperlink w:anchor="figure16" w:history="1">
        <w:r w:rsidR="00612F75" w:rsidRPr="00F03917">
          <w:rPr>
            <w:rStyle w:val="Hyperlink"/>
          </w:rPr>
          <w:t xml:space="preserve">figure </w:t>
        </w:r>
        <w:r w:rsidR="00553088" w:rsidRPr="00F03917">
          <w:rPr>
            <w:rStyle w:val="Hyperlink"/>
          </w:rPr>
          <w:t>1</w:t>
        </w:r>
        <w:r w:rsidR="003410EE" w:rsidRPr="00F03917">
          <w:rPr>
            <w:rStyle w:val="Hyperlink"/>
          </w:rPr>
          <w:t>6</w:t>
        </w:r>
      </w:hyperlink>
      <w:r w:rsidR="00612F75" w:rsidRPr="00F03917">
        <w:t>)</w:t>
      </w:r>
      <w:r w:rsidRPr="00F03917">
        <w:t xml:space="preserve"> and those emerging in many different coastal areas simultaneously. </w:t>
      </w:r>
      <w:r w:rsidR="00E0602C" w:rsidRPr="00F03917">
        <w:t xml:space="preserve">The use of </w:t>
      </w:r>
      <w:r w:rsidR="00612F75" w:rsidRPr="00F03917">
        <w:t>RSLR projections</w:t>
      </w:r>
      <w:r w:rsidR="00E0602C" w:rsidRPr="00F03917">
        <w:t xml:space="preserve"> or increments of </w:t>
      </w:r>
      <w:r w:rsidR="00CF7E71" w:rsidRPr="00F03917">
        <w:t>R</w:t>
      </w:r>
      <w:r w:rsidR="00E0602C" w:rsidRPr="00F03917">
        <w:t>SLR to address the deepening uncertainties o</w:t>
      </w:r>
      <w:r w:rsidR="00CF7E71" w:rsidRPr="00F03917">
        <w:t>f</w:t>
      </w:r>
      <w:r w:rsidR="00E0602C" w:rsidRPr="00F03917">
        <w:t xml:space="preserve"> rising coastal hazards (</w:t>
      </w:r>
      <w:hyperlink w:anchor="_Step_2:_Assess" w:history="1">
        <w:r w:rsidR="00135032" w:rsidRPr="00F03917">
          <w:rPr>
            <w:rStyle w:val="Hyperlink"/>
          </w:rPr>
          <w:t>s</w:t>
        </w:r>
        <w:r w:rsidR="00553088" w:rsidRPr="00F03917">
          <w:rPr>
            <w:rStyle w:val="Hyperlink"/>
          </w:rPr>
          <w:t>tep</w:t>
        </w:r>
        <w:r w:rsidR="00E0602C" w:rsidRPr="00F03917">
          <w:rPr>
            <w:rStyle w:val="Hyperlink"/>
          </w:rPr>
          <w:t xml:space="preserve"> </w:t>
        </w:r>
        <w:r w:rsidR="00CF7E71" w:rsidRPr="00F03917">
          <w:rPr>
            <w:rStyle w:val="Hyperlink"/>
          </w:rPr>
          <w:t>2</w:t>
        </w:r>
      </w:hyperlink>
      <w:r w:rsidR="00E0602C" w:rsidRPr="00F03917">
        <w:t xml:space="preserve">), needs to be carried through to assessing risk, especially detailed assessments, rather than just selecting a best-estimate </w:t>
      </w:r>
      <w:r w:rsidR="00A01433" w:rsidRPr="00F03917">
        <w:t>(most likely)</w:t>
      </w:r>
      <w:r w:rsidR="00E0602C" w:rsidRPr="00F03917">
        <w:t xml:space="preserve"> or worst-case </w:t>
      </w:r>
      <w:r w:rsidR="009B6E50" w:rsidRPr="00F03917">
        <w:t>projection</w:t>
      </w:r>
      <w:r w:rsidR="00E0602C" w:rsidRPr="00F03917">
        <w:t>.</w:t>
      </w:r>
    </w:p>
    <w:p w14:paraId="33642664" w14:textId="6B76505D" w:rsidR="00394B3C" w:rsidRPr="00F03917" w:rsidRDefault="00394B3C" w:rsidP="00BE110A">
      <w:pPr>
        <w:pStyle w:val="BodyText"/>
      </w:pPr>
      <w:r w:rsidRPr="00F03917">
        <w:t xml:space="preserve">Risk </w:t>
      </w:r>
      <w:r w:rsidR="00AB2F3E" w:rsidRPr="00F03917">
        <w:t>conventionally</w:t>
      </w:r>
      <w:r w:rsidRPr="00F03917">
        <w:t xml:space="preserve"> </w:t>
      </w:r>
      <w:r w:rsidR="0FAA3DB2" w:rsidRPr="00F03917">
        <w:t xml:space="preserve">expressed </w:t>
      </w:r>
      <w:r w:rsidRPr="00F03917">
        <w:t>in terms of likelihood is not helpful when it is significantly changing over time, and as past low</w:t>
      </w:r>
      <w:r w:rsidR="005E3D74" w:rsidRPr="00F03917">
        <w:t>-</w:t>
      </w:r>
      <w:r w:rsidRPr="00F03917">
        <w:t xml:space="preserve">probability extremes become more frequent and therefore more certain. </w:t>
      </w:r>
      <w:r w:rsidR="00C4614A" w:rsidRPr="00F03917">
        <w:t>Further, a</w:t>
      </w:r>
      <w:r w:rsidR="00CC0D21" w:rsidRPr="00F03917">
        <w:t>n</w:t>
      </w:r>
      <w:r w:rsidR="00C4614A" w:rsidRPr="00F03917">
        <w:t xml:space="preserve"> SLR of at least 0.5 metres is virtually certain by 2100 (</w:t>
      </w:r>
      <w:hyperlink w:anchor="table6" w:history="1">
        <w:r w:rsidR="00C35063" w:rsidRPr="00F03917">
          <w:rPr>
            <w:rStyle w:val="Hyperlink"/>
          </w:rPr>
          <w:t>t</w:t>
        </w:r>
        <w:r w:rsidR="00C4614A" w:rsidRPr="00F03917">
          <w:rPr>
            <w:rStyle w:val="Hyperlink"/>
          </w:rPr>
          <w:t>able</w:t>
        </w:r>
        <w:r w:rsidR="00271394" w:rsidRPr="00F03917">
          <w:rPr>
            <w:rStyle w:val="Hyperlink"/>
          </w:rPr>
          <w:t> </w:t>
        </w:r>
        <w:r w:rsidR="00863512" w:rsidRPr="00F03917">
          <w:rPr>
            <w:rStyle w:val="Hyperlink"/>
          </w:rPr>
          <w:t>6</w:t>
        </w:r>
      </w:hyperlink>
      <w:r w:rsidR="00C4614A" w:rsidRPr="00F03917">
        <w:t>).</w:t>
      </w:r>
    </w:p>
    <w:p w14:paraId="7CC09FEA" w14:textId="46AC260F" w:rsidR="001B55E8" w:rsidRPr="00F03917" w:rsidRDefault="001B55E8" w:rsidP="00C52920">
      <w:pPr>
        <w:pStyle w:val="Figureheading"/>
      </w:pPr>
      <w:bookmarkStart w:id="111" w:name="figure16"/>
      <w:bookmarkStart w:id="112" w:name="_Toc160098431"/>
      <w:r w:rsidRPr="00F03917">
        <w:lastRenderedPageBreak/>
        <w:t xml:space="preserve">Figure </w:t>
      </w:r>
      <w:r w:rsidR="001F6526" w:rsidRPr="00F03917">
        <w:t>16</w:t>
      </w:r>
      <w:r w:rsidRPr="00F03917">
        <w:t>:</w:t>
      </w:r>
      <w:bookmarkEnd w:id="111"/>
      <w:r w:rsidRPr="00F03917">
        <w:t xml:space="preserve"> </w:t>
      </w:r>
      <w:r w:rsidR="00913DDD" w:rsidRPr="00F03917">
        <w:tab/>
      </w:r>
      <w:r w:rsidR="00D11697" w:rsidRPr="00F03917">
        <w:t>G</w:t>
      </w:r>
      <w:r w:rsidRPr="00F03917">
        <w:t>eneric example of an impact or cascades chain that can be created through participatory workshops</w:t>
      </w:r>
      <w:r w:rsidR="00F075B9" w:rsidRPr="00F03917">
        <w:t xml:space="preserve"> and </w:t>
      </w:r>
      <w:r w:rsidRPr="00F03917">
        <w:t>hui, underpinned by relevant hazard and risk exposure</w:t>
      </w:r>
      <w:r w:rsidR="003230E1" w:rsidRPr="00F03917">
        <w:t> </w:t>
      </w:r>
      <w:r w:rsidRPr="00F03917">
        <w:t>mapping</w:t>
      </w:r>
      <w:bookmarkEnd w:id="112"/>
    </w:p>
    <w:p w14:paraId="4180A12C" w14:textId="77777777" w:rsidR="00271394" w:rsidRPr="00F03917" w:rsidRDefault="00BD0BE0" w:rsidP="00271394">
      <w:pPr>
        <w:pStyle w:val="BodyText"/>
      </w:pPr>
      <w:r w:rsidRPr="00F03917">
        <w:rPr>
          <w:noProof/>
        </w:rPr>
        <w:drawing>
          <wp:inline distT="0" distB="0" distL="0" distR="0" wp14:anchorId="3AC5AED9" wp14:editId="1BBF4B99">
            <wp:extent cx="5339530" cy="6172948"/>
            <wp:effectExtent l="0" t="0" r="0" b="0"/>
            <wp:docPr id="480803987" name="Picture 480803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803987" name="Picture 480803987"/>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5339530" cy="6172948"/>
                    </a:xfrm>
                    <a:prstGeom prst="rect">
                      <a:avLst/>
                    </a:prstGeom>
                    <a:noFill/>
                    <a:ln>
                      <a:noFill/>
                    </a:ln>
                  </pic:spPr>
                </pic:pic>
              </a:graphicData>
            </a:graphic>
          </wp:inline>
        </w:drawing>
      </w:r>
    </w:p>
    <w:p w14:paraId="34A34A89" w14:textId="11ACF744" w:rsidR="001B55E8" w:rsidRPr="00F03917" w:rsidRDefault="006309CB" w:rsidP="00085A20">
      <w:pPr>
        <w:pStyle w:val="Source"/>
        <w:spacing w:after="0"/>
      </w:pPr>
      <w:r w:rsidRPr="00F03917">
        <w:rPr>
          <w:rStyle w:val="SourceChar"/>
        </w:rPr>
        <w:t>Note: This example explores how cascading impacts to each value domain arise from higher</w:t>
      </w:r>
      <w:r w:rsidR="00697648" w:rsidRPr="00F03917">
        <w:rPr>
          <w:rStyle w:val="SourceChar"/>
        </w:rPr>
        <w:t xml:space="preserve"> and</w:t>
      </w:r>
      <w:r w:rsidRPr="00F03917">
        <w:rPr>
          <w:rStyle w:val="SourceChar"/>
        </w:rPr>
        <w:t>/</w:t>
      </w:r>
      <w:r w:rsidR="00697648" w:rsidRPr="00F03917">
        <w:rPr>
          <w:rStyle w:val="SourceChar"/>
        </w:rPr>
        <w:t xml:space="preserve">or </w:t>
      </w:r>
      <w:r w:rsidRPr="00F03917">
        <w:rPr>
          <w:rStyle w:val="SourceChar"/>
        </w:rPr>
        <w:t xml:space="preserve">frequent coastal flooding arising from a higher </w:t>
      </w:r>
      <w:r w:rsidR="00697648" w:rsidRPr="00F03917">
        <w:rPr>
          <w:rStyle w:val="SourceChar"/>
        </w:rPr>
        <w:t>relative sea-level rise</w:t>
      </w:r>
      <w:r w:rsidRPr="00F03917">
        <w:rPr>
          <w:rStyle w:val="SourceChar"/>
        </w:rPr>
        <w:t xml:space="preserve">. </w:t>
      </w:r>
      <w:r w:rsidR="00EC7E86" w:rsidRPr="00F03917">
        <w:rPr>
          <w:rStyle w:val="SourceChar"/>
        </w:rPr>
        <w:t>D</w:t>
      </w:r>
      <w:r w:rsidR="00094391" w:rsidRPr="00F03917">
        <w:rPr>
          <w:rStyle w:val="SourceChar"/>
        </w:rPr>
        <w:t xml:space="preserve">iagram </w:t>
      </w:r>
      <w:r w:rsidRPr="00F03917">
        <w:rPr>
          <w:rStyle w:val="SourceChar"/>
        </w:rPr>
        <w:t>is for illustrative purposes and needs more local</w:t>
      </w:r>
      <w:r w:rsidR="009415F2" w:rsidRPr="00F03917">
        <w:rPr>
          <w:rStyle w:val="SourceChar"/>
        </w:rPr>
        <w:t xml:space="preserve"> and </w:t>
      </w:r>
      <w:r w:rsidRPr="00F03917">
        <w:rPr>
          <w:rStyle w:val="SourceChar"/>
        </w:rPr>
        <w:t xml:space="preserve">regional specificity added for </w:t>
      </w:r>
      <w:r w:rsidR="00AB5C24" w:rsidRPr="00F03917">
        <w:rPr>
          <w:rStyle w:val="SourceChar"/>
        </w:rPr>
        <w:t xml:space="preserve">local </w:t>
      </w:r>
      <w:r w:rsidRPr="00F03917">
        <w:rPr>
          <w:rStyle w:val="SourceChar"/>
        </w:rPr>
        <w:t>application.</w:t>
      </w:r>
    </w:p>
    <w:p w14:paraId="304ECC05" w14:textId="18D2AC80" w:rsidR="00394B3C" w:rsidRPr="00F03917" w:rsidRDefault="00394B3C" w:rsidP="00271394">
      <w:pPr>
        <w:pStyle w:val="Heading5"/>
      </w:pPr>
      <w:bookmarkStart w:id="113" w:name="_Hlk139717314"/>
      <w:r w:rsidRPr="00F03917">
        <w:t xml:space="preserve">Adaptive capacity is an essential element of climate risk assessments </w:t>
      </w:r>
      <w:bookmarkEnd w:id="113"/>
    </w:p>
    <w:p w14:paraId="59F5BAF9" w14:textId="4B31E3E1" w:rsidR="00394B3C" w:rsidRPr="00F03917" w:rsidRDefault="00394B3C" w:rsidP="00BE110A">
      <w:pPr>
        <w:pStyle w:val="BodyText"/>
      </w:pPr>
      <w:r w:rsidRPr="00F03917">
        <w:t>Adaptive capacity is an integral component of climate risk assessments</w:t>
      </w:r>
      <w:r w:rsidR="00D73089" w:rsidRPr="00F03917">
        <w:t>, exacerbating or reducing vulnerability</w:t>
      </w:r>
      <w:r w:rsidRPr="00F03917">
        <w:t xml:space="preserve">. This includes the adaptive </w:t>
      </w:r>
      <w:r w:rsidR="00D73089" w:rsidRPr="00F03917">
        <w:t xml:space="preserve">or coping </w:t>
      </w:r>
      <w:r w:rsidRPr="00F03917">
        <w:t>capacity of the community</w:t>
      </w:r>
      <w:r w:rsidR="009415F2" w:rsidRPr="00F03917">
        <w:t>,</w:t>
      </w:r>
      <w:r w:rsidRPr="00F03917">
        <w:t xml:space="preserve"> of supporting services and infrastructure (including availability </w:t>
      </w:r>
      <w:r w:rsidR="00D73089" w:rsidRPr="00F03917">
        <w:t>and agility</w:t>
      </w:r>
      <w:r w:rsidRPr="00F03917">
        <w:t xml:space="preserve"> of funding and other institutional</w:t>
      </w:r>
      <w:r w:rsidR="009415F2" w:rsidRPr="00F03917">
        <w:t xml:space="preserve"> and</w:t>
      </w:r>
      <w:r w:rsidRPr="00F03917">
        <w:t xml:space="preserve"> governance mechanisms) and of the natural environment. </w:t>
      </w:r>
    </w:p>
    <w:p w14:paraId="1043AF45" w14:textId="2CA89D94" w:rsidR="009972DB" w:rsidRPr="00F03917" w:rsidRDefault="00394B3C" w:rsidP="00BE110A">
      <w:pPr>
        <w:pStyle w:val="BodyText"/>
      </w:pPr>
      <w:r w:rsidRPr="00F03917">
        <w:lastRenderedPageBreak/>
        <w:t>When making adaptation decisions, the interactions and dependencies among these adaptive capacities need to be considered</w:t>
      </w:r>
      <w:r w:rsidR="00BC74AD" w:rsidRPr="00F03917">
        <w:t>.</w:t>
      </w:r>
      <w:r w:rsidR="00B97AE2" w:rsidRPr="00F03917">
        <w:rPr>
          <w:rStyle w:val="FootnoteReference"/>
        </w:rPr>
        <w:footnoteReference w:id="62"/>
      </w:r>
      <w:r w:rsidR="001A5C44" w:rsidRPr="00F03917" w:rsidDel="00BC74AD">
        <w:t xml:space="preserve"> </w:t>
      </w:r>
      <w:r w:rsidR="00BC74AD" w:rsidRPr="00F03917">
        <w:t>D</w:t>
      </w:r>
      <w:r w:rsidR="001A5C44" w:rsidRPr="00F03917">
        <w:t>o they enhance or hinder adaptation, and how might they change over time (eg, capacity for more frequent emergency responses to coastal flooding or agile funding mechanisms</w:t>
      </w:r>
      <w:r w:rsidR="007474EB" w:rsidRPr="00F03917">
        <w:t xml:space="preserve"> such as</w:t>
      </w:r>
      <w:r w:rsidR="001A5C44" w:rsidRPr="00F03917">
        <w:t xml:space="preserve"> for </w:t>
      </w:r>
      <w:r w:rsidR="005A28FD" w:rsidRPr="00F03917">
        <w:t xml:space="preserve">pre-emptive or reactive </w:t>
      </w:r>
      <w:r w:rsidR="001A5C44" w:rsidRPr="00F03917">
        <w:t>managed retreat)</w:t>
      </w:r>
      <w:r w:rsidR="00BC74AD" w:rsidRPr="00F03917">
        <w:t>?</w:t>
      </w:r>
      <w:r w:rsidRPr="00F03917">
        <w:t xml:space="preserve"> </w:t>
      </w:r>
    </w:p>
    <w:p w14:paraId="44BC9404" w14:textId="3F06C9D3" w:rsidR="00394B3C" w:rsidRPr="00F03917" w:rsidRDefault="00394B3C" w:rsidP="00BE110A">
      <w:pPr>
        <w:pStyle w:val="BodyText"/>
      </w:pPr>
      <w:r w:rsidRPr="00F03917">
        <w:t xml:space="preserve">Environmental or cultural adaptive capacities may be threatened by our adaptive response </w:t>
      </w:r>
      <w:r w:rsidR="00A71D2D" w:rsidRPr="00F03917">
        <w:t>to</w:t>
      </w:r>
      <w:r w:rsidR="005808A4" w:rsidRPr="00F03917">
        <w:t> </w:t>
      </w:r>
      <w:r w:rsidR="00A71D2D" w:rsidRPr="00F03917">
        <w:t xml:space="preserve">protect </w:t>
      </w:r>
      <w:r w:rsidRPr="00F03917">
        <w:t xml:space="preserve">the built environment. For example, </w:t>
      </w:r>
      <w:r w:rsidR="00A71D2D" w:rsidRPr="00F03917">
        <w:t xml:space="preserve">building up </w:t>
      </w:r>
      <w:r w:rsidRPr="00F03917">
        <w:t xml:space="preserve">a road causeway that </w:t>
      </w:r>
      <w:r w:rsidR="005A28FD" w:rsidRPr="00F03917">
        <w:t>has been</w:t>
      </w:r>
      <w:r w:rsidRPr="00F03917">
        <w:t xml:space="preserve"> exposed to</w:t>
      </w:r>
      <w:r w:rsidR="005808A4" w:rsidRPr="00F03917">
        <w:t> </w:t>
      </w:r>
      <w:r w:rsidRPr="00F03917">
        <w:t xml:space="preserve">increasing floods is likely to constrain the adaptive capacity of </w:t>
      </w:r>
      <w:r w:rsidR="00A71D2D" w:rsidRPr="00F03917">
        <w:t>an</w:t>
      </w:r>
      <w:r w:rsidRPr="00F03917">
        <w:t xml:space="preserve"> adjacent estuary inlet or</w:t>
      </w:r>
      <w:r w:rsidR="005808A4" w:rsidRPr="00F03917">
        <w:t> </w:t>
      </w:r>
      <w:r w:rsidRPr="00F03917">
        <w:t xml:space="preserve">wetland. </w:t>
      </w:r>
    </w:p>
    <w:p w14:paraId="0D9FF00E" w14:textId="2DF9D216" w:rsidR="00394B3C" w:rsidRPr="00F03917" w:rsidRDefault="00394B3C" w:rsidP="005808A4">
      <w:pPr>
        <w:pStyle w:val="Heading5"/>
        <w:spacing w:before="200"/>
      </w:pPr>
      <w:bookmarkStart w:id="114" w:name="_Hlk139717320"/>
      <w:r w:rsidRPr="00F03917">
        <w:t>Climate adaptation is not just a local issue</w:t>
      </w:r>
    </w:p>
    <w:bookmarkEnd w:id="114"/>
    <w:p w14:paraId="4BC90FE5" w14:textId="2466D2BA" w:rsidR="00394B3C" w:rsidRPr="00F03917" w:rsidRDefault="00394B3C" w:rsidP="00BE110A">
      <w:pPr>
        <w:pStyle w:val="BodyText"/>
      </w:pPr>
      <w:r w:rsidRPr="00F03917">
        <w:t>Climate risks vary at a fine scale across communities and societies (Ara Begum et al, 2022). This</w:t>
      </w:r>
      <w:r w:rsidR="005808A4" w:rsidRPr="00F03917">
        <w:t> </w:t>
      </w:r>
      <w:r w:rsidRPr="00F03917">
        <w:t xml:space="preserve">could include pockets </w:t>
      </w:r>
      <w:r w:rsidR="00D5773F" w:rsidRPr="00F03917">
        <w:t xml:space="preserve">or precincts </w:t>
      </w:r>
      <w:r w:rsidRPr="00F03917">
        <w:t>within suburbs or within low-lying or cliff-edge coastal margins. Adaptation is often viewed as a ‘local’ issue where the ongoing impact lies</w:t>
      </w:r>
      <w:r w:rsidR="0058216E" w:rsidRPr="00F03917">
        <w:t>,</w:t>
      </w:r>
      <w:r w:rsidRPr="00F03917">
        <w:t xml:space="preserve"> but cascading and compounding impacts</w:t>
      </w:r>
      <w:r w:rsidR="00156544" w:rsidRPr="00F03917">
        <w:t xml:space="preserve"> </w:t>
      </w:r>
      <w:r w:rsidR="003E7365" w:rsidRPr="00F03917">
        <w:t xml:space="preserve">(figure </w:t>
      </w:r>
      <w:r w:rsidR="00553088" w:rsidRPr="00F03917">
        <w:t>1</w:t>
      </w:r>
      <w:r w:rsidR="001B16A4" w:rsidRPr="00F03917">
        <w:t>6</w:t>
      </w:r>
      <w:r w:rsidR="003E7365" w:rsidRPr="00F03917">
        <w:t>)</w:t>
      </w:r>
      <w:r w:rsidR="00156544" w:rsidRPr="00F03917">
        <w:t xml:space="preserve"> also</w:t>
      </w:r>
      <w:r w:rsidRPr="00F03917">
        <w:t xml:space="preserve"> occur across the wider community and</w:t>
      </w:r>
      <w:r w:rsidR="00271394" w:rsidRPr="00F03917">
        <w:t> </w:t>
      </w:r>
      <w:r w:rsidRPr="00F03917">
        <w:t>nationally.</w:t>
      </w:r>
    </w:p>
    <w:p w14:paraId="7B73909D" w14:textId="5F848DC1" w:rsidR="00394B3C" w:rsidRPr="00F03917" w:rsidRDefault="00394B3C" w:rsidP="00BE110A">
      <w:pPr>
        <w:pStyle w:val="BodyText"/>
      </w:pPr>
      <w:r w:rsidRPr="00F03917">
        <w:t xml:space="preserve">Climate adaptation (and therefore risk assessment) </w:t>
      </w:r>
      <w:r w:rsidR="00064F88" w:rsidRPr="00F03917">
        <w:t xml:space="preserve">should </w:t>
      </w:r>
      <w:r w:rsidRPr="00F03917">
        <w:t xml:space="preserve">consider the interconnections </w:t>
      </w:r>
      <w:r w:rsidR="0087605B" w:rsidRPr="00F03917">
        <w:t xml:space="preserve">and dependencies </w:t>
      </w:r>
      <w:r w:rsidRPr="00F03917">
        <w:t xml:space="preserve">between the local, regional and national scales. </w:t>
      </w:r>
      <w:r w:rsidR="001E2641" w:rsidRPr="00F03917">
        <w:t>An example is consideration of local isolation due to storm or flood events causing outages of a vulnerable section of the main coastal road elsewhere, illustrating the need for wider-scale assessment of the risks affecting a</w:t>
      </w:r>
      <w:r w:rsidR="00271394" w:rsidRPr="00F03917">
        <w:t> </w:t>
      </w:r>
      <w:r w:rsidR="001E2641" w:rsidRPr="00F03917">
        <w:t>specific locality (Logan</w:t>
      </w:r>
      <w:r w:rsidR="00511B6A" w:rsidRPr="00F03917">
        <w:t xml:space="preserve"> et al</w:t>
      </w:r>
      <w:r w:rsidR="001E2641" w:rsidRPr="00F03917">
        <w:t>, 2023</w:t>
      </w:r>
      <w:r w:rsidR="00F47C81" w:rsidRPr="00F03917">
        <w:t>; Logan and Reilly, 2023</w:t>
      </w:r>
      <w:r w:rsidR="001E2641" w:rsidRPr="00F03917">
        <w:t xml:space="preserve">). Annex A of </w:t>
      </w:r>
      <w:r w:rsidRPr="00F03917">
        <w:t>ISO 14090:2019 provides guidance on using systems</w:t>
      </w:r>
      <w:r w:rsidR="00934674" w:rsidRPr="00F03917">
        <w:t xml:space="preserve"> </w:t>
      </w:r>
      <w:r w:rsidRPr="00F03917">
        <w:t xml:space="preserve">thinking to consider these </w:t>
      </w:r>
      <w:r w:rsidR="00310CDA" w:rsidRPr="00F03917">
        <w:t xml:space="preserve">wider </w:t>
      </w:r>
      <w:r w:rsidRPr="00F03917">
        <w:t>interconnections</w:t>
      </w:r>
      <w:r w:rsidR="00310CDA" w:rsidRPr="00F03917">
        <w:t xml:space="preserve"> across different value domains</w:t>
      </w:r>
      <w:r w:rsidRPr="00F03917">
        <w:t xml:space="preserve">. </w:t>
      </w:r>
    </w:p>
    <w:p w14:paraId="14037ECE" w14:textId="33D929D2" w:rsidR="00394B3C" w:rsidRPr="00F03917" w:rsidRDefault="00394B3C" w:rsidP="005808A4">
      <w:pPr>
        <w:pStyle w:val="Heading5"/>
      </w:pPr>
      <w:bookmarkStart w:id="115" w:name="_Hlk139717330"/>
      <w:r w:rsidRPr="00F03917">
        <w:t>Climate risks vary over time</w:t>
      </w:r>
    </w:p>
    <w:bookmarkEnd w:id="115"/>
    <w:p w14:paraId="4C985DF6" w14:textId="0BA7E029" w:rsidR="00DD2815" w:rsidRPr="00F03917" w:rsidRDefault="00394B3C" w:rsidP="005808A4">
      <w:pPr>
        <w:pStyle w:val="BodyText"/>
      </w:pPr>
      <w:r w:rsidRPr="00F03917">
        <w:t xml:space="preserve">Time is a fundamental consideration in any risk assessment of coastal hazards and climate change impacts. </w:t>
      </w:r>
      <w:r w:rsidR="00DD2815" w:rsidRPr="00F03917">
        <w:t xml:space="preserve">All three components of risk will increase with time (figure </w:t>
      </w:r>
      <w:r w:rsidR="007935CA" w:rsidRPr="00F03917">
        <w:t>16</w:t>
      </w:r>
      <w:r w:rsidR="00DD2815" w:rsidRPr="00F03917">
        <w:t xml:space="preserve">). Examples </w:t>
      </w:r>
      <w:r w:rsidR="00F95AC5" w:rsidRPr="00F03917">
        <w:t xml:space="preserve">of how </w:t>
      </w:r>
      <w:r w:rsidR="00DD2815" w:rsidRPr="00F03917">
        <w:t>risk exposure</w:t>
      </w:r>
      <w:r w:rsidR="009F4805" w:rsidRPr="00F03917">
        <w:t xml:space="preserve"> increases</w:t>
      </w:r>
      <w:r w:rsidR="00DD2815" w:rsidRPr="00F03917">
        <w:t xml:space="preserve"> over time </w:t>
      </w:r>
      <w:r w:rsidR="009F4805" w:rsidRPr="00F03917">
        <w:t>include</w:t>
      </w:r>
      <w:r w:rsidR="00DD2815" w:rsidRPr="00F03917">
        <w:t>: i) the changing land use (eg, intensification, up</w:t>
      </w:r>
      <w:r w:rsidR="00421BD7" w:rsidRPr="00F03917">
        <w:noBreakHyphen/>
      </w:r>
      <w:r w:rsidR="00DD2815" w:rsidRPr="00F03917">
        <w:t>zoning, subdivisions or redevelopment);</w:t>
      </w:r>
      <w:r w:rsidR="00DD2815" w:rsidRPr="00F03917" w:rsidDel="00421BD7">
        <w:t xml:space="preserve"> </w:t>
      </w:r>
      <w:r w:rsidR="00DD2815" w:rsidRPr="00F03917">
        <w:t xml:space="preserve">ii) </w:t>
      </w:r>
      <w:r w:rsidR="008B7635" w:rsidRPr="00F03917">
        <w:t>i</w:t>
      </w:r>
      <w:r w:rsidR="00DD2815" w:rsidRPr="00F03917">
        <w:t>ncreasing capital value of assets or upgrades to infrastructure that increase the consequences. Increases in vulnerability can occur as assets age or are compromised by progressive changes</w:t>
      </w:r>
      <w:r w:rsidR="00AF7463" w:rsidRPr="00F03917">
        <w:t>, for example</w:t>
      </w:r>
      <w:r w:rsidR="00DD2815" w:rsidRPr="00F03917">
        <w:t xml:space="preserve">, groundwater rise affecting foundations or the </w:t>
      </w:r>
      <w:r w:rsidR="005A2259" w:rsidRPr="00F03917">
        <w:t xml:space="preserve">institutional </w:t>
      </w:r>
      <w:r w:rsidR="00DD2815" w:rsidRPr="00F03917">
        <w:t>ability to cope and adapt diminishes.</w:t>
      </w:r>
    </w:p>
    <w:p w14:paraId="0C597A97" w14:textId="002C2EE7" w:rsidR="00DD2815" w:rsidRPr="00F03917" w:rsidRDefault="00DD2815" w:rsidP="005808A4">
      <w:pPr>
        <w:pStyle w:val="BodyText"/>
      </w:pPr>
      <w:r w:rsidRPr="00F03917">
        <w:t xml:space="preserve">Adaptation interventions (accommodate, protect), which can reduce risk to varying degrees, also have time limitations </w:t>
      </w:r>
      <w:r w:rsidR="00F10FA9" w:rsidRPr="00F03917">
        <w:t>because</w:t>
      </w:r>
      <w:r w:rsidRPr="00F03917">
        <w:t xml:space="preserve"> the risk will continue rising (</w:t>
      </w:r>
      <w:hyperlink w:anchor="figure17" w:history="1">
        <w:r w:rsidR="00D559B0" w:rsidRPr="00F03917">
          <w:rPr>
            <w:rStyle w:val="Hyperlink"/>
          </w:rPr>
          <w:t>figure 1</w:t>
        </w:r>
        <w:r w:rsidR="005518A0" w:rsidRPr="00F03917">
          <w:rPr>
            <w:rStyle w:val="Hyperlink"/>
          </w:rPr>
          <w:t>7</w:t>
        </w:r>
      </w:hyperlink>
      <w:r w:rsidRPr="00F03917">
        <w:t xml:space="preserve">), including the residual risk (eg, breaching or outflanking of a seawall or more frequent road </w:t>
      </w:r>
      <w:r w:rsidR="003F2162" w:rsidRPr="00F03917">
        <w:t>impassability</w:t>
      </w:r>
      <w:r w:rsidRPr="00F03917">
        <w:t xml:space="preserve"> issues</w:t>
      </w:r>
      <w:r w:rsidR="003F2162" w:rsidRPr="00F03917">
        <w:t>, even though</w:t>
      </w:r>
      <w:r w:rsidRPr="00F03917">
        <w:t xml:space="preserve"> buildings have been raised</w:t>
      </w:r>
      <w:r w:rsidR="003F2162" w:rsidRPr="00F03917">
        <w:t xml:space="preserve"> as an accommodation type option</w:t>
      </w:r>
      <w:r w:rsidRPr="00F03917">
        <w:t>).</w:t>
      </w:r>
    </w:p>
    <w:p w14:paraId="5CA2D3A4" w14:textId="5479B76C" w:rsidR="00394B3C" w:rsidRPr="00F03917" w:rsidRDefault="00114C93" w:rsidP="005808A4">
      <w:pPr>
        <w:pStyle w:val="BodyText"/>
      </w:pPr>
      <w:r w:rsidRPr="00F03917">
        <w:t>Climate risk a</w:t>
      </w:r>
      <w:r w:rsidR="00394B3C" w:rsidRPr="00F03917">
        <w:t>ssessment</w:t>
      </w:r>
      <w:r w:rsidRPr="00F03917">
        <w:t>s</w:t>
      </w:r>
      <w:r w:rsidR="00394B3C" w:rsidRPr="00F03917">
        <w:t xml:space="preserve"> </w:t>
      </w:r>
      <w:r w:rsidR="008428AA" w:rsidRPr="00F03917">
        <w:t xml:space="preserve">should </w:t>
      </w:r>
      <w:r w:rsidR="00394B3C" w:rsidRPr="00F03917">
        <w:t xml:space="preserve">be explicit about how time is addressed (Logan et al, 2021), focusing on </w:t>
      </w:r>
      <w:r w:rsidR="00C844A5" w:rsidRPr="00F03917">
        <w:t xml:space="preserve">both </w:t>
      </w:r>
      <w:r w:rsidR="00394B3C" w:rsidRPr="00F03917">
        <w:t xml:space="preserve">immediate specific impacts </w:t>
      </w:r>
      <w:r w:rsidR="00C844A5" w:rsidRPr="00F03917">
        <w:t>(including</w:t>
      </w:r>
      <w:r w:rsidR="00394B3C" w:rsidRPr="00F03917">
        <w:t xml:space="preserve"> cascading or flow-on risks</w:t>
      </w:r>
      <w:r w:rsidR="00C844A5" w:rsidRPr="00F03917">
        <w:t xml:space="preserve">) and </w:t>
      </w:r>
      <w:r w:rsidR="00052F51" w:rsidRPr="00F03917">
        <w:t xml:space="preserve">addressing </w:t>
      </w:r>
      <w:r w:rsidR="00C844A5" w:rsidRPr="00F03917">
        <w:t>long</w:t>
      </w:r>
      <w:r w:rsidR="00F17E21" w:rsidRPr="00F03917">
        <w:noBreakHyphen/>
      </w:r>
      <w:r w:rsidR="00C844A5" w:rsidRPr="00F03917">
        <w:t>term changes and implications</w:t>
      </w:r>
      <w:r w:rsidR="00052F51" w:rsidRPr="00F03917">
        <w:t xml:space="preserve"> through dynamic adaptive </w:t>
      </w:r>
      <w:r w:rsidR="66F39540" w:rsidRPr="00F03917">
        <w:t xml:space="preserve">pathways </w:t>
      </w:r>
      <w:r w:rsidR="00052F51" w:rsidRPr="00F03917">
        <w:t>planning</w:t>
      </w:r>
      <w:r w:rsidR="00D259A9" w:rsidRPr="00F03917">
        <w:t> (DAPP)</w:t>
      </w:r>
      <w:r w:rsidR="00394B3C" w:rsidRPr="00F03917">
        <w:t xml:space="preserve">. </w:t>
      </w:r>
    </w:p>
    <w:p w14:paraId="40EFE69C" w14:textId="3D4CCD82" w:rsidR="00F47850" w:rsidRPr="00F03917" w:rsidRDefault="00F47850" w:rsidP="00C52920">
      <w:pPr>
        <w:pStyle w:val="Figureheading"/>
      </w:pPr>
      <w:bookmarkStart w:id="116" w:name="figure17"/>
      <w:bookmarkStart w:id="117" w:name="_Toc160098432"/>
      <w:r w:rsidRPr="00F03917">
        <w:lastRenderedPageBreak/>
        <w:t xml:space="preserve">Figure </w:t>
      </w:r>
      <w:r w:rsidR="001F6526" w:rsidRPr="00F03917">
        <w:t>17</w:t>
      </w:r>
      <w:bookmarkEnd w:id="116"/>
      <w:r w:rsidRPr="00F03917">
        <w:t xml:space="preserve">: </w:t>
      </w:r>
      <w:r w:rsidR="00913DDD" w:rsidRPr="00F03917">
        <w:tab/>
      </w:r>
      <w:r w:rsidRPr="00F03917">
        <w:t>Effect on level of risk over time for incremental or a precautionary approach to adaptation relative to a local adaptation threshold (or risk tolerance threshold)</w:t>
      </w:r>
      <w:bookmarkEnd w:id="117"/>
    </w:p>
    <w:p w14:paraId="3D654AB4" w14:textId="4F02B546" w:rsidR="00F47850" w:rsidRPr="00F03917" w:rsidRDefault="00443C87" w:rsidP="005808A4">
      <w:pPr>
        <w:pStyle w:val="BodyText"/>
      </w:pPr>
      <w:r w:rsidRPr="00F03917">
        <w:rPr>
          <w:noProof/>
        </w:rPr>
        <w:drawing>
          <wp:inline distT="0" distB="0" distL="0" distR="0" wp14:anchorId="35F1156C" wp14:editId="3B2FFE22">
            <wp:extent cx="5364480" cy="3538330"/>
            <wp:effectExtent l="0" t="0" r="7620" b="0"/>
            <wp:docPr id="2099001281" name="Picture 209900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762670" name="Picture 1690762670"/>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255" b="-711"/>
                    <a:stretch/>
                  </pic:blipFill>
                  <pic:spPr bwMode="auto">
                    <a:xfrm>
                      <a:off x="0" y="0"/>
                      <a:ext cx="5364714" cy="3538484"/>
                    </a:xfrm>
                    <a:prstGeom prst="rect">
                      <a:avLst/>
                    </a:prstGeom>
                    <a:noFill/>
                    <a:ln>
                      <a:noFill/>
                    </a:ln>
                    <a:extLst>
                      <a:ext uri="{53640926-AAD7-44D8-BBD7-CCE9431645EC}">
                        <a14:shadowObscured xmlns:a14="http://schemas.microsoft.com/office/drawing/2010/main"/>
                      </a:ext>
                    </a:extLst>
                  </pic:spPr>
                </pic:pic>
              </a:graphicData>
            </a:graphic>
          </wp:inline>
        </w:drawing>
      </w:r>
    </w:p>
    <w:p w14:paraId="63BD79BE" w14:textId="16ABB8C0" w:rsidR="00326123" w:rsidRPr="00F03917" w:rsidRDefault="00803BD9" w:rsidP="005518A0">
      <w:pPr>
        <w:pStyle w:val="Source"/>
        <w:spacing w:before="0"/>
      </w:pPr>
      <w:r w:rsidRPr="00F03917">
        <w:t xml:space="preserve">Source: </w:t>
      </w:r>
      <w:r w:rsidR="00326123" w:rsidRPr="00F03917">
        <w:t>Adapted from MfE, 2008</w:t>
      </w:r>
      <w:r w:rsidR="00C97A90" w:rsidRPr="00F03917">
        <w:t>a</w:t>
      </w:r>
    </w:p>
    <w:p w14:paraId="3032CCBE" w14:textId="0F467D87" w:rsidR="00394B3C" w:rsidRPr="00F03917" w:rsidRDefault="007D28CF" w:rsidP="00A16CE7">
      <w:pPr>
        <w:pStyle w:val="Heading4"/>
      </w:pPr>
      <w:bookmarkStart w:id="118" w:name="_Hlk139717352"/>
      <w:r w:rsidRPr="00F03917">
        <w:t>R</w:t>
      </w:r>
      <w:r w:rsidR="00394B3C" w:rsidRPr="00F03917">
        <w:t>isk assessment methods</w:t>
      </w:r>
      <w:r w:rsidR="006815C9" w:rsidRPr="00F03917">
        <w:t xml:space="preserve"> and process</w:t>
      </w:r>
    </w:p>
    <w:p w14:paraId="3BE6D8BB" w14:textId="5AC2B6D9" w:rsidR="000F15D3" w:rsidRPr="00F03917" w:rsidRDefault="00490A5C" w:rsidP="00F461E2">
      <w:pPr>
        <w:pStyle w:val="BodyText"/>
      </w:pPr>
      <w:r w:rsidRPr="00F03917">
        <w:t xml:space="preserve">The main purpose of vulnerability and risk assessments for this guidance is to inform </w:t>
      </w:r>
      <w:r w:rsidR="000833FD" w:rsidRPr="00F03917">
        <w:t>DAPP</w:t>
      </w:r>
      <w:r w:rsidRPr="00F03917">
        <w:t xml:space="preserve"> strategies that are pre-emptive and cover the future extent of the coastal environment</w:t>
      </w:r>
      <w:r w:rsidRPr="00F03917">
        <w:rPr>
          <w:rStyle w:val="FootnoteReference"/>
          <w:rFonts w:eastAsia="MS Mincho" w:cs="Arial"/>
        </w:rPr>
        <w:footnoteReference w:id="63"/>
      </w:r>
      <w:r w:rsidRPr="00F03917">
        <w:t xml:space="preserve"> at local to regional scales. These assessments provide evidence for the</w:t>
      </w:r>
      <w:r w:rsidR="00A11CC8" w:rsidRPr="00F03917">
        <w:t> </w:t>
      </w:r>
      <w:r w:rsidRPr="00F03917">
        <w:t xml:space="preserve">range of time-varying risks, covering the increasing uncertainties, for </w:t>
      </w:r>
      <w:r w:rsidR="009A0607" w:rsidRPr="00F03917">
        <w:t>s</w:t>
      </w:r>
      <w:r w:rsidRPr="00F03917">
        <w:t>teps 5 to 8 of the decision process.</w:t>
      </w:r>
    </w:p>
    <w:p w14:paraId="0E32DC48" w14:textId="52E3B7AF" w:rsidR="001B4554" w:rsidRPr="00F03917" w:rsidRDefault="001B4554" w:rsidP="00F461E2">
      <w:pPr>
        <w:pStyle w:val="BodyText"/>
      </w:pPr>
      <w:r w:rsidRPr="00F03917">
        <w:t>Section 5ZW of the Climate Change Response Act</w:t>
      </w:r>
      <w:r w:rsidR="00860E74" w:rsidRPr="00F03917">
        <w:t xml:space="preserve"> 2002</w:t>
      </w:r>
      <w:r w:rsidRPr="00F03917">
        <w:t xml:space="preserve"> requires reporting organisations (including local authorities) to provide to the Minister of Climate Change or the Climate Change </w:t>
      </w:r>
      <w:r w:rsidRPr="00F03917">
        <w:rPr>
          <w:spacing w:val="-2"/>
        </w:rPr>
        <w:t>Commission on request, information on risks and processes used to identify, assess and</w:t>
      </w:r>
      <w:r w:rsidR="00803BD9" w:rsidRPr="00F03917">
        <w:rPr>
          <w:spacing w:val="-2"/>
        </w:rPr>
        <w:t> </w:t>
      </w:r>
      <w:r w:rsidRPr="00F03917">
        <w:rPr>
          <w:spacing w:val="-2"/>
        </w:rPr>
        <w:t>manage the risks. Local</w:t>
      </w:r>
      <w:r w:rsidR="003B38CF" w:rsidRPr="00F03917">
        <w:rPr>
          <w:spacing w:val="-2"/>
        </w:rPr>
        <w:t xml:space="preserve"> and</w:t>
      </w:r>
      <w:r w:rsidRPr="00F03917">
        <w:rPr>
          <w:spacing w:val="-2"/>
        </w:rPr>
        <w:t>/</w:t>
      </w:r>
      <w:r w:rsidR="003B38CF" w:rsidRPr="00F03917">
        <w:rPr>
          <w:spacing w:val="-2"/>
        </w:rPr>
        <w:t xml:space="preserve">or </w:t>
      </w:r>
      <w:r w:rsidRPr="00F03917">
        <w:rPr>
          <w:spacing w:val="-2"/>
        </w:rPr>
        <w:t>regional climate risk assessments could be the basis of such</w:t>
      </w:r>
      <w:r w:rsidR="00803BD9" w:rsidRPr="00F03917">
        <w:rPr>
          <w:spacing w:val="-2"/>
        </w:rPr>
        <w:t> </w:t>
      </w:r>
      <w:r w:rsidRPr="00F03917">
        <w:rPr>
          <w:spacing w:val="-2"/>
        </w:rPr>
        <w:t>information</w:t>
      </w:r>
      <w:r w:rsidRPr="00F03917">
        <w:t>.</w:t>
      </w:r>
    </w:p>
    <w:p w14:paraId="70FD2420" w14:textId="62BC6584" w:rsidR="001B4554" w:rsidRPr="00F03917" w:rsidRDefault="001B4554" w:rsidP="00F461E2">
      <w:pPr>
        <w:pStyle w:val="BodyText"/>
        <w:spacing w:after="240"/>
      </w:pPr>
      <w:r w:rsidRPr="00F03917">
        <w:t>Increasingly, coastal risk assessments are being undertaken within general climate risk assessments across value domains for a region</w:t>
      </w:r>
      <w:r w:rsidR="00ED7FC1" w:rsidRPr="00F03917">
        <w:t>,</w:t>
      </w:r>
      <w:r w:rsidRPr="00F03917">
        <w:t xml:space="preserve"> district</w:t>
      </w:r>
      <w:r w:rsidR="00ED7FC1" w:rsidRPr="00F03917">
        <w:t xml:space="preserve"> or </w:t>
      </w:r>
      <w:r w:rsidRPr="00F03917">
        <w:t>city (MfE, 2021). This has the advantage of addressing climate risks more holistically across different hazards and their compounding and cascading impacts (eg, Greater Wellington (2022</w:t>
      </w:r>
      <w:r w:rsidR="00ED7FC1" w:rsidRPr="00F03917">
        <w:t>–</w:t>
      </w:r>
      <w:r w:rsidRPr="00F03917">
        <w:t>24), Bay of Plenty (2022</w:t>
      </w:r>
      <w:r w:rsidR="00ED7FC1" w:rsidRPr="00F03917">
        <w:t>–</w:t>
      </w:r>
      <w:r w:rsidRPr="00F03917">
        <w:t>23) and Nelson</w:t>
      </w:r>
      <w:r w:rsidR="00ED7FC1" w:rsidRPr="00F03917">
        <w:t>–</w:t>
      </w:r>
      <w:r w:rsidRPr="00F03917">
        <w:t>Tasman (2023)).</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577E89" w:rsidRPr="00F03917" w14:paraId="090F625C" w14:textId="77777777" w:rsidTr="0036266A">
        <w:tc>
          <w:tcPr>
            <w:tcW w:w="8505" w:type="dxa"/>
            <w:shd w:val="clear" w:color="auto" w:fill="D5EBE8" w:themeFill="accent3"/>
          </w:tcPr>
          <w:p w14:paraId="7CD6EA29" w14:textId="37DFF4AF" w:rsidR="00577E89" w:rsidRPr="00F03917" w:rsidRDefault="00134B82" w:rsidP="00F461E2">
            <w:pPr>
              <w:pStyle w:val="Boxheading"/>
            </w:pPr>
            <w:r w:rsidRPr="00F03917">
              <w:lastRenderedPageBreak/>
              <w:t>P</w:t>
            </w:r>
            <w:r w:rsidR="00577E89" w:rsidRPr="00F03917">
              <w:t xml:space="preserve">urposes of a coastal climate risk assessment </w:t>
            </w:r>
          </w:p>
          <w:p w14:paraId="5BE2340F" w14:textId="3A8F7A3B" w:rsidR="00577E89" w:rsidRPr="00F03917" w:rsidRDefault="00134B82" w:rsidP="00F461E2">
            <w:pPr>
              <w:pStyle w:val="Boxtext"/>
              <w:spacing w:after="0"/>
              <w:rPr>
                <w:b/>
              </w:rPr>
            </w:pPr>
            <w:r w:rsidRPr="00F03917">
              <w:t>The purposes of a coastal climate risk assessment are to i</w:t>
            </w:r>
            <w:r w:rsidR="00577E89" w:rsidRPr="00F03917">
              <w:t>dentify areas that will potentially be affected</w:t>
            </w:r>
            <w:r w:rsidR="004467FC" w:rsidRPr="00F03917">
              <w:t xml:space="preserve"> (prioritising areas</w:t>
            </w:r>
            <w:r w:rsidR="00577E89" w:rsidRPr="00F03917">
              <w:t xml:space="preserve"> that are at high risk of being</w:t>
            </w:r>
            <w:r w:rsidR="006476C6" w:rsidRPr="00F03917">
              <w:t> </w:t>
            </w:r>
            <w:r w:rsidR="00577E89" w:rsidRPr="00F03917">
              <w:t>affected</w:t>
            </w:r>
            <w:r w:rsidR="003D2AEC" w:rsidRPr="00F03917">
              <w:t>)</w:t>
            </w:r>
            <w:r w:rsidR="00577E89" w:rsidRPr="00F03917">
              <w:t xml:space="preserve"> by coastal hazards and climate change over at least 100 years </w:t>
            </w:r>
            <w:r w:rsidR="00542C62" w:rsidRPr="00F03917">
              <w:t>(Policy 24, N</w:t>
            </w:r>
            <w:r w:rsidR="008034BC" w:rsidRPr="00F03917">
              <w:t>ew</w:t>
            </w:r>
            <w:r w:rsidR="006476C6" w:rsidRPr="00F03917">
              <w:t> </w:t>
            </w:r>
            <w:r w:rsidR="00542C62" w:rsidRPr="00F03917">
              <w:t>Z</w:t>
            </w:r>
            <w:r w:rsidR="008034BC" w:rsidRPr="00F03917">
              <w:t xml:space="preserve">ealand </w:t>
            </w:r>
            <w:r w:rsidR="00542C62" w:rsidRPr="00F03917">
              <w:t>C</w:t>
            </w:r>
            <w:r w:rsidR="008034BC" w:rsidRPr="00F03917">
              <w:t xml:space="preserve">oastal </w:t>
            </w:r>
            <w:r w:rsidR="00542C62" w:rsidRPr="00F03917">
              <w:t>P</w:t>
            </w:r>
            <w:r w:rsidR="00CE3DD6" w:rsidRPr="00F03917">
              <w:t xml:space="preserve">olicy </w:t>
            </w:r>
            <w:r w:rsidR="00542C62" w:rsidRPr="00F03917">
              <w:t>S</w:t>
            </w:r>
            <w:r w:rsidR="00CE3DD6" w:rsidRPr="00F03917">
              <w:t>tatement, DOC,</w:t>
            </w:r>
            <w:r w:rsidRPr="00F03917">
              <w:t> </w:t>
            </w:r>
            <w:r w:rsidR="00CE3DD6" w:rsidRPr="00F03917">
              <w:t>2010</w:t>
            </w:r>
            <w:r w:rsidR="00542C62" w:rsidRPr="00F03917">
              <w:t>).</w:t>
            </w:r>
          </w:p>
          <w:p w14:paraId="0FF40562" w14:textId="77777777" w:rsidR="00577E89" w:rsidRPr="00F03917" w:rsidRDefault="00577E89" w:rsidP="00F461E2">
            <w:pPr>
              <w:pStyle w:val="Boxtext"/>
            </w:pPr>
            <w:r w:rsidRPr="00F03917">
              <w:t>Identify where climate change effects may:</w:t>
            </w:r>
          </w:p>
          <w:p w14:paraId="1F7F4397" w14:textId="6DFBBB9B" w:rsidR="00577E89" w:rsidRPr="00F03917" w:rsidRDefault="00577E89" w:rsidP="00F461E2">
            <w:pPr>
              <w:pStyle w:val="Boxbullet"/>
            </w:pPr>
            <w:r w:rsidRPr="00F03917">
              <w:t xml:space="preserve">restrict public access to the coastal environment </w:t>
            </w:r>
          </w:p>
          <w:p w14:paraId="7050BA2A" w14:textId="0BAAEE9B" w:rsidR="00577E89" w:rsidRPr="00F03917" w:rsidRDefault="00577E89" w:rsidP="00F461E2">
            <w:pPr>
              <w:pStyle w:val="Boxbullet"/>
            </w:pPr>
            <w:r w:rsidRPr="00F03917">
              <w:t>affect the integrity, form, functioning and resilience of the coastal environment</w:t>
            </w:r>
          </w:p>
          <w:p w14:paraId="6402D3F1" w14:textId="1639C9F2" w:rsidR="00577E89" w:rsidRPr="00F03917" w:rsidRDefault="00577E89" w:rsidP="00F461E2">
            <w:pPr>
              <w:pStyle w:val="Boxbullet"/>
            </w:pPr>
            <w:r w:rsidRPr="00F03917">
              <w:t>affect characteristics that have special value to tangata whenua</w:t>
            </w:r>
          </w:p>
          <w:p w14:paraId="5B89B9F6" w14:textId="5CAAE86B" w:rsidR="00577E89" w:rsidRPr="00F03917" w:rsidRDefault="00577E89" w:rsidP="00F461E2">
            <w:pPr>
              <w:pStyle w:val="Boxbullet"/>
            </w:pPr>
            <w:r w:rsidRPr="00F03917">
              <w:t>inform coastal adapti</w:t>
            </w:r>
            <w:r w:rsidR="00542C62" w:rsidRPr="00F03917">
              <w:t>ve</w:t>
            </w:r>
            <w:r w:rsidRPr="00F03917">
              <w:t xml:space="preserve"> </w:t>
            </w:r>
            <w:r w:rsidR="00330D75" w:rsidRPr="00F03917">
              <w:t>planning</w:t>
            </w:r>
            <w:r w:rsidRPr="00F03917">
              <w:t xml:space="preserve"> strategies for new and existing coastal development </w:t>
            </w:r>
          </w:p>
          <w:p w14:paraId="4DB00468" w14:textId="7277459A" w:rsidR="00577E89" w:rsidRPr="00F03917" w:rsidRDefault="00577E89" w:rsidP="00F461E2">
            <w:pPr>
              <w:pStyle w:val="Boxbullet"/>
            </w:pPr>
            <w:r w:rsidRPr="00F03917">
              <w:t>inform councils’ long-term, spatial and land-use planning</w:t>
            </w:r>
            <w:r w:rsidR="00FB7D30" w:rsidRPr="00F03917">
              <w:t xml:space="preserve"> </w:t>
            </w:r>
          </w:p>
          <w:p w14:paraId="5827C723" w14:textId="5148616E" w:rsidR="00577E89" w:rsidRPr="00F03917" w:rsidRDefault="00577E89" w:rsidP="00F461E2">
            <w:pPr>
              <w:pStyle w:val="Boxbullet"/>
              <w:spacing w:after="240"/>
            </w:pPr>
            <w:r w:rsidRPr="00F03917">
              <w:t>provide a robust evidence base for climate risk disclosures.</w:t>
            </w:r>
          </w:p>
        </w:tc>
      </w:tr>
    </w:tbl>
    <w:p w14:paraId="27E56799" w14:textId="17FE2251" w:rsidR="00394B3C" w:rsidRPr="00F03917" w:rsidRDefault="00394B3C" w:rsidP="000F15D3">
      <w:pPr>
        <w:pStyle w:val="BodyText"/>
        <w:spacing w:before="240"/>
      </w:pPr>
      <w:r w:rsidRPr="00F03917">
        <w:t xml:space="preserve">When conducting a coastal climate risk assessment, some risk components </w:t>
      </w:r>
      <w:r w:rsidR="00BB398E" w:rsidRPr="00F03917">
        <w:t>(</w:t>
      </w:r>
      <w:hyperlink w:anchor="figure16">
        <w:r w:rsidR="00BB398E" w:rsidRPr="00F03917">
          <w:rPr>
            <w:rStyle w:val="Hyperlink"/>
          </w:rPr>
          <w:t xml:space="preserve">figure </w:t>
        </w:r>
        <w:r w:rsidR="007E0D0D" w:rsidRPr="00F03917">
          <w:rPr>
            <w:rStyle w:val="Hyperlink"/>
          </w:rPr>
          <w:t>16</w:t>
        </w:r>
      </w:hyperlink>
      <w:r w:rsidR="00BB398E" w:rsidRPr="00F03917">
        <w:t xml:space="preserve">) </w:t>
      </w:r>
      <w:r w:rsidRPr="00F03917">
        <w:t xml:space="preserve">can be </w:t>
      </w:r>
      <w:r w:rsidRPr="00F03917">
        <w:rPr>
          <w:i/>
        </w:rPr>
        <w:t>quantified</w:t>
      </w:r>
      <w:r w:rsidRPr="00F03917">
        <w:t xml:space="preserve">, such as replacement costs, repair costs, number of residents exposed to hazards, hazard magnitudes, SLR projections, building footprints, and transport </w:t>
      </w:r>
      <w:r w:rsidR="00BB398E" w:rsidRPr="00F03917">
        <w:t xml:space="preserve">isolation </w:t>
      </w:r>
      <w:r w:rsidRPr="00F03917">
        <w:t>(Logan et al, 2023</w:t>
      </w:r>
      <w:r w:rsidR="00B96C63" w:rsidRPr="00F03917">
        <w:t>; Logan and Reilly, 2023</w:t>
      </w:r>
      <w:r w:rsidRPr="00F03917">
        <w:t xml:space="preserve">). Primarily, however, risk assessments </w:t>
      </w:r>
      <w:r w:rsidR="000442A8" w:rsidRPr="00F03917">
        <w:t xml:space="preserve">should </w:t>
      </w:r>
      <w:r w:rsidRPr="00F03917">
        <w:t xml:space="preserve">appraise </w:t>
      </w:r>
      <w:r w:rsidRPr="00F03917">
        <w:rPr>
          <w:i/>
          <w:iCs/>
        </w:rPr>
        <w:t>qualitative</w:t>
      </w:r>
      <w:r w:rsidRPr="00F03917">
        <w:t xml:space="preserve"> information such as</w:t>
      </w:r>
      <w:r w:rsidR="00A617F9" w:rsidRPr="00F03917">
        <w:t> </w:t>
      </w:r>
      <w:r w:rsidRPr="00F03917">
        <w:t>value judgements, cascading impact chains</w:t>
      </w:r>
      <w:r w:rsidR="00222CD3" w:rsidRPr="00F03917">
        <w:t xml:space="preserve"> (</w:t>
      </w:r>
      <w:r w:rsidR="00A12A9B" w:rsidRPr="00F03917">
        <w:t>eg, f</w:t>
      </w:r>
      <w:r w:rsidR="00222CD3" w:rsidRPr="00F03917">
        <w:t xml:space="preserve">igure </w:t>
      </w:r>
      <w:r w:rsidR="000B6C01" w:rsidRPr="00F03917">
        <w:t>1</w:t>
      </w:r>
      <w:r w:rsidR="00A04DEF" w:rsidRPr="00F03917">
        <w:t>6</w:t>
      </w:r>
      <w:r w:rsidR="00222CD3" w:rsidRPr="00F03917">
        <w:t>)</w:t>
      </w:r>
      <w:r w:rsidRPr="00F03917">
        <w:t xml:space="preserve">, mātauranga Māori, </w:t>
      </w:r>
      <w:r w:rsidR="000C5187" w:rsidRPr="00F03917">
        <w:t xml:space="preserve">present inequities that affect adaptive capacity, </w:t>
      </w:r>
      <w:r w:rsidRPr="00F03917">
        <w:t xml:space="preserve">and stakeholder and </w:t>
      </w:r>
      <w:r w:rsidR="000C5187" w:rsidRPr="00F03917">
        <w:t xml:space="preserve">community </w:t>
      </w:r>
      <w:r w:rsidR="5544CA75" w:rsidRPr="00F03917">
        <w:t>description</w:t>
      </w:r>
      <w:r w:rsidRPr="00F03917">
        <w:t xml:space="preserve"> of </w:t>
      </w:r>
      <w:r w:rsidR="00177B23" w:rsidRPr="00F03917">
        <w:t xml:space="preserve">risk tolerability and initial adaptation </w:t>
      </w:r>
      <w:r w:rsidRPr="00F03917">
        <w:t xml:space="preserve">thresholds. </w:t>
      </w:r>
    </w:p>
    <w:p w14:paraId="26C41281" w14:textId="5DDE342E" w:rsidR="00394B3C" w:rsidRPr="00F03917" w:rsidRDefault="00394B3C" w:rsidP="000F15D3">
      <w:pPr>
        <w:pStyle w:val="BodyText"/>
      </w:pPr>
      <w:r w:rsidRPr="00F03917">
        <w:t xml:space="preserve">Because climate risks affect some groups more than others, the assessment of </w:t>
      </w:r>
      <w:r w:rsidRPr="00F03917">
        <w:rPr>
          <w:i/>
          <w:iCs/>
        </w:rPr>
        <w:t>vulnerability</w:t>
      </w:r>
      <w:r w:rsidRPr="00F03917">
        <w:t xml:space="preserve"> will need to consider </w:t>
      </w:r>
      <w:r w:rsidR="00093432" w:rsidRPr="00F03917">
        <w:t xml:space="preserve">and map </w:t>
      </w:r>
      <w:r w:rsidRPr="00F03917">
        <w:t>economic, social, cultural and environmental consequences for a range of future scenarios</w:t>
      </w:r>
      <w:r w:rsidR="00C91E23" w:rsidRPr="00F03917">
        <w:t xml:space="preserve"> and RSLR projections (see </w:t>
      </w:r>
      <w:hyperlink w:anchor="_Assess_social,_cultural" w:history="1">
        <w:r w:rsidR="00C91E23" w:rsidRPr="00F03917">
          <w:rPr>
            <w:rStyle w:val="Hyperlink"/>
          </w:rPr>
          <w:t>section 4.2</w:t>
        </w:r>
      </w:hyperlink>
      <w:r w:rsidR="00C91E23" w:rsidRPr="00F03917">
        <w:t>)</w:t>
      </w:r>
      <w:r w:rsidRPr="00F03917">
        <w:t xml:space="preserve">. </w:t>
      </w:r>
    </w:p>
    <w:p w14:paraId="4B06A200" w14:textId="0A97778C" w:rsidR="00394B3C" w:rsidRPr="00F03917" w:rsidRDefault="00394B3C" w:rsidP="005067FA">
      <w:pPr>
        <w:pStyle w:val="BodyText"/>
        <w:spacing w:after="240"/>
      </w:pPr>
      <w:r w:rsidRPr="00F03917">
        <w:rPr>
          <w:b/>
          <w:bCs/>
        </w:rPr>
        <w:t>Transparency</w:t>
      </w:r>
      <w:r w:rsidRPr="00F03917">
        <w:t xml:space="preserve"> should be integral to risk assessment (section 5.8 of ISO 14091:2021; Thekdi and</w:t>
      </w:r>
      <w:r w:rsidR="000F15D3" w:rsidRPr="00F03917">
        <w:t> </w:t>
      </w:r>
      <w:r w:rsidRPr="00F03917">
        <w:t>Aven, 2023). Ensure</w:t>
      </w:r>
      <w:r w:rsidRPr="00F03917" w:rsidDel="00CA47B0">
        <w:t xml:space="preserve"> </w:t>
      </w:r>
      <w:r w:rsidR="00CA47B0" w:rsidRPr="00F03917">
        <w:t xml:space="preserve">the </w:t>
      </w:r>
      <w:r w:rsidRPr="00F03917">
        <w:t>methodology</w:t>
      </w:r>
      <w:r w:rsidR="00CA47B0" w:rsidRPr="00F03917">
        <w:t xml:space="preserve"> used</w:t>
      </w:r>
      <w:r w:rsidRPr="00F03917">
        <w:t xml:space="preserve"> is known and understood by all parties and documented adequately</w:t>
      </w:r>
      <w:r w:rsidR="00EA3BF9" w:rsidRPr="00F03917">
        <w:t xml:space="preserve"> to understand the steps and decisions taken</w:t>
      </w:r>
      <w:r w:rsidRPr="00F03917">
        <w:t>. Explain the</w:t>
      </w:r>
      <w:r w:rsidR="00A11CC8" w:rsidRPr="00F03917">
        <w:t> </w:t>
      </w:r>
      <w:r w:rsidRPr="00F03917">
        <w:t>strengths and weaknesses of the selected methodology</w:t>
      </w:r>
      <w:r w:rsidR="003067D7" w:rsidRPr="00F03917">
        <w:t xml:space="preserve">, including assumptions and data sources, </w:t>
      </w:r>
      <w:r w:rsidRPr="00F03917">
        <w:t>to ensure credibility.</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5067FA" w:rsidRPr="00F03917" w14:paraId="0B3F70B5" w14:textId="77777777" w:rsidTr="0036266A">
        <w:tc>
          <w:tcPr>
            <w:tcW w:w="8505" w:type="dxa"/>
            <w:shd w:val="clear" w:color="auto" w:fill="D5EBE8" w:themeFill="accent3"/>
          </w:tcPr>
          <w:p w14:paraId="44EE765C" w14:textId="78C1B5D1" w:rsidR="005067FA" w:rsidRPr="00F03917" w:rsidRDefault="005067FA" w:rsidP="005067FA">
            <w:pPr>
              <w:pStyle w:val="Boxtext"/>
              <w:spacing w:before="240" w:after="240"/>
            </w:pPr>
            <w:r w:rsidRPr="00F03917">
              <w:t xml:space="preserve">There is no single best methodology or tool for a climate risk assessment that covers the time-varying, direct and indirect </w:t>
            </w:r>
            <w:r w:rsidR="00C91E23" w:rsidRPr="00F03917">
              <w:t>cascading</w:t>
            </w:r>
            <w:r w:rsidRPr="00F03917">
              <w:t xml:space="preserve"> impacts of climate change.</w:t>
            </w:r>
          </w:p>
        </w:tc>
      </w:tr>
    </w:tbl>
    <w:p w14:paraId="016D2156" w14:textId="6CB7FE67" w:rsidR="00394B3C" w:rsidRPr="00F03917" w:rsidRDefault="00394B3C" w:rsidP="00A54F3E">
      <w:pPr>
        <w:pStyle w:val="BodyText"/>
        <w:keepNext/>
        <w:spacing w:before="240" w:after="240"/>
      </w:pPr>
      <w:r w:rsidRPr="00F03917">
        <w:lastRenderedPageBreak/>
        <w:t>Box</w:t>
      </w:r>
      <w:r w:rsidRPr="00F03917" w:rsidDel="005316CC">
        <w:t xml:space="preserve"> </w:t>
      </w:r>
      <w:r w:rsidR="005316CC" w:rsidRPr="00F03917">
        <w:t>9</w:t>
      </w:r>
      <w:r w:rsidRPr="00F03917">
        <w:t xml:space="preserve"> lists some of the available tools for climate risk assessment, which can be used either separately or </w:t>
      </w:r>
      <w:r w:rsidR="00235FA7" w:rsidRPr="00F03917">
        <w:t xml:space="preserve">in </w:t>
      </w:r>
      <w:r w:rsidR="002B750F" w:rsidRPr="00F03917">
        <w:t xml:space="preserve">combinations of </w:t>
      </w:r>
      <w:r w:rsidR="00C91E23" w:rsidRPr="00F03917">
        <w:t>approaches</w:t>
      </w:r>
      <w:r w:rsidR="002B750F" w:rsidRPr="00F03917">
        <w:t xml:space="preserve">, to </w:t>
      </w:r>
      <w:r w:rsidR="00C91E23" w:rsidRPr="00F03917">
        <w:t>ensure a range of</w:t>
      </w:r>
      <w:r w:rsidR="002B750F" w:rsidRPr="00F03917">
        <w:t xml:space="preserve"> quantitative and qualitative information</w:t>
      </w:r>
      <w:r w:rsidR="00B642CC" w:rsidRPr="00F03917">
        <w:t xml:space="preserve"> and mātauranga Māori can be </w:t>
      </w:r>
      <w:r w:rsidR="00211596" w:rsidRPr="00F03917">
        <w:t>integrated</w:t>
      </w:r>
      <w:r w:rsidR="002B750F" w:rsidRPr="00F03917">
        <w:t>.</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6FBF9"/>
        <w:tblLook w:val="04A0" w:firstRow="1" w:lastRow="0" w:firstColumn="1" w:lastColumn="0" w:noHBand="0" w:noVBand="1"/>
      </w:tblPr>
      <w:tblGrid>
        <w:gridCol w:w="8505"/>
      </w:tblGrid>
      <w:tr w:rsidR="00394B3C" w:rsidRPr="00F03917" w14:paraId="0D429CDA" w14:textId="77777777" w:rsidTr="009C053D">
        <w:trPr>
          <w:tblHeader/>
        </w:trPr>
        <w:tc>
          <w:tcPr>
            <w:tcW w:w="8505" w:type="dxa"/>
            <w:tcBorders>
              <w:top w:val="single" w:sz="4" w:space="0" w:color="1B556B" w:themeColor="text2"/>
              <w:left w:val="single" w:sz="4" w:space="0" w:color="1B556B" w:themeColor="text2"/>
              <w:bottom w:val="nil"/>
              <w:right w:val="single" w:sz="4" w:space="0" w:color="1B556B" w:themeColor="text2"/>
            </w:tcBorders>
            <w:shd w:val="clear" w:color="auto" w:fill="1B556B" w:themeFill="text2"/>
            <w:vAlign w:val="center"/>
          </w:tcPr>
          <w:p w14:paraId="52A489AD" w14:textId="2658B46E" w:rsidR="00394B3C" w:rsidRPr="00F03917" w:rsidDel="00D5390D" w:rsidRDefault="00394B3C" w:rsidP="005A1E92">
            <w:pPr>
              <w:pStyle w:val="Casestudyheading"/>
            </w:pPr>
            <w:r w:rsidRPr="00F03917">
              <w:t>: c</w:t>
            </w:r>
            <w:bookmarkStart w:id="119" w:name="box8"/>
            <w:bookmarkEnd w:id="119"/>
            <w:r w:rsidRPr="00F03917">
              <w:t>limate risk assessment tools</w:t>
            </w:r>
          </w:p>
        </w:tc>
      </w:tr>
      <w:tr w:rsidR="005A1E92" w:rsidRPr="00F03917" w14:paraId="3BE2F44F" w14:textId="77777777" w:rsidTr="00BE2209">
        <w:tc>
          <w:tcPr>
            <w:tcW w:w="8505" w:type="dxa"/>
            <w:tcBorders>
              <w:top w:val="nil"/>
              <w:left w:val="single" w:sz="4" w:space="0" w:color="D2DDE1" w:themeColor="background2"/>
              <w:bottom w:val="single" w:sz="4" w:space="0" w:color="D2DDE1" w:themeColor="background2"/>
              <w:right w:val="single" w:sz="4" w:space="0" w:color="D2DDE1" w:themeColor="background2"/>
            </w:tcBorders>
            <w:shd w:val="clear" w:color="auto" w:fill="D2DDE1" w:themeFill="background2"/>
          </w:tcPr>
          <w:p w14:paraId="66F86516" w14:textId="6F8E69DA" w:rsidR="005A1E92" w:rsidRPr="00F03917" w:rsidRDefault="005A1E92" w:rsidP="005A1E92">
            <w:pPr>
              <w:pStyle w:val="Boxheading"/>
            </w:pPr>
            <w:r w:rsidRPr="00F03917">
              <w:t>Quantitative methodologies</w:t>
            </w:r>
          </w:p>
          <w:p w14:paraId="624AD9C0" w14:textId="7D6D2BAE" w:rsidR="005A1E92" w:rsidRPr="00F03917" w:rsidRDefault="005A1E92" w:rsidP="005A1E92">
            <w:pPr>
              <w:pStyle w:val="Boxtext"/>
              <w:spacing w:after="60"/>
            </w:pPr>
            <w:r w:rsidRPr="00F03917">
              <w:rPr>
                <w:b/>
              </w:rPr>
              <w:t>RiskScape</w:t>
            </w:r>
            <w:r w:rsidRPr="00F03917">
              <w:rPr>
                <w:b/>
                <w:color w:val="1B556B" w:themeColor="text2"/>
              </w:rPr>
              <w:t>:</w:t>
            </w:r>
            <w:r w:rsidRPr="00F03917">
              <w:rPr>
                <w:color w:val="1B556B" w:themeColor="text2"/>
                <w:vertAlign w:val="superscript"/>
              </w:rPr>
              <w:footnoteReference w:id="64"/>
            </w:r>
            <w:r w:rsidRPr="00F03917">
              <w:t xml:space="preserve"> This open-source spatial data processing application is used for multi-hazard and risk analysis. It is customisable, based on core modules (eg, hazard model input, asset attributes, vulnerability or fragility functions, and adaptation options). Modellers can tailor the analysis and outputs, input their own hazard model and assets data, or use on-board databases (eg, building footprints) and model simulations. It can be used at a range of spatial scales and resolutions. See examples at national scales (Paulik et al, 2021; Simonson and Hall, 20</w:t>
            </w:r>
            <w:r w:rsidR="001B4434" w:rsidRPr="00F03917">
              <w:t>19</w:t>
            </w:r>
            <w:r w:rsidRPr="00F03917">
              <w:t>), down to the local scale assessments (eg, indirect impacts on infrastructure for South Dunedin, Lan et al (2023), and evaluation of the reduction in risk from adaptation options such as Westport flood protection</w:t>
            </w:r>
            <w:r w:rsidR="000D06FD" w:rsidRPr="00F03917">
              <w:t>)</w:t>
            </w:r>
            <w:r w:rsidRPr="00F03917">
              <w:rPr>
                <w:rFonts w:eastAsia="MS Mincho" w:cs="Arial"/>
                <w:color w:val="2C997B"/>
              </w:rPr>
              <w:t>.</w:t>
            </w:r>
            <w:r w:rsidRPr="00F03917">
              <w:rPr>
                <w:rStyle w:val="FootnoteReference"/>
                <w:color w:val="1B556B" w:themeColor="text2"/>
                <w:sz w:val="20"/>
                <w:szCs w:val="20"/>
              </w:rPr>
              <w:footnoteReference w:id="65"/>
            </w:r>
          </w:p>
          <w:p w14:paraId="6C909601" w14:textId="6BAA191C" w:rsidR="005A1E92" w:rsidRPr="00F03917" w:rsidRDefault="009A78AE" w:rsidP="005A1E92">
            <w:pPr>
              <w:pStyle w:val="Boxtext"/>
              <w:keepNext/>
              <w:spacing w:after="80"/>
            </w:pPr>
            <w:r w:rsidRPr="00F03917">
              <w:rPr>
                <w:b/>
              </w:rPr>
              <w:t>Geographic information system (</w:t>
            </w:r>
            <w:r w:rsidR="005A1E92" w:rsidRPr="00F03917">
              <w:rPr>
                <w:b/>
              </w:rPr>
              <w:t>GIS</w:t>
            </w:r>
            <w:r w:rsidRPr="00F03917">
              <w:rPr>
                <w:b/>
              </w:rPr>
              <w:t>)</w:t>
            </w:r>
            <w:r w:rsidR="005A1E92" w:rsidRPr="00F03917">
              <w:rPr>
                <w:b/>
              </w:rPr>
              <w:t xml:space="preserve"> or spatial mapping</w:t>
            </w:r>
            <w:r w:rsidR="005A1E92" w:rsidRPr="00F03917">
              <w:t xml:space="preserve"> application that overlays hazard × asset (exposure) × vulnerability. An example is the regional coastal risk screening for southern Hawke’s Bay coastal units undertaken by Tonkin+Taylor (2016</w:t>
            </w:r>
            <w:r w:rsidR="005A1E92" w:rsidRPr="00F03917" w:rsidDel="003E4203">
              <w:t>b</w:t>
            </w:r>
            <w:r w:rsidR="005A1E92" w:rsidRPr="00F03917">
              <w:t>), which included elements</w:t>
            </w:r>
            <w:r w:rsidR="00F7726C" w:rsidRPr="00F03917">
              <w:t xml:space="preserve"> </w:t>
            </w:r>
            <w:r w:rsidR="005A1E92" w:rsidRPr="00F03917">
              <w:t>at</w:t>
            </w:r>
            <w:r w:rsidR="00F7726C" w:rsidRPr="00F03917">
              <w:t xml:space="preserve"> </w:t>
            </w:r>
            <w:r w:rsidR="005A1E92" w:rsidRPr="00F03917">
              <w:t>risk across four value domains from coastal flooding, erosion and tsunami inundation.</w:t>
            </w:r>
          </w:p>
          <w:p w14:paraId="01D79CDA" w14:textId="55E2F5FB" w:rsidR="005A1E92" w:rsidRPr="00F03917" w:rsidRDefault="005A1E92" w:rsidP="005A1E92">
            <w:pPr>
              <w:pStyle w:val="Boxtext"/>
              <w:spacing w:after="0"/>
              <w:rPr>
                <w:b/>
                <w:bCs/>
                <w:sz w:val="22"/>
                <w:szCs w:val="24"/>
              </w:rPr>
            </w:pPr>
            <w:r w:rsidRPr="00F03917">
              <w:rPr>
                <w:b/>
                <w:bCs/>
                <w:sz w:val="22"/>
                <w:szCs w:val="24"/>
              </w:rPr>
              <w:t>Hybrid methodologies (qualitative/quantitative)</w:t>
            </w:r>
          </w:p>
          <w:p w14:paraId="4758FCB1" w14:textId="4C74EAF5" w:rsidR="005A1E92" w:rsidRPr="00F03917" w:rsidRDefault="005A1E92" w:rsidP="005A1E92">
            <w:pPr>
              <w:pStyle w:val="Boxtext"/>
              <w:spacing w:after="60"/>
            </w:pPr>
            <w:r w:rsidRPr="00F03917">
              <w:rPr>
                <w:b/>
              </w:rPr>
              <w:t>Resilience/risk explorer platform:</w:t>
            </w:r>
            <w:r w:rsidRPr="00F03917">
              <w:t xml:space="preserve"> Risk-informed decision-making platforms that can handle a mix of data and community-sourced information that inform asset management and land-use planning, and risk communication for stakeholder, iwi/hapū and community engagement. An example is the Resilience Explorer dashboard</w:t>
            </w:r>
            <w:r w:rsidRPr="00F03917">
              <w:rPr>
                <w:rFonts w:eastAsia="MS Mincho" w:cs="Arial"/>
                <w:color w:val="2C997B"/>
              </w:rPr>
              <w:t>.</w:t>
            </w:r>
            <w:r w:rsidRPr="00F03917">
              <w:rPr>
                <w:rStyle w:val="FootnoteReference"/>
                <w:rFonts w:eastAsia="MS Mincho" w:cs="Arial"/>
                <w:color w:val="1B556B" w:themeColor="text2"/>
                <w:sz w:val="20"/>
                <w:szCs w:val="20"/>
              </w:rPr>
              <w:footnoteReference w:id="66"/>
            </w:r>
            <w:r w:rsidRPr="00F03917">
              <w:t xml:space="preserve"> It can be used for core spatial information on infrastructure impacts (consistent with RiskScape</w:t>
            </w:r>
            <w:r w:rsidRPr="00F03917">
              <w:rPr>
                <w:rFonts w:eastAsia="MS Mincho" w:cs="Arial"/>
                <w:color w:val="1B556B" w:themeColor="text2"/>
              </w:rPr>
              <w:t xml:space="preserve">), </w:t>
            </w:r>
            <w:r w:rsidRPr="00F03917">
              <w:t>including the analysis of indirect impacts such as isolation and infrastructure service loss.</w:t>
            </w:r>
            <w:r w:rsidRPr="00F03917">
              <w:rPr>
                <w:rStyle w:val="FootnoteReference"/>
                <w:color w:val="1B556B" w:themeColor="text2"/>
                <w:sz w:val="20"/>
                <w:szCs w:val="20"/>
              </w:rPr>
              <w:footnoteReference w:id="67"/>
            </w:r>
          </w:p>
        </w:tc>
      </w:tr>
      <w:tr w:rsidR="00EF74DA" w:rsidRPr="00F03917" w14:paraId="2EE5D1CB" w14:textId="77777777" w:rsidTr="00BE2209">
        <w:tc>
          <w:tcPr>
            <w:tcW w:w="8505" w:type="dxa"/>
            <w:tcBorders>
              <w:top w:val="nil"/>
              <w:left w:val="single" w:sz="4" w:space="0" w:color="D2DDE1" w:themeColor="background2"/>
              <w:bottom w:val="single" w:sz="4" w:space="0" w:color="D2DDE1" w:themeColor="background2"/>
              <w:right w:val="single" w:sz="4" w:space="0" w:color="D2DDE1" w:themeColor="background2"/>
            </w:tcBorders>
            <w:shd w:val="clear" w:color="auto" w:fill="D2DDE1" w:themeFill="background2"/>
          </w:tcPr>
          <w:p w14:paraId="6C07DA8F" w14:textId="647B233E" w:rsidR="005316CC" w:rsidRPr="00F03917" w:rsidRDefault="005316CC" w:rsidP="005316CC">
            <w:pPr>
              <w:pStyle w:val="Boxtext"/>
              <w:spacing w:after="0"/>
              <w:rPr>
                <w:b/>
                <w:bCs/>
                <w:iCs/>
                <w:sz w:val="22"/>
                <w:szCs w:val="24"/>
              </w:rPr>
            </w:pPr>
            <w:r w:rsidRPr="00F03917">
              <w:rPr>
                <w:b/>
                <w:bCs/>
                <w:iCs/>
                <w:sz w:val="22"/>
                <w:szCs w:val="24"/>
              </w:rPr>
              <w:t>Qualitative methodologies</w:t>
            </w:r>
          </w:p>
          <w:p w14:paraId="04588FAC" w14:textId="37DCEBFB" w:rsidR="005316CC" w:rsidRPr="00F03917" w:rsidRDefault="005316CC" w:rsidP="00F461E2">
            <w:pPr>
              <w:pStyle w:val="Boxtext"/>
              <w:spacing w:after="60"/>
            </w:pPr>
            <w:r w:rsidRPr="00F03917">
              <w:rPr>
                <w:b/>
              </w:rPr>
              <w:t>Risk matrices or risk charts</w:t>
            </w:r>
            <w:r w:rsidRPr="00F03917">
              <w:t xml:space="preserve"> can be used to assess and evaluate </w:t>
            </w:r>
            <w:r w:rsidRPr="00F03917">
              <w:rPr>
                <w:i/>
              </w:rPr>
              <w:t>direct element-by-element risks</w:t>
            </w:r>
            <w:r w:rsidRPr="00F03917">
              <w:t xml:space="preserve"> (MfE, 2019, 2021). However, be cautious when summarising risk assessments via risk matrices (eg, a vulnerability–exposure matrix of coloured cells for risk for a given hazard and planning horizon). They have a propensity to assign qualitatively higher ratings to quantitatively smaller risks, and they have poor resolution when only a few combinations (cells) are considered (Cox, 2008). They also do not easily capture the time-varying increase in risk. Interactive risk charts in the form of scatter plots (rather than matrix cells) are more flexible when working with groups, by encircling uncertainty bounds around risk combinations or highlighting where there is disagreement</w:t>
            </w:r>
            <w:r w:rsidR="007131AD" w:rsidRPr="00F03917">
              <w:t xml:space="preserve"> and</w:t>
            </w:r>
            <w:r w:rsidRPr="00F03917">
              <w:t>/</w:t>
            </w:r>
            <w:r w:rsidR="007131AD" w:rsidRPr="00F03917">
              <w:t xml:space="preserve">or </w:t>
            </w:r>
            <w:r w:rsidRPr="00F03917">
              <w:t>uncertainty of a risk ranking or threshold</w:t>
            </w:r>
            <w:r w:rsidRPr="00F03917" w:rsidDel="00D66534">
              <w:t xml:space="preserve"> </w:t>
            </w:r>
            <w:r w:rsidR="00D66534" w:rsidRPr="00F03917">
              <w:t xml:space="preserve">that </w:t>
            </w:r>
            <w:r w:rsidRPr="00F03917">
              <w:t>therefore needs further investigation.</w:t>
            </w:r>
          </w:p>
          <w:p w14:paraId="548C665E" w14:textId="4C22B33C" w:rsidR="005316CC" w:rsidRPr="00F03917" w:rsidRDefault="005316CC" w:rsidP="009C053D">
            <w:pPr>
              <w:pStyle w:val="Boxtext"/>
            </w:pPr>
            <w:r w:rsidRPr="00F03917">
              <w:rPr>
                <w:b/>
              </w:rPr>
              <w:t xml:space="preserve">MfE (2021) templates </w:t>
            </w:r>
            <w:r w:rsidRPr="00F03917">
              <w:t>can be used for both high-level risk screening and detailed risk assessments. While it is stated as optional, it is recommended to also map impact chains or</w:t>
            </w:r>
            <w:r w:rsidR="003C2033" w:rsidRPr="00F03917">
              <w:t> </w:t>
            </w:r>
            <w:r w:rsidRPr="00F03917">
              <w:t xml:space="preserve">systems to uncover place-based risks </w:t>
            </w:r>
            <w:r w:rsidRPr="00F03917">
              <w:rPr>
                <w:rFonts w:eastAsia="MS Mincho" w:cs="Arial"/>
                <w:szCs w:val="20"/>
              </w:rPr>
              <w:t xml:space="preserve">(eg, </w:t>
            </w:r>
            <w:hyperlink w:anchor="figure16" w:history="1">
              <w:r w:rsidRPr="00F03917">
                <w:rPr>
                  <w:rStyle w:val="Hyperlink"/>
                  <w:rFonts w:eastAsia="MS Mincho" w:cs="Arial"/>
                  <w:szCs w:val="20"/>
                </w:rPr>
                <w:t>figure 1</w:t>
              </w:r>
              <w:r w:rsidR="00BE2209" w:rsidRPr="00F03917">
                <w:rPr>
                  <w:rStyle w:val="Hyperlink"/>
                  <w:rFonts w:eastAsia="MS Mincho" w:cs="Arial"/>
                  <w:szCs w:val="20"/>
                </w:rPr>
                <w:t>6</w:t>
              </w:r>
            </w:hyperlink>
            <w:r w:rsidRPr="00F03917">
              <w:rPr>
                <w:rFonts w:eastAsia="MS Mincho" w:cs="Arial"/>
                <w:szCs w:val="20"/>
              </w:rPr>
              <w:t>)</w:t>
            </w:r>
            <w:r w:rsidRPr="00F03917">
              <w:rPr>
                <w:szCs w:val="20"/>
              </w:rPr>
              <w:t xml:space="preserve">. </w:t>
            </w:r>
          </w:p>
          <w:p w14:paraId="293FF66C" w14:textId="59449B4D" w:rsidR="005316CC" w:rsidRPr="00F03917" w:rsidRDefault="005316CC" w:rsidP="00F461E2">
            <w:pPr>
              <w:pStyle w:val="Boxtext"/>
              <w:spacing w:after="60"/>
            </w:pPr>
            <w:r w:rsidRPr="00F03917">
              <w:rPr>
                <w:b/>
              </w:rPr>
              <w:lastRenderedPageBreak/>
              <w:t>Constructing impact chains or systems maps</w:t>
            </w:r>
            <w:r w:rsidRPr="00F03917">
              <w:t xml:space="preserve"> can show cascading impacts within and among value domains </w:t>
            </w:r>
            <w:r w:rsidRPr="00F03917">
              <w:rPr>
                <w:rFonts w:eastAsia="MS Mincho" w:cs="Arial"/>
                <w:szCs w:val="20"/>
              </w:rPr>
              <w:t>(eg, figure 1</w:t>
            </w:r>
            <w:r w:rsidR="00BE2209" w:rsidRPr="00F03917">
              <w:rPr>
                <w:rFonts w:eastAsia="MS Mincho" w:cs="Arial"/>
                <w:szCs w:val="20"/>
              </w:rPr>
              <w:t>6</w:t>
            </w:r>
            <w:r w:rsidRPr="00F03917">
              <w:rPr>
                <w:rFonts w:eastAsia="MS Mincho" w:cs="Arial"/>
                <w:szCs w:val="20"/>
              </w:rPr>
              <w:t>)</w:t>
            </w:r>
            <w:r w:rsidRPr="00F03917">
              <w:rPr>
                <w:rFonts w:eastAsia="MS Mincho" w:cs="Arial"/>
                <w:color w:val="2C997B"/>
              </w:rPr>
              <w:t xml:space="preserve"> </w:t>
            </w:r>
            <w:r w:rsidRPr="00F03917">
              <w:t xml:space="preserve">for indirect and place-based risk assessments (eg, Lawrence et al, 2018, 2020a; </w:t>
            </w:r>
            <w:r w:rsidR="00D464B9" w:rsidRPr="00F03917">
              <w:t>a</w:t>
            </w:r>
            <w:r w:rsidRPr="00F03917">
              <w:t xml:space="preserve">nnex C of ISO 14091:2021). </w:t>
            </w:r>
          </w:p>
          <w:p w14:paraId="15DD51A6" w14:textId="77777777" w:rsidR="005316CC" w:rsidRPr="00F03917" w:rsidRDefault="005316CC" w:rsidP="00F461E2">
            <w:pPr>
              <w:pStyle w:val="Boxtext"/>
              <w:spacing w:after="60"/>
              <w:rPr>
                <w:b/>
              </w:rPr>
            </w:pPr>
            <w:r w:rsidRPr="00F03917">
              <w:rPr>
                <w:b/>
              </w:rPr>
              <w:t>CIrcle tool</w:t>
            </w:r>
            <w:r w:rsidRPr="00F03917">
              <w:rPr>
                <w:sz w:val="22"/>
                <w:vertAlign w:val="superscript"/>
              </w:rPr>
              <w:footnoteReference w:id="68"/>
            </w:r>
            <w:r w:rsidRPr="00F03917">
              <w:t xml:space="preserve"> can be used for interactive systems mapping to explore connectivity among drivers of risk, especially for infrastructure and utility services</w:t>
            </w:r>
            <w:r w:rsidRPr="00F03917" w:rsidDel="00170150">
              <w:t xml:space="preserve"> </w:t>
            </w:r>
            <w:r w:rsidRPr="00F03917">
              <w:t>(Hounjet et al, 2016; Lawrence et al, 2020a). This</w:t>
            </w:r>
            <w:r w:rsidRPr="00F03917" w:rsidDel="00170150">
              <w:t xml:space="preserve"> </w:t>
            </w:r>
            <w:r w:rsidRPr="00F03917">
              <w:t>feeds into a place-based risk assessment via collaborative workshops</w:t>
            </w:r>
            <w:r w:rsidRPr="00F03917">
              <w:rPr>
                <w:b/>
              </w:rPr>
              <w:t>.</w:t>
            </w:r>
          </w:p>
          <w:p w14:paraId="6691FA8F" w14:textId="0854A2AA" w:rsidR="005316CC" w:rsidRPr="00F03917" w:rsidRDefault="005316CC" w:rsidP="00F461E2">
            <w:pPr>
              <w:pStyle w:val="Boxtext"/>
              <w:spacing w:after="60"/>
              <w:rPr>
                <w:b/>
                <w:bCs/>
                <w:iCs/>
                <w:sz w:val="22"/>
                <w:szCs w:val="24"/>
              </w:rPr>
            </w:pPr>
            <w:r w:rsidRPr="00F03917">
              <w:rPr>
                <w:b/>
                <w:bCs/>
                <w:iCs/>
                <w:sz w:val="22"/>
                <w:szCs w:val="24"/>
              </w:rPr>
              <w:t>Combined mapping</w:t>
            </w:r>
            <w:r w:rsidR="00D54D2F" w:rsidRPr="00F03917">
              <w:rPr>
                <w:b/>
                <w:bCs/>
                <w:iCs/>
                <w:sz w:val="22"/>
                <w:szCs w:val="24"/>
              </w:rPr>
              <w:t xml:space="preserve"> and </w:t>
            </w:r>
            <w:r w:rsidRPr="00F03917">
              <w:rPr>
                <w:b/>
                <w:bCs/>
                <w:iCs/>
                <w:sz w:val="22"/>
                <w:szCs w:val="24"/>
              </w:rPr>
              <w:t>GIS approaches</w:t>
            </w:r>
          </w:p>
          <w:p w14:paraId="1AF11CAD" w14:textId="6B6DC2DE" w:rsidR="00EF74DA" w:rsidRPr="00F03917" w:rsidRDefault="005316CC" w:rsidP="007B2DC7">
            <w:pPr>
              <w:pStyle w:val="Boxtext"/>
              <w:spacing w:before="0" w:after="180"/>
              <w:rPr>
                <w:i/>
                <w:iCs/>
              </w:rPr>
            </w:pPr>
            <w:r w:rsidRPr="00F03917">
              <w:t>Combined approaches use GIS or other mapping platforms to integrate quantitative and qualitative findings, including narratives, observations and mātauranga Māori. Compiling such</w:t>
            </w:r>
            <w:r w:rsidR="003C2033" w:rsidRPr="00F03917">
              <w:t> </w:t>
            </w:r>
            <w:r w:rsidRPr="00F03917">
              <w:t xml:space="preserve">information helps evaluate and prioritise local </w:t>
            </w:r>
            <w:r w:rsidR="001C5B0F" w:rsidRPr="00F03917">
              <w:t>and</w:t>
            </w:r>
            <w:r w:rsidRPr="00F03917">
              <w:t xml:space="preserve"> wider-scale risks and hotspots.</w:t>
            </w:r>
          </w:p>
        </w:tc>
      </w:tr>
    </w:tbl>
    <w:bookmarkEnd w:id="118"/>
    <w:p w14:paraId="62DB183D" w14:textId="77777777" w:rsidR="00AF2DCF" w:rsidRPr="00F03917" w:rsidRDefault="00AF2DCF" w:rsidP="007B2DC7">
      <w:pPr>
        <w:pStyle w:val="Heading5"/>
        <w:spacing w:before="400"/>
      </w:pPr>
      <w:r w:rsidRPr="00F03917">
        <w:lastRenderedPageBreak/>
        <w:t>Engagement</w:t>
      </w:r>
    </w:p>
    <w:p w14:paraId="0A3DC6A3" w14:textId="561EEABD" w:rsidR="00AF2DCF" w:rsidRPr="00F03917" w:rsidRDefault="00AF2DCF" w:rsidP="008E26D5">
      <w:pPr>
        <w:pStyle w:val="BodyText"/>
      </w:pPr>
      <w:r w:rsidRPr="00F03917">
        <w:t>Risk assessment is more than a technocratic process. It needs a specific plan on the roles and expectations and level of engagement with different parties and partners at the start of the assessment, during and at the end of the process (to communicate the findings). This may be a</w:t>
      </w:r>
      <w:r w:rsidR="00947DDA" w:rsidRPr="00F03917">
        <w:t xml:space="preserve"> slightly</w:t>
      </w:r>
      <w:r w:rsidRPr="00F03917">
        <w:t xml:space="preserve"> different engagement process than that used for the </w:t>
      </w:r>
      <w:r w:rsidR="00A5579C" w:rsidRPr="00F03917">
        <w:t xml:space="preserve">DAPP </w:t>
      </w:r>
      <w:r w:rsidR="00CD6922" w:rsidRPr="00F03917">
        <w:t xml:space="preserve">approach and developing </w:t>
      </w:r>
      <w:r w:rsidR="00EC6E30" w:rsidRPr="00F03917">
        <w:t>an</w:t>
      </w:r>
      <w:r w:rsidR="00CD6922" w:rsidRPr="00F03917">
        <w:t xml:space="preserve"> adaptive planning</w:t>
      </w:r>
      <w:r w:rsidR="00A5579C" w:rsidRPr="00F03917">
        <w:t xml:space="preserve"> strategy</w:t>
      </w:r>
      <w:r w:rsidRPr="00F03917">
        <w:t xml:space="preserve">, particularly if </w:t>
      </w:r>
      <w:r w:rsidR="00EA269F" w:rsidRPr="00F03917">
        <w:t xml:space="preserve">the risk assessment </w:t>
      </w:r>
      <w:r w:rsidRPr="00F03917">
        <w:t xml:space="preserve">is part of a general climate risk assessment at a regional </w:t>
      </w:r>
      <w:r w:rsidR="00276CFB" w:rsidRPr="00F03917">
        <w:t xml:space="preserve">or </w:t>
      </w:r>
      <w:r w:rsidRPr="00F03917">
        <w:t xml:space="preserve">district scale. More details on engagement are set out in </w:t>
      </w:r>
      <w:hyperlink w:anchor="_Supplements" w:history="1">
        <w:r w:rsidR="005E37D0" w:rsidRPr="00F03917">
          <w:rPr>
            <w:rStyle w:val="Hyperlink"/>
            <w:i/>
          </w:rPr>
          <w:t>Community engagement principles and approaches, and practice methods: Coastal hazards and climate change guidance – Supplement B</w:t>
        </w:r>
      </w:hyperlink>
      <w:r w:rsidRPr="00F03917">
        <w:t>.</w:t>
      </w:r>
    </w:p>
    <w:p w14:paraId="000CBCAB" w14:textId="7B74D66C" w:rsidR="000B5C5F" w:rsidRPr="00F03917" w:rsidRDefault="000B5C5F" w:rsidP="00F461E2">
      <w:pPr>
        <w:pStyle w:val="BodyText"/>
      </w:pPr>
      <w:r w:rsidRPr="00F03917">
        <w:rPr>
          <w:rFonts w:eastAsia="MS Mincho" w:cs="Arial"/>
        </w:rPr>
        <w:t>Table 1</w:t>
      </w:r>
      <w:r w:rsidR="00C93F81" w:rsidRPr="00F03917">
        <w:rPr>
          <w:rFonts w:eastAsia="MS Mincho" w:cs="Arial"/>
        </w:rPr>
        <w:t>3</w:t>
      </w:r>
      <w:r w:rsidRPr="00F03917">
        <w:rPr>
          <w:rFonts w:eastAsia="MS Mincho" w:cs="Arial"/>
        </w:rPr>
        <w:t xml:space="preserve"> outlines a </w:t>
      </w:r>
      <w:r w:rsidRPr="00F03917">
        <w:t xml:space="preserve">process for setting up and undertaking each </w:t>
      </w:r>
      <w:r w:rsidR="000D0518" w:rsidRPr="00F03917">
        <w:t>task in a</w:t>
      </w:r>
      <w:r w:rsidRPr="00F03917" w:rsidDel="000D0518">
        <w:t xml:space="preserve"> </w:t>
      </w:r>
      <w:r w:rsidRPr="00F03917">
        <w:t>coastal climate risk assessment, with stated alignment to policies in the</w:t>
      </w:r>
      <w:r w:rsidR="00507DC1" w:rsidRPr="00F03917">
        <w:t xml:space="preserve"> New Zealand Coastal Policy Statement</w:t>
      </w:r>
      <w:r w:rsidRPr="00F03917">
        <w:t xml:space="preserve"> </w:t>
      </w:r>
      <w:r w:rsidR="00507DC1" w:rsidRPr="00F03917">
        <w:t>(</w:t>
      </w:r>
      <w:r w:rsidRPr="00F03917">
        <w:t>NZCPS</w:t>
      </w:r>
      <w:r w:rsidR="00507DC1" w:rsidRPr="00F03917">
        <w:t>)</w:t>
      </w:r>
      <w:r w:rsidR="00956E50" w:rsidRPr="00F03917">
        <w:t xml:space="preserve"> (DOC, 2010)</w:t>
      </w:r>
      <w:r w:rsidRPr="00F03917">
        <w:t xml:space="preserve"> and relevant risk guidance (eg, MfE, 2021) and ISO standards (ISO 14092:2020 and ISO 14091:2021)</w:t>
      </w:r>
      <w:r w:rsidRPr="00F03917">
        <w:rPr>
          <w:rFonts w:eastAsia="MS Mincho" w:cs="Arial"/>
        </w:rPr>
        <w:t>. Each phase is described in more detail below.</w:t>
      </w:r>
    </w:p>
    <w:p w14:paraId="33B18170" w14:textId="76340FF6" w:rsidR="00394B3C" w:rsidRPr="00F03917" w:rsidRDefault="00394B3C" w:rsidP="006258D2">
      <w:pPr>
        <w:pStyle w:val="Tableheading"/>
      </w:pPr>
      <w:bookmarkStart w:id="120" w:name="table13"/>
      <w:bookmarkStart w:id="121" w:name="_Toc160098407"/>
      <w:r w:rsidRPr="00F03917">
        <w:t xml:space="preserve">Process </w:t>
      </w:r>
      <w:bookmarkEnd w:id="120"/>
      <w:r w:rsidRPr="00F03917">
        <w:t>for assessing climate risks in coastal areas</w:t>
      </w:r>
      <w:bookmarkEnd w:id="121"/>
      <w:r w:rsidRPr="00F03917">
        <w:t xml:space="preserve"> </w:t>
      </w:r>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ayout w:type="fixed"/>
        <w:tblCellMar>
          <w:left w:w="85" w:type="dxa"/>
          <w:right w:w="57" w:type="dxa"/>
        </w:tblCellMar>
        <w:tblLook w:val="04A0" w:firstRow="1" w:lastRow="0" w:firstColumn="1" w:lastColumn="0" w:noHBand="0" w:noVBand="1"/>
      </w:tblPr>
      <w:tblGrid>
        <w:gridCol w:w="2127"/>
        <w:gridCol w:w="2693"/>
        <w:gridCol w:w="3685"/>
      </w:tblGrid>
      <w:tr w:rsidR="001A5260" w:rsidRPr="00F03917" w14:paraId="1FC88296" w14:textId="77777777" w:rsidTr="000C2EC3">
        <w:trPr>
          <w:tblHeader/>
        </w:trPr>
        <w:tc>
          <w:tcPr>
            <w:tcW w:w="2127" w:type="dxa"/>
            <w:shd w:val="clear" w:color="auto" w:fill="1B556B" w:themeFill="text2"/>
            <w:vAlign w:val="bottom"/>
          </w:tcPr>
          <w:p w14:paraId="2FEBBD5E" w14:textId="2514DBC2" w:rsidR="001A5260" w:rsidRPr="00F03917" w:rsidRDefault="00BA631D" w:rsidP="00B64C5C">
            <w:pPr>
              <w:pStyle w:val="TableTextbold"/>
              <w:spacing w:before="40" w:after="40"/>
              <w:rPr>
                <w:color w:val="FFFFFF" w:themeColor="background1"/>
              </w:rPr>
            </w:pPr>
            <w:r w:rsidRPr="00F03917">
              <w:rPr>
                <w:color w:val="FFFFFF" w:themeColor="background1"/>
              </w:rPr>
              <w:t>Task</w:t>
            </w:r>
          </w:p>
        </w:tc>
        <w:tc>
          <w:tcPr>
            <w:tcW w:w="2693" w:type="dxa"/>
            <w:shd w:val="clear" w:color="auto" w:fill="1B556B" w:themeFill="text2"/>
            <w:vAlign w:val="bottom"/>
          </w:tcPr>
          <w:p w14:paraId="40A90E32" w14:textId="4BEB0405" w:rsidR="001A5260" w:rsidRPr="00F03917" w:rsidRDefault="00351856" w:rsidP="00B64C5C">
            <w:pPr>
              <w:pStyle w:val="TableTextbold"/>
              <w:spacing w:before="40" w:after="40"/>
              <w:rPr>
                <w:color w:val="FFFFFF" w:themeColor="background1"/>
              </w:rPr>
            </w:pPr>
            <w:r w:rsidRPr="00F03917">
              <w:rPr>
                <w:color w:val="FFFFFF" w:themeColor="background1"/>
              </w:rPr>
              <w:t>N</w:t>
            </w:r>
            <w:r w:rsidR="0052612F" w:rsidRPr="00F03917">
              <w:rPr>
                <w:color w:val="FFFFFF" w:themeColor="background1"/>
              </w:rPr>
              <w:t xml:space="preserve">ew </w:t>
            </w:r>
            <w:r w:rsidRPr="00F03917">
              <w:rPr>
                <w:color w:val="FFFFFF" w:themeColor="background1"/>
              </w:rPr>
              <w:t>Z</w:t>
            </w:r>
            <w:r w:rsidR="0052612F" w:rsidRPr="00F03917">
              <w:rPr>
                <w:color w:val="FFFFFF" w:themeColor="background1"/>
              </w:rPr>
              <w:t xml:space="preserve">ealand </w:t>
            </w:r>
            <w:r w:rsidRPr="00F03917">
              <w:rPr>
                <w:color w:val="FFFFFF" w:themeColor="background1"/>
              </w:rPr>
              <w:t>C</w:t>
            </w:r>
            <w:r w:rsidR="0052612F" w:rsidRPr="00F03917">
              <w:rPr>
                <w:color w:val="FFFFFF" w:themeColor="background1"/>
              </w:rPr>
              <w:t xml:space="preserve">oastal </w:t>
            </w:r>
            <w:r w:rsidRPr="00F03917">
              <w:rPr>
                <w:color w:val="FFFFFF" w:themeColor="background1"/>
              </w:rPr>
              <w:t>P</w:t>
            </w:r>
            <w:r w:rsidR="0052612F" w:rsidRPr="00F03917">
              <w:rPr>
                <w:color w:val="FFFFFF" w:themeColor="background1"/>
              </w:rPr>
              <w:t xml:space="preserve">olicy </w:t>
            </w:r>
            <w:r w:rsidRPr="00F03917">
              <w:rPr>
                <w:color w:val="FFFFFF" w:themeColor="background1"/>
              </w:rPr>
              <w:t>S</w:t>
            </w:r>
            <w:r w:rsidR="0052612F" w:rsidRPr="00F03917">
              <w:rPr>
                <w:color w:val="FFFFFF" w:themeColor="background1"/>
              </w:rPr>
              <w:t>tatement</w:t>
            </w:r>
            <w:r w:rsidRPr="00F03917">
              <w:rPr>
                <w:color w:val="FFFFFF" w:themeColor="background1"/>
              </w:rPr>
              <w:t xml:space="preserve"> </w:t>
            </w:r>
            <w:r w:rsidR="007667A7" w:rsidRPr="00F03917">
              <w:rPr>
                <w:color w:val="FFFFFF" w:themeColor="background1"/>
              </w:rPr>
              <w:t>p</w:t>
            </w:r>
            <w:r w:rsidRPr="00F03917">
              <w:rPr>
                <w:color w:val="FFFFFF" w:themeColor="background1"/>
              </w:rPr>
              <w:t>olicies, standards and</w:t>
            </w:r>
            <w:r w:rsidR="001F1725" w:rsidRPr="00F03917">
              <w:rPr>
                <w:color w:val="FFFFFF" w:themeColor="background1"/>
              </w:rPr>
              <w:t> </w:t>
            </w:r>
            <w:r w:rsidRPr="00F03917">
              <w:rPr>
                <w:color w:val="FFFFFF" w:themeColor="background1"/>
              </w:rPr>
              <w:t>guidance</w:t>
            </w:r>
          </w:p>
        </w:tc>
        <w:tc>
          <w:tcPr>
            <w:tcW w:w="3685" w:type="dxa"/>
            <w:shd w:val="clear" w:color="auto" w:fill="1B556B" w:themeFill="text2"/>
            <w:vAlign w:val="bottom"/>
          </w:tcPr>
          <w:p w14:paraId="01CC904D" w14:textId="38ED7639" w:rsidR="001A5260" w:rsidRPr="00F03917" w:rsidRDefault="1FA04EF9" w:rsidP="00B64C5C">
            <w:pPr>
              <w:pStyle w:val="TableTextbold"/>
              <w:spacing w:before="40" w:after="40"/>
              <w:rPr>
                <w:color w:val="FFFFFF" w:themeColor="background1"/>
              </w:rPr>
            </w:pPr>
            <w:r w:rsidRPr="00F03917">
              <w:rPr>
                <w:color w:val="FFFFFF" w:themeColor="background1"/>
              </w:rPr>
              <w:t>Description</w:t>
            </w:r>
          </w:p>
        </w:tc>
      </w:tr>
      <w:tr w:rsidR="001A5260" w:rsidRPr="00F03917" w14:paraId="429BE1BE" w14:textId="77777777" w:rsidTr="000C2EC3">
        <w:trPr>
          <w:trHeight w:val="300"/>
        </w:trPr>
        <w:tc>
          <w:tcPr>
            <w:tcW w:w="2127" w:type="dxa"/>
          </w:tcPr>
          <w:p w14:paraId="6A467934" w14:textId="7A70A3A5" w:rsidR="001A5260" w:rsidRPr="00F03917" w:rsidRDefault="00351856" w:rsidP="00B64C5C">
            <w:pPr>
              <w:pStyle w:val="TableText"/>
              <w:spacing w:before="40" w:after="40"/>
            </w:pPr>
            <w:r w:rsidRPr="00F03917">
              <w:t>Task</w:t>
            </w:r>
            <w:r w:rsidR="001A5260" w:rsidRPr="00F03917">
              <w:t xml:space="preserve"> 1: Getting started (pre-planning) </w:t>
            </w:r>
          </w:p>
        </w:tc>
        <w:tc>
          <w:tcPr>
            <w:tcW w:w="2693" w:type="dxa"/>
          </w:tcPr>
          <w:p w14:paraId="439197DA" w14:textId="421CF350" w:rsidR="001A5260" w:rsidRPr="00F03917" w:rsidRDefault="00841C44" w:rsidP="00B64C5C">
            <w:pPr>
              <w:pStyle w:val="TableText"/>
              <w:spacing w:before="40" w:after="40"/>
            </w:pPr>
            <w:r w:rsidRPr="00F03917">
              <w:t xml:space="preserve">Policies 2 </w:t>
            </w:r>
            <w:r w:rsidR="00853E42" w:rsidRPr="00F03917">
              <w:t>and</w:t>
            </w:r>
            <w:r w:rsidRPr="00F03917">
              <w:t xml:space="preserve"> 4, </w:t>
            </w:r>
            <w:r w:rsidR="00E958C9" w:rsidRPr="00F03917">
              <w:t xml:space="preserve">ISO </w:t>
            </w:r>
            <w:r w:rsidRPr="00F03917">
              <w:t>14091</w:t>
            </w:r>
            <w:r w:rsidR="00692771" w:rsidRPr="00F03917">
              <w:t>:</w:t>
            </w:r>
            <w:r w:rsidR="006E656C" w:rsidRPr="00F03917">
              <w:t>2</w:t>
            </w:r>
            <w:r w:rsidRPr="00F03917">
              <w:t>021, MfE (2021)</w:t>
            </w:r>
          </w:p>
        </w:tc>
        <w:tc>
          <w:tcPr>
            <w:tcW w:w="3685" w:type="dxa"/>
          </w:tcPr>
          <w:p w14:paraId="2CA4A006" w14:textId="0C12DF0F" w:rsidR="001A5260" w:rsidRPr="00F03917" w:rsidRDefault="007E0937" w:rsidP="00B64C5C">
            <w:pPr>
              <w:pStyle w:val="TableText"/>
              <w:spacing w:before="40" w:after="40"/>
            </w:pPr>
            <w:r w:rsidRPr="00F03917">
              <w:t>Buy-in: objectives, purposes, governance</w:t>
            </w:r>
            <w:r w:rsidR="00161707" w:rsidRPr="00F03917">
              <w:t xml:space="preserve"> and </w:t>
            </w:r>
            <w:r w:rsidRPr="00F03917">
              <w:t xml:space="preserve">integration, multiple uses, resourcing capability to implement the risk assessment, level of engagement, use of mātauranga </w:t>
            </w:r>
            <w:r w:rsidR="007D35F8" w:rsidRPr="00F03917">
              <w:t>M</w:t>
            </w:r>
            <w:r w:rsidR="008C46D0" w:rsidRPr="00F03917">
              <w:t xml:space="preserve">āori </w:t>
            </w:r>
            <w:r w:rsidRPr="00F03917">
              <w:t>and local knowledge</w:t>
            </w:r>
            <w:r w:rsidR="00B3229D" w:rsidRPr="00F03917">
              <w:t>.</w:t>
            </w:r>
          </w:p>
        </w:tc>
      </w:tr>
      <w:tr w:rsidR="001A5260" w:rsidRPr="00F03917" w14:paraId="1636B85D" w14:textId="77777777" w:rsidTr="000C2EC3">
        <w:trPr>
          <w:trHeight w:val="300"/>
        </w:trPr>
        <w:tc>
          <w:tcPr>
            <w:tcW w:w="2127" w:type="dxa"/>
          </w:tcPr>
          <w:p w14:paraId="71300E83" w14:textId="34AEF823" w:rsidR="001A5260" w:rsidRPr="00F03917" w:rsidRDefault="00351856" w:rsidP="00B64C5C">
            <w:pPr>
              <w:pStyle w:val="TableText"/>
              <w:spacing w:before="40" w:after="40"/>
            </w:pPr>
            <w:r w:rsidRPr="00F03917">
              <w:t>Task</w:t>
            </w:r>
            <w:r w:rsidR="001A5260" w:rsidRPr="00F03917">
              <w:t xml:space="preserve"> 2: Context and set</w:t>
            </w:r>
            <w:r w:rsidR="00161707" w:rsidRPr="00F03917">
              <w:t xml:space="preserve"> </w:t>
            </w:r>
            <w:r w:rsidR="001A5260" w:rsidRPr="00F03917">
              <w:t xml:space="preserve">up </w:t>
            </w:r>
          </w:p>
        </w:tc>
        <w:tc>
          <w:tcPr>
            <w:tcW w:w="2693" w:type="dxa"/>
          </w:tcPr>
          <w:p w14:paraId="68A2E8C5" w14:textId="6CAD6C96" w:rsidR="001A5260" w:rsidRPr="00F03917" w:rsidRDefault="00942DE9" w:rsidP="00B64C5C">
            <w:pPr>
              <w:pStyle w:val="TableText"/>
              <w:spacing w:before="40" w:after="40"/>
            </w:pPr>
            <w:r w:rsidRPr="00F03917">
              <w:t xml:space="preserve">Policies 1 </w:t>
            </w:r>
            <w:r w:rsidR="00853E42" w:rsidRPr="00F03917">
              <w:t>and</w:t>
            </w:r>
            <w:r w:rsidRPr="00F03917">
              <w:t xml:space="preserve"> 24; IS</w:t>
            </w:r>
            <w:r w:rsidR="00E958C9" w:rsidRPr="00F03917">
              <w:t xml:space="preserve">O </w:t>
            </w:r>
            <w:r w:rsidRPr="00F03917">
              <w:t>14091</w:t>
            </w:r>
            <w:r w:rsidR="00692771" w:rsidRPr="00F03917">
              <w:t>:</w:t>
            </w:r>
            <w:r w:rsidRPr="00F03917">
              <w:t>2021; MfE (2021); ISO 14090</w:t>
            </w:r>
            <w:r w:rsidR="00692771" w:rsidRPr="00F03917">
              <w:t>:</w:t>
            </w:r>
            <w:r w:rsidRPr="00F03917">
              <w:t>2019</w:t>
            </w:r>
          </w:p>
        </w:tc>
        <w:tc>
          <w:tcPr>
            <w:tcW w:w="3685" w:type="dxa"/>
          </w:tcPr>
          <w:p w14:paraId="5BA9A549" w14:textId="39A8D059" w:rsidR="00A728F2" w:rsidRPr="00F03917" w:rsidRDefault="00A728F2" w:rsidP="00B64C5C">
            <w:pPr>
              <w:pStyle w:val="TableText"/>
              <w:spacing w:before="40" w:after="40"/>
            </w:pPr>
            <w:r w:rsidRPr="00F03917">
              <w:t xml:space="preserve">Determine scope, system boundaries, organising value domains, scenarios (climate, </w:t>
            </w:r>
            <w:r w:rsidR="2C33BDD2" w:rsidRPr="00F03917">
              <w:t>socio</w:t>
            </w:r>
            <w:r w:rsidR="451E014A" w:rsidRPr="00F03917">
              <w:t>-</w:t>
            </w:r>
            <w:r w:rsidR="2C33BDD2" w:rsidRPr="00F03917">
              <w:t>economic</w:t>
            </w:r>
            <w:r w:rsidRPr="00F03917">
              <w:t xml:space="preserve">), which qualitative/quantitative methods, outputs </w:t>
            </w:r>
            <w:r w:rsidR="00853E42" w:rsidRPr="00F03917">
              <w:t>and</w:t>
            </w:r>
            <w:r w:rsidRPr="00F03917">
              <w:t xml:space="preserve"> expected outcomes, budget</w:t>
            </w:r>
            <w:r w:rsidR="00B3229D" w:rsidRPr="00F03917">
              <w:t>.</w:t>
            </w:r>
          </w:p>
        </w:tc>
      </w:tr>
      <w:tr w:rsidR="001A5260" w:rsidRPr="00F03917" w14:paraId="40863C49" w14:textId="77777777" w:rsidTr="007F2DAE">
        <w:trPr>
          <w:cantSplit/>
          <w:trHeight w:val="300"/>
        </w:trPr>
        <w:tc>
          <w:tcPr>
            <w:tcW w:w="2127" w:type="dxa"/>
          </w:tcPr>
          <w:p w14:paraId="4C4B8F44" w14:textId="38882CA3" w:rsidR="001A5260" w:rsidRPr="00F03917" w:rsidRDefault="00351856" w:rsidP="00B64C5C">
            <w:pPr>
              <w:pStyle w:val="TableText"/>
              <w:spacing w:before="40" w:after="40"/>
            </w:pPr>
            <w:r w:rsidRPr="00F03917">
              <w:lastRenderedPageBreak/>
              <w:t xml:space="preserve">Task </w:t>
            </w:r>
            <w:r w:rsidR="001A5260" w:rsidRPr="00F03917">
              <w:t xml:space="preserve">3.1: Identify </w:t>
            </w:r>
            <w:r w:rsidR="00161707" w:rsidRPr="00F03917">
              <w:t>and</w:t>
            </w:r>
            <w:r w:rsidR="001A5260" w:rsidRPr="00F03917">
              <w:t xml:space="preserve"> prepare data</w:t>
            </w:r>
            <w:r w:rsidR="00161707" w:rsidRPr="00F03917">
              <w:t xml:space="preserve"> and </w:t>
            </w:r>
            <w:r w:rsidR="001A5260" w:rsidRPr="00F03917">
              <w:t xml:space="preserve">information </w:t>
            </w:r>
          </w:p>
        </w:tc>
        <w:tc>
          <w:tcPr>
            <w:tcW w:w="2693" w:type="dxa"/>
          </w:tcPr>
          <w:p w14:paraId="58155D1C" w14:textId="4456C5F9" w:rsidR="00295EF6" w:rsidRPr="00F03917" w:rsidRDefault="00295EF6" w:rsidP="00B64C5C">
            <w:pPr>
              <w:pStyle w:val="TableText"/>
              <w:spacing w:before="40" w:after="40"/>
            </w:pPr>
            <w:r w:rsidRPr="00F03917">
              <w:t xml:space="preserve">Policy 24; </w:t>
            </w:r>
            <w:r w:rsidR="00E958C9" w:rsidRPr="00F03917">
              <w:t xml:space="preserve">ISO </w:t>
            </w:r>
            <w:r w:rsidRPr="00F03917">
              <w:t>14091</w:t>
            </w:r>
            <w:r w:rsidR="00692771" w:rsidRPr="00F03917">
              <w:t>:</w:t>
            </w:r>
            <w:r w:rsidRPr="00F03917">
              <w:t>2021; MfE (2021)</w:t>
            </w:r>
          </w:p>
        </w:tc>
        <w:tc>
          <w:tcPr>
            <w:tcW w:w="3685" w:type="dxa"/>
          </w:tcPr>
          <w:p w14:paraId="09C4087C" w14:textId="7561569A" w:rsidR="00485C4B" w:rsidRPr="00F03917" w:rsidRDefault="00485C4B" w:rsidP="00B64C5C">
            <w:pPr>
              <w:pStyle w:val="TableText"/>
              <w:spacing w:before="40" w:after="40"/>
            </w:pPr>
            <w:r w:rsidRPr="00F03917">
              <w:t>Involves identifying types and range of hazards (incl</w:t>
            </w:r>
            <w:r w:rsidR="00B95404" w:rsidRPr="00F03917">
              <w:t>uding</w:t>
            </w:r>
            <w:r w:rsidRPr="00F03917">
              <w:t xml:space="preserve"> compounding) and system elements potentially at risk, data availability and conceptual cascades or impact chains, data inventory</w:t>
            </w:r>
            <w:r w:rsidR="00B3229D" w:rsidRPr="00F03917">
              <w:t>.</w:t>
            </w:r>
          </w:p>
        </w:tc>
      </w:tr>
      <w:tr w:rsidR="001A5260" w:rsidRPr="00F03917" w14:paraId="3AF40E34" w14:textId="77777777" w:rsidTr="000C2EC3">
        <w:trPr>
          <w:trHeight w:val="300"/>
        </w:trPr>
        <w:tc>
          <w:tcPr>
            <w:tcW w:w="2127" w:type="dxa"/>
          </w:tcPr>
          <w:p w14:paraId="78C3A20B" w14:textId="4E726024" w:rsidR="001A5260" w:rsidRPr="00F03917" w:rsidRDefault="00351856" w:rsidP="007B2DC7">
            <w:pPr>
              <w:pStyle w:val="TableText"/>
              <w:keepNext/>
              <w:spacing w:before="40" w:after="40"/>
            </w:pPr>
            <w:r w:rsidRPr="00F03917">
              <w:t xml:space="preserve">Task </w:t>
            </w:r>
            <w:r w:rsidR="001A5260" w:rsidRPr="00F03917">
              <w:t xml:space="preserve">3.2: High-level risk screening </w:t>
            </w:r>
          </w:p>
        </w:tc>
        <w:tc>
          <w:tcPr>
            <w:tcW w:w="2693" w:type="dxa"/>
          </w:tcPr>
          <w:p w14:paraId="4BD162CC" w14:textId="4FF5B6CD" w:rsidR="001A5260" w:rsidRPr="00F03917" w:rsidRDefault="00C71530" w:rsidP="00B64C5C">
            <w:pPr>
              <w:pStyle w:val="TableText"/>
              <w:spacing w:before="40" w:after="40"/>
            </w:pPr>
            <w:r w:rsidRPr="00F03917">
              <w:t>Policy 24; IS</w:t>
            </w:r>
            <w:r w:rsidR="00E958C9" w:rsidRPr="00F03917">
              <w:t xml:space="preserve">O </w:t>
            </w:r>
            <w:r w:rsidRPr="00F03917">
              <w:t>14091</w:t>
            </w:r>
            <w:r w:rsidR="00692771" w:rsidRPr="00F03917">
              <w:t>:</w:t>
            </w:r>
            <w:r w:rsidRPr="00F03917">
              <w:t>2021; MfE (2021)</w:t>
            </w:r>
          </w:p>
        </w:tc>
        <w:tc>
          <w:tcPr>
            <w:tcW w:w="3685" w:type="dxa"/>
          </w:tcPr>
          <w:p w14:paraId="042C84EC" w14:textId="18C6F8F9" w:rsidR="004F4B2E" w:rsidRPr="00F03917" w:rsidRDefault="004F4B2E" w:rsidP="00B64C5C">
            <w:pPr>
              <w:pStyle w:val="TableText"/>
              <w:spacing w:before="40" w:after="40"/>
            </w:pPr>
            <w:r w:rsidRPr="00F03917">
              <w:t>Involves assessing hazards, elements and places potentially at risk presently and for an upper-range</w:t>
            </w:r>
            <w:r w:rsidR="005B20D5" w:rsidRPr="00F03917">
              <w:t xml:space="preserve"> s</w:t>
            </w:r>
            <w:r w:rsidRPr="00F03917">
              <w:t>ea-level rise scenario to at least 2130. Rate evidence base and screen for priority, important and unclear hazards and places</w:t>
            </w:r>
            <w:r w:rsidR="00B3229D" w:rsidRPr="00F03917">
              <w:t xml:space="preserve"> and </w:t>
            </w:r>
            <w:r w:rsidRPr="00F03917">
              <w:t xml:space="preserve">networks for next </w:t>
            </w:r>
            <w:r w:rsidR="00351856" w:rsidRPr="00F03917">
              <w:t>task</w:t>
            </w:r>
            <w:r w:rsidRPr="00F03917">
              <w:t>.</w:t>
            </w:r>
          </w:p>
        </w:tc>
      </w:tr>
      <w:tr w:rsidR="001A5260" w:rsidRPr="00F03917" w14:paraId="004B1DFE" w14:textId="77777777" w:rsidTr="000C2EC3">
        <w:trPr>
          <w:trHeight w:val="300"/>
        </w:trPr>
        <w:tc>
          <w:tcPr>
            <w:tcW w:w="2127" w:type="dxa"/>
          </w:tcPr>
          <w:p w14:paraId="3FD1AAC5" w14:textId="1677E29C" w:rsidR="001A5260" w:rsidRPr="00F03917" w:rsidRDefault="00351856" w:rsidP="00B64C5C">
            <w:pPr>
              <w:pStyle w:val="TableText"/>
              <w:spacing w:before="40" w:after="40"/>
            </w:pPr>
            <w:r w:rsidRPr="00F03917">
              <w:t xml:space="preserve">Task </w:t>
            </w:r>
            <w:r w:rsidR="001A5260" w:rsidRPr="00F03917">
              <w:t xml:space="preserve">3.3: Detailed risk assessment </w:t>
            </w:r>
          </w:p>
        </w:tc>
        <w:tc>
          <w:tcPr>
            <w:tcW w:w="2693" w:type="dxa"/>
          </w:tcPr>
          <w:p w14:paraId="5BCBEE1F" w14:textId="56E76B7A" w:rsidR="001A5260" w:rsidRPr="00F03917" w:rsidRDefault="00B468D9" w:rsidP="00B64C5C">
            <w:pPr>
              <w:pStyle w:val="TableText"/>
              <w:spacing w:before="40" w:after="40"/>
            </w:pPr>
            <w:r w:rsidRPr="00F03917">
              <w:t>Policies 24</w:t>
            </w:r>
            <w:r w:rsidR="00B3229D" w:rsidRPr="00F03917">
              <w:t xml:space="preserve">, </w:t>
            </w:r>
            <w:r w:rsidRPr="00F03917">
              <w:t>25</w:t>
            </w:r>
            <w:r w:rsidR="00B3229D" w:rsidRPr="00F03917">
              <w:t xml:space="preserve"> and</w:t>
            </w:r>
            <w:r w:rsidRPr="00F03917">
              <w:t xml:space="preserve"> 27; I</w:t>
            </w:r>
            <w:r w:rsidR="00E65547" w:rsidRPr="00F03917">
              <w:t>S</w:t>
            </w:r>
            <w:r w:rsidR="00E958C9" w:rsidRPr="00F03917">
              <w:t xml:space="preserve">O </w:t>
            </w:r>
            <w:r w:rsidRPr="00F03917">
              <w:t>14091</w:t>
            </w:r>
            <w:r w:rsidR="00692771" w:rsidRPr="00F03917">
              <w:t>:</w:t>
            </w:r>
            <w:r w:rsidRPr="00F03917">
              <w:t>2021; MfE (2021)</w:t>
            </w:r>
          </w:p>
        </w:tc>
        <w:tc>
          <w:tcPr>
            <w:tcW w:w="3685" w:type="dxa"/>
          </w:tcPr>
          <w:p w14:paraId="69912526" w14:textId="7BA10BEA" w:rsidR="00B65898" w:rsidRPr="00F03917" w:rsidRDefault="00B65898" w:rsidP="00B64C5C">
            <w:pPr>
              <w:pStyle w:val="TableText"/>
              <w:spacing w:before="40" w:after="40"/>
            </w:pPr>
            <w:r w:rsidRPr="00F03917">
              <w:t xml:space="preserve">Involves a more detailed assessment of risks from </w:t>
            </w:r>
            <w:r w:rsidR="00351856" w:rsidRPr="00F03917">
              <w:t xml:space="preserve">task </w:t>
            </w:r>
            <w:r w:rsidRPr="00F03917">
              <w:t xml:space="preserve">3.2. Uses a range of </w:t>
            </w:r>
            <w:r w:rsidR="00AF1C14" w:rsidRPr="00F03917">
              <w:t>relative sea-level rise</w:t>
            </w:r>
            <w:r w:rsidRPr="00F03917">
              <w:t xml:space="preserve"> increments (or </w:t>
            </w:r>
            <w:r w:rsidR="00FE6710" w:rsidRPr="00F03917">
              <w:t>projections</w:t>
            </w:r>
            <w:r w:rsidRPr="00F03917">
              <w:t>)</w:t>
            </w:r>
            <w:r w:rsidR="006D5F17" w:rsidRPr="00F03917">
              <w:t xml:space="preserve"> </w:t>
            </w:r>
            <w:r w:rsidR="00AF1C14" w:rsidRPr="00F03917">
              <w:t>plus</w:t>
            </w:r>
            <w:r w:rsidRPr="00F03917">
              <w:t xml:space="preserve"> other climate and socio-economic scenarios. Use quantitative data where available for both exposure and vulnerability. Develop impact chains, geo-spatial analysis (eg, isolation </w:t>
            </w:r>
            <w:r w:rsidR="00055907" w:rsidRPr="00F03917">
              <w:t>and</w:t>
            </w:r>
            <w:r w:rsidRPr="00F03917">
              <w:t xml:space="preserve"> utility outages), risks to people, taonga, environment </w:t>
            </w:r>
            <w:r w:rsidR="00055907" w:rsidRPr="00F03917">
              <w:t>and</w:t>
            </w:r>
            <w:r w:rsidRPr="00F03917">
              <w:t xml:space="preserve"> elements.</w:t>
            </w:r>
          </w:p>
        </w:tc>
      </w:tr>
      <w:tr w:rsidR="001A5260" w:rsidRPr="00F03917" w14:paraId="20AB8B71" w14:textId="77777777" w:rsidTr="000C2EC3">
        <w:trPr>
          <w:trHeight w:val="300"/>
        </w:trPr>
        <w:tc>
          <w:tcPr>
            <w:tcW w:w="2127" w:type="dxa"/>
          </w:tcPr>
          <w:p w14:paraId="5CCA3E10" w14:textId="0C38C82E" w:rsidR="001A5260" w:rsidRPr="00F03917" w:rsidRDefault="00351856" w:rsidP="00B64C5C">
            <w:pPr>
              <w:pStyle w:val="TableText"/>
              <w:spacing w:before="40" w:after="40"/>
            </w:pPr>
            <w:r w:rsidRPr="00F03917">
              <w:t xml:space="preserve">Task </w:t>
            </w:r>
            <w:r w:rsidR="001A5260" w:rsidRPr="00F03917">
              <w:t xml:space="preserve">3.4: Review and communicate risk </w:t>
            </w:r>
          </w:p>
        </w:tc>
        <w:tc>
          <w:tcPr>
            <w:tcW w:w="2693" w:type="dxa"/>
          </w:tcPr>
          <w:p w14:paraId="46D685B3" w14:textId="3ABCEFF5" w:rsidR="001A5260" w:rsidRPr="00F03917" w:rsidRDefault="00821BBB" w:rsidP="00B64C5C">
            <w:pPr>
              <w:pStyle w:val="TableText"/>
              <w:spacing w:before="40" w:after="40"/>
            </w:pPr>
            <w:r w:rsidRPr="00F03917">
              <w:t>Policies 2</w:t>
            </w:r>
            <w:r w:rsidR="00055907" w:rsidRPr="00F03917">
              <w:t xml:space="preserve"> and</w:t>
            </w:r>
            <w:r w:rsidRPr="00F03917">
              <w:t xml:space="preserve"> 4; I</w:t>
            </w:r>
            <w:r w:rsidR="00E65547" w:rsidRPr="00F03917">
              <w:t>S</w:t>
            </w:r>
            <w:r w:rsidR="00E958C9" w:rsidRPr="00F03917">
              <w:t xml:space="preserve">O </w:t>
            </w:r>
            <w:r w:rsidRPr="00F03917">
              <w:t>14091</w:t>
            </w:r>
            <w:r w:rsidR="00692771" w:rsidRPr="00F03917">
              <w:t>:</w:t>
            </w:r>
            <w:r w:rsidRPr="00F03917">
              <w:t>2021; MfE (2021)</w:t>
            </w:r>
          </w:p>
        </w:tc>
        <w:tc>
          <w:tcPr>
            <w:tcW w:w="3685" w:type="dxa"/>
          </w:tcPr>
          <w:p w14:paraId="55BBCCC5" w14:textId="2C713049" w:rsidR="001A5260" w:rsidRPr="00F03917" w:rsidRDefault="001C779F" w:rsidP="00B64C5C">
            <w:pPr>
              <w:pStyle w:val="TableText"/>
              <w:spacing w:before="40" w:after="40"/>
            </w:pPr>
            <w:r w:rsidRPr="00F03917">
              <w:t xml:space="preserve">Review risk and consequence ratings for consistency </w:t>
            </w:r>
            <w:r w:rsidR="00055907" w:rsidRPr="00F03917">
              <w:t>and</w:t>
            </w:r>
            <w:r w:rsidRPr="00F03917">
              <w:t xml:space="preserve"> confidence. Compare coastal areas. Under what conditions does an upward inflexion in risk occur? Thresholds? Opportunities? Produce outputs: maps, impact chains, risk charts, workbooks, online risk explorer, report</w:t>
            </w:r>
            <w:r w:rsidR="0033634E" w:rsidRPr="00F03917">
              <w:t>.</w:t>
            </w:r>
          </w:p>
        </w:tc>
      </w:tr>
    </w:tbl>
    <w:p w14:paraId="0880C9AB" w14:textId="3233170E" w:rsidR="001E0E67" w:rsidRPr="00F03917" w:rsidRDefault="00B12BA2" w:rsidP="00046B24">
      <w:pPr>
        <w:pStyle w:val="Heading3"/>
        <w:numPr>
          <w:ilvl w:val="0"/>
          <w:numId w:val="27"/>
        </w:numPr>
      </w:pPr>
      <w:bookmarkStart w:id="122" w:name="_Hlk139717420"/>
      <w:r w:rsidRPr="00F03917">
        <w:t xml:space="preserve">Coastal </w:t>
      </w:r>
      <w:r w:rsidR="00C07297" w:rsidRPr="00F03917">
        <w:t xml:space="preserve">climate </w:t>
      </w:r>
      <w:r w:rsidRPr="00F03917">
        <w:t>r</w:t>
      </w:r>
      <w:r w:rsidR="00197385" w:rsidRPr="00F03917">
        <w:t xml:space="preserve">isk assessment in </w:t>
      </w:r>
      <w:r w:rsidR="00C9329B" w:rsidRPr="00F03917">
        <w:t>practice</w:t>
      </w:r>
    </w:p>
    <w:p w14:paraId="470FC133" w14:textId="0BF7DD89" w:rsidR="00D225EE" w:rsidRPr="00F03917" w:rsidRDefault="00FA0F19" w:rsidP="00E7295E">
      <w:pPr>
        <w:pStyle w:val="BodyText"/>
      </w:pPr>
      <w:r w:rsidRPr="00F03917">
        <w:rPr>
          <w:rFonts w:eastAsiaTheme="majorEastAsia"/>
        </w:rPr>
        <w:t xml:space="preserve">To support different objectives (including informing subsequent steps in this </w:t>
      </w:r>
      <w:r w:rsidR="00E9240F" w:rsidRPr="00F03917">
        <w:rPr>
          <w:rFonts w:eastAsiaTheme="majorEastAsia"/>
        </w:rPr>
        <w:t>g</w:t>
      </w:r>
      <w:r w:rsidRPr="00F03917">
        <w:rPr>
          <w:rFonts w:eastAsiaTheme="majorEastAsia"/>
        </w:rPr>
        <w:t xml:space="preserve">uidance), defining the spatial extent of the risk assessment and data and resources available to local authorities, two levels of risk assessment with increasing depth and resource requirement </w:t>
      </w:r>
      <w:r w:rsidR="0089281A" w:rsidRPr="00F03917">
        <w:rPr>
          <w:rFonts w:eastAsiaTheme="majorEastAsia"/>
        </w:rPr>
        <w:t>are</w:t>
      </w:r>
      <w:r w:rsidRPr="00F03917">
        <w:rPr>
          <w:rFonts w:eastAsiaTheme="majorEastAsia"/>
        </w:rPr>
        <w:t xml:space="preserve"> recommended</w:t>
      </w:r>
      <w:r w:rsidR="004F75C4" w:rsidRPr="00F03917">
        <w:rPr>
          <w:rFonts w:eastAsiaTheme="majorEastAsia"/>
        </w:rPr>
        <w:t xml:space="preserve"> (MfE, 2019, 2021; NCCARF, 2016)</w:t>
      </w:r>
      <w:r w:rsidR="00B77B05" w:rsidRPr="00F03917">
        <w:rPr>
          <w:rFonts w:eastAsiaTheme="majorEastAsia"/>
        </w:rPr>
        <w:t>.</w:t>
      </w:r>
      <w:r w:rsidRPr="00F03917">
        <w:rPr>
          <w:rFonts w:eastAsiaTheme="majorEastAsia"/>
        </w:rPr>
        <w:t xml:space="preserve"> </w:t>
      </w:r>
      <w:r w:rsidR="00B77B05" w:rsidRPr="00F03917">
        <w:rPr>
          <w:rFonts w:eastAsiaTheme="majorEastAsia"/>
        </w:rPr>
        <w:t>This</w:t>
      </w:r>
      <w:r w:rsidRPr="00F03917">
        <w:rPr>
          <w:rFonts w:eastAsiaTheme="majorEastAsia"/>
        </w:rPr>
        <w:t xml:space="preserve"> is aligned with the coastal hazard</w:t>
      </w:r>
      <w:r w:rsidR="003C686A" w:rsidRPr="00F03917">
        <w:rPr>
          <w:rFonts w:eastAsiaTheme="majorEastAsia"/>
        </w:rPr>
        <w:t xml:space="preserve"> and </w:t>
      </w:r>
      <w:r w:rsidRPr="00F03917">
        <w:rPr>
          <w:rFonts w:eastAsiaTheme="majorEastAsia"/>
        </w:rPr>
        <w:t>risk policies of the NZCPS</w:t>
      </w:r>
      <w:r w:rsidR="004B7CD3" w:rsidRPr="00F03917">
        <w:rPr>
          <w:rFonts w:eastAsiaTheme="majorEastAsia"/>
        </w:rPr>
        <w:t xml:space="preserve"> (DOC, 2010)</w:t>
      </w:r>
      <w:r w:rsidRPr="00F03917">
        <w:rPr>
          <w:rFonts w:eastAsiaTheme="majorEastAsia"/>
        </w:rPr>
        <w:t xml:space="preserve"> (see also D</w:t>
      </w:r>
      <w:r w:rsidR="00390BF3" w:rsidRPr="00F03917">
        <w:rPr>
          <w:rFonts w:eastAsiaTheme="majorEastAsia"/>
        </w:rPr>
        <w:t>O</w:t>
      </w:r>
      <w:r w:rsidRPr="00F03917">
        <w:rPr>
          <w:rFonts w:eastAsiaTheme="majorEastAsia"/>
        </w:rPr>
        <w:t>C, 2017 guidance).</w:t>
      </w:r>
      <w:r w:rsidR="001F3E15" w:rsidRPr="00F03917">
        <w:t xml:space="preserve"> </w:t>
      </w:r>
    </w:p>
    <w:p w14:paraId="17A6056E" w14:textId="1DEEC713" w:rsidR="00595BFF" w:rsidRPr="00F03917" w:rsidRDefault="00595BFF" w:rsidP="00595BFF">
      <w:pPr>
        <w:pStyle w:val="Heading4"/>
      </w:pPr>
      <w:r w:rsidRPr="00F03917">
        <w:t>Set</w:t>
      </w:r>
      <w:r w:rsidR="004B7CD3" w:rsidRPr="00F03917">
        <w:t xml:space="preserve"> </w:t>
      </w:r>
      <w:r w:rsidRPr="00F03917">
        <w:t>up and scope of risk assessment</w:t>
      </w:r>
    </w:p>
    <w:p w14:paraId="3345CFE5" w14:textId="1E55C837" w:rsidR="00DE0ABA" w:rsidRPr="00F03917" w:rsidRDefault="001F3E15" w:rsidP="00046B24">
      <w:pPr>
        <w:pStyle w:val="BodyText"/>
        <w:spacing w:after="240"/>
      </w:pPr>
      <w:r w:rsidRPr="00F03917">
        <w:t>Box</w:t>
      </w:r>
      <w:r w:rsidRPr="00F03917" w:rsidDel="000631FB">
        <w:t xml:space="preserve"> </w:t>
      </w:r>
      <w:r w:rsidR="000631FB" w:rsidRPr="00F03917">
        <w:t>10</w:t>
      </w:r>
      <w:r w:rsidRPr="00F03917">
        <w:t xml:space="preserve"> summarises the key tasks </w:t>
      </w:r>
      <w:r w:rsidR="00D225EE" w:rsidRPr="00F03917">
        <w:t xml:space="preserve">for </w:t>
      </w:r>
      <w:r w:rsidR="002C122A" w:rsidRPr="00F03917">
        <w:t>setting up and scoping</w:t>
      </w:r>
      <w:r w:rsidR="00D225EE" w:rsidRPr="00F03917">
        <w:t xml:space="preserve"> </w:t>
      </w:r>
      <w:r w:rsidR="00210716" w:rsidRPr="00F03917">
        <w:t>the risk assessment process</w:t>
      </w:r>
      <w:r w:rsidR="001305EF" w:rsidRPr="00F03917">
        <w:t xml:space="preserve">. </w:t>
      </w:r>
      <w:r w:rsidR="00363B4D" w:rsidRPr="00F03917">
        <w:t>T</w:t>
      </w:r>
      <w:r w:rsidR="001305EF" w:rsidRPr="00F03917">
        <w:t>his is similar to the key tasks for adaptation planning</w:t>
      </w:r>
      <w:r w:rsidR="00A27AB9" w:rsidRPr="00F03917">
        <w:t xml:space="preserve"> but is</w:t>
      </w:r>
      <w:r w:rsidR="00732AA5" w:rsidRPr="00F03917">
        <w:t xml:space="preserve"> </w:t>
      </w:r>
      <w:r w:rsidR="4EFD7806" w:rsidRPr="00F03917">
        <w:t>located</w:t>
      </w:r>
      <w:r w:rsidR="00732AA5" w:rsidRPr="00F03917">
        <w:t xml:space="preserve"> here as a</w:t>
      </w:r>
      <w:r w:rsidR="001305EF" w:rsidRPr="00F03917">
        <w:t xml:space="preserve"> separate</w:t>
      </w:r>
      <w:r w:rsidR="00697871" w:rsidRPr="00F03917">
        <w:t>, more focused</w:t>
      </w:r>
      <w:r w:rsidR="00E20257" w:rsidRPr="00F03917">
        <w:t xml:space="preserve"> process</w:t>
      </w:r>
      <w:r w:rsidR="00697871" w:rsidRPr="00F03917">
        <w:t xml:space="preserve"> on what the assessment covers</w:t>
      </w:r>
      <w:r w:rsidR="001305EF" w:rsidRPr="00F03917">
        <w:t xml:space="preserve">. </w:t>
      </w:r>
      <w:r w:rsidR="00AF0535" w:rsidRPr="00F03917">
        <w:t xml:space="preserve">This is because </w:t>
      </w:r>
      <w:r w:rsidR="00E20257" w:rsidRPr="00F03917">
        <w:t xml:space="preserve">while </w:t>
      </w:r>
      <w:r w:rsidR="00F519CB" w:rsidRPr="00F03917">
        <w:t xml:space="preserve">a risk assessment is a part of </w:t>
      </w:r>
      <w:r w:rsidR="007A3E95" w:rsidRPr="00F03917">
        <w:t xml:space="preserve">a DAPP </w:t>
      </w:r>
      <w:r w:rsidR="00D23339" w:rsidRPr="00F03917">
        <w:t xml:space="preserve">approach </w:t>
      </w:r>
      <w:r w:rsidR="005D0219" w:rsidRPr="00F03917">
        <w:t>f</w:t>
      </w:r>
      <w:r w:rsidR="00D23339" w:rsidRPr="00F03917">
        <w:t>or coastal areas</w:t>
      </w:r>
      <w:r w:rsidR="007A3E95" w:rsidRPr="00F03917">
        <w:t>, it is often undertaken separately as a broader regional or local climate risk assessment (MfE, 2021), of which a coastal risk assessment is a subset</w:t>
      </w:r>
      <w:r w:rsidR="0094463F" w:rsidRPr="00F03917">
        <w:t>.</w:t>
      </w:r>
    </w:p>
    <w:p w14:paraId="0C3B0776" w14:textId="65776FF1" w:rsidR="005E0ADD" w:rsidRPr="00F03917" w:rsidRDefault="005E0ADD">
      <w:pPr>
        <w:rPr>
          <w:rFonts w:ascii="Calibri" w:eastAsiaTheme="minorEastAsia" w:hAnsi="Calibri"/>
          <w:kern w:val="0"/>
          <w:sz w:val="22"/>
          <w:szCs w:val="22"/>
          <w:lang w:eastAsia="en-NZ"/>
          <w14:ligatures w14:val="none"/>
        </w:rPr>
      </w:pPr>
      <w:r w:rsidRPr="00F03917">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tblGrid>
      <w:tr w:rsidR="0068709B" w:rsidRPr="00F03917" w14:paraId="53DBAF46" w14:textId="77777777" w:rsidTr="2B6F1B58">
        <w:trPr>
          <w:tblHeader/>
        </w:trPr>
        <w:tc>
          <w:tcPr>
            <w:tcW w:w="8505" w:type="dxa"/>
            <w:tcBorders>
              <w:top w:val="single" w:sz="4" w:space="0" w:color="1B556B" w:themeColor="text2"/>
              <w:bottom w:val="single" w:sz="4" w:space="0" w:color="D2DDE1" w:themeColor="background2"/>
            </w:tcBorders>
            <w:shd w:val="clear" w:color="auto" w:fill="1B556B" w:themeFill="text2"/>
          </w:tcPr>
          <w:p w14:paraId="2C97BA88" w14:textId="2CC8FA07" w:rsidR="0068709B" w:rsidRPr="00F03917" w:rsidRDefault="005E1B29" w:rsidP="008E26D5">
            <w:pPr>
              <w:pStyle w:val="Casestudyheading"/>
            </w:pPr>
            <w:bookmarkStart w:id="123" w:name="box10"/>
            <w:r w:rsidRPr="00F03917">
              <w:lastRenderedPageBreak/>
              <w:t>:</w:t>
            </w:r>
            <w:r w:rsidR="0068709B" w:rsidRPr="00F03917">
              <w:t xml:space="preserve"> Key </w:t>
            </w:r>
            <w:bookmarkEnd w:id="123"/>
            <w:r w:rsidR="0068709B" w:rsidRPr="00F03917">
              <w:t xml:space="preserve">tasks </w:t>
            </w:r>
            <w:r w:rsidR="00770BD9" w:rsidRPr="00F03917">
              <w:t xml:space="preserve">FOR THE </w:t>
            </w:r>
            <w:r w:rsidR="0068709B" w:rsidRPr="00F03917">
              <w:t>risk assessment process</w:t>
            </w:r>
          </w:p>
        </w:tc>
      </w:tr>
      <w:tr w:rsidR="00A40141" w:rsidRPr="00F03917" w14:paraId="79135C89" w14:textId="77777777" w:rsidTr="2B6F1B58">
        <w:tc>
          <w:tcPr>
            <w:tcW w:w="8505" w:type="dxa"/>
            <w:tcBorders>
              <w:top w:val="single" w:sz="4" w:space="0" w:color="D2DDE1" w:themeColor="background2"/>
              <w:left w:val="single" w:sz="4" w:space="0" w:color="D2DDE1" w:themeColor="background2"/>
              <w:bottom w:val="single" w:sz="4" w:space="0" w:color="D2DDE1" w:themeColor="background2"/>
              <w:right w:val="single" w:sz="4" w:space="0" w:color="D2DDE1" w:themeColor="background2"/>
            </w:tcBorders>
            <w:shd w:val="clear" w:color="auto" w:fill="D2DDE1" w:themeFill="background2"/>
          </w:tcPr>
          <w:p w14:paraId="2C664B19" w14:textId="1E04C9F2" w:rsidR="00505C9B" w:rsidRPr="00F03917" w:rsidRDefault="00505C9B" w:rsidP="00505C9B">
            <w:pPr>
              <w:pStyle w:val="Boxtext"/>
              <w:numPr>
                <w:ilvl w:val="0"/>
                <w:numId w:val="38"/>
              </w:numPr>
              <w:spacing w:after="80"/>
              <w:rPr>
                <w:b/>
                <w:bCs/>
                <w:color w:val="1B556B" w:themeColor="text2"/>
              </w:rPr>
            </w:pPr>
            <w:r w:rsidRPr="00F03917">
              <w:rPr>
                <w:b/>
                <w:bCs/>
                <w:color w:val="1B556B" w:themeColor="text2"/>
              </w:rPr>
              <w:t>Getting started (pre-planning)</w:t>
            </w:r>
            <w:r w:rsidRPr="00F03917">
              <w:rPr>
                <w:b/>
                <w:bCs/>
                <w:color w:val="1B556B" w:themeColor="text2"/>
                <w:vertAlign w:val="superscript"/>
              </w:rPr>
              <w:footnoteReference w:id="69"/>
            </w:r>
            <w:r w:rsidRPr="00F03917">
              <w:rPr>
                <w:b/>
                <w:bCs/>
                <w:color w:val="1B556B" w:themeColor="text2"/>
              </w:rPr>
              <w:t xml:space="preserve"> </w:t>
            </w:r>
          </w:p>
          <w:p w14:paraId="6B5BC962" w14:textId="77777777" w:rsidR="00505C9B" w:rsidRPr="00F03917" w:rsidRDefault="00505C9B" w:rsidP="00505C9B">
            <w:pPr>
              <w:pStyle w:val="Boxbullet"/>
              <w:tabs>
                <w:tab w:val="clear" w:pos="680"/>
              </w:tabs>
              <w:spacing w:after="80"/>
              <w:ind w:left="1077" w:hanging="397"/>
              <w:rPr>
                <w:rFonts w:eastAsia="MS Mincho"/>
              </w:rPr>
            </w:pPr>
            <w:r w:rsidRPr="00F03917">
              <w:rPr>
                <w:rFonts w:eastAsia="MS Mincho"/>
              </w:rPr>
              <w:t xml:space="preserve">Decide on: </w:t>
            </w:r>
          </w:p>
          <w:p w14:paraId="3B49A37F" w14:textId="71A21DC0" w:rsidR="00505C9B" w:rsidRPr="00F03917" w:rsidRDefault="003B0085" w:rsidP="00505C9B">
            <w:pPr>
              <w:pStyle w:val="Boxsub-bullet"/>
              <w:spacing w:after="80"/>
              <w:ind w:left="1474"/>
            </w:pPr>
            <w:r w:rsidRPr="00F03917">
              <w:t>t</w:t>
            </w:r>
            <w:r w:rsidR="00505C9B" w:rsidRPr="00F03917">
              <w:t>he objectives and purposes of the coastal climate risk assessment (and whether it is part of a general climate risk assessment)</w:t>
            </w:r>
          </w:p>
          <w:p w14:paraId="727B23A5" w14:textId="2A725966" w:rsidR="00A40141" w:rsidRPr="00F03917" w:rsidRDefault="003B0085" w:rsidP="00505C9B">
            <w:pPr>
              <w:pStyle w:val="Boxsub-bullet"/>
              <w:ind w:left="1474"/>
            </w:pPr>
            <w:r w:rsidRPr="00F03917">
              <w:t>h</w:t>
            </w:r>
            <w:r w:rsidR="00505C9B" w:rsidRPr="00F03917">
              <w:t>ow the risk assessment will support an adaptation planning pathways approach.</w:t>
            </w:r>
          </w:p>
        </w:tc>
      </w:tr>
      <w:bookmarkEnd w:id="122"/>
      <w:tr w:rsidR="0068709B" w:rsidRPr="00F03917" w14:paraId="2748D6C6" w14:textId="77777777" w:rsidTr="2B6F1B58">
        <w:trPr>
          <w:trHeight w:val="7587"/>
        </w:trPr>
        <w:tc>
          <w:tcPr>
            <w:tcW w:w="8505" w:type="dxa"/>
            <w:tcBorders>
              <w:top w:val="single" w:sz="4" w:space="0" w:color="D2DDE1" w:themeColor="background2"/>
              <w:left w:val="single" w:sz="4" w:space="0" w:color="D2DDE1" w:themeColor="background2"/>
              <w:bottom w:val="single" w:sz="4" w:space="0" w:color="D2DDE1" w:themeColor="background2"/>
              <w:right w:val="single" w:sz="4" w:space="0" w:color="D2DDE1" w:themeColor="background2"/>
            </w:tcBorders>
            <w:shd w:val="clear" w:color="auto" w:fill="D2DDE2"/>
          </w:tcPr>
          <w:p w14:paraId="523AF1CB" w14:textId="77777777" w:rsidR="00456FED" w:rsidRPr="00F03917" w:rsidRDefault="00456FED" w:rsidP="00252E8E">
            <w:pPr>
              <w:pStyle w:val="Boxbullet"/>
              <w:tabs>
                <w:tab w:val="clear" w:pos="680"/>
              </w:tabs>
              <w:spacing w:after="80"/>
              <w:ind w:left="1077" w:hanging="397"/>
              <w:rPr>
                <w:rFonts w:eastAsia="MS Mincho"/>
              </w:rPr>
            </w:pPr>
            <w:r w:rsidRPr="00F03917">
              <w:rPr>
                <w:rFonts w:eastAsia="MS Mincho"/>
              </w:rPr>
              <w:t xml:space="preserve">Obtain buy-in to: </w:t>
            </w:r>
          </w:p>
          <w:p w14:paraId="3A5AE551" w14:textId="3DFC9918" w:rsidR="00456FED" w:rsidRPr="00F03917" w:rsidRDefault="00312A13" w:rsidP="00252E8E">
            <w:pPr>
              <w:pStyle w:val="Boxsub-bullet"/>
              <w:spacing w:after="80"/>
              <w:ind w:left="1474" w:right="227"/>
            </w:pPr>
            <w:r w:rsidRPr="00F03917">
              <w:t>a</w:t>
            </w:r>
            <w:r w:rsidR="00456FED" w:rsidRPr="00F03917">
              <w:t xml:space="preserve">n integrated approach across relevant councils, iwi/hapū and stakeholders, or </w:t>
            </w:r>
            <w:r w:rsidR="00D04586" w:rsidRPr="00F03917">
              <w:t>a</w:t>
            </w:r>
          </w:p>
          <w:p w14:paraId="4C1C35D5" w14:textId="2357C167" w:rsidR="00456FED" w:rsidRPr="00F03917" w:rsidRDefault="00456FED" w:rsidP="00252E8E">
            <w:pPr>
              <w:pStyle w:val="Boxsub-bullet"/>
              <w:spacing w:after="80"/>
              <w:ind w:left="1474"/>
            </w:pPr>
            <w:r w:rsidRPr="00F03917">
              <w:t xml:space="preserve">multi-user collaborative approach. </w:t>
            </w:r>
          </w:p>
          <w:p w14:paraId="714A0B4F" w14:textId="6001BF86" w:rsidR="00456FED" w:rsidRPr="00F03917" w:rsidRDefault="00456FED" w:rsidP="00252E8E">
            <w:pPr>
              <w:pStyle w:val="Boxbullet"/>
              <w:tabs>
                <w:tab w:val="clear" w:pos="680"/>
              </w:tabs>
              <w:spacing w:after="80"/>
              <w:ind w:left="1077" w:hanging="397"/>
              <w:rPr>
                <w:rFonts w:eastAsia="MS Mincho"/>
              </w:rPr>
            </w:pPr>
            <w:r w:rsidRPr="00F03917">
              <w:rPr>
                <w:rFonts w:eastAsia="MS Mincho"/>
              </w:rPr>
              <w:t xml:space="preserve">Then set up the governance oversight </w:t>
            </w:r>
            <w:r w:rsidR="004636AE" w:rsidRPr="00F03917">
              <w:rPr>
                <w:rFonts w:eastAsia="MS Mincho"/>
              </w:rPr>
              <w:t>for the risk assessment</w:t>
            </w:r>
            <w:r w:rsidRPr="00F03917">
              <w:rPr>
                <w:rFonts w:eastAsia="MS Mincho"/>
              </w:rPr>
              <w:t xml:space="preserve"> to achieve </w:t>
            </w:r>
            <w:r w:rsidR="00E24492" w:rsidRPr="00F03917">
              <w:rPr>
                <w:rFonts w:eastAsia="MS Mincho"/>
              </w:rPr>
              <w:t xml:space="preserve">the </w:t>
            </w:r>
            <w:r w:rsidRPr="00F03917">
              <w:rPr>
                <w:rFonts w:eastAsia="MS Mincho"/>
              </w:rPr>
              <w:t xml:space="preserve">selected approach. Establish the governance group and technical reference group responsibilities, resourcing and capacity to implement the </w:t>
            </w:r>
            <w:r w:rsidR="00AF7393" w:rsidRPr="00F03917">
              <w:rPr>
                <w:rFonts w:eastAsia="MS Mincho"/>
              </w:rPr>
              <w:t xml:space="preserve">risk </w:t>
            </w:r>
            <w:r w:rsidRPr="00F03917">
              <w:rPr>
                <w:rFonts w:eastAsia="MS Mincho"/>
              </w:rPr>
              <w:t xml:space="preserve">assessment. </w:t>
            </w:r>
          </w:p>
          <w:p w14:paraId="40A0DB39" w14:textId="58AD37D7" w:rsidR="00456FED" w:rsidRPr="00F03917" w:rsidRDefault="00456FED" w:rsidP="00252E8E">
            <w:pPr>
              <w:pStyle w:val="Boxbullet"/>
              <w:tabs>
                <w:tab w:val="clear" w:pos="680"/>
              </w:tabs>
              <w:spacing w:after="80"/>
              <w:ind w:left="1077" w:hanging="397"/>
              <w:rPr>
                <w:rFonts w:eastAsia="MS Mincho"/>
              </w:rPr>
            </w:pPr>
            <w:r w:rsidRPr="00F03917">
              <w:rPr>
                <w:rFonts w:eastAsia="MS Mincho"/>
              </w:rPr>
              <w:t xml:space="preserve">Decide on </w:t>
            </w:r>
            <w:r w:rsidR="00154E02" w:rsidRPr="00F03917">
              <w:rPr>
                <w:rFonts w:eastAsia="MS Mincho"/>
              </w:rPr>
              <w:t xml:space="preserve">the starting point </w:t>
            </w:r>
            <w:r w:rsidRPr="00F03917">
              <w:rPr>
                <w:rFonts w:eastAsia="MS Mincho"/>
              </w:rPr>
              <w:t>and how detailed the assessment should be (depending on available data, tools and resources for addressing information gaps).</w:t>
            </w:r>
          </w:p>
          <w:p w14:paraId="7606E78E" w14:textId="77777777" w:rsidR="00456FED" w:rsidRPr="00F03917" w:rsidRDefault="00456FED" w:rsidP="005E0ADD">
            <w:pPr>
              <w:pStyle w:val="Boxbullet"/>
              <w:tabs>
                <w:tab w:val="clear" w:pos="680"/>
              </w:tabs>
              <w:spacing w:after="80"/>
              <w:ind w:left="1077" w:hanging="397"/>
              <w:rPr>
                <w:rFonts w:eastAsia="MS Mincho"/>
              </w:rPr>
            </w:pPr>
            <w:r w:rsidRPr="00F03917">
              <w:rPr>
                <w:rFonts w:eastAsia="MS Mincho"/>
              </w:rPr>
              <w:t>Identify stakeholders and plan for engagement and collaboration and develop a communication plan.</w:t>
            </w:r>
          </w:p>
          <w:p w14:paraId="01EE283A" w14:textId="77777777" w:rsidR="00456FED" w:rsidRPr="00F03917" w:rsidRDefault="00456FED" w:rsidP="005E0ADD">
            <w:pPr>
              <w:pStyle w:val="Boxbullet"/>
              <w:tabs>
                <w:tab w:val="clear" w:pos="680"/>
              </w:tabs>
              <w:spacing w:after="80"/>
              <w:ind w:left="1077" w:hanging="397"/>
              <w:rPr>
                <w:rFonts w:eastAsia="MS Mincho"/>
              </w:rPr>
            </w:pPr>
            <w:r w:rsidRPr="00F03917">
              <w:rPr>
                <w:rFonts w:eastAsia="MS Mincho"/>
              </w:rPr>
              <w:t xml:space="preserve">Develop guiding principles (ngā mātāpono) related to the local context and developed in partnership with iwi and hapū. </w:t>
            </w:r>
          </w:p>
          <w:p w14:paraId="59A4258B" w14:textId="4A6D7771" w:rsidR="00BC1E80" w:rsidRPr="00F03917" w:rsidRDefault="00456FED" w:rsidP="00BC1E80">
            <w:pPr>
              <w:pStyle w:val="Boxtext"/>
              <w:numPr>
                <w:ilvl w:val="0"/>
                <w:numId w:val="38"/>
              </w:numPr>
              <w:spacing w:after="0"/>
              <w:rPr>
                <w:rFonts w:eastAsia="MS Mincho"/>
                <w:b/>
              </w:rPr>
            </w:pPr>
            <w:r w:rsidRPr="00F03917">
              <w:rPr>
                <w:b/>
                <w:color w:val="1B556B" w:themeColor="text2"/>
              </w:rPr>
              <w:t>Context and set</w:t>
            </w:r>
            <w:r w:rsidR="006F7A38" w:rsidRPr="00F03917">
              <w:rPr>
                <w:b/>
                <w:color w:val="1B556B" w:themeColor="text2"/>
              </w:rPr>
              <w:t xml:space="preserve"> </w:t>
            </w:r>
            <w:r w:rsidRPr="00F03917">
              <w:rPr>
                <w:b/>
                <w:color w:val="1B556B" w:themeColor="text2"/>
              </w:rPr>
              <w:t>up</w:t>
            </w:r>
            <w:r w:rsidRPr="00F03917">
              <w:rPr>
                <w:b/>
                <w:color w:val="1B556B" w:themeColor="text2"/>
                <w:vertAlign w:val="superscript"/>
              </w:rPr>
              <w:footnoteReference w:id="70"/>
            </w:r>
            <w:r w:rsidR="0044531C" w:rsidRPr="00F03917" w:rsidDel="00BC1E80">
              <w:rPr>
                <w:b/>
                <w:color w:val="1B556B" w:themeColor="text2"/>
              </w:rPr>
              <w:t xml:space="preserve"> </w:t>
            </w:r>
          </w:p>
          <w:p w14:paraId="4F4CFCA3" w14:textId="72D290CF" w:rsidR="00456FED" w:rsidRPr="00F03917" w:rsidRDefault="00456FED" w:rsidP="00AA1AC6">
            <w:pPr>
              <w:pStyle w:val="Boxtext"/>
              <w:spacing w:before="80" w:after="80"/>
              <w:ind w:left="680"/>
            </w:pPr>
            <w:r w:rsidRPr="00F03917">
              <w:t>Determine the scope, scale of assessment and system boundaries</w:t>
            </w:r>
            <w:r w:rsidR="00BC1E80" w:rsidRPr="00F03917">
              <w:t>:</w:t>
            </w:r>
            <w:r w:rsidRPr="00F03917">
              <w:rPr>
                <w:vertAlign w:val="superscript"/>
              </w:rPr>
              <w:footnoteReference w:id="71"/>
            </w:r>
            <w:r w:rsidRPr="00F03917">
              <w:rPr>
                <w:vertAlign w:val="superscript"/>
              </w:rPr>
              <w:t xml:space="preserve"> </w:t>
            </w:r>
          </w:p>
          <w:p w14:paraId="4ED92360" w14:textId="0C8DA75F" w:rsidR="00456FED" w:rsidRPr="00F03917" w:rsidRDefault="0F228B5C" w:rsidP="003F65A9">
            <w:pPr>
              <w:pStyle w:val="Boxbullet"/>
              <w:tabs>
                <w:tab w:val="clear" w:pos="680"/>
              </w:tabs>
              <w:spacing w:after="80"/>
              <w:ind w:left="1077" w:hanging="397"/>
              <w:rPr>
                <w:rFonts w:eastAsia="MS Mincho"/>
              </w:rPr>
            </w:pPr>
            <w:r w:rsidRPr="00F03917">
              <w:rPr>
                <w:rFonts w:eastAsia="MS Mincho"/>
              </w:rPr>
              <w:t xml:space="preserve">Decide on the range of coastal hazards to assess, </w:t>
            </w:r>
            <w:r w:rsidR="1A67D224" w:rsidRPr="00F03917">
              <w:rPr>
                <w:rFonts w:eastAsia="MS Mincho"/>
              </w:rPr>
              <w:t>which</w:t>
            </w:r>
            <w:r w:rsidR="654BD7BE" w:rsidRPr="00F03917">
              <w:rPr>
                <w:rFonts w:eastAsia="MS Mincho"/>
              </w:rPr>
              <w:t xml:space="preserve"> </w:t>
            </w:r>
            <w:r w:rsidR="00854C52" w:rsidRPr="00F03917">
              <w:rPr>
                <w:rFonts w:eastAsia="MS Mincho"/>
              </w:rPr>
              <w:t>seal-level ris</w:t>
            </w:r>
            <w:r w:rsidR="00E14710" w:rsidRPr="00F03917">
              <w:rPr>
                <w:rFonts w:eastAsia="MS Mincho"/>
              </w:rPr>
              <w:t>e</w:t>
            </w:r>
            <w:r w:rsidR="00854C52" w:rsidRPr="00F03917">
              <w:rPr>
                <w:rFonts w:eastAsia="MS Mincho"/>
              </w:rPr>
              <w:t xml:space="preserve"> (</w:t>
            </w:r>
            <w:r w:rsidR="654BD7BE" w:rsidRPr="00F03917">
              <w:rPr>
                <w:rFonts w:eastAsia="MS Mincho"/>
              </w:rPr>
              <w:t>SLR</w:t>
            </w:r>
            <w:r w:rsidR="00854C52" w:rsidRPr="00F03917">
              <w:rPr>
                <w:rFonts w:eastAsia="MS Mincho"/>
              </w:rPr>
              <w:t>)</w:t>
            </w:r>
            <w:r w:rsidR="654BD7BE" w:rsidRPr="00F03917">
              <w:rPr>
                <w:rFonts w:eastAsia="MS Mincho"/>
              </w:rPr>
              <w:t xml:space="preserve"> increment or </w:t>
            </w:r>
            <w:r w:rsidR="00854C52" w:rsidRPr="00F03917">
              <w:rPr>
                <w:rFonts w:eastAsia="MS Mincho"/>
              </w:rPr>
              <w:t>relative sea-level rise (</w:t>
            </w:r>
            <w:r w:rsidR="654BD7BE" w:rsidRPr="00F03917">
              <w:rPr>
                <w:rFonts w:eastAsia="MS Mincho"/>
              </w:rPr>
              <w:t>RSLR</w:t>
            </w:r>
            <w:r w:rsidR="00E14710" w:rsidRPr="00F03917">
              <w:rPr>
                <w:rFonts w:eastAsia="MS Mincho"/>
              </w:rPr>
              <w:t>)</w:t>
            </w:r>
            <w:r w:rsidR="654BD7BE" w:rsidRPr="00F03917">
              <w:rPr>
                <w:rFonts w:eastAsia="MS Mincho"/>
              </w:rPr>
              <w:t xml:space="preserve"> approach</w:t>
            </w:r>
            <w:r w:rsidR="094ACC6C" w:rsidRPr="00F03917">
              <w:rPr>
                <w:rFonts w:eastAsia="MS Mincho"/>
              </w:rPr>
              <w:t xml:space="preserve">, and </w:t>
            </w:r>
            <w:r w:rsidR="00407BFF" w:rsidRPr="00F03917">
              <w:rPr>
                <w:rFonts w:eastAsia="MS Mincho"/>
              </w:rPr>
              <w:t xml:space="preserve">planning </w:t>
            </w:r>
            <w:r w:rsidR="094ACC6C" w:rsidRPr="00F03917">
              <w:rPr>
                <w:rFonts w:eastAsia="MS Mincho"/>
              </w:rPr>
              <w:t>time horizon</w:t>
            </w:r>
            <w:r w:rsidR="00854C52" w:rsidRPr="00F03917">
              <w:rPr>
                <w:rFonts w:eastAsia="MS Mincho"/>
              </w:rPr>
              <w:t>.</w:t>
            </w:r>
            <w:r w:rsidR="094ACC6C" w:rsidRPr="00F03917">
              <w:rPr>
                <w:rFonts w:eastAsia="MS Mincho"/>
              </w:rPr>
              <w:t xml:space="preserve"> </w:t>
            </w:r>
          </w:p>
          <w:p w14:paraId="7B2EFC41" w14:textId="2789CAC8" w:rsidR="00456FED" w:rsidRPr="00F03917" w:rsidRDefault="00456FED" w:rsidP="003F65A9">
            <w:pPr>
              <w:pStyle w:val="Boxbullet"/>
              <w:tabs>
                <w:tab w:val="clear" w:pos="680"/>
              </w:tabs>
              <w:spacing w:after="80"/>
              <w:ind w:left="1077" w:hanging="397"/>
              <w:rPr>
                <w:rFonts w:eastAsia="MS Mincho"/>
              </w:rPr>
            </w:pPr>
            <w:r w:rsidRPr="00F03917">
              <w:rPr>
                <w:rFonts w:eastAsia="MS Mincho"/>
              </w:rPr>
              <w:t>Agree on value domains, such as Treasury’s wellbeing domains (MfE, 2021). Address them individually and their interdependencies</w:t>
            </w:r>
            <w:r w:rsidR="0037411D" w:rsidRPr="00F03917">
              <w:rPr>
                <w:rFonts w:eastAsia="MS Mincho"/>
              </w:rPr>
              <w:t xml:space="preserve"> (</w:t>
            </w:r>
            <w:hyperlink w:anchor="figure16" w:history="1">
              <w:r w:rsidR="00A94660" w:rsidRPr="00F03917">
                <w:rPr>
                  <w:rStyle w:val="Hyperlink"/>
                  <w:rFonts w:eastAsia="MS Mincho"/>
                </w:rPr>
                <w:t>f</w:t>
              </w:r>
              <w:r w:rsidR="0037411D" w:rsidRPr="00F03917">
                <w:rPr>
                  <w:rStyle w:val="Hyperlink"/>
                  <w:rFonts w:eastAsia="MS Mincho"/>
                </w:rPr>
                <w:t xml:space="preserve">igure </w:t>
              </w:r>
              <w:r w:rsidR="00BD6154" w:rsidRPr="00F03917">
                <w:rPr>
                  <w:rStyle w:val="Hyperlink"/>
                  <w:rFonts w:eastAsia="MS Mincho"/>
                </w:rPr>
                <w:t>1</w:t>
              </w:r>
              <w:r w:rsidR="005F1BF8" w:rsidRPr="00F03917">
                <w:rPr>
                  <w:rStyle w:val="Hyperlink"/>
                  <w:rFonts w:eastAsia="MS Mincho"/>
                </w:rPr>
                <w:t>6</w:t>
              </w:r>
            </w:hyperlink>
            <w:r w:rsidR="0037411D" w:rsidRPr="00F03917">
              <w:rPr>
                <w:rFonts w:eastAsia="MS Mincho"/>
              </w:rPr>
              <w:t>)</w:t>
            </w:r>
            <w:r w:rsidRPr="00F03917">
              <w:rPr>
                <w:rFonts w:eastAsia="MS Mincho"/>
              </w:rPr>
              <w:t xml:space="preserve">. Cascading risks should focus on vulnerability </w:t>
            </w:r>
            <w:r w:rsidR="0037411D" w:rsidRPr="00F03917">
              <w:rPr>
                <w:rFonts w:eastAsia="MS Mincho"/>
              </w:rPr>
              <w:t>(sensitivity</w:t>
            </w:r>
            <w:r w:rsidRPr="00F03917">
              <w:rPr>
                <w:rFonts w:eastAsia="MS Mincho"/>
              </w:rPr>
              <w:t xml:space="preserve"> and adaptive capacity</w:t>
            </w:r>
            <w:r w:rsidR="0037411D" w:rsidRPr="00F03917">
              <w:rPr>
                <w:rFonts w:eastAsia="MS Mincho"/>
              </w:rPr>
              <w:t>)</w:t>
            </w:r>
            <w:r w:rsidRPr="00F03917">
              <w:rPr>
                <w:rFonts w:eastAsia="MS Mincho"/>
              </w:rPr>
              <w:t xml:space="preserve">, to address the significant and priority place-based risks. </w:t>
            </w:r>
          </w:p>
          <w:p w14:paraId="54903669" w14:textId="2E9D16FF" w:rsidR="00456FED" w:rsidRPr="00F03917" w:rsidRDefault="00456FED" w:rsidP="003F65A9">
            <w:pPr>
              <w:pStyle w:val="Boxbullet"/>
              <w:tabs>
                <w:tab w:val="clear" w:pos="680"/>
              </w:tabs>
              <w:spacing w:after="80"/>
              <w:ind w:left="1077" w:hanging="397"/>
              <w:rPr>
                <w:rFonts w:eastAsia="MS Mincho"/>
              </w:rPr>
            </w:pPr>
            <w:r w:rsidRPr="00F03917">
              <w:rPr>
                <w:rFonts w:eastAsia="MS Mincho"/>
              </w:rPr>
              <w:t>Establish the methodology (or mix of methods) for the assessments, depending on availability of quantitative and qualitative data and how mātauranga Māori will be incorporated</w:t>
            </w:r>
            <w:r w:rsidR="00611B73" w:rsidRPr="00F03917">
              <w:rPr>
                <w:rFonts w:eastAsia="MS Mincho"/>
              </w:rPr>
              <w:t xml:space="preserve"> (see</w:t>
            </w:r>
            <w:r w:rsidR="00B60595" w:rsidRPr="00F03917">
              <w:rPr>
                <w:rFonts w:eastAsia="MS Mincho"/>
              </w:rPr>
              <w:t xml:space="preserve"> </w:t>
            </w:r>
            <w:hyperlink w:anchor="box4" w:history="1">
              <w:r w:rsidR="00B0455D" w:rsidRPr="00F03917">
                <w:rPr>
                  <w:rStyle w:val="Hyperlink"/>
                  <w:rFonts w:eastAsia="MS Mincho"/>
                </w:rPr>
                <w:t>box 4</w:t>
              </w:r>
            </w:hyperlink>
            <w:r w:rsidR="00611B73" w:rsidRPr="00F03917">
              <w:rPr>
                <w:rFonts w:eastAsia="MS Mincho"/>
              </w:rPr>
              <w:t>)</w:t>
            </w:r>
            <w:r w:rsidRPr="00F03917">
              <w:rPr>
                <w:rFonts w:eastAsia="MS Mincho"/>
              </w:rPr>
              <w:t xml:space="preserve">. </w:t>
            </w:r>
          </w:p>
          <w:p w14:paraId="3B842A18" w14:textId="2D52AEDA" w:rsidR="00456FED" w:rsidRPr="00F03917" w:rsidRDefault="00456FED" w:rsidP="003F65A9">
            <w:pPr>
              <w:pStyle w:val="Boxbullet"/>
              <w:tabs>
                <w:tab w:val="clear" w:pos="680"/>
              </w:tabs>
              <w:spacing w:after="80"/>
              <w:ind w:left="1077" w:hanging="397"/>
              <w:rPr>
                <w:rFonts w:eastAsia="MS Mincho"/>
              </w:rPr>
            </w:pPr>
            <w:r w:rsidRPr="00F03917">
              <w:rPr>
                <w:rFonts w:eastAsia="MS Mincho"/>
              </w:rPr>
              <w:t>Decide how to gather and store the data</w:t>
            </w:r>
            <w:r w:rsidR="00F8360A" w:rsidRPr="00F03917">
              <w:rPr>
                <w:rFonts w:eastAsia="MS Mincho"/>
              </w:rPr>
              <w:t xml:space="preserve"> and results</w:t>
            </w:r>
            <w:r w:rsidRPr="00F03917">
              <w:rPr>
                <w:rFonts w:eastAsia="MS Mincho"/>
              </w:rPr>
              <w:t xml:space="preserve">, and how </w:t>
            </w:r>
            <w:r w:rsidR="00AE4E9E" w:rsidRPr="00F03917">
              <w:rPr>
                <w:rFonts w:eastAsia="MS Mincho"/>
              </w:rPr>
              <w:t>to</w:t>
            </w:r>
            <w:r w:rsidRPr="00F03917">
              <w:rPr>
                <w:rFonts w:eastAsia="MS Mincho"/>
              </w:rPr>
              <w:t xml:space="preserve"> make it accessible to stakeholders</w:t>
            </w:r>
            <w:r w:rsidR="00F8360A" w:rsidRPr="00F03917">
              <w:rPr>
                <w:rFonts w:eastAsia="MS Mincho"/>
              </w:rPr>
              <w:t xml:space="preserve"> (see </w:t>
            </w:r>
            <w:hyperlink w:anchor="box4" w:history="1">
              <w:r w:rsidR="00D13B72" w:rsidRPr="00F03917">
                <w:rPr>
                  <w:rStyle w:val="Hyperlink"/>
                  <w:rFonts w:eastAsia="MS Mincho"/>
                </w:rPr>
                <w:t>b</w:t>
              </w:r>
              <w:r w:rsidR="00F8360A" w:rsidRPr="00F03917">
                <w:rPr>
                  <w:rStyle w:val="Hyperlink"/>
                  <w:rFonts w:eastAsia="MS Mincho"/>
                </w:rPr>
                <w:t xml:space="preserve">ox </w:t>
              </w:r>
              <w:r w:rsidR="00DB7185" w:rsidRPr="00F03917">
                <w:rPr>
                  <w:rStyle w:val="Hyperlink"/>
                  <w:rFonts w:eastAsia="MS Mincho"/>
                </w:rPr>
                <w:t>4</w:t>
              </w:r>
            </w:hyperlink>
            <w:r w:rsidR="00F8360A" w:rsidRPr="00F03917">
              <w:rPr>
                <w:rFonts w:eastAsia="MS Mincho"/>
              </w:rPr>
              <w:t>)</w:t>
            </w:r>
            <w:r w:rsidRPr="00F03917">
              <w:rPr>
                <w:rFonts w:eastAsia="MS Mincho"/>
              </w:rPr>
              <w:t>.</w:t>
            </w:r>
          </w:p>
          <w:p w14:paraId="75AA749E" w14:textId="10A9E952" w:rsidR="0068709B" w:rsidRPr="00F03917" w:rsidRDefault="00456FED" w:rsidP="00BC1E80">
            <w:pPr>
              <w:pStyle w:val="Boxbullet"/>
              <w:ind w:left="1077" w:hanging="397"/>
              <w:rPr>
                <w:rFonts w:eastAsia="Calibri"/>
              </w:rPr>
            </w:pPr>
            <w:r w:rsidRPr="00F03917">
              <w:rPr>
                <w:rFonts w:eastAsia="MS Mincho"/>
              </w:rPr>
              <w:t>Establish the project team, budget, implementation plan and outputs</w:t>
            </w:r>
            <w:r w:rsidR="00F13E42" w:rsidRPr="00F03917">
              <w:rPr>
                <w:rFonts w:eastAsia="MS Mincho"/>
              </w:rPr>
              <w:t>,</w:t>
            </w:r>
            <w:r w:rsidRPr="00F03917" w:rsidDel="00F13E42">
              <w:rPr>
                <w:rFonts w:eastAsia="MS Mincho"/>
              </w:rPr>
              <w:t xml:space="preserve"> </w:t>
            </w:r>
            <w:r w:rsidRPr="00F03917" w:rsidDel="00F743DE">
              <w:rPr>
                <w:rFonts w:eastAsia="MS Mincho"/>
              </w:rPr>
              <w:t>u</w:t>
            </w:r>
            <w:r w:rsidRPr="00F03917">
              <w:rPr>
                <w:rFonts w:eastAsia="MS Mincho"/>
              </w:rPr>
              <w:t xml:space="preserve">sually </w:t>
            </w:r>
            <w:r w:rsidR="00F13E42" w:rsidRPr="00F03917">
              <w:rPr>
                <w:rFonts w:eastAsia="MS Mincho"/>
              </w:rPr>
              <w:t xml:space="preserve">done </w:t>
            </w:r>
            <w:r w:rsidR="00F073DC" w:rsidRPr="00F03917">
              <w:rPr>
                <w:rFonts w:eastAsia="MS Mincho"/>
              </w:rPr>
              <w:t>through a request for proposals and tendering process.</w:t>
            </w:r>
          </w:p>
        </w:tc>
      </w:tr>
      <w:tr w:rsidR="005E0ADD" w:rsidRPr="00F03917" w14:paraId="6B8C9C9A" w14:textId="77777777" w:rsidTr="2B6F1B58">
        <w:trPr>
          <w:trHeight w:val="1314"/>
        </w:trPr>
        <w:tc>
          <w:tcPr>
            <w:tcW w:w="8505" w:type="dxa"/>
            <w:tcBorders>
              <w:top w:val="single" w:sz="4" w:space="0" w:color="D2DDE1" w:themeColor="background2"/>
              <w:left w:val="single" w:sz="4" w:space="0" w:color="D2DDE1" w:themeColor="background2"/>
              <w:bottom w:val="single" w:sz="4" w:space="0" w:color="D2DDE1" w:themeColor="background2"/>
              <w:right w:val="single" w:sz="4" w:space="0" w:color="D2DDE1" w:themeColor="background2"/>
            </w:tcBorders>
            <w:shd w:val="clear" w:color="auto" w:fill="D2DDE2"/>
          </w:tcPr>
          <w:p w14:paraId="27908D4E" w14:textId="6BC97C92" w:rsidR="00BC1E80" w:rsidRPr="00F03917" w:rsidRDefault="005E0ADD" w:rsidP="005E0ADD">
            <w:pPr>
              <w:pStyle w:val="Boxtext"/>
              <w:numPr>
                <w:ilvl w:val="0"/>
                <w:numId w:val="38"/>
              </w:numPr>
              <w:spacing w:after="80"/>
              <w:rPr>
                <w:b/>
              </w:rPr>
            </w:pPr>
            <w:r w:rsidRPr="00F03917">
              <w:rPr>
                <w:b/>
                <w:bCs/>
              </w:rPr>
              <w:lastRenderedPageBreak/>
              <w:t>Identify and prepare data, information and projections</w:t>
            </w:r>
          </w:p>
          <w:p w14:paraId="3DDD587D" w14:textId="052640CC" w:rsidR="005E0ADD" w:rsidRPr="00F03917" w:rsidRDefault="005E0ADD" w:rsidP="00BC1E80">
            <w:pPr>
              <w:pStyle w:val="Boxtext"/>
              <w:spacing w:before="0" w:after="80"/>
              <w:ind w:left="680"/>
            </w:pPr>
            <w:r w:rsidRPr="00F03917">
              <w:t>Compile data and information currently available, including:</w:t>
            </w:r>
          </w:p>
          <w:p w14:paraId="6F988468" w14:textId="46853C2C" w:rsidR="005E0ADD" w:rsidRPr="00F03917" w:rsidRDefault="005E0ADD" w:rsidP="005E0ADD">
            <w:pPr>
              <w:pStyle w:val="Boxbullet"/>
              <w:tabs>
                <w:tab w:val="clear" w:pos="680"/>
              </w:tabs>
              <w:spacing w:after="80"/>
              <w:ind w:left="1077" w:hanging="397"/>
              <w:rPr>
                <w:rFonts w:eastAsia="MS Mincho"/>
              </w:rPr>
            </w:pPr>
            <w:r w:rsidRPr="00F03917">
              <w:rPr>
                <w:rFonts w:eastAsia="MS Mincho"/>
              </w:rPr>
              <w:t>national or regional climate</w:t>
            </w:r>
            <w:r w:rsidR="00DC3C68" w:rsidRPr="00F03917">
              <w:rPr>
                <w:rFonts w:eastAsia="MS Mincho"/>
              </w:rPr>
              <w:t xml:space="preserve"> </w:t>
            </w:r>
            <w:r w:rsidRPr="00F03917">
              <w:rPr>
                <w:rFonts w:eastAsia="MS Mincho"/>
              </w:rPr>
              <w:t xml:space="preserve">change and RSLR projections, and any downscaled local effects </w:t>
            </w:r>
          </w:p>
          <w:p w14:paraId="491C712F" w14:textId="77777777" w:rsidR="005E0ADD" w:rsidRPr="00F03917" w:rsidRDefault="005E0ADD" w:rsidP="005E0ADD">
            <w:pPr>
              <w:pStyle w:val="Boxbullet"/>
              <w:tabs>
                <w:tab w:val="clear" w:pos="680"/>
              </w:tabs>
              <w:spacing w:after="80"/>
              <w:ind w:left="1077" w:hanging="397"/>
              <w:rPr>
                <w:rFonts w:eastAsia="MS Mincho"/>
              </w:rPr>
            </w:pPr>
            <w:r w:rsidRPr="00F03917">
              <w:rPr>
                <w:rFonts w:eastAsia="MS Mincho"/>
              </w:rPr>
              <w:t>mana whenua mātauranga, pūrākau (stories) of the land</w:t>
            </w:r>
          </w:p>
          <w:p w14:paraId="632EE506" w14:textId="77777777" w:rsidR="005E0ADD" w:rsidRPr="00F03917" w:rsidRDefault="005E0ADD" w:rsidP="005E0ADD">
            <w:pPr>
              <w:pStyle w:val="Boxbullet"/>
              <w:tabs>
                <w:tab w:val="clear" w:pos="680"/>
              </w:tabs>
              <w:spacing w:after="80"/>
              <w:ind w:left="1077" w:hanging="397"/>
              <w:rPr>
                <w:rFonts w:eastAsia="MS Mincho"/>
              </w:rPr>
            </w:pPr>
            <w:r w:rsidRPr="00F03917">
              <w:rPr>
                <w:rFonts w:eastAsia="MS Mincho"/>
              </w:rPr>
              <w:t xml:space="preserve">the range of hazards that fit the decided objective and purpose (drawing information and hazard magnitudes from the hazards assessments – see </w:t>
            </w:r>
            <w:hyperlink w:anchor="_Step_2:_Assess" w:history="1">
              <w:r w:rsidRPr="00F03917">
                <w:rPr>
                  <w:rStyle w:val="Hyperlink"/>
                  <w:rFonts w:eastAsia="MS Mincho"/>
                </w:rPr>
                <w:t>step 2</w:t>
              </w:r>
            </w:hyperlink>
            <w:r w:rsidRPr="00F03917">
              <w:rPr>
                <w:rFonts w:eastAsia="MS Mincho"/>
              </w:rPr>
              <w:t>)</w:t>
            </w:r>
          </w:p>
          <w:p w14:paraId="191505ED" w14:textId="77777777" w:rsidR="005E0ADD" w:rsidRPr="00F03917" w:rsidRDefault="005E0ADD" w:rsidP="005E0ADD">
            <w:pPr>
              <w:pStyle w:val="Boxbullet"/>
              <w:tabs>
                <w:tab w:val="clear" w:pos="680"/>
              </w:tabs>
              <w:spacing w:after="80"/>
              <w:ind w:left="1077" w:hanging="397"/>
              <w:rPr>
                <w:rFonts w:eastAsia="MS Mincho"/>
              </w:rPr>
            </w:pPr>
            <w:r w:rsidRPr="00F03917">
              <w:rPr>
                <w:rFonts w:eastAsia="MS Mincho"/>
              </w:rPr>
              <w:t>system elements (across the value domains) at risk from exposure</w:t>
            </w:r>
            <w:r w:rsidRPr="00F03917" w:rsidDel="00921D9D">
              <w:rPr>
                <w:rFonts w:eastAsia="MS Mincho"/>
              </w:rPr>
              <w:t xml:space="preserve"> </w:t>
            </w:r>
            <w:r w:rsidRPr="00F03917">
              <w:rPr>
                <w:rFonts w:eastAsia="MS Mincho"/>
              </w:rPr>
              <w:t>from the impacts of climate change</w:t>
            </w:r>
          </w:p>
          <w:p w14:paraId="56911A68" w14:textId="59EAA4B0" w:rsidR="005E0ADD" w:rsidRPr="00F03917" w:rsidRDefault="005E0ADD" w:rsidP="005E0ADD">
            <w:pPr>
              <w:pStyle w:val="Boxbullet"/>
              <w:tabs>
                <w:tab w:val="clear" w:pos="680"/>
              </w:tabs>
              <w:spacing w:after="80"/>
              <w:ind w:left="1077" w:hanging="397"/>
              <w:rPr>
                <w:rFonts w:eastAsia="MS Mincho"/>
              </w:rPr>
            </w:pPr>
            <w:r w:rsidRPr="00F03917">
              <w:rPr>
                <w:rFonts w:eastAsia="MS Mincho"/>
              </w:rPr>
              <w:t xml:space="preserve">the attributes and features of assets, land, cultural sites and people </w:t>
            </w:r>
            <w:r w:rsidR="002F0FA7" w:rsidRPr="00F03917">
              <w:rPr>
                <w:rFonts w:eastAsia="MS Mincho"/>
              </w:rPr>
              <w:t xml:space="preserve">who </w:t>
            </w:r>
            <w:r w:rsidRPr="00F03917">
              <w:rPr>
                <w:rFonts w:eastAsia="MS Mincho"/>
              </w:rPr>
              <w:t xml:space="preserve">are sensitive to coastal hazards and climate change (inputs to </w:t>
            </w:r>
            <w:r w:rsidRPr="00F03917">
              <w:rPr>
                <w:rFonts w:eastAsia="MS Mincho"/>
                <w:b/>
                <w:bCs/>
              </w:rPr>
              <w:t>vulnerability</w:t>
            </w:r>
            <w:r w:rsidRPr="00F03917">
              <w:rPr>
                <w:rFonts w:eastAsia="MS Mincho"/>
              </w:rPr>
              <w:t>). These can include fragility functions that relate the per cent damage or impact of assets to the magnitude of hazard exposure</w:t>
            </w:r>
            <w:r w:rsidR="002D0C8F" w:rsidRPr="00F03917">
              <w:rPr>
                <w:rFonts w:eastAsia="MS Mincho"/>
              </w:rPr>
              <w:t>, for example</w:t>
            </w:r>
            <w:r w:rsidRPr="00F03917">
              <w:rPr>
                <w:rFonts w:eastAsia="MS Mincho"/>
              </w:rPr>
              <w:t>, flood depth above a floor level (included in RiskScape)</w:t>
            </w:r>
          </w:p>
          <w:p w14:paraId="17AEE24C" w14:textId="6ECAEF34" w:rsidR="005E0ADD" w:rsidRPr="00F03917" w:rsidRDefault="005E0ADD" w:rsidP="005E0ADD">
            <w:pPr>
              <w:pStyle w:val="Boxbullet"/>
              <w:tabs>
                <w:tab w:val="clear" w:pos="680"/>
              </w:tabs>
              <w:spacing w:after="80"/>
              <w:ind w:left="1077" w:hanging="397"/>
              <w:rPr>
                <w:rFonts w:eastAsia="MS Mincho"/>
              </w:rPr>
            </w:pPr>
            <w:r w:rsidRPr="00F03917">
              <w:rPr>
                <w:rFonts w:eastAsia="MS Mincho"/>
              </w:rPr>
              <w:t>barriers and enablers across the value domains, particularly governance</w:t>
            </w:r>
            <w:r w:rsidR="001A40FF" w:rsidRPr="00F03917">
              <w:rPr>
                <w:rFonts w:eastAsia="MS Mincho"/>
              </w:rPr>
              <w:t>,</w:t>
            </w:r>
            <w:r w:rsidRPr="00F03917">
              <w:rPr>
                <w:rFonts w:eastAsia="MS Mincho"/>
              </w:rPr>
              <w:t xml:space="preserve"> social</w:t>
            </w:r>
            <w:r w:rsidR="001A40FF" w:rsidRPr="00F03917">
              <w:rPr>
                <w:rFonts w:eastAsia="MS Mincho"/>
              </w:rPr>
              <w:t xml:space="preserve"> and </w:t>
            </w:r>
            <w:r w:rsidRPr="00F03917">
              <w:rPr>
                <w:rFonts w:eastAsia="MS Mincho"/>
              </w:rPr>
              <w:t xml:space="preserve">cultural, that could affect adaptive capacity (inputs to </w:t>
            </w:r>
            <w:r w:rsidRPr="00F03917">
              <w:rPr>
                <w:rFonts w:eastAsia="MS Mincho"/>
                <w:b/>
                <w:bCs/>
              </w:rPr>
              <w:t>vulnerability</w:t>
            </w:r>
            <w:r w:rsidRPr="00F03917">
              <w:rPr>
                <w:rFonts w:eastAsia="MS Mincho"/>
              </w:rPr>
              <w:t>)</w:t>
            </w:r>
          </w:p>
          <w:p w14:paraId="2B2C4145" w14:textId="6520301C" w:rsidR="005E0ADD" w:rsidRPr="00F03917" w:rsidRDefault="005E0ADD" w:rsidP="005E0ADD">
            <w:pPr>
              <w:pStyle w:val="Boxbullet"/>
              <w:tabs>
                <w:tab w:val="clear" w:pos="680"/>
              </w:tabs>
              <w:spacing w:after="80"/>
              <w:ind w:left="1077" w:hanging="397"/>
              <w:rPr>
                <w:rFonts w:eastAsia="MS Mincho"/>
              </w:rPr>
            </w:pPr>
            <w:r w:rsidRPr="00F03917">
              <w:rPr>
                <w:rFonts w:eastAsia="MS Mincho"/>
              </w:rPr>
              <w:t xml:space="preserve">some scenarios or narratives of </w:t>
            </w:r>
            <w:r w:rsidRPr="00F03917">
              <w:rPr>
                <w:rFonts w:eastAsia="MS Mincho"/>
                <w:u w:val="single"/>
              </w:rPr>
              <w:t>future</w:t>
            </w:r>
            <w:r w:rsidRPr="00F03917">
              <w:rPr>
                <w:rFonts w:eastAsia="MS Mincho"/>
              </w:rPr>
              <w:t xml:space="preserve"> policy</w:t>
            </w:r>
            <w:r w:rsidR="001A40FF" w:rsidRPr="00F03917">
              <w:rPr>
                <w:rFonts w:eastAsia="MS Mincho"/>
              </w:rPr>
              <w:t xml:space="preserve">, </w:t>
            </w:r>
            <w:r w:rsidRPr="00F03917">
              <w:rPr>
                <w:rFonts w:eastAsia="MS Mincho"/>
              </w:rPr>
              <w:t>economic</w:t>
            </w:r>
            <w:r w:rsidR="001A40FF" w:rsidRPr="00F03917">
              <w:rPr>
                <w:rFonts w:eastAsia="MS Mincho"/>
              </w:rPr>
              <w:t xml:space="preserve"> and </w:t>
            </w:r>
            <w:r w:rsidRPr="00F03917">
              <w:rPr>
                <w:rFonts w:eastAsia="MS Mincho"/>
              </w:rPr>
              <w:t>social settings, demographic trends and effects on exposure and vulnerability (annex B of ISO 14091:2021, and Allison et al, 2023). Otherwise, future climate change and RSLR projections are only being assessed for risk on the current situation and policy</w:t>
            </w:r>
            <w:r w:rsidR="00634621" w:rsidRPr="00F03917">
              <w:rPr>
                <w:rFonts w:eastAsia="MS Mincho"/>
              </w:rPr>
              <w:t xml:space="preserve"> and </w:t>
            </w:r>
            <w:r w:rsidRPr="00F03917">
              <w:rPr>
                <w:rFonts w:eastAsia="MS Mincho"/>
              </w:rPr>
              <w:t>economic settings</w:t>
            </w:r>
          </w:p>
          <w:p w14:paraId="5BD0CEBA" w14:textId="77777777" w:rsidR="005E0ADD" w:rsidRPr="00F03917" w:rsidRDefault="005E0ADD" w:rsidP="005E0ADD">
            <w:pPr>
              <w:pStyle w:val="Boxbullet"/>
              <w:tabs>
                <w:tab w:val="clear" w:pos="680"/>
              </w:tabs>
              <w:ind w:left="1077" w:hanging="397"/>
              <w:rPr>
                <w:rFonts w:eastAsia="MS Mincho"/>
              </w:rPr>
            </w:pPr>
            <w:r w:rsidRPr="00F03917">
              <w:rPr>
                <w:rFonts w:eastAsia="MS Mincho"/>
              </w:rPr>
              <w:t>essential gaps, and how this information can be gathered.</w:t>
            </w:r>
            <w:r w:rsidRPr="00F03917">
              <w:rPr>
                <w:rFonts w:eastAsia="MS Mincho"/>
                <w:vertAlign w:val="superscript"/>
              </w:rPr>
              <w:footnoteReference w:id="72"/>
            </w:r>
            <w:r w:rsidRPr="00F03917">
              <w:rPr>
                <w:rFonts w:eastAsia="MS Mincho"/>
              </w:rPr>
              <w:t xml:space="preserve"> </w:t>
            </w:r>
          </w:p>
          <w:p w14:paraId="2C87CE8F" w14:textId="57B30C3F" w:rsidR="00BC1E80" w:rsidRPr="00F03917" w:rsidRDefault="005E0ADD" w:rsidP="005E0ADD">
            <w:pPr>
              <w:pStyle w:val="Boxtext"/>
              <w:numPr>
                <w:ilvl w:val="0"/>
                <w:numId w:val="38"/>
              </w:numPr>
              <w:spacing w:after="80"/>
              <w:rPr>
                <w:b/>
              </w:rPr>
            </w:pPr>
            <w:r w:rsidRPr="00F03917">
              <w:rPr>
                <w:b/>
                <w:bCs/>
              </w:rPr>
              <w:t>Consequence analysis</w:t>
            </w:r>
            <w:r w:rsidRPr="00F03917" w:rsidDel="005E0ADD">
              <w:rPr>
                <w:b/>
                <w:bCs/>
              </w:rPr>
              <w:t xml:space="preserve"> </w:t>
            </w:r>
          </w:p>
          <w:p w14:paraId="7497AD87" w14:textId="314483FA" w:rsidR="005E0ADD" w:rsidRPr="00F03917" w:rsidRDefault="005E0ADD" w:rsidP="00BC1E80">
            <w:pPr>
              <w:pStyle w:val="Boxtext"/>
              <w:spacing w:before="0" w:after="80"/>
              <w:ind w:left="680"/>
            </w:pPr>
            <w:r w:rsidRPr="00F03917">
              <w:t>What elements are at risk and the consequences should they be affected. Things to consider include:</w:t>
            </w:r>
          </w:p>
          <w:p w14:paraId="79E90CD3" w14:textId="1D36CBE2" w:rsidR="005E0ADD" w:rsidRPr="00F03917" w:rsidRDefault="005E0ADD" w:rsidP="005E0ADD">
            <w:pPr>
              <w:pStyle w:val="Boxbullet"/>
              <w:tabs>
                <w:tab w:val="clear" w:pos="680"/>
              </w:tabs>
              <w:spacing w:after="80"/>
              <w:ind w:left="1077" w:hanging="397"/>
              <w:rPr>
                <w:rFonts w:eastAsia="MS Mincho"/>
              </w:rPr>
            </w:pPr>
            <w:r w:rsidRPr="00F03917">
              <w:rPr>
                <w:rFonts w:eastAsia="MS Mincho"/>
              </w:rPr>
              <w:t>type of land</w:t>
            </w:r>
            <w:r w:rsidR="001C63C1" w:rsidRPr="00F03917">
              <w:rPr>
                <w:rFonts w:eastAsia="MS Mincho"/>
              </w:rPr>
              <w:t xml:space="preserve"> </w:t>
            </w:r>
            <w:r w:rsidRPr="00F03917">
              <w:rPr>
                <w:rFonts w:eastAsia="MS Mincho"/>
              </w:rPr>
              <w:t>use or infrastructure</w:t>
            </w:r>
          </w:p>
          <w:p w14:paraId="7C9DF35C" w14:textId="77777777" w:rsidR="005E0ADD" w:rsidRPr="00F03917" w:rsidRDefault="005E0ADD" w:rsidP="005E0ADD">
            <w:pPr>
              <w:pStyle w:val="Boxbullet"/>
              <w:tabs>
                <w:tab w:val="clear" w:pos="680"/>
              </w:tabs>
              <w:spacing w:after="80"/>
              <w:ind w:left="1077" w:hanging="397"/>
              <w:rPr>
                <w:rFonts w:eastAsia="MS Mincho"/>
              </w:rPr>
            </w:pPr>
            <w:r w:rsidRPr="00F03917">
              <w:rPr>
                <w:rFonts w:eastAsia="MS Mincho"/>
              </w:rPr>
              <w:t>the expected lifetime of the asset</w:t>
            </w:r>
          </w:p>
          <w:p w14:paraId="528E023D" w14:textId="77777777" w:rsidR="005E0ADD" w:rsidRPr="00F03917" w:rsidRDefault="005E0ADD" w:rsidP="005E0ADD">
            <w:pPr>
              <w:pStyle w:val="Boxbullet"/>
              <w:tabs>
                <w:tab w:val="clear" w:pos="680"/>
              </w:tabs>
              <w:spacing w:after="80"/>
              <w:ind w:left="1077" w:hanging="397"/>
              <w:rPr>
                <w:rFonts w:eastAsia="MS Mincho"/>
              </w:rPr>
            </w:pPr>
            <w:r w:rsidRPr="00F03917">
              <w:rPr>
                <w:rFonts w:eastAsia="MS Mincho"/>
              </w:rPr>
              <w:t>whether the development already exists or is yet to be built.</w:t>
            </w:r>
            <w:r w:rsidRPr="00F03917">
              <w:rPr>
                <w:rFonts w:eastAsia="MS Mincho"/>
                <w:vertAlign w:val="superscript"/>
              </w:rPr>
              <w:footnoteReference w:id="73"/>
            </w:r>
          </w:p>
          <w:p w14:paraId="2CF8B4B4" w14:textId="0BBD7FB0" w:rsidR="005E0ADD" w:rsidRPr="00F03917" w:rsidRDefault="005E0ADD" w:rsidP="00BC1E80">
            <w:pPr>
              <w:pStyle w:val="Boxtext"/>
              <w:spacing w:before="80" w:after="80"/>
              <w:ind w:left="680"/>
            </w:pPr>
            <w:r w:rsidRPr="00F03917">
              <w:t xml:space="preserve">The degree of risk and consequences can then be used to set triggers and adaptation thresholds for the </w:t>
            </w:r>
            <w:r w:rsidR="00CE3889" w:rsidRPr="00F03917">
              <w:t xml:space="preserve">dynamic adaptive pathways planning </w:t>
            </w:r>
            <w:r w:rsidRPr="00F03917">
              <w:t>approach.</w:t>
            </w:r>
          </w:p>
          <w:p w14:paraId="557ED054" w14:textId="77777777" w:rsidR="00BC1E80" w:rsidRPr="00F03917" w:rsidRDefault="005E0ADD" w:rsidP="00BC1E80">
            <w:pPr>
              <w:pStyle w:val="Boxtext"/>
              <w:numPr>
                <w:ilvl w:val="0"/>
                <w:numId w:val="38"/>
              </w:numPr>
              <w:spacing w:after="0"/>
              <w:rPr>
                <w:b/>
              </w:rPr>
            </w:pPr>
            <w:r w:rsidRPr="00F03917">
              <w:rPr>
                <w:b/>
                <w:bCs/>
              </w:rPr>
              <w:t xml:space="preserve">Review and communicate risk </w:t>
            </w:r>
          </w:p>
          <w:p w14:paraId="5C392F5C" w14:textId="26514BC3" w:rsidR="005E0ADD" w:rsidRPr="00F03917" w:rsidRDefault="00D34EC5" w:rsidP="00BC1E80">
            <w:pPr>
              <w:pStyle w:val="Boxtext"/>
              <w:spacing w:before="80" w:after="80"/>
              <w:ind w:left="680"/>
            </w:pPr>
            <w:r w:rsidRPr="00F03917">
              <w:t>I</w:t>
            </w:r>
            <w:r w:rsidR="005E0ADD" w:rsidRPr="00F03917">
              <w:t>mplications of the risk assessment findings and ratings to make sure:</w:t>
            </w:r>
          </w:p>
          <w:p w14:paraId="18DAD1B0" w14:textId="77777777" w:rsidR="005E0ADD" w:rsidRPr="00F03917" w:rsidRDefault="005E0ADD" w:rsidP="005E0ADD">
            <w:pPr>
              <w:pStyle w:val="Boxbullet"/>
              <w:tabs>
                <w:tab w:val="clear" w:pos="680"/>
              </w:tabs>
              <w:spacing w:after="80"/>
              <w:ind w:left="1077" w:hanging="397"/>
              <w:rPr>
                <w:rFonts w:eastAsia="MS Mincho"/>
              </w:rPr>
            </w:pPr>
            <w:r w:rsidRPr="00F03917">
              <w:rPr>
                <w:rFonts w:eastAsia="MS Mincho"/>
              </w:rPr>
              <w:t xml:space="preserve">there is consistency (across domains, places, elements, intra-regional connectivity) </w:t>
            </w:r>
          </w:p>
          <w:p w14:paraId="1DAB0AAE" w14:textId="77777777" w:rsidR="005E0ADD" w:rsidRPr="00F03917" w:rsidRDefault="005E0ADD" w:rsidP="005E0ADD">
            <w:pPr>
              <w:pStyle w:val="Boxbullet"/>
              <w:tabs>
                <w:tab w:val="clear" w:pos="680"/>
              </w:tabs>
              <w:spacing w:after="80"/>
              <w:ind w:left="1077" w:hanging="397"/>
              <w:rPr>
                <w:rFonts w:eastAsia="MS Mincho"/>
              </w:rPr>
            </w:pPr>
            <w:r w:rsidRPr="00F03917">
              <w:rPr>
                <w:rFonts w:eastAsia="MS Mincho"/>
              </w:rPr>
              <w:t xml:space="preserve">a range of future changes have been adequately considered </w:t>
            </w:r>
          </w:p>
          <w:p w14:paraId="45C58276" w14:textId="25F48BC0" w:rsidR="005E0ADD" w:rsidRPr="00F03917" w:rsidRDefault="005E0ADD" w:rsidP="005E0ADD">
            <w:pPr>
              <w:pStyle w:val="Boxbullet"/>
              <w:tabs>
                <w:tab w:val="clear" w:pos="680"/>
              </w:tabs>
              <w:spacing w:after="80"/>
              <w:ind w:left="1077" w:hanging="397"/>
              <w:rPr>
                <w:rFonts w:eastAsia="MS Mincho"/>
              </w:rPr>
            </w:pPr>
            <w:r w:rsidRPr="00F03917">
              <w:rPr>
                <w:rFonts w:eastAsia="MS Mincho"/>
              </w:rPr>
              <w:t>adaptation (risk) thresholds that have emerged from the risk assessment have been validated and carried through to step 5 of the decision cycle (to identify and evaluate pathway options)</w:t>
            </w:r>
          </w:p>
          <w:p w14:paraId="452ACD1F" w14:textId="174235CC" w:rsidR="005E0ADD" w:rsidRPr="00F03917" w:rsidRDefault="005E0ADD" w:rsidP="005E0ADD">
            <w:pPr>
              <w:pStyle w:val="Boxbullet"/>
              <w:tabs>
                <w:tab w:val="clear" w:pos="680"/>
              </w:tabs>
              <w:spacing w:after="80"/>
              <w:ind w:left="1077" w:hanging="397"/>
              <w:rPr>
                <w:rFonts w:eastAsia="MS Mincho"/>
              </w:rPr>
            </w:pPr>
            <w:r w:rsidRPr="00F03917">
              <w:rPr>
                <w:rFonts w:eastAsia="MS Mincho"/>
              </w:rPr>
              <w:t>the methodology is fit</w:t>
            </w:r>
            <w:r w:rsidR="008411E6" w:rsidRPr="00F03917">
              <w:rPr>
                <w:rFonts w:eastAsia="MS Mincho"/>
              </w:rPr>
              <w:t xml:space="preserve"> </w:t>
            </w:r>
            <w:r w:rsidRPr="00F03917">
              <w:rPr>
                <w:rFonts w:eastAsia="MS Mincho"/>
              </w:rPr>
              <w:t>for</w:t>
            </w:r>
            <w:r w:rsidR="008411E6" w:rsidRPr="00F03917">
              <w:rPr>
                <w:rFonts w:eastAsia="MS Mincho"/>
              </w:rPr>
              <w:t xml:space="preserve"> </w:t>
            </w:r>
            <w:r w:rsidRPr="00F03917">
              <w:rPr>
                <w:rFonts w:eastAsia="MS Mincho"/>
              </w:rPr>
              <w:t>purpose</w:t>
            </w:r>
          </w:p>
          <w:p w14:paraId="160BF974" w14:textId="77777777" w:rsidR="005E0ADD" w:rsidRPr="00F03917" w:rsidRDefault="005E0ADD" w:rsidP="00BC1E80">
            <w:pPr>
              <w:pStyle w:val="Boxbullet"/>
              <w:tabs>
                <w:tab w:val="clear" w:pos="680"/>
              </w:tabs>
              <w:ind w:left="1077" w:hanging="397"/>
              <w:rPr>
                <w:rFonts w:eastAsia="MS Mincho"/>
              </w:rPr>
            </w:pPr>
            <w:r w:rsidRPr="00F03917">
              <w:rPr>
                <w:rFonts w:eastAsia="MS Mincho"/>
              </w:rPr>
              <w:t>engagement has been adequate and lessons learned have been documented</w:t>
            </w:r>
          </w:p>
          <w:p w14:paraId="646D8CCA" w14:textId="77777777" w:rsidR="005E0ADD" w:rsidRPr="00F03917" w:rsidRDefault="005E0ADD" w:rsidP="00AA1AC6">
            <w:pPr>
              <w:pStyle w:val="Boxbullet"/>
              <w:tabs>
                <w:tab w:val="clear" w:pos="680"/>
              </w:tabs>
              <w:spacing w:before="120" w:after="80"/>
              <w:ind w:left="1077" w:hanging="397"/>
              <w:rPr>
                <w:rFonts w:eastAsia="MS Mincho"/>
              </w:rPr>
            </w:pPr>
            <w:r w:rsidRPr="00F03917">
              <w:rPr>
                <w:rFonts w:eastAsia="MS Mincho"/>
              </w:rPr>
              <w:lastRenderedPageBreak/>
              <w:t>the guiding principles (ngā mātāpono) and community, council and iwi/hapū values from step 3 were successfully woven into the assessment</w:t>
            </w:r>
          </w:p>
          <w:p w14:paraId="59BEFD52" w14:textId="77777777" w:rsidR="005E0ADD" w:rsidRPr="00F03917" w:rsidRDefault="005E0ADD" w:rsidP="00AA1AC6">
            <w:pPr>
              <w:pStyle w:val="Boxbullet"/>
              <w:tabs>
                <w:tab w:val="clear" w:pos="680"/>
              </w:tabs>
              <w:spacing w:after="80"/>
              <w:ind w:left="1077" w:hanging="397"/>
              <w:rPr>
                <w:rFonts w:eastAsia="MS Mincho"/>
              </w:rPr>
            </w:pPr>
            <w:r w:rsidRPr="00F03917">
              <w:rPr>
                <w:rFonts w:eastAsia="MS Mincho"/>
              </w:rPr>
              <w:t>there is a comfortable level of assurance in the findings and priorities (including from a peer review or challenge process)</w:t>
            </w:r>
          </w:p>
          <w:p w14:paraId="0F0907C3" w14:textId="74BA262D" w:rsidR="005E0ADD" w:rsidRPr="00F03917" w:rsidRDefault="005E0ADD" w:rsidP="005E0ADD">
            <w:pPr>
              <w:pStyle w:val="Boxbullet"/>
              <w:tabs>
                <w:tab w:val="clear" w:pos="680"/>
              </w:tabs>
              <w:spacing w:after="80"/>
              <w:ind w:left="1077" w:hanging="397"/>
              <w:rPr>
                <w:rFonts w:eastAsia="MS Mincho"/>
              </w:rPr>
            </w:pPr>
            <w:r w:rsidRPr="00F03917">
              <w:rPr>
                <w:rFonts w:eastAsia="MS Mincho"/>
              </w:rPr>
              <w:t>any significant gaps in data, risk metrics, assessment limitations or engagement have been identified</w:t>
            </w:r>
          </w:p>
          <w:p w14:paraId="687B7690" w14:textId="43C670BA" w:rsidR="005E0ADD" w:rsidRPr="00F03917" w:rsidRDefault="005E0ADD" w:rsidP="005E0ADD">
            <w:pPr>
              <w:pStyle w:val="Boxbullet"/>
              <w:tabs>
                <w:tab w:val="clear" w:pos="680"/>
              </w:tabs>
              <w:spacing w:after="80"/>
              <w:ind w:left="1077" w:hanging="397"/>
              <w:rPr>
                <w:rFonts w:eastAsia="MS Mincho"/>
              </w:rPr>
            </w:pPr>
            <w:r w:rsidRPr="00F03917">
              <w:rPr>
                <w:rFonts w:eastAsia="MS Mincho"/>
              </w:rPr>
              <w:t>any opportunities to reduce risk that arose during the assessment have been included</w:t>
            </w:r>
            <w:r w:rsidR="00730574" w:rsidRPr="00F03917">
              <w:rPr>
                <w:rFonts w:eastAsia="MS Mincho"/>
              </w:rPr>
              <w:t>, for example</w:t>
            </w:r>
            <w:r w:rsidRPr="00F03917">
              <w:rPr>
                <w:rFonts w:eastAsia="MS Mincho"/>
              </w:rPr>
              <w:t>, alternat</w:t>
            </w:r>
            <w:r w:rsidR="00ED652F" w:rsidRPr="00F03917">
              <w:rPr>
                <w:rFonts w:eastAsia="MS Mincho"/>
              </w:rPr>
              <w:t>iv</w:t>
            </w:r>
            <w:r w:rsidRPr="00F03917">
              <w:rPr>
                <w:rFonts w:eastAsia="MS Mincho"/>
              </w:rPr>
              <w:t>e transport routes, repurposing land use, changes in primary production, horticulture, paludiculture, enhancing coastal wetlands</w:t>
            </w:r>
            <w:r w:rsidR="00ED652F" w:rsidRPr="00F03917">
              <w:rPr>
                <w:rFonts w:eastAsia="MS Mincho"/>
              </w:rPr>
              <w:t xml:space="preserve"> and </w:t>
            </w:r>
            <w:r w:rsidRPr="00F03917">
              <w:rPr>
                <w:rFonts w:eastAsia="MS Mincho"/>
              </w:rPr>
              <w:t xml:space="preserve">marshes (Allan et al, 2023) </w:t>
            </w:r>
          </w:p>
          <w:p w14:paraId="63807164" w14:textId="77777777" w:rsidR="005E0ADD" w:rsidRPr="00F03917" w:rsidRDefault="005E0ADD" w:rsidP="005E0ADD">
            <w:pPr>
              <w:pStyle w:val="Boxbullet"/>
              <w:tabs>
                <w:tab w:val="clear" w:pos="680"/>
              </w:tabs>
              <w:spacing w:after="80"/>
              <w:ind w:left="1077" w:hanging="397"/>
              <w:rPr>
                <w:rFonts w:eastAsia="MS Mincho"/>
              </w:rPr>
            </w:pPr>
            <w:r w:rsidRPr="00F03917">
              <w:rPr>
                <w:rFonts w:eastAsia="MS Mincho"/>
              </w:rPr>
              <w:t>the objectives and purposes of the assessment have been achieved</w:t>
            </w:r>
          </w:p>
          <w:p w14:paraId="518AE590" w14:textId="2CAC62B7" w:rsidR="005E0ADD" w:rsidRPr="00F03917" w:rsidRDefault="00C83F11" w:rsidP="005E0ADD">
            <w:pPr>
              <w:pStyle w:val="Boxbullet"/>
              <w:tabs>
                <w:tab w:val="clear" w:pos="680"/>
              </w:tabs>
              <w:spacing w:after="80"/>
              <w:ind w:left="1077" w:hanging="397"/>
              <w:rPr>
                <w:rFonts w:eastAsia="MS Mincho"/>
              </w:rPr>
            </w:pPr>
            <w:r w:rsidRPr="00F03917">
              <w:rPr>
                <w:rFonts w:eastAsia="MS Mincho"/>
              </w:rPr>
              <w:t>peopl</w:t>
            </w:r>
            <w:r w:rsidRPr="00F03917">
              <w:rPr>
                <w:rFonts w:eastAsia="MS Mincho"/>
                <w:spacing w:val="-2"/>
              </w:rPr>
              <w:t xml:space="preserve">e know </w:t>
            </w:r>
            <w:r w:rsidR="005E0ADD" w:rsidRPr="00F03917">
              <w:rPr>
                <w:rFonts w:eastAsia="MS Mincho"/>
                <w:spacing w:val="-2"/>
              </w:rPr>
              <w:t>how to use the findings to inform subsequent steps in the decision cycle</w:t>
            </w:r>
            <w:r w:rsidRPr="00F03917">
              <w:rPr>
                <w:rFonts w:eastAsia="MS Mincho"/>
                <w:spacing w:val="-2"/>
              </w:rPr>
              <w:t>.</w:t>
            </w:r>
          </w:p>
          <w:p w14:paraId="507D21F5" w14:textId="7D105A6F" w:rsidR="005E0ADD" w:rsidRPr="00F03917" w:rsidRDefault="005E0ADD" w:rsidP="005E0ADD">
            <w:pPr>
              <w:pStyle w:val="Boxtext"/>
              <w:spacing w:after="240"/>
              <w:rPr>
                <w:rFonts w:eastAsia="MS Mincho"/>
              </w:rPr>
            </w:pPr>
            <w:r w:rsidRPr="00F03917">
              <w:t>Communicate the findings through a variety of channels, such as maps, a geo</w:t>
            </w:r>
            <w:r w:rsidR="0097529E" w:rsidRPr="00F03917">
              <w:t>-</w:t>
            </w:r>
            <w:r w:rsidRPr="00F03917">
              <w:t>spatial risk portal, system maps (cascade chains</w:t>
            </w:r>
            <w:r w:rsidR="006436CD" w:rsidRPr="00F03917">
              <w:t>,</w:t>
            </w:r>
            <w:r w:rsidRPr="00F03917">
              <w:rPr>
                <w:rFonts w:eastAsia="Calibri" w:cs="Calibri"/>
                <w:szCs w:val="20"/>
              </w:rPr>
              <w:t xml:space="preserve"> eg, </w:t>
            </w:r>
            <w:hyperlink w:anchor="figure16" w:history="1">
              <w:r w:rsidRPr="00F03917">
                <w:rPr>
                  <w:rStyle w:val="Hyperlink"/>
                  <w:rFonts w:eastAsia="Calibri" w:cs="Calibri"/>
                  <w:szCs w:val="20"/>
                </w:rPr>
                <w:t>figure 16</w:t>
              </w:r>
            </w:hyperlink>
            <w:r w:rsidRPr="00F03917">
              <w:t>), workbooks, infographics (posters), a summary report, slide pack (for decision-makers) and a technical report.</w:t>
            </w:r>
          </w:p>
        </w:tc>
      </w:tr>
    </w:tbl>
    <w:p w14:paraId="193D696E" w14:textId="18BD6E55" w:rsidR="00405826" w:rsidRPr="00F03917" w:rsidRDefault="006309E3" w:rsidP="00C40A78">
      <w:pPr>
        <w:pStyle w:val="Heading4"/>
        <w:spacing w:before="400"/>
      </w:pPr>
      <w:bookmarkStart w:id="124" w:name="_Hlk139717449"/>
      <w:r w:rsidRPr="00F03917">
        <w:lastRenderedPageBreak/>
        <w:t>First pass</w:t>
      </w:r>
      <w:r w:rsidR="00405826" w:rsidRPr="00F03917">
        <w:t xml:space="preserve"> risk screening</w:t>
      </w:r>
    </w:p>
    <w:p w14:paraId="34BAB135" w14:textId="1E2CF109" w:rsidR="00B965EC" w:rsidRPr="00F03917" w:rsidRDefault="00CE0D3E" w:rsidP="00560754">
      <w:pPr>
        <w:pStyle w:val="BodyText"/>
        <w:keepNext/>
        <w:keepLines/>
      </w:pPr>
      <w:r w:rsidRPr="00F03917">
        <w:t>F</w:t>
      </w:r>
      <w:r w:rsidR="007E5C59" w:rsidRPr="00F03917">
        <w:t>irst</w:t>
      </w:r>
      <w:r w:rsidR="006436CD" w:rsidRPr="00F03917">
        <w:t xml:space="preserve"> </w:t>
      </w:r>
      <w:r w:rsidR="007E5C59" w:rsidRPr="00F03917">
        <w:t>pass</w:t>
      </w:r>
      <w:r w:rsidRPr="00F03917">
        <w:t xml:space="preserve"> (</w:t>
      </w:r>
      <w:r w:rsidR="00AE4819" w:rsidRPr="00F03917">
        <w:t>high-level</w:t>
      </w:r>
      <w:r w:rsidRPr="00F03917">
        <w:t>)</w:t>
      </w:r>
      <w:r w:rsidR="007E5C59" w:rsidRPr="00F03917">
        <w:t xml:space="preserve"> climate risk screening (at a regional</w:t>
      </w:r>
      <w:r w:rsidR="001B5C20" w:rsidRPr="00F03917">
        <w:t>,</w:t>
      </w:r>
      <w:r w:rsidR="007E5C59" w:rsidRPr="00F03917">
        <w:t xml:space="preserve"> city</w:t>
      </w:r>
      <w:r w:rsidR="001B5C20" w:rsidRPr="00F03917">
        <w:t xml:space="preserve"> or </w:t>
      </w:r>
      <w:r w:rsidR="007E5C59" w:rsidRPr="00F03917">
        <w:t xml:space="preserve">district scale) can be conducted as a desk-top study or </w:t>
      </w:r>
      <w:r w:rsidR="001B5C20" w:rsidRPr="00F03917">
        <w:t>one</w:t>
      </w:r>
      <w:r w:rsidR="007E5C59" w:rsidRPr="00F03917">
        <w:t>-day risk workshop</w:t>
      </w:r>
      <w:r w:rsidR="001B5C20" w:rsidRPr="00F03917">
        <w:t xml:space="preserve"> or </w:t>
      </w:r>
      <w:r w:rsidR="007E5C59" w:rsidRPr="00F03917">
        <w:t xml:space="preserve">hui to screen the main climate change related risks for coastal areas “potentially affected” by coastal hazards </w:t>
      </w:r>
      <w:r w:rsidR="00DB28B5" w:rsidRPr="00F03917">
        <w:t xml:space="preserve">(usually focused on flooding and erosion) </w:t>
      </w:r>
      <w:r w:rsidR="007E5C59" w:rsidRPr="00F03917">
        <w:t>and the effects of climate change (Policy</w:t>
      </w:r>
      <w:r w:rsidR="00312A13" w:rsidRPr="00F03917">
        <w:t> </w:t>
      </w:r>
      <w:r w:rsidR="007E5C59" w:rsidRPr="00F03917">
        <w:t>24, NZCPS</w:t>
      </w:r>
      <w:r w:rsidR="00946E21" w:rsidRPr="00F03917">
        <w:t>, DOC, 2010</w:t>
      </w:r>
      <w:r w:rsidR="00F6482C" w:rsidRPr="00F03917">
        <w:t>, p 24</w:t>
      </w:r>
      <w:r w:rsidR="007E5C59" w:rsidRPr="00F03917">
        <w:t>).</w:t>
      </w:r>
    </w:p>
    <w:p w14:paraId="2F19C31E" w14:textId="5871AA0E" w:rsidR="00394B3C" w:rsidRPr="00F03917" w:rsidRDefault="2E875E4A" w:rsidP="00174F6E">
      <w:pPr>
        <w:pStyle w:val="BulletFIX"/>
      </w:pPr>
      <w:r w:rsidRPr="00F03917">
        <w:t xml:space="preserve">Identify risk hotspots, key interactions or interdependencies, risks that are unclear or lack data, and timeframes (or increments of </w:t>
      </w:r>
      <w:r w:rsidR="00DB28B5" w:rsidRPr="00F03917">
        <w:t>R</w:t>
      </w:r>
      <w:r w:rsidRPr="00F03917">
        <w:t>SLR) for risks emerging.</w:t>
      </w:r>
      <w:r w:rsidRPr="00F03917">
        <w:rPr>
          <w:rFonts w:eastAsia="MS Gothic"/>
        </w:rPr>
        <w:t xml:space="preserve"> </w:t>
      </w:r>
      <w:bookmarkEnd w:id="124"/>
    </w:p>
    <w:p w14:paraId="003E1971" w14:textId="64C0B46E" w:rsidR="00394B3C" w:rsidRPr="00F03917" w:rsidRDefault="2E875E4A" w:rsidP="00174F6E">
      <w:pPr>
        <w:pStyle w:val="BulletFIX"/>
      </w:pPr>
      <w:r w:rsidRPr="00F03917">
        <w:t>Focus on building a shared qualitative understanding of the more significant risks that could compromise community and cultural values, public safety and disruption, and council objectives and levels of service.</w:t>
      </w:r>
    </w:p>
    <w:p w14:paraId="269563B3" w14:textId="72B1C612" w:rsidR="008C34F0" w:rsidRPr="00F03917" w:rsidRDefault="2E875E4A" w:rsidP="00174F6E">
      <w:pPr>
        <w:pStyle w:val="BulletFIX"/>
      </w:pPr>
      <w:r w:rsidRPr="00F03917">
        <w:t xml:space="preserve">The outputs from this </w:t>
      </w:r>
      <w:r w:rsidR="6F3F7767" w:rsidRPr="00F03917">
        <w:t xml:space="preserve">screening </w:t>
      </w:r>
      <w:r w:rsidRPr="00F03917">
        <w:t xml:space="preserve">identify the priority risks to assess in more detail in </w:t>
      </w:r>
      <w:r w:rsidR="35ECAC17" w:rsidRPr="00F03917">
        <w:t>risk assessment</w:t>
      </w:r>
      <w:r w:rsidRPr="00F03917">
        <w:t>. Be cautious when deciding on priority risks. The most noticeable risks may seem to be a priority, but there may be other ‘hidden’ risks that could be more important</w:t>
      </w:r>
      <w:r w:rsidR="404D22FA" w:rsidRPr="00F03917">
        <w:t xml:space="preserve"> or need to be addressed with a long lead time</w:t>
      </w:r>
      <w:r w:rsidRPr="00F03917">
        <w:t>. For example, groundwater is often overlooked but will have significant effects for many coastal areas</w:t>
      </w:r>
      <w:r w:rsidR="413D27B4" w:rsidRPr="00F03917">
        <w:t xml:space="preserve">, even if an </w:t>
      </w:r>
      <w:r w:rsidR="00E66F33" w:rsidRPr="00F03917">
        <w:t>‘</w:t>
      </w:r>
      <w:r w:rsidR="413D27B4" w:rsidRPr="00F03917">
        <w:t>accommodate</w:t>
      </w:r>
      <w:r w:rsidR="00E66F33" w:rsidRPr="00F03917">
        <w:t>’</w:t>
      </w:r>
      <w:r w:rsidR="413D27B4" w:rsidRPr="00F03917">
        <w:t xml:space="preserve"> option is implemented</w:t>
      </w:r>
      <w:r w:rsidRPr="00F03917">
        <w:t>.</w:t>
      </w:r>
    </w:p>
    <w:p w14:paraId="3AB75A82" w14:textId="10F4641A" w:rsidR="00394B3C" w:rsidRPr="00F03917" w:rsidRDefault="2E875E4A" w:rsidP="00174F6E">
      <w:pPr>
        <w:pStyle w:val="BulletFIX"/>
      </w:pPr>
      <w:r w:rsidRPr="00F03917">
        <w:t>Address any gaps in crucial information, uncertainty bounds or disagreements on risk rankings before the next phase. These discussions may form a basis for early input into land-use planning and building consent that could constrain any further increase in risk</w:t>
      </w:r>
      <w:r w:rsidR="18FA9987" w:rsidRPr="00F03917">
        <w:rPr>
          <w:rFonts w:cs="Arial"/>
        </w:rPr>
        <w:t xml:space="preserve"> from redevelopment or change in land use</w:t>
      </w:r>
      <w:r w:rsidRPr="00F03917">
        <w:t>.</w:t>
      </w:r>
      <w:r w:rsidR="6DBD4D8C" w:rsidRPr="00F03917">
        <w:t xml:space="preserve"> </w:t>
      </w:r>
    </w:p>
    <w:p w14:paraId="27180412" w14:textId="1C038DEB" w:rsidR="00394B3C" w:rsidRPr="00F03917" w:rsidRDefault="00394B3C" w:rsidP="00305721">
      <w:pPr>
        <w:pStyle w:val="BodyText"/>
      </w:pPr>
      <w:r w:rsidRPr="00F03917">
        <w:t xml:space="preserve">Figure </w:t>
      </w:r>
      <w:r w:rsidR="000631FB" w:rsidRPr="00F03917">
        <w:t xml:space="preserve">18 </w:t>
      </w:r>
      <w:r w:rsidRPr="00F03917">
        <w:t xml:space="preserve">shows a general workflow that could be followed </w:t>
      </w:r>
      <w:r w:rsidR="206EEF42" w:rsidRPr="00F03917">
        <w:t xml:space="preserve">for </w:t>
      </w:r>
      <w:r w:rsidR="006417CF" w:rsidRPr="00F03917">
        <w:t xml:space="preserve">a </w:t>
      </w:r>
      <w:r w:rsidR="00455FDC" w:rsidRPr="00F03917">
        <w:t>first</w:t>
      </w:r>
      <w:r w:rsidR="00B70E1A" w:rsidRPr="00F03917">
        <w:t xml:space="preserve"> </w:t>
      </w:r>
      <w:r w:rsidR="00455FDC" w:rsidRPr="00F03917">
        <w:t>pass</w:t>
      </w:r>
      <w:r w:rsidR="206EEF42" w:rsidRPr="00F03917">
        <w:t xml:space="preserve"> coastal risk screening</w:t>
      </w:r>
      <w:r w:rsidRPr="00F03917">
        <w:t xml:space="preserve">. </w:t>
      </w:r>
    </w:p>
    <w:p w14:paraId="264FE6CF" w14:textId="50853675" w:rsidR="00394B3C" w:rsidRPr="00F03917" w:rsidRDefault="00455FDC" w:rsidP="005F1BD5">
      <w:pPr>
        <w:pStyle w:val="Figureheading"/>
        <w:spacing w:after="100"/>
      </w:pPr>
      <w:bookmarkStart w:id="125" w:name="_Toc160098433"/>
      <w:bookmarkStart w:id="126" w:name="_Hlk155700395"/>
      <w:r w:rsidRPr="00F03917">
        <w:lastRenderedPageBreak/>
        <w:t xml:space="preserve">Figure </w:t>
      </w:r>
      <w:r w:rsidR="001F6526" w:rsidRPr="00F03917">
        <w:t>18</w:t>
      </w:r>
      <w:r w:rsidRPr="00F03917">
        <w:t xml:space="preserve">: </w:t>
      </w:r>
      <w:r w:rsidR="00913DDD" w:rsidRPr="00F03917">
        <w:tab/>
      </w:r>
      <w:r w:rsidR="00394B3C" w:rsidRPr="00F03917">
        <w:t xml:space="preserve">Suggested workflow for a </w:t>
      </w:r>
      <w:r w:rsidR="003B746D" w:rsidRPr="00F03917">
        <w:t>first</w:t>
      </w:r>
      <w:r w:rsidR="00B70E1A" w:rsidRPr="00F03917">
        <w:t xml:space="preserve"> </w:t>
      </w:r>
      <w:r w:rsidR="003B746D" w:rsidRPr="00F03917">
        <w:t>pass</w:t>
      </w:r>
      <w:r w:rsidR="00394B3C" w:rsidRPr="00F03917">
        <w:t xml:space="preserve"> coastal risk</w:t>
      </w:r>
      <w:r w:rsidR="005E5088" w:rsidRPr="00F03917">
        <w:t>-</w:t>
      </w:r>
      <w:r w:rsidR="00394B3C" w:rsidRPr="00F03917">
        <w:t>screening assessment</w:t>
      </w:r>
      <w:bookmarkEnd w:id="125"/>
    </w:p>
    <w:bookmarkEnd w:id="126"/>
    <w:p w14:paraId="27E432D8" w14:textId="77777777" w:rsidR="00394B3C" w:rsidRPr="00F03917" w:rsidRDefault="00394B3C" w:rsidP="005F1BD5">
      <w:pPr>
        <w:pStyle w:val="BodyText"/>
        <w:spacing w:before="100" w:after="100"/>
        <w:jc w:val="center"/>
      </w:pPr>
      <w:r w:rsidRPr="00F03917">
        <w:rPr>
          <w:noProof/>
        </w:rPr>
        <w:drawing>
          <wp:inline distT="0" distB="0" distL="0" distR="0" wp14:anchorId="447BC2A9" wp14:editId="1259197A">
            <wp:extent cx="3448806" cy="5938585"/>
            <wp:effectExtent l="0" t="0" r="0" b="5080"/>
            <wp:docPr id="1966273013" name="Picture 196627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273013" name="Picture 1966273013"/>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3448806" cy="5938585"/>
                    </a:xfrm>
                    <a:prstGeom prst="rect">
                      <a:avLst/>
                    </a:prstGeom>
                    <a:noFill/>
                    <a:ln>
                      <a:noFill/>
                    </a:ln>
                  </pic:spPr>
                </pic:pic>
              </a:graphicData>
            </a:graphic>
          </wp:inline>
        </w:drawing>
      </w:r>
    </w:p>
    <w:p w14:paraId="787F3EF0" w14:textId="72B23904" w:rsidR="00394B3C" w:rsidRPr="00F03917" w:rsidRDefault="00C40A78" w:rsidP="00560754">
      <w:pPr>
        <w:pStyle w:val="Source"/>
        <w:spacing w:before="0"/>
      </w:pPr>
      <w:r w:rsidRPr="00F03917">
        <w:t xml:space="preserve">Source: </w:t>
      </w:r>
      <w:r w:rsidR="00394B3C" w:rsidRPr="00F03917">
        <w:t>Adapted from the guidance for local climate risk assessments (MfE, 2021) and the recent emphasis on systems mapping of cascades or impact chains to weave in a place-based component (eg, Lawrence et al, 2020</w:t>
      </w:r>
      <w:r w:rsidR="45BCFCCB" w:rsidRPr="00F03917">
        <w:t>a</w:t>
      </w:r>
      <w:r w:rsidR="00394B3C" w:rsidRPr="00F03917">
        <w:t xml:space="preserve">; </w:t>
      </w:r>
      <w:r w:rsidR="00C7046E" w:rsidRPr="00F03917">
        <w:t>a</w:t>
      </w:r>
      <w:r w:rsidR="00394B3C" w:rsidRPr="00F03917">
        <w:t>nnex C of</w:t>
      </w:r>
      <w:r w:rsidR="009B51D5" w:rsidRPr="00F03917">
        <w:t> </w:t>
      </w:r>
      <w:r w:rsidR="00394B3C" w:rsidRPr="00F03917">
        <w:t>ISO 14091:2021).</w:t>
      </w:r>
      <w:r w:rsidR="00C7046E" w:rsidRPr="00F03917">
        <w:t xml:space="preserve"> RSLR = relative sea-level rise.</w:t>
      </w:r>
    </w:p>
    <w:p w14:paraId="46E2B8A9" w14:textId="05BB72C6" w:rsidR="00175BF1" w:rsidRPr="00F03917" w:rsidRDefault="000E425C" w:rsidP="005F1BD5">
      <w:pPr>
        <w:pStyle w:val="BodyText"/>
        <w:spacing w:after="100"/>
      </w:pPr>
      <w:bookmarkStart w:id="127" w:name="_Hlk139717458"/>
      <w:r w:rsidRPr="00F03917">
        <w:t>E</w:t>
      </w:r>
      <w:r w:rsidR="00C72FF4" w:rsidRPr="00F03917">
        <w:t xml:space="preserve">xamples of different types of risk screening, which have mainly focused on risk identification and exposure, are: </w:t>
      </w:r>
    </w:p>
    <w:p w14:paraId="2ED78BB6" w14:textId="39C8E218" w:rsidR="00175BF1" w:rsidRPr="00F03917" w:rsidRDefault="00C72FF4" w:rsidP="005F1BD5">
      <w:pPr>
        <w:pStyle w:val="BodyText"/>
        <w:numPr>
          <w:ilvl w:val="0"/>
          <w:numId w:val="45"/>
        </w:numPr>
        <w:spacing w:before="0" w:after="100"/>
        <w:ind w:left="397" w:hanging="397"/>
      </w:pPr>
      <w:r w:rsidRPr="00F03917">
        <w:t>the risk exposure of Auckland shoreline assets and reserves</w:t>
      </w:r>
      <w:r w:rsidR="00270645" w:rsidRPr="00F03917">
        <w:t> </w:t>
      </w:r>
      <w:r w:rsidRPr="00F03917">
        <w:t xml:space="preserve">to SLR (Boyle et al, 2019); </w:t>
      </w:r>
    </w:p>
    <w:p w14:paraId="75518D7C" w14:textId="7B202A86" w:rsidR="005C6B9B" w:rsidRPr="00F03917" w:rsidRDefault="00C72FF4" w:rsidP="005F1BD5">
      <w:pPr>
        <w:pStyle w:val="BodyText"/>
        <w:numPr>
          <w:ilvl w:val="0"/>
          <w:numId w:val="45"/>
        </w:numPr>
        <w:spacing w:before="0" w:after="100"/>
        <w:ind w:left="397" w:hanging="397"/>
      </w:pPr>
      <w:r w:rsidRPr="00F03917">
        <w:t>the national coastal risk exposure assessment by Local</w:t>
      </w:r>
      <w:r w:rsidR="009B51D5" w:rsidRPr="00F03917">
        <w:t> </w:t>
      </w:r>
      <w:r w:rsidRPr="00F03917">
        <w:t>Government N</w:t>
      </w:r>
      <w:r w:rsidR="00356DE3" w:rsidRPr="00F03917">
        <w:t xml:space="preserve">ew </w:t>
      </w:r>
      <w:r w:rsidRPr="00F03917">
        <w:t>Z</w:t>
      </w:r>
      <w:r w:rsidR="00356DE3" w:rsidRPr="00F03917">
        <w:t>ealand</w:t>
      </w:r>
      <w:r w:rsidRPr="00F03917">
        <w:t xml:space="preserve"> of council assets, facilities and reserves (Simonson and Hall, 20</w:t>
      </w:r>
      <w:r w:rsidR="001B4434" w:rsidRPr="00F03917">
        <w:t>19</w:t>
      </w:r>
      <w:r w:rsidRPr="00F03917">
        <w:t xml:space="preserve">) </w:t>
      </w:r>
    </w:p>
    <w:p w14:paraId="5607A67B" w14:textId="59DCDC50" w:rsidR="005C6B9B" w:rsidRPr="00F03917" w:rsidRDefault="00C72FF4" w:rsidP="005F1BD5">
      <w:pPr>
        <w:pStyle w:val="BodyText"/>
        <w:numPr>
          <w:ilvl w:val="0"/>
          <w:numId w:val="45"/>
        </w:numPr>
        <w:spacing w:before="0" w:after="100"/>
        <w:ind w:left="397" w:hanging="397"/>
      </w:pPr>
      <w:r w:rsidRPr="00F03917">
        <w:t xml:space="preserve">Tasman District coastal risk exposure and posters for </w:t>
      </w:r>
      <w:r w:rsidR="00721B6C" w:rsidRPr="00F03917">
        <w:t>four</w:t>
      </w:r>
      <w:r w:rsidRPr="00F03917">
        <w:t xml:space="preserve"> domains</w:t>
      </w:r>
      <w:r w:rsidR="00721B6C" w:rsidRPr="00F03917">
        <w:t xml:space="preserve"> and</w:t>
      </w:r>
      <w:r w:rsidRPr="00F03917">
        <w:t>/</w:t>
      </w:r>
      <w:r w:rsidR="00721B6C" w:rsidRPr="00F03917">
        <w:t xml:space="preserve">or </w:t>
      </w:r>
      <w:r w:rsidRPr="00F03917">
        <w:t>themes (Tasman District Council, 2020)</w:t>
      </w:r>
    </w:p>
    <w:p w14:paraId="77D04890" w14:textId="139D7CAC" w:rsidR="00C72FF4" w:rsidRPr="00F03917" w:rsidRDefault="00C72FF4" w:rsidP="005F1BD5">
      <w:pPr>
        <w:pStyle w:val="BodyText"/>
        <w:numPr>
          <w:ilvl w:val="0"/>
          <w:numId w:val="45"/>
        </w:numPr>
        <w:spacing w:before="0" w:after="100"/>
        <w:ind w:left="397" w:hanging="397"/>
      </w:pPr>
      <w:r w:rsidRPr="00F03917">
        <w:t>a risk identification exercise (surveys and in-person</w:t>
      </w:r>
      <w:r w:rsidR="002178AC" w:rsidRPr="00F03917">
        <w:t xml:space="preserve"> or </w:t>
      </w:r>
      <w:r w:rsidRPr="00F03917">
        <w:t>online hui and workshops for the 2022</w:t>
      </w:r>
      <w:r w:rsidR="002178AC" w:rsidRPr="00F03917">
        <w:t>–</w:t>
      </w:r>
      <w:r w:rsidRPr="00F03917">
        <w:t>23 Bay of Plenty climate risk assessment.</w:t>
      </w:r>
      <w:r w:rsidRPr="00F03917">
        <w:rPr>
          <w:rStyle w:val="FootnoteReference"/>
        </w:rPr>
        <w:footnoteReference w:id="74"/>
      </w:r>
    </w:p>
    <w:p w14:paraId="44725F36" w14:textId="7BABDD8D" w:rsidR="00394B3C" w:rsidRPr="00F03917" w:rsidRDefault="00394B3C" w:rsidP="00270645">
      <w:pPr>
        <w:pStyle w:val="Heading4"/>
      </w:pPr>
      <w:r w:rsidRPr="00F03917">
        <w:lastRenderedPageBreak/>
        <w:t>Detailed risk assessment</w:t>
      </w:r>
    </w:p>
    <w:bookmarkEnd w:id="127"/>
    <w:p w14:paraId="42F05B9F" w14:textId="4CA036FA" w:rsidR="0059029D" w:rsidRPr="00F03917" w:rsidRDefault="0059029D" w:rsidP="00FC64D2">
      <w:pPr>
        <w:pStyle w:val="BodyText"/>
        <w:spacing w:before="100" w:after="100"/>
      </w:pPr>
      <w:r w:rsidRPr="00F03917">
        <w:t>A detailed climate risk assessment takes the higher-rank</w:t>
      </w:r>
      <w:r w:rsidR="003C06CA" w:rsidRPr="00F03917">
        <w:t>ed</w:t>
      </w:r>
      <w:r w:rsidRPr="00F03917">
        <w:t xml:space="preserve">, </w:t>
      </w:r>
      <w:r w:rsidR="003C06CA" w:rsidRPr="00F03917">
        <w:t>significant short- and long-term</w:t>
      </w:r>
      <w:r w:rsidRPr="00F03917">
        <w:t xml:space="preserve"> and unclear climate risks from the risk-screening phase and undertakes a detailed analysis combining all three elements of risk in </w:t>
      </w:r>
      <w:hyperlink w:anchor="figure15" w:history="1">
        <w:r w:rsidR="006E2321" w:rsidRPr="00F03917">
          <w:rPr>
            <w:rStyle w:val="Hyperlink"/>
          </w:rPr>
          <w:t>figure 15</w:t>
        </w:r>
      </w:hyperlink>
      <w:r w:rsidRPr="00F03917">
        <w:t>. It determines how climate change may exacerbate existing coastal risks or the emergence of new significant compound hazards (eg,</w:t>
      </w:r>
      <w:r w:rsidR="00FD0BE3" w:rsidRPr="00F03917">
        <w:t> </w:t>
      </w:r>
      <w:r w:rsidRPr="00F03917">
        <w:t>flooding</w:t>
      </w:r>
      <w:r w:rsidR="003C06CA" w:rsidRPr="00F03917">
        <w:t xml:space="preserve"> and </w:t>
      </w:r>
      <w:r w:rsidRPr="00F03917">
        <w:t xml:space="preserve">erosion combinations, liquefaction) and cascading impact chains </w:t>
      </w:r>
      <w:r w:rsidRPr="00F03917">
        <w:rPr>
          <w:rFonts w:cs="Arial"/>
        </w:rPr>
        <w:t>(</w:t>
      </w:r>
      <w:hyperlink w:anchor="figure16" w:history="1">
        <w:r w:rsidR="0078730E" w:rsidRPr="00F03917">
          <w:rPr>
            <w:rStyle w:val="Hyperlink"/>
            <w:rFonts w:cs="Arial"/>
          </w:rPr>
          <w:t>f</w:t>
        </w:r>
        <w:r w:rsidRPr="00F03917">
          <w:rPr>
            <w:rStyle w:val="Hyperlink"/>
            <w:rFonts w:cs="Arial"/>
            <w:bCs/>
          </w:rPr>
          <w:t xml:space="preserve">igure </w:t>
        </w:r>
        <w:r w:rsidR="003501D0" w:rsidRPr="00F03917">
          <w:rPr>
            <w:rStyle w:val="Hyperlink"/>
            <w:rFonts w:cs="Arial"/>
            <w:bCs/>
          </w:rPr>
          <w:t>1</w:t>
        </w:r>
        <w:r w:rsidR="001E44C5" w:rsidRPr="00F03917">
          <w:rPr>
            <w:rStyle w:val="Hyperlink"/>
            <w:rFonts w:cs="Arial"/>
            <w:bCs/>
          </w:rPr>
          <w:t>6</w:t>
        </w:r>
      </w:hyperlink>
      <w:r w:rsidRPr="00F03917">
        <w:rPr>
          <w:rFonts w:cs="Arial"/>
          <w:bCs/>
        </w:rPr>
        <w:t>)</w:t>
      </w:r>
      <w:r w:rsidRPr="00F03917">
        <w:rPr>
          <w:bCs/>
        </w:rPr>
        <w:t>.</w:t>
      </w:r>
      <w:r w:rsidR="6263CD77" w:rsidRPr="00F03917">
        <w:t xml:space="preserve"> </w:t>
      </w:r>
      <w:r w:rsidR="00BF7A70" w:rsidRPr="00F03917">
        <w:t>E</w:t>
      </w:r>
      <w:r w:rsidR="6263CD77" w:rsidRPr="00F03917">
        <w:t>lements to include in a detailed risk assessment are</w:t>
      </w:r>
      <w:r w:rsidR="00BF7A70" w:rsidRPr="00F03917">
        <w:t xml:space="preserve"> as follows.</w:t>
      </w:r>
    </w:p>
    <w:p w14:paraId="36F1441A" w14:textId="602F5F24" w:rsidR="00EF76C7" w:rsidRPr="00F03917" w:rsidRDefault="2E875E4A" w:rsidP="00174F6E">
      <w:pPr>
        <w:pStyle w:val="BulletFIX"/>
      </w:pPr>
      <w:r w:rsidRPr="00F03917">
        <w:t>Focus on vulnerability and the places, systems and networks identified in the regional</w:t>
      </w:r>
      <w:r w:rsidR="00BF7A70" w:rsidRPr="00F03917">
        <w:t xml:space="preserve"> a</w:t>
      </w:r>
      <w:r w:rsidR="00D63094" w:rsidRPr="00F03917">
        <w:t>nd</w:t>
      </w:r>
      <w:r w:rsidR="033571EE" w:rsidRPr="00F03917">
        <w:t>/</w:t>
      </w:r>
      <w:r w:rsidR="00D63094" w:rsidRPr="00F03917">
        <w:t>or</w:t>
      </w:r>
      <w:r w:rsidR="00A748D0" w:rsidRPr="00F03917">
        <w:t xml:space="preserve"> </w:t>
      </w:r>
      <w:r w:rsidR="033571EE" w:rsidRPr="00F03917">
        <w:t>district</w:t>
      </w:r>
      <w:r w:rsidRPr="00F03917">
        <w:t xml:space="preserve"> screening as at greatest risk across the planning horizon. The assessments should encompass both the elements at risk and the extent of cascading impacts</w:t>
      </w:r>
      <w:r w:rsidR="3D48DDF3" w:rsidRPr="00F03917">
        <w:t xml:space="preserve"> on the locality arising both locally and from across the wider area</w:t>
      </w:r>
      <w:r w:rsidR="00BF7A70" w:rsidRPr="00F03917">
        <w:t xml:space="preserve"> and</w:t>
      </w:r>
      <w:r w:rsidR="3D48DDF3" w:rsidRPr="00F03917">
        <w:t>/</w:t>
      </w:r>
      <w:r w:rsidR="00BF7A70" w:rsidRPr="00F03917">
        <w:t xml:space="preserve">or </w:t>
      </w:r>
      <w:r w:rsidR="3D48DDF3" w:rsidRPr="00F03917">
        <w:t>region</w:t>
      </w:r>
      <w:r w:rsidRPr="00F03917">
        <w:t xml:space="preserve">. </w:t>
      </w:r>
    </w:p>
    <w:p w14:paraId="56EE4D74" w14:textId="38E3D285" w:rsidR="00394B3C" w:rsidRPr="00F03917" w:rsidRDefault="2E875E4A" w:rsidP="00174F6E">
      <w:pPr>
        <w:pStyle w:val="BulletFIX"/>
      </w:pPr>
      <w:r w:rsidRPr="00F03917">
        <w:t xml:space="preserve">Use </w:t>
      </w:r>
      <w:r w:rsidR="00E9301B" w:rsidRPr="00F03917">
        <w:t>R</w:t>
      </w:r>
      <w:r w:rsidRPr="00F03917">
        <w:t xml:space="preserve">SLR increments </w:t>
      </w:r>
      <w:r w:rsidR="00CF373F" w:rsidRPr="00F03917">
        <w:t>to cover the range of projections out to 2130</w:t>
      </w:r>
      <w:r w:rsidR="00CF373F" w:rsidRPr="00F03917">
        <w:rPr>
          <w:rStyle w:val="FootnoteReference"/>
        </w:rPr>
        <w:footnoteReference w:id="75"/>
      </w:r>
      <w:r w:rsidR="00CF373F" w:rsidRPr="00F03917">
        <w:t xml:space="preserve"> </w:t>
      </w:r>
      <w:r w:rsidRPr="00F03917">
        <w:t>or</w:t>
      </w:r>
      <w:r w:rsidR="002A02A4" w:rsidRPr="00F03917">
        <w:t>,</w:t>
      </w:r>
      <w:r w:rsidRPr="00F03917">
        <w:t xml:space="preserve"> </w:t>
      </w:r>
      <w:r w:rsidR="00CF373F" w:rsidRPr="00F03917">
        <w:t>as a minimum</w:t>
      </w:r>
      <w:r w:rsidR="002A02A4" w:rsidRPr="00F03917">
        <w:t>,</w:t>
      </w:r>
      <w:r w:rsidR="00CF373F" w:rsidRPr="00F03917">
        <w:t xml:space="preserve"> the </w:t>
      </w:r>
      <w:r w:rsidRPr="00F03917">
        <w:t xml:space="preserve">RSLR </w:t>
      </w:r>
      <w:r w:rsidR="00CF373F" w:rsidRPr="00F03917">
        <w:t>projections</w:t>
      </w:r>
      <w:r w:rsidR="258BDB12" w:rsidRPr="00F03917">
        <w:t xml:space="preserve"> recommended by </w:t>
      </w:r>
      <w:hyperlink w:anchor="table6" w:history="1">
        <w:r w:rsidR="001A40B6" w:rsidRPr="00F03917">
          <w:rPr>
            <w:rStyle w:val="Hyperlink"/>
          </w:rPr>
          <w:t>table 6</w:t>
        </w:r>
      </w:hyperlink>
      <w:r w:rsidR="001A40B6" w:rsidRPr="00F03917">
        <w:rPr>
          <w:rStyle w:val="Hyperlink"/>
        </w:rPr>
        <w:t>.</w:t>
      </w:r>
    </w:p>
    <w:p w14:paraId="16FCDAAD" w14:textId="3AD216CF" w:rsidR="00394B3C" w:rsidRPr="00F03917" w:rsidRDefault="2E875E4A" w:rsidP="00174F6E">
      <w:pPr>
        <w:pStyle w:val="BulletFIX"/>
      </w:pPr>
      <w:r w:rsidRPr="00F03917">
        <w:t xml:space="preserve">Attempt to superimpose future climate projections on a few future socio-economic scenarios or narratives (UNDRR, 2022). Examples are population trends, modal shifts in transport, changes in land-use and growth strategies. </w:t>
      </w:r>
      <w:r w:rsidRPr="00F03917">
        <w:rPr>
          <w:rFonts w:eastAsia="MS Gothic"/>
        </w:rPr>
        <w:t>Use</w:t>
      </w:r>
      <w:r w:rsidRPr="00F03917" w:rsidDel="00D2370F">
        <w:rPr>
          <w:rFonts w:eastAsia="MS Gothic"/>
        </w:rPr>
        <w:t xml:space="preserve"> </w:t>
      </w:r>
      <w:r w:rsidRPr="00F03917">
        <w:rPr>
          <w:rFonts w:eastAsia="MS Gothic"/>
        </w:rPr>
        <w:t xml:space="preserve">national, regional and local data, including input from hazard assessments for various </w:t>
      </w:r>
      <w:r w:rsidR="00134314" w:rsidRPr="00F03917">
        <w:rPr>
          <w:rFonts w:eastAsia="MS Gothic"/>
        </w:rPr>
        <w:t>R</w:t>
      </w:r>
      <w:r w:rsidR="1A11DF43" w:rsidRPr="00F03917">
        <w:rPr>
          <w:rFonts w:eastAsia="MS Gothic"/>
        </w:rPr>
        <w:t xml:space="preserve">SLR </w:t>
      </w:r>
      <w:r w:rsidRPr="00F03917">
        <w:rPr>
          <w:rFonts w:eastAsia="MS Gothic"/>
        </w:rPr>
        <w:t>increments or RSLR</w:t>
      </w:r>
      <w:r w:rsidR="002F6C91" w:rsidRPr="00F03917">
        <w:rPr>
          <w:rFonts w:eastAsia="MS Gothic"/>
        </w:rPr>
        <w:t xml:space="preserve"> projections</w:t>
      </w:r>
      <w:r w:rsidRPr="00F03917">
        <w:rPr>
          <w:rFonts w:eastAsia="MS Gothic"/>
        </w:rPr>
        <w:t>, demographics, and geo</w:t>
      </w:r>
      <w:r w:rsidR="0097529E" w:rsidRPr="00F03917">
        <w:rPr>
          <w:rFonts w:eastAsia="MS Gothic"/>
        </w:rPr>
        <w:t>-</w:t>
      </w:r>
      <w:r w:rsidRPr="00F03917">
        <w:rPr>
          <w:rFonts w:eastAsia="MS Gothic"/>
        </w:rPr>
        <w:t>spatial databases of assets and their attributes (eg, L</w:t>
      </w:r>
      <w:r w:rsidR="0049334E" w:rsidRPr="00F03917">
        <w:rPr>
          <w:rFonts w:eastAsia="MS Gothic"/>
        </w:rPr>
        <w:t xml:space="preserve">and </w:t>
      </w:r>
      <w:r w:rsidRPr="00F03917">
        <w:rPr>
          <w:rFonts w:eastAsia="MS Gothic"/>
        </w:rPr>
        <w:t>I</w:t>
      </w:r>
      <w:r w:rsidR="0049334E" w:rsidRPr="00F03917">
        <w:rPr>
          <w:rFonts w:eastAsia="MS Gothic"/>
        </w:rPr>
        <w:t xml:space="preserve">nformation </w:t>
      </w:r>
      <w:r w:rsidRPr="00F03917">
        <w:rPr>
          <w:rFonts w:eastAsia="MS Gothic"/>
        </w:rPr>
        <w:t>N</w:t>
      </w:r>
      <w:r w:rsidR="0049334E" w:rsidRPr="00F03917">
        <w:rPr>
          <w:rFonts w:eastAsia="MS Gothic"/>
        </w:rPr>
        <w:t xml:space="preserve">ew </w:t>
      </w:r>
      <w:r w:rsidRPr="00F03917">
        <w:rPr>
          <w:rFonts w:eastAsia="MS Gothic"/>
        </w:rPr>
        <w:t>Z</w:t>
      </w:r>
      <w:r w:rsidR="0049334E" w:rsidRPr="00F03917">
        <w:rPr>
          <w:rFonts w:eastAsia="MS Gothic"/>
        </w:rPr>
        <w:t>ealand</w:t>
      </w:r>
      <w:r w:rsidRPr="00F03917">
        <w:rPr>
          <w:rFonts w:eastAsia="MS Gothic"/>
        </w:rPr>
        <w:t xml:space="preserve"> and national building footprint</w:t>
      </w:r>
      <w:r w:rsidR="00394B3C" w:rsidRPr="00F03917">
        <w:rPr>
          <w:rFonts w:eastAsia="MS Gothic"/>
          <w:vertAlign w:val="superscript"/>
        </w:rPr>
        <w:footnoteReference w:id="76"/>
      </w:r>
      <w:r w:rsidRPr="00F03917">
        <w:rPr>
          <w:rFonts w:eastAsia="MS Gothic"/>
        </w:rPr>
        <w:t xml:space="preserve">). </w:t>
      </w:r>
    </w:p>
    <w:p w14:paraId="7D5DCE80" w14:textId="14219A5F" w:rsidR="00394B3C" w:rsidRPr="00F03917" w:rsidRDefault="2E875E4A" w:rsidP="00174F6E">
      <w:pPr>
        <w:pStyle w:val="BulletFIX"/>
      </w:pPr>
      <w:r w:rsidRPr="00F03917">
        <w:rPr>
          <w:rFonts w:eastAsia="MS Gothic"/>
        </w:rPr>
        <w:t xml:space="preserve">To assess exposure, </w:t>
      </w:r>
      <w:r w:rsidRPr="00F03917">
        <w:t xml:space="preserve">identify how and where people, elements and their interconnections and </w:t>
      </w:r>
      <w:r w:rsidR="5CA17FC3" w:rsidRPr="00F03917">
        <w:t>inter</w:t>
      </w:r>
      <w:r w:rsidRPr="00F03917">
        <w:t xml:space="preserve">dependencies are exposed, at different </w:t>
      </w:r>
      <w:r w:rsidR="00A87B8C" w:rsidRPr="00F03917">
        <w:t>R</w:t>
      </w:r>
      <w:r w:rsidRPr="00F03917">
        <w:t xml:space="preserve">SLR increments or </w:t>
      </w:r>
      <w:r w:rsidR="00A87B8C" w:rsidRPr="00F03917">
        <w:t xml:space="preserve">projections </w:t>
      </w:r>
      <w:r w:rsidR="4A9A8340" w:rsidRPr="00F03917">
        <w:t>(see Dunedin South and Tauranga examples, Lan et al, 2023; Stephens et al, 2021, or transport</w:t>
      </w:r>
      <w:r w:rsidR="00FC64D2" w:rsidRPr="00F03917">
        <w:t xml:space="preserve"> </w:t>
      </w:r>
      <w:r w:rsidR="4A9A8340" w:rsidRPr="00F03917">
        <w:t xml:space="preserve">isolation of a </w:t>
      </w:r>
      <w:r w:rsidR="00A87B8C" w:rsidRPr="00F03917">
        <w:t>locality</w:t>
      </w:r>
      <w:r w:rsidR="00B31B49" w:rsidRPr="00F03917">
        <w:t>,</w:t>
      </w:r>
      <w:r w:rsidR="4A9A8340" w:rsidRPr="00F03917">
        <w:t xml:space="preserve"> Logan et al, 2023</w:t>
      </w:r>
      <w:r w:rsidR="776ADF3A" w:rsidRPr="00F03917">
        <w:t>; Logan and Reilly, 2023</w:t>
      </w:r>
      <w:r w:rsidR="4A9A8340" w:rsidRPr="00F03917">
        <w:t>)</w:t>
      </w:r>
      <w:r w:rsidRPr="00F03917">
        <w:t xml:space="preserve">. </w:t>
      </w:r>
    </w:p>
    <w:p w14:paraId="12C7F26C" w14:textId="2A4E0CE9" w:rsidR="00394B3C" w:rsidRPr="00F03917" w:rsidRDefault="00BA7F66" w:rsidP="00174F6E">
      <w:pPr>
        <w:pStyle w:val="BulletFIX"/>
      </w:pPr>
      <w:r w:rsidRPr="00F03917">
        <w:t>A</w:t>
      </w:r>
      <w:r w:rsidR="2E875E4A" w:rsidRPr="00F03917">
        <w:t>ssess the value (in monetary terms</w:t>
      </w:r>
      <w:r w:rsidR="7D788153" w:rsidRPr="00F03917">
        <w:t xml:space="preserve"> or intrinsic value</w:t>
      </w:r>
      <w:r w:rsidR="2E875E4A" w:rsidRPr="00F03917">
        <w:t>) of the assets, taonga, environments, people and utility</w:t>
      </w:r>
      <w:r w:rsidR="00F973B3" w:rsidRPr="00F03917">
        <w:t xml:space="preserve"> and </w:t>
      </w:r>
      <w:r w:rsidR="2E875E4A" w:rsidRPr="00F03917">
        <w:t>infrastructure services exposed to events and progressive change of the identified coastal climate hazards. Express the degree of exposure in both absolute numbers, densities or proportions (eg, of people, buildings, assets, wetlands and the economy) and cascading impacts.</w:t>
      </w:r>
    </w:p>
    <w:p w14:paraId="4AA6DB49" w14:textId="714D31BA" w:rsidR="00403746" w:rsidRPr="00F03917" w:rsidRDefault="2E875E4A" w:rsidP="00174F6E">
      <w:pPr>
        <w:pStyle w:val="BulletFIX"/>
      </w:pPr>
      <w:r w:rsidRPr="00F03917">
        <w:t xml:space="preserve">Measure the extent of exposure and present it spatially (eg, a map </w:t>
      </w:r>
      <w:r w:rsidR="47AF0A4B" w:rsidRPr="00F03917">
        <w:t>scaled to the degree to which elements and networks are exposed to the hazard</w:t>
      </w:r>
      <w:r w:rsidRPr="00F03917">
        <w:t>) and temporally to determine the changing exposure over time</w:t>
      </w:r>
      <w:r w:rsidR="4E8A0A96" w:rsidRPr="00F03917">
        <w:t>, to inform where and when risk thresholds arise</w:t>
      </w:r>
      <w:r w:rsidRPr="00F03917">
        <w:t>.</w:t>
      </w:r>
    </w:p>
    <w:p w14:paraId="2CFD6093" w14:textId="0C26A337" w:rsidR="001A489D" w:rsidRPr="00F03917" w:rsidRDefault="001A489D" w:rsidP="00174F6E">
      <w:pPr>
        <w:pStyle w:val="BulletFIX"/>
      </w:pPr>
      <w:r w:rsidRPr="00F03917">
        <w:t xml:space="preserve">Detailed risk assessments should focus mainly on assessing </w:t>
      </w:r>
      <w:r w:rsidRPr="00F03917">
        <w:rPr>
          <w:i/>
        </w:rPr>
        <w:t>vulnerability</w:t>
      </w:r>
      <w:r w:rsidRPr="00F03917">
        <w:t xml:space="preserve">, comprising </w:t>
      </w:r>
      <w:r w:rsidRPr="00F03917">
        <w:rPr>
          <w:i/>
        </w:rPr>
        <w:t>sensitivity</w:t>
      </w:r>
      <w:r w:rsidRPr="00F03917">
        <w:t xml:space="preserve"> or fragility</w:t>
      </w:r>
      <w:r w:rsidRPr="00F03917">
        <w:rPr>
          <w:vertAlign w:val="superscript"/>
        </w:rPr>
        <w:footnoteReference w:id="77"/>
      </w:r>
      <w:r w:rsidRPr="00F03917">
        <w:t xml:space="preserve"> to climate hazard exposure</w:t>
      </w:r>
      <w:r w:rsidR="00B50D32" w:rsidRPr="00F03917">
        <w:t xml:space="preserve">, social vulnerability (see </w:t>
      </w:r>
      <w:hyperlink w:anchor="_Assess_social,_cultural" w:history="1">
        <w:r w:rsidR="00B50D32" w:rsidRPr="00F03917">
          <w:rPr>
            <w:rStyle w:val="Hyperlink"/>
          </w:rPr>
          <w:t>section 4.2</w:t>
        </w:r>
      </w:hyperlink>
      <w:r w:rsidR="00B50D32" w:rsidRPr="00F03917">
        <w:t>)</w:t>
      </w:r>
      <w:r w:rsidR="00FB7D30" w:rsidRPr="00F03917">
        <w:t xml:space="preserve"> </w:t>
      </w:r>
      <w:r w:rsidRPr="00F03917">
        <w:t xml:space="preserve">and </w:t>
      </w:r>
      <w:r w:rsidRPr="00F03917">
        <w:rPr>
          <w:i/>
        </w:rPr>
        <w:t>adaptive capacity</w:t>
      </w:r>
      <w:r w:rsidRPr="00F03917">
        <w:rPr>
          <w:vertAlign w:val="superscript"/>
        </w:rPr>
        <w:footnoteReference w:id="78"/>
      </w:r>
      <w:r w:rsidRPr="00F03917">
        <w:t xml:space="preserve"> across the</w:t>
      </w:r>
      <w:r w:rsidR="00FD385B" w:rsidRPr="00F03917">
        <w:t> </w:t>
      </w:r>
      <w:r w:rsidRPr="00F03917">
        <w:t>value domains</w:t>
      </w:r>
      <w:r w:rsidR="00E00521" w:rsidRPr="00F03917">
        <w:t>.</w:t>
      </w:r>
      <w:r w:rsidRPr="00F03917">
        <w:t xml:space="preserve"> Further guidance on assessing vulnerability is provided in MfE (2019</w:t>
      </w:r>
      <w:r w:rsidR="00E544F3" w:rsidRPr="00F03917">
        <w:t>,</w:t>
      </w:r>
      <w:r w:rsidRPr="00F03917">
        <w:t xml:space="preserve"> p</w:t>
      </w:r>
      <w:r w:rsidR="00E544F3" w:rsidRPr="00F03917">
        <w:t>p</w:t>
      </w:r>
      <w:r w:rsidR="00FD385B" w:rsidRPr="00F03917">
        <w:t> </w:t>
      </w:r>
      <w:r w:rsidRPr="00F03917">
        <w:t>64–66 and 2021</w:t>
      </w:r>
      <w:r w:rsidR="00E544F3" w:rsidRPr="00F03917">
        <w:t>,</w:t>
      </w:r>
      <w:r w:rsidRPr="00F03917">
        <w:t xml:space="preserve"> </w:t>
      </w:r>
      <w:r w:rsidR="00E544F3" w:rsidRPr="00F03917">
        <w:t>p</w:t>
      </w:r>
      <w:r w:rsidRPr="00F03917">
        <w:t>p 43</w:t>
      </w:r>
      <w:r w:rsidR="00270645" w:rsidRPr="00F03917">
        <w:t>–</w:t>
      </w:r>
      <w:r w:rsidRPr="00F03917">
        <w:t>45). Methodologies beyond matrices or risk charts used in these guides are still evolving but should involve the integration of local knowledge</w:t>
      </w:r>
      <w:r w:rsidR="00673DAE" w:rsidRPr="00F03917">
        <w:t xml:space="preserve"> and</w:t>
      </w:r>
      <w:r w:rsidR="00FD385B" w:rsidRPr="00F03917">
        <w:t xml:space="preserve"> </w:t>
      </w:r>
      <w:r w:rsidRPr="00F03917">
        <w:t>experiences</w:t>
      </w:r>
      <w:r w:rsidR="4C717182" w:rsidRPr="00F03917">
        <w:t>,</w:t>
      </w:r>
      <w:r w:rsidRPr="00F03917">
        <w:t xml:space="preserve"> mātauranga Māori</w:t>
      </w:r>
      <w:r w:rsidR="4096BD54" w:rsidRPr="00F03917">
        <w:t>,</w:t>
      </w:r>
      <w:r w:rsidRPr="00F03917">
        <w:t xml:space="preserve"> and deliberations of workshop</w:t>
      </w:r>
      <w:r w:rsidR="00FC64D2" w:rsidRPr="00F03917">
        <w:t xml:space="preserve"> and </w:t>
      </w:r>
      <w:r w:rsidRPr="00F03917">
        <w:t>hui and combining quantitative and qualitative place-based vulnerabilities on a risk explorer platform (see</w:t>
      </w:r>
      <w:r w:rsidR="00673DAE" w:rsidRPr="00F03917">
        <w:t> </w:t>
      </w:r>
      <w:hyperlink w:anchor="box4" w:history="1">
        <w:r w:rsidR="004525AC" w:rsidRPr="00F03917">
          <w:rPr>
            <w:rStyle w:val="Hyperlink"/>
          </w:rPr>
          <w:t>box 4</w:t>
        </w:r>
      </w:hyperlink>
      <w:r w:rsidRPr="00F03917">
        <w:t>).</w:t>
      </w:r>
    </w:p>
    <w:p w14:paraId="0F6EA526" w14:textId="4B03D060" w:rsidR="001A489D" w:rsidRPr="00F03917" w:rsidRDefault="001A489D" w:rsidP="00174F6E">
      <w:pPr>
        <w:pStyle w:val="BulletFIX"/>
        <w:rPr>
          <w:rFonts w:cs="Arial"/>
        </w:rPr>
      </w:pPr>
      <w:r w:rsidRPr="00F03917">
        <w:rPr>
          <w:rFonts w:cs="Arial"/>
          <w:i/>
        </w:rPr>
        <w:lastRenderedPageBreak/>
        <w:t>Sensitivity</w:t>
      </w:r>
      <w:r w:rsidRPr="00F03917">
        <w:rPr>
          <w:rFonts w:cs="Arial"/>
        </w:rPr>
        <w:t xml:space="preserve">: </w:t>
      </w:r>
      <w:r w:rsidR="00284640" w:rsidRPr="00F03917">
        <w:rPr>
          <w:rFonts w:cs="Arial"/>
        </w:rPr>
        <w:t>a</w:t>
      </w:r>
      <w:r w:rsidRPr="00F03917">
        <w:rPr>
          <w:rFonts w:cs="Arial"/>
        </w:rPr>
        <w:t>ssess</w:t>
      </w:r>
      <w:r w:rsidRPr="00F03917">
        <w:t xml:space="preserve"> the sensitivity of the built environment and cultural sites by considering the type, physical features (eg, floor or road levels), fragility to disruption or damage and</w:t>
      </w:r>
      <w:r w:rsidR="00FE5A6B" w:rsidRPr="00F03917">
        <w:t> </w:t>
      </w:r>
      <w:r w:rsidRPr="00F03917">
        <w:t>state of maintenance of a building or element of infrastructure to the same hazard exposure. In other value domains, such as the natural environment, sensitivity to direct and indirect cascading effects should be explored for a full range of climate-related coastal hazards including progressive changes (</w:t>
      </w:r>
      <w:hyperlink w:anchor="figure3">
        <w:r w:rsidRPr="00F03917">
          <w:rPr>
            <w:rStyle w:val="Hyperlink"/>
          </w:rPr>
          <w:t xml:space="preserve">figure </w:t>
        </w:r>
        <w:r w:rsidR="00DD23AD" w:rsidRPr="00F03917">
          <w:rPr>
            <w:rStyle w:val="Hyperlink"/>
          </w:rPr>
          <w:t>3</w:t>
        </w:r>
      </w:hyperlink>
      <w:r w:rsidRPr="00F03917">
        <w:t>).</w:t>
      </w:r>
    </w:p>
    <w:p w14:paraId="22C249B2" w14:textId="02BDFEEB" w:rsidR="001A489D" w:rsidRPr="00F03917" w:rsidRDefault="001A489D" w:rsidP="00174F6E">
      <w:pPr>
        <w:pStyle w:val="BulletFIX"/>
        <w:rPr>
          <w:rFonts w:cs="Arial"/>
        </w:rPr>
      </w:pPr>
      <w:r w:rsidRPr="00F03917">
        <w:rPr>
          <w:rFonts w:cs="Arial"/>
          <w:i/>
        </w:rPr>
        <w:t>Adaptive capacity</w:t>
      </w:r>
      <w:r w:rsidRPr="00F03917">
        <w:rPr>
          <w:rFonts w:cs="Arial"/>
        </w:rPr>
        <w:t xml:space="preserve">: </w:t>
      </w:r>
      <w:r w:rsidR="00B615F3" w:rsidRPr="00F03917">
        <w:t>a</w:t>
      </w:r>
      <w:r w:rsidRPr="00F03917">
        <w:t>ssessing this component of vulnerability</w:t>
      </w:r>
      <w:r w:rsidRPr="00F03917">
        <w:rPr>
          <w:rStyle w:val="FootnoteReference"/>
        </w:rPr>
        <w:footnoteReference w:id="79"/>
      </w:r>
      <w:r w:rsidRPr="00F03917">
        <w:t xml:space="preserve"> is mostly qualitative in nature and forward-looking, involving value judgements, </w:t>
      </w:r>
      <w:r w:rsidR="008F5F79" w:rsidRPr="00F03917">
        <w:t>t</w:t>
      </w:r>
      <w:r w:rsidRPr="00F03917">
        <w:t xml:space="preserve">e </w:t>
      </w:r>
      <w:r w:rsidR="008F5F79" w:rsidRPr="00F03917">
        <w:t>a</w:t>
      </w:r>
      <w:r w:rsidRPr="00F03917">
        <w:t>o Māori perspectives, expert</w:t>
      </w:r>
      <w:r w:rsidR="00B615F3" w:rsidRPr="00F03917">
        <w:t xml:space="preserve"> and </w:t>
      </w:r>
      <w:r w:rsidRPr="00F03917">
        <w:t xml:space="preserve">stakeholder </w:t>
      </w:r>
      <w:r w:rsidR="00070AD5" w:rsidRPr="00F03917">
        <w:t>views</w:t>
      </w:r>
      <w:r w:rsidRPr="00F03917">
        <w:t xml:space="preserve"> and how planning</w:t>
      </w:r>
      <w:r w:rsidR="00B615F3" w:rsidRPr="00F03917">
        <w:t xml:space="preserve">, </w:t>
      </w:r>
      <w:r w:rsidRPr="00F03917">
        <w:t>policy</w:t>
      </w:r>
      <w:r w:rsidR="00B615F3" w:rsidRPr="00F03917">
        <w:t xml:space="preserve"> and </w:t>
      </w:r>
      <w:r w:rsidRPr="00F03917">
        <w:t>governance settings enable or hinder adaptation to avoid increasing the risk in coastal areas. Examples include assessing: a)</w:t>
      </w:r>
      <w:r w:rsidR="004A4251" w:rsidRPr="00F03917">
        <w:t> </w:t>
      </w:r>
      <w:r w:rsidRPr="00F03917">
        <w:t>access to and adaptiveness of funding systems; b) risk tolerance of a community; c)</w:t>
      </w:r>
      <w:r w:rsidR="004A4251" w:rsidRPr="00F03917">
        <w:t> </w:t>
      </w:r>
      <w:r w:rsidRPr="00F03917">
        <w:t xml:space="preserve">capacity to respond to more frequent events and coping ability if communities are isolated more </w:t>
      </w:r>
      <w:r w:rsidR="00DD23AD" w:rsidRPr="00F03917">
        <w:t>frequently</w:t>
      </w:r>
      <w:r w:rsidRPr="00F03917">
        <w:t>; and d) ecosystem capacity to adapt (up to a tipping point, if</w:t>
      </w:r>
      <w:r w:rsidR="004A4251" w:rsidRPr="00F03917">
        <w:t> </w:t>
      </w:r>
      <w:r w:rsidRPr="00F03917">
        <w:t xml:space="preserve">relevant). </w:t>
      </w:r>
    </w:p>
    <w:p w14:paraId="1291EF8F" w14:textId="631D8C15" w:rsidR="001A489D" w:rsidRPr="00F03917" w:rsidRDefault="57C881F2" w:rsidP="007704EF">
      <w:pPr>
        <w:pStyle w:val="BodyText"/>
      </w:pPr>
      <w:r w:rsidRPr="00F03917">
        <w:t>The findings of when different risk thresholds emerge across the value domains</w:t>
      </w:r>
      <w:r w:rsidR="00AB749C" w:rsidRPr="00F03917">
        <w:t xml:space="preserve"> were identified in </w:t>
      </w:r>
      <w:hyperlink w:anchor="_Step_4:_Assess" w:history="1">
        <w:r w:rsidR="00AB749C" w:rsidRPr="00F03917">
          <w:rPr>
            <w:rStyle w:val="Hyperlink"/>
            <w:rFonts w:eastAsia="MS Mincho"/>
          </w:rPr>
          <w:t>step 4</w:t>
        </w:r>
      </w:hyperlink>
      <w:r w:rsidR="00AB749C" w:rsidRPr="00F03917">
        <w:t>. This</w:t>
      </w:r>
      <w:r w:rsidRPr="00F03917">
        <w:t xml:space="preserve"> will inform </w:t>
      </w:r>
      <w:hyperlink w:anchor="_Step_5:_Identify" w:history="1">
        <w:r w:rsidRPr="00F03917">
          <w:rPr>
            <w:rStyle w:val="Hyperlink"/>
            <w:rFonts w:eastAsia="MS Mincho"/>
          </w:rPr>
          <w:t>step 5</w:t>
        </w:r>
      </w:hyperlink>
      <w:r w:rsidRPr="00F03917">
        <w:t xml:space="preserve"> in identifying limits o</w:t>
      </w:r>
      <w:r w:rsidR="00FD488D" w:rsidRPr="00F03917">
        <w:t>f</w:t>
      </w:r>
      <w:r w:rsidRPr="00F03917">
        <w:t xml:space="preserve"> the current situation and </w:t>
      </w:r>
      <w:r w:rsidR="005700E7" w:rsidRPr="00F03917">
        <w:t>the</w:t>
      </w:r>
      <w:r w:rsidR="007704EF" w:rsidRPr="00F03917">
        <w:t> </w:t>
      </w:r>
      <w:r w:rsidR="005700E7" w:rsidRPr="00F03917">
        <w:t>types of</w:t>
      </w:r>
      <w:r w:rsidRPr="00F03917">
        <w:t xml:space="preserve"> adaptation options </w:t>
      </w:r>
      <w:r w:rsidR="005700E7" w:rsidRPr="00F03917">
        <w:t>that</w:t>
      </w:r>
      <w:r w:rsidRPr="00F03917">
        <w:t xml:space="preserve"> may be required.</w:t>
      </w:r>
    </w:p>
    <w:p w14:paraId="3BF2EAF6" w14:textId="30B1C9DB" w:rsidR="00394B3C" w:rsidRPr="00F03917" w:rsidRDefault="00394B3C" w:rsidP="00E42D21">
      <w:pPr>
        <w:pStyle w:val="BodyText"/>
      </w:pPr>
      <w:r w:rsidRPr="00F03917">
        <w:rPr>
          <w:spacing w:val="-2"/>
        </w:rPr>
        <w:t xml:space="preserve">Figure </w:t>
      </w:r>
      <w:r w:rsidR="000631FB" w:rsidRPr="00F03917">
        <w:rPr>
          <w:spacing w:val="-2"/>
        </w:rPr>
        <w:t>19</w:t>
      </w:r>
      <w:r w:rsidRPr="00F03917">
        <w:rPr>
          <w:spacing w:val="-2"/>
        </w:rPr>
        <w:t xml:space="preserve"> shows an example of a general workflow for </w:t>
      </w:r>
      <w:r w:rsidR="508A1F7F" w:rsidRPr="00F03917">
        <w:rPr>
          <w:spacing w:val="-2"/>
        </w:rPr>
        <w:t>a detailed risk assessment</w:t>
      </w:r>
      <w:r w:rsidRPr="00F03917">
        <w:rPr>
          <w:spacing w:val="-2"/>
        </w:rPr>
        <w:t>. The workflow</w:t>
      </w:r>
      <w:r w:rsidRPr="00F03917">
        <w:t xml:space="preserve"> can also be iterative, particularly if new or improved information is acquired </w:t>
      </w:r>
      <w:r w:rsidR="00CF0E98" w:rsidRPr="00F03917">
        <w:t xml:space="preserve">during the process </w:t>
      </w:r>
      <w:r w:rsidRPr="00F03917">
        <w:t xml:space="preserve">or there is uncertainty or lower confidence in the </w:t>
      </w:r>
      <w:r w:rsidR="00CF0E98" w:rsidRPr="00F03917">
        <w:t>last</w:t>
      </w:r>
      <w:r w:rsidRPr="00F03917">
        <w:t xml:space="preserve"> risk prioritisation</w:t>
      </w:r>
      <w:r w:rsidR="00CF0E98" w:rsidRPr="00F03917">
        <w:t xml:space="preserve"> phase</w:t>
      </w:r>
      <w:r w:rsidRPr="00F03917">
        <w:t>.</w:t>
      </w:r>
    </w:p>
    <w:p w14:paraId="3CF63BA3" w14:textId="42F5578D" w:rsidR="00394B3C" w:rsidRPr="00F03917" w:rsidRDefault="00CF0E98" w:rsidP="00C52920">
      <w:pPr>
        <w:pStyle w:val="Figureheading"/>
      </w:pPr>
      <w:bookmarkStart w:id="128" w:name="_Toc160098434"/>
      <w:r w:rsidRPr="00F03917">
        <w:lastRenderedPageBreak/>
        <w:t xml:space="preserve">Figure </w:t>
      </w:r>
      <w:r w:rsidR="001F6526" w:rsidRPr="00F03917">
        <w:t>19</w:t>
      </w:r>
      <w:r w:rsidRPr="00F03917">
        <w:t xml:space="preserve">: </w:t>
      </w:r>
      <w:r w:rsidR="00913DDD" w:rsidRPr="00F03917">
        <w:tab/>
      </w:r>
      <w:r w:rsidR="00394B3C" w:rsidRPr="00F03917">
        <w:t>Suggested workflow for a detailed coastal risk assessment</w:t>
      </w:r>
      <w:bookmarkEnd w:id="128"/>
      <w:r w:rsidR="00394B3C" w:rsidRPr="00F03917">
        <w:t xml:space="preserve"> </w:t>
      </w:r>
    </w:p>
    <w:p w14:paraId="4D5AC02B" w14:textId="77777777" w:rsidR="00394B3C" w:rsidRPr="00F03917" w:rsidRDefault="00394B3C" w:rsidP="009018F0">
      <w:pPr>
        <w:pStyle w:val="BodyText"/>
        <w:jc w:val="center"/>
      </w:pPr>
      <w:r w:rsidRPr="00F03917">
        <w:rPr>
          <w:noProof/>
        </w:rPr>
        <w:drawing>
          <wp:inline distT="0" distB="0" distL="0" distR="0" wp14:anchorId="03FEDADC" wp14:editId="7D3917F5">
            <wp:extent cx="3198039" cy="8080606"/>
            <wp:effectExtent l="0" t="0" r="2540" b="0"/>
            <wp:docPr id="556039978" name="Picture 556039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039978" name="Picture 556039978"/>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3198039" cy="8080606"/>
                    </a:xfrm>
                    <a:prstGeom prst="rect">
                      <a:avLst/>
                    </a:prstGeom>
                    <a:noFill/>
                    <a:ln>
                      <a:noFill/>
                    </a:ln>
                  </pic:spPr>
                </pic:pic>
              </a:graphicData>
            </a:graphic>
          </wp:inline>
        </w:drawing>
      </w:r>
    </w:p>
    <w:p w14:paraId="2D8B174D" w14:textId="192372BC" w:rsidR="00394B3C" w:rsidRPr="00F03917" w:rsidRDefault="007704EF" w:rsidP="00DB77DE">
      <w:pPr>
        <w:pStyle w:val="Note"/>
      </w:pPr>
      <w:r w:rsidRPr="00F03917">
        <w:t xml:space="preserve">Source: </w:t>
      </w:r>
      <w:r w:rsidR="00394B3C" w:rsidRPr="00F03917">
        <w:t>Adapted from the guidance for local climate risk assessments (MfE, 2021), the ISO 14091:2021 climate risk standard and the recent emphasis on systems mapping of cascades or impact chains to weave in a place-based component to the assessment (eg, Lawrence et al, 2020</w:t>
      </w:r>
      <w:r w:rsidR="6D92220C" w:rsidRPr="00F03917">
        <w:t>a</w:t>
      </w:r>
      <w:r w:rsidR="00394B3C" w:rsidRPr="00F03917">
        <w:t xml:space="preserve">; </w:t>
      </w:r>
      <w:r w:rsidR="00DF1401" w:rsidRPr="00F03917">
        <w:t>a</w:t>
      </w:r>
      <w:r w:rsidR="00394B3C" w:rsidRPr="00F03917">
        <w:t>nnex C of ISO 14091:2021).</w:t>
      </w:r>
      <w:r w:rsidR="00036D04" w:rsidRPr="00F03917">
        <w:t xml:space="preserve"> </w:t>
      </w:r>
      <w:r w:rsidR="005079B7" w:rsidRPr="00F03917">
        <w:t xml:space="preserve">RSLR = relative sea-level rise; </w:t>
      </w:r>
      <w:r w:rsidR="00036D04" w:rsidRPr="00F03917">
        <w:t>SSP = shared socio-economic pathway</w:t>
      </w:r>
      <w:r w:rsidR="005079B7" w:rsidRPr="00F03917">
        <w:t>.</w:t>
      </w:r>
    </w:p>
    <w:p w14:paraId="6495340F" w14:textId="149DB014" w:rsidR="00B2725B" w:rsidRPr="00F03917" w:rsidRDefault="00B2725B" w:rsidP="00246AF6">
      <w:pPr>
        <w:pStyle w:val="BodyText"/>
        <w:spacing w:before="100" w:after="100"/>
      </w:pPr>
      <w:r w:rsidRPr="00F03917">
        <w:lastRenderedPageBreak/>
        <w:t>Examples of a detailed coastal risk assessment are: a) coastal erosion and flooding risk assessment for Tauranga City using the RiskScape multi-hazard framework (Stephens et al, 2021); and b) exposure and vulnerability assessment for the Thames Coromandel Shoreline Management Pathways project (John and Martin, 2022).</w:t>
      </w:r>
    </w:p>
    <w:p w14:paraId="5C4C6934" w14:textId="0BAC8649" w:rsidR="00394B3C" w:rsidRPr="00F03917" w:rsidRDefault="00394B3C" w:rsidP="00B765D7">
      <w:pPr>
        <w:pStyle w:val="Heading2"/>
        <w:numPr>
          <w:ilvl w:val="0"/>
          <w:numId w:val="26"/>
        </w:numPr>
        <w:spacing w:before="320"/>
      </w:pPr>
      <w:bookmarkStart w:id="129" w:name="_Assess_social,_cultural"/>
      <w:bookmarkStart w:id="130" w:name="_Toc144715784"/>
      <w:bookmarkStart w:id="131" w:name="_Toc465847574"/>
      <w:bookmarkStart w:id="132" w:name="_Toc466014433"/>
      <w:bookmarkStart w:id="133" w:name="_Toc160096245"/>
      <w:bookmarkStart w:id="134" w:name="_Hlk139717483"/>
      <w:bookmarkEnd w:id="129"/>
      <w:r w:rsidRPr="00F03917">
        <w:t xml:space="preserve">Assess </w:t>
      </w:r>
      <w:r w:rsidR="0EC04BDA" w:rsidRPr="00F03917">
        <w:t>social</w:t>
      </w:r>
      <w:r w:rsidR="19C690F7" w:rsidRPr="00F03917">
        <w:t>, cultural</w:t>
      </w:r>
      <w:r w:rsidR="0EC04BDA" w:rsidRPr="00F03917">
        <w:t xml:space="preserve"> and environmental </w:t>
      </w:r>
      <w:r w:rsidRPr="00F03917">
        <w:t>vulnerability</w:t>
      </w:r>
      <w:bookmarkEnd w:id="130"/>
      <w:bookmarkEnd w:id="131"/>
      <w:bookmarkEnd w:id="132"/>
      <w:bookmarkEnd w:id="133"/>
    </w:p>
    <w:bookmarkEnd w:id="134"/>
    <w:p w14:paraId="1A941D63" w14:textId="6ABE40A9" w:rsidR="73FEC803" w:rsidRPr="00F03917" w:rsidRDefault="73FEC803" w:rsidP="00ED5FD6">
      <w:pPr>
        <w:pStyle w:val="BodyText"/>
      </w:pPr>
      <w:r w:rsidRPr="00F03917">
        <w:t>The vulnerability component of a risk assessment needs to be broader, encompassing social, cultural and environmental</w:t>
      </w:r>
      <w:r w:rsidR="00BD0DEA" w:rsidRPr="00F03917">
        <w:t xml:space="preserve"> and </w:t>
      </w:r>
      <w:r w:rsidRPr="00F03917">
        <w:t>ecosystem vulnerability over time, which have not often been adequately appraised in conventional risk assessments.</w:t>
      </w:r>
    </w:p>
    <w:p w14:paraId="6C3CFFA8" w14:textId="580DAD30" w:rsidR="0008209E" w:rsidRPr="00F03917" w:rsidRDefault="00D21EB3" w:rsidP="00FA31EC">
      <w:pPr>
        <w:pStyle w:val="Heading3"/>
      </w:pPr>
      <w:r w:rsidRPr="00F03917">
        <w:t>4.2.1</w:t>
      </w:r>
      <w:r w:rsidRPr="00F03917">
        <w:tab/>
      </w:r>
      <w:r w:rsidR="00F35BF4" w:rsidRPr="00F03917">
        <w:t>Assess social vulnerability</w:t>
      </w:r>
    </w:p>
    <w:p w14:paraId="73FD5090" w14:textId="746DE318" w:rsidR="008C61BC" w:rsidRPr="00F03917" w:rsidRDefault="008C61BC" w:rsidP="00B51183">
      <w:pPr>
        <w:pStyle w:val="Heading4"/>
      </w:pPr>
      <w:r w:rsidRPr="00F03917">
        <w:t>Identify vulnerable communities</w:t>
      </w:r>
    </w:p>
    <w:p w14:paraId="0398334C" w14:textId="7852F19E" w:rsidR="008C61BC" w:rsidRPr="00F03917" w:rsidRDefault="00AB2BA4" w:rsidP="00B51183">
      <w:pPr>
        <w:pStyle w:val="BodyText"/>
      </w:pPr>
      <w:r w:rsidRPr="00F03917">
        <w:t xml:space="preserve">It is good practice </w:t>
      </w:r>
      <w:r w:rsidR="003025E5" w:rsidRPr="00F03917">
        <w:t>to include social and</w:t>
      </w:r>
      <w:r w:rsidR="0084698E" w:rsidRPr="00F03917">
        <w:t xml:space="preserve"> </w:t>
      </w:r>
      <w:r w:rsidR="003025E5" w:rsidRPr="00F03917">
        <w:t xml:space="preserve">cultural vulnerability assessments when assessing risk. </w:t>
      </w:r>
      <w:r w:rsidR="008C61BC" w:rsidRPr="00F03917">
        <w:t xml:space="preserve">Assessment of climate change impacts and vulnerability is referred to in </w:t>
      </w:r>
      <w:r w:rsidR="00323C5E" w:rsidRPr="00F03917">
        <w:t xml:space="preserve">section 5ZQ of the </w:t>
      </w:r>
      <w:r w:rsidR="008C61BC" w:rsidRPr="00F03917">
        <w:t>Climate Change Response Act 2002, and vulnerability is built into the I</w:t>
      </w:r>
      <w:r w:rsidR="00960396" w:rsidRPr="00F03917">
        <w:t xml:space="preserve">ntergovernmental </w:t>
      </w:r>
      <w:r w:rsidR="008C61BC" w:rsidRPr="00F03917">
        <w:t>P</w:t>
      </w:r>
      <w:r w:rsidR="00960396" w:rsidRPr="00F03917">
        <w:t xml:space="preserve">anel on </w:t>
      </w:r>
      <w:r w:rsidR="008C61BC" w:rsidRPr="00F03917">
        <w:t>C</w:t>
      </w:r>
      <w:r w:rsidR="00960396" w:rsidRPr="00F03917">
        <w:t xml:space="preserve">limate </w:t>
      </w:r>
      <w:r w:rsidR="008C61BC" w:rsidRPr="00F03917">
        <w:t>C</w:t>
      </w:r>
      <w:r w:rsidR="00960396" w:rsidRPr="00F03917">
        <w:t>hange</w:t>
      </w:r>
      <w:r w:rsidR="008C61BC" w:rsidRPr="00F03917">
        <w:t xml:space="preserve"> framing of risk (IPCC, 2022</w:t>
      </w:r>
      <w:r w:rsidR="00960396" w:rsidRPr="00F03917">
        <w:t>, p 5</w:t>
      </w:r>
      <w:r w:rsidR="008C61BC" w:rsidRPr="00F03917">
        <w:t>).</w:t>
      </w:r>
    </w:p>
    <w:p w14:paraId="2B8A200B" w14:textId="6ECBCF4B" w:rsidR="008C61BC" w:rsidRPr="00F03917" w:rsidRDefault="008C61BC" w:rsidP="00B51183">
      <w:pPr>
        <w:pStyle w:val="BodyText"/>
      </w:pPr>
      <w:r w:rsidRPr="00F03917">
        <w:t xml:space="preserve">Māori as tangata whenua and kaitiaki of their ancestral and cultural landscape will face disproportionate impacts </w:t>
      </w:r>
      <w:r w:rsidR="001F6A96" w:rsidRPr="00F03917">
        <w:t>from climate change</w:t>
      </w:r>
      <w:r w:rsidR="0090554E" w:rsidRPr="00F03917">
        <w:t xml:space="preserve"> and coastal risks in particular</w:t>
      </w:r>
      <w:r w:rsidRPr="00F03917">
        <w:t xml:space="preserve"> (</w:t>
      </w:r>
      <w:r w:rsidR="006A6A53" w:rsidRPr="00F03917">
        <w:t xml:space="preserve">see section 1.1.3; </w:t>
      </w:r>
      <w:r w:rsidRPr="00F03917">
        <w:t>Ihirangi</w:t>
      </w:r>
      <w:r w:rsidR="3653BA2D" w:rsidRPr="00F03917">
        <w:t>,</w:t>
      </w:r>
      <w:r w:rsidRPr="00F03917">
        <w:t xml:space="preserve"> 2021; MfE</w:t>
      </w:r>
      <w:r w:rsidR="06511ABF" w:rsidRPr="00F03917">
        <w:t>,</w:t>
      </w:r>
      <w:r w:rsidRPr="00F03917">
        <w:t xml:space="preserve"> 2022</w:t>
      </w:r>
      <w:r w:rsidR="009579CE" w:rsidRPr="00F03917">
        <w:t>a</w:t>
      </w:r>
      <w:r w:rsidRPr="00F03917">
        <w:t>). I</w:t>
      </w:r>
      <w:r w:rsidR="005E05D0" w:rsidRPr="00F03917">
        <w:t>n general, i</w:t>
      </w:r>
      <w:r w:rsidRPr="00F03917">
        <w:t xml:space="preserve">t is highly likely </w:t>
      </w:r>
      <w:r w:rsidR="00FA2D1E" w:rsidRPr="00F03917">
        <w:t xml:space="preserve">that Māori living in locations vulnerable to </w:t>
      </w:r>
      <w:r w:rsidR="009F0D40" w:rsidRPr="00F03917">
        <w:t>coastal hazards</w:t>
      </w:r>
      <w:r w:rsidR="00FA2D1E" w:rsidRPr="00F03917">
        <w:t xml:space="preserve"> </w:t>
      </w:r>
      <w:r w:rsidR="005E05D0" w:rsidRPr="00F03917">
        <w:t>may</w:t>
      </w:r>
      <w:r w:rsidR="00FA2D1E" w:rsidRPr="00F03917">
        <w:t xml:space="preserve"> be displaced as a result of</w:t>
      </w:r>
      <w:r w:rsidRPr="00F03917">
        <w:t xml:space="preserve"> climate-related impacts</w:t>
      </w:r>
      <w:r w:rsidR="004F4944" w:rsidRPr="00F03917">
        <w:t>. This</w:t>
      </w:r>
      <w:r w:rsidRPr="00F03917">
        <w:t xml:space="preserve"> could disrupt the transmission of location-specific mātauranga Māori and tikanga practices (MfE </w:t>
      </w:r>
      <w:r w:rsidR="4A3B5048" w:rsidRPr="00F03917">
        <w:t>and</w:t>
      </w:r>
      <w:r w:rsidRPr="00F03917">
        <w:t xml:space="preserve"> Stats</w:t>
      </w:r>
      <w:r w:rsidR="004A4251" w:rsidRPr="00F03917">
        <w:t> </w:t>
      </w:r>
      <w:r w:rsidRPr="00F03917">
        <w:t>NZ</w:t>
      </w:r>
      <w:r w:rsidR="0F655853" w:rsidRPr="00F03917">
        <w:t>,</w:t>
      </w:r>
      <w:r w:rsidRPr="00F03917">
        <w:t xml:space="preserve"> 2023).</w:t>
      </w:r>
    </w:p>
    <w:p w14:paraId="44EBE4D1" w14:textId="63A6C2F8" w:rsidR="00394B3C" w:rsidRPr="00F03917" w:rsidRDefault="00606A37" w:rsidP="00A16CE7">
      <w:pPr>
        <w:pStyle w:val="Heading4"/>
      </w:pPr>
      <w:r w:rsidRPr="00F03917">
        <w:t>Methods for a</w:t>
      </w:r>
      <w:r w:rsidR="3643384F" w:rsidRPr="00F03917">
        <w:t xml:space="preserve">ssessing </w:t>
      </w:r>
      <w:r w:rsidR="00394B3C" w:rsidRPr="00F03917">
        <w:t xml:space="preserve">social vulnerability </w:t>
      </w:r>
    </w:p>
    <w:p w14:paraId="65BD8564" w14:textId="702A2A71" w:rsidR="00394B3C" w:rsidRPr="00F03917" w:rsidRDefault="07655526" w:rsidP="00246AF6">
      <w:pPr>
        <w:pStyle w:val="BodyText"/>
        <w:spacing w:before="100" w:after="100"/>
      </w:pPr>
      <w:r w:rsidRPr="00F03917">
        <w:t xml:space="preserve">Conventionally in risk assessments, vulnerability supports adaptation based on technological or engineering interventions (such as </w:t>
      </w:r>
      <w:r w:rsidR="0006520D" w:rsidRPr="00F03917">
        <w:t xml:space="preserve">protection (eg, </w:t>
      </w:r>
      <w:r w:rsidRPr="00F03917">
        <w:t>seawalls</w:t>
      </w:r>
      <w:r w:rsidR="009D45DA" w:rsidRPr="00F03917">
        <w:t>)</w:t>
      </w:r>
      <w:r w:rsidRPr="00F03917">
        <w:t xml:space="preserve"> or </w:t>
      </w:r>
      <w:r w:rsidR="009D45DA" w:rsidRPr="00F03917">
        <w:t xml:space="preserve">accommodation (eg, </w:t>
      </w:r>
      <w:r w:rsidRPr="00F03917">
        <w:t>raising buildings</w:t>
      </w:r>
      <w:r w:rsidR="00F92BF7" w:rsidRPr="00F03917">
        <w:t xml:space="preserve"> or filling land)</w:t>
      </w:r>
      <w:r w:rsidRPr="00F03917">
        <w:t>). Although these adaptations may reduce the severity of impacts associated with hazards</w:t>
      </w:r>
      <w:r w:rsidR="00F92BF7" w:rsidRPr="00F03917">
        <w:t xml:space="preserve"> for a time</w:t>
      </w:r>
      <w:r w:rsidRPr="00F03917">
        <w:t>, they often fail to target the social, political and economic drivers of social vulnerability amongst those most at risk (</w:t>
      </w:r>
      <w:r w:rsidR="50A6FB5C" w:rsidRPr="00F03917">
        <w:t xml:space="preserve">Johnson et al, 2023; </w:t>
      </w:r>
      <w:r w:rsidRPr="00F03917">
        <w:t>Nightingale et</w:t>
      </w:r>
      <w:r w:rsidR="00D457EE" w:rsidRPr="00F03917">
        <w:t> </w:t>
      </w:r>
      <w:r w:rsidRPr="00F03917">
        <w:t>al,</w:t>
      </w:r>
      <w:r w:rsidR="00D457EE" w:rsidRPr="00F03917">
        <w:t> </w:t>
      </w:r>
      <w:r w:rsidRPr="00F03917">
        <w:t xml:space="preserve">2020). </w:t>
      </w:r>
    </w:p>
    <w:p w14:paraId="28B5F859" w14:textId="3F430579" w:rsidR="00394B3C" w:rsidRPr="00F03917" w:rsidRDefault="07655526" w:rsidP="00246AF6">
      <w:pPr>
        <w:pStyle w:val="BodyText"/>
        <w:spacing w:before="100" w:after="100"/>
        <w:rPr>
          <w:rFonts w:eastAsia="MS Mincho" w:cs="Arial"/>
        </w:rPr>
      </w:pPr>
      <w:r w:rsidRPr="00F03917">
        <w:t>Present, emerging and future impacts of coastal hazards and SLR will exhibit complex cascad</w:t>
      </w:r>
      <w:r w:rsidR="00105E6D" w:rsidRPr="00F03917">
        <w:t>ing impact chains</w:t>
      </w:r>
      <w:r w:rsidRPr="00F03917">
        <w:t xml:space="preserve"> directly or indirectly into the social and cultural domains (Lawrence et</w:t>
      </w:r>
      <w:r w:rsidR="00D457EE" w:rsidRPr="00F03917">
        <w:t> </w:t>
      </w:r>
      <w:r w:rsidRPr="00F03917">
        <w:t>al, 2020</w:t>
      </w:r>
      <w:r w:rsidR="1C814A66" w:rsidRPr="00F03917">
        <w:t>a</w:t>
      </w:r>
      <w:r w:rsidRPr="00F03917">
        <w:t xml:space="preserve">; </w:t>
      </w:r>
      <w:r w:rsidR="00EC5DD8" w:rsidRPr="00F03917">
        <w:t>MfE</w:t>
      </w:r>
      <w:r w:rsidRPr="00F03917">
        <w:t>, 2020</w:t>
      </w:r>
      <w:r w:rsidR="00EA416C" w:rsidRPr="00F03917">
        <w:t>a</w:t>
      </w:r>
      <w:r w:rsidRPr="00F03917">
        <w:t>).</w:t>
      </w:r>
      <w:r w:rsidR="009B51D5" w:rsidRPr="00F03917">
        <w:t xml:space="preserve"> </w:t>
      </w:r>
    </w:p>
    <w:p w14:paraId="680540AD" w14:textId="4507DB7B" w:rsidR="00394B3C" w:rsidRPr="00F03917" w:rsidRDefault="00394B3C" w:rsidP="00246AF6">
      <w:pPr>
        <w:pStyle w:val="BodyText"/>
        <w:spacing w:before="100" w:after="240"/>
        <w:rPr>
          <w:rFonts w:eastAsia="MS Mincho" w:cs="Arial"/>
        </w:rPr>
      </w:pPr>
      <w:r w:rsidRPr="00F03917">
        <w:rPr>
          <w:rFonts w:eastAsia="MS Mincho" w:cs="Arial"/>
        </w:rPr>
        <w:t xml:space="preserve">The social and cultural dimension of vulnerability </w:t>
      </w:r>
      <w:r w:rsidR="00B46E41" w:rsidRPr="00F03917">
        <w:rPr>
          <w:rFonts w:eastAsia="MS Mincho" w:cs="Arial"/>
        </w:rPr>
        <w:t xml:space="preserve">focuses on the propensity of a group or individual to experience impacts </w:t>
      </w:r>
      <w:r w:rsidR="006B0716" w:rsidRPr="00F03917">
        <w:rPr>
          <w:rFonts w:eastAsia="MS Mincho" w:cs="Arial"/>
        </w:rPr>
        <w:t>because</w:t>
      </w:r>
      <w:r w:rsidR="00B46E41" w:rsidRPr="00F03917">
        <w:rPr>
          <w:rFonts w:eastAsia="MS Mincho" w:cs="Arial"/>
        </w:rPr>
        <w:t xml:space="preserve"> of a changing climate</w:t>
      </w:r>
      <w:r w:rsidR="00522976" w:rsidRPr="00F03917">
        <w:rPr>
          <w:rFonts w:eastAsia="MS Mincho" w:cs="Arial"/>
        </w:rPr>
        <w:t xml:space="preserve"> due to their situation (</w:t>
      </w:r>
      <w:r w:rsidR="008C12B3" w:rsidRPr="00F03917">
        <w:rPr>
          <w:rFonts w:eastAsia="MS Mincho" w:cs="Arial"/>
        </w:rPr>
        <w:t>A</w:t>
      </w:r>
      <w:r w:rsidR="00522976" w:rsidRPr="00F03917">
        <w:rPr>
          <w:rFonts w:eastAsia="MS Mincho" w:cs="Arial"/>
        </w:rPr>
        <w:t>dger, 2006)</w:t>
      </w:r>
      <w:r w:rsidR="00E6133C" w:rsidRPr="00F03917">
        <w:rPr>
          <w:rFonts w:eastAsia="MS Mincho" w:cs="Arial"/>
        </w:rPr>
        <w:t>. It</w:t>
      </w:r>
      <w:r w:rsidRPr="00F03917">
        <w:rPr>
          <w:rFonts w:eastAsia="MS Mincho" w:cs="Arial"/>
        </w:rPr>
        <w:t xml:space="preserve"> includes</w:t>
      </w:r>
      <w:r w:rsidRPr="00F03917" w:rsidDel="00D216E4">
        <w:rPr>
          <w:rFonts w:eastAsia="MS Mincho" w:cs="Arial"/>
        </w:rPr>
        <w:t xml:space="preserve"> </w:t>
      </w:r>
      <w:r w:rsidRPr="00F03917">
        <w:rPr>
          <w:rFonts w:eastAsia="MS Mincho" w:cs="Arial"/>
        </w:rPr>
        <w:t xml:space="preserve">health and safety, mental wellbeing, damage to taonga or cultural sites, grief over repeated loss, business disruption, and capacity to cope and adapt.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C9440B" w:rsidRPr="00F03917" w14:paraId="6691745D" w14:textId="77777777" w:rsidTr="0036266A">
        <w:tc>
          <w:tcPr>
            <w:tcW w:w="8505" w:type="dxa"/>
            <w:shd w:val="clear" w:color="auto" w:fill="D5EBE8" w:themeFill="accent3"/>
          </w:tcPr>
          <w:p w14:paraId="15AE9B88" w14:textId="281FC1AC" w:rsidR="00C9440B" w:rsidRPr="00F03917" w:rsidRDefault="00C9440B" w:rsidP="00C9440B">
            <w:pPr>
              <w:pStyle w:val="Boxtext"/>
              <w:spacing w:before="240" w:after="240"/>
            </w:pPr>
            <w:r w:rsidRPr="00F03917">
              <w:t xml:space="preserve">It is essential to understand who is vulnerable, to what, and why for </w:t>
            </w:r>
            <w:r w:rsidR="003E4D0D" w:rsidRPr="00F03917">
              <w:t xml:space="preserve">delivering </w:t>
            </w:r>
            <w:r w:rsidRPr="00F03917">
              <w:t>equitable adaptation outcomes.</w:t>
            </w:r>
          </w:p>
        </w:tc>
      </w:tr>
    </w:tbl>
    <w:p w14:paraId="792E2806" w14:textId="3DEC83AB" w:rsidR="00394B3C" w:rsidRPr="00F03917" w:rsidRDefault="00394B3C" w:rsidP="00C9440B">
      <w:pPr>
        <w:pStyle w:val="BodyText"/>
        <w:spacing w:before="240"/>
      </w:pPr>
      <w:r w:rsidRPr="00F03917">
        <w:lastRenderedPageBreak/>
        <w:t xml:space="preserve">Researchers and practitioners have applied quantitative </w:t>
      </w:r>
      <w:r w:rsidR="47BAECB5" w:rsidRPr="00F03917">
        <w:rPr>
          <w:rFonts w:eastAsia="Calibri" w:cs="Calibri"/>
        </w:rPr>
        <w:t>indicator-based or bottom-up</w:t>
      </w:r>
      <w:r w:rsidRPr="00F03917">
        <w:rPr>
          <w:rFonts w:eastAsia="Calibri" w:cs="Calibri"/>
        </w:rPr>
        <w:t xml:space="preserve"> </w:t>
      </w:r>
      <w:r w:rsidRPr="00F03917">
        <w:t>qualitative approaches to understand vulnerability (</w:t>
      </w:r>
      <w:r w:rsidR="006F1490" w:rsidRPr="00F03917">
        <w:t>t</w:t>
      </w:r>
      <w:r w:rsidRPr="00F03917">
        <w:t xml:space="preserve">able </w:t>
      </w:r>
      <w:r w:rsidR="006F1490" w:rsidRPr="00F03917">
        <w:t>14</w:t>
      </w:r>
      <w:r w:rsidRPr="00F03917">
        <w:t>). A combined</w:t>
      </w:r>
      <w:r w:rsidR="009F2A6A" w:rsidRPr="00F03917">
        <w:t>, iterative</w:t>
      </w:r>
      <w:r w:rsidRPr="00F03917">
        <w:t xml:space="preserve"> approach </w:t>
      </w:r>
      <w:r w:rsidR="009F2A6A" w:rsidRPr="00F03917">
        <w:t>that works across spatial scales</w:t>
      </w:r>
      <w:r w:rsidRPr="00F03917">
        <w:t xml:space="preserve"> can maximise the advantages of both</w:t>
      </w:r>
      <w:r w:rsidR="006170BA" w:rsidRPr="00F03917">
        <w:t xml:space="preserve"> types of approaches</w:t>
      </w:r>
      <w:r w:rsidRPr="00F03917">
        <w:t xml:space="preserve">. An example is using a quantitative </w:t>
      </w:r>
      <w:r w:rsidR="29CC8EA3" w:rsidRPr="00F03917">
        <w:t>indicator</w:t>
      </w:r>
      <w:r w:rsidRPr="00F03917">
        <w:t xml:space="preserve"> approach at the regional or district scale to identify hotspots, then more detailed community </w:t>
      </w:r>
      <w:r w:rsidR="68CA210C" w:rsidRPr="00F03917">
        <w:t>or iwi/hapū</w:t>
      </w:r>
      <w:r w:rsidRPr="00F03917">
        <w:t xml:space="preserve"> engagement to better understand local social vulnerability</w:t>
      </w:r>
      <w:r w:rsidR="006D5EF5" w:rsidRPr="00F03917">
        <w:rPr>
          <w:rFonts w:eastAsia="Calibri" w:cs="Calibri"/>
        </w:rPr>
        <w:t>. An alternative is to</w:t>
      </w:r>
      <w:r w:rsidR="792BC78A" w:rsidRPr="00F03917">
        <w:rPr>
          <w:rFonts w:eastAsia="Calibri" w:cs="Calibri"/>
        </w:rPr>
        <w:t xml:space="preserve"> develop more nuanced indicators through use of serious game</w:t>
      </w:r>
      <w:r w:rsidR="00DD7432" w:rsidRPr="00F03917">
        <w:rPr>
          <w:rFonts w:eastAsia="Calibri" w:cs="Calibri"/>
        </w:rPr>
        <w:t>s</w:t>
      </w:r>
      <w:r w:rsidR="792BC78A" w:rsidRPr="00F03917">
        <w:rPr>
          <w:rFonts w:eastAsia="Calibri" w:cs="Calibri"/>
        </w:rPr>
        <w:t xml:space="preserve"> with communities and decision-makers (Johnson et</w:t>
      </w:r>
      <w:r w:rsidR="00343E95" w:rsidRPr="00F03917">
        <w:rPr>
          <w:rFonts w:eastAsia="Calibri" w:cs="Calibri"/>
        </w:rPr>
        <w:t> </w:t>
      </w:r>
      <w:r w:rsidR="792BC78A" w:rsidRPr="00F03917">
        <w:rPr>
          <w:rFonts w:eastAsia="Calibri" w:cs="Calibri"/>
        </w:rPr>
        <w:t>al,</w:t>
      </w:r>
      <w:r w:rsidR="00673DAE" w:rsidRPr="00F03917">
        <w:rPr>
          <w:rFonts w:eastAsia="Calibri" w:cs="Calibri"/>
        </w:rPr>
        <w:t> </w:t>
      </w:r>
      <w:r w:rsidR="792BC78A" w:rsidRPr="00F03917">
        <w:rPr>
          <w:rFonts w:eastAsia="Calibri" w:cs="Calibri"/>
        </w:rPr>
        <w:t xml:space="preserve">2023). </w:t>
      </w:r>
    </w:p>
    <w:p w14:paraId="0BAD347A" w14:textId="1219DD3E" w:rsidR="00394B3C" w:rsidRPr="00F03917" w:rsidRDefault="00394B3C" w:rsidP="006258D2">
      <w:pPr>
        <w:pStyle w:val="Tableheading"/>
      </w:pPr>
      <w:bookmarkStart w:id="135" w:name="_Toc160098408"/>
      <w:r w:rsidRPr="00F03917">
        <w:t>Advantages and disadvantages of methods for measuring social vulnerability</w:t>
      </w:r>
      <w:bookmarkEnd w:id="135"/>
      <w:r w:rsidRPr="00F03917">
        <w:t xml:space="preserve"> </w:t>
      </w:r>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CellMar>
          <w:left w:w="85" w:type="dxa"/>
          <w:right w:w="57" w:type="dxa"/>
        </w:tblCellMar>
        <w:tblLook w:val="04A0" w:firstRow="1" w:lastRow="0" w:firstColumn="1" w:lastColumn="0" w:noHBand="0" w:noVBand="1"/>
      </w:tblPr>
      <w:tblGrid>
        <w:gridCol w:w="1336"/>
        <w:gridCol w:w="2208"/>
        <w:gridCol w:w="2278"/>
        <w:gridCol w:w="2683"/>
      </w:tblGrid>
      <w:tr w:rsidR="00366269" w:rsidRPr="00F03917" w14:paraId="5AEFBE82" w14:textId="77777777" w:rsidTr="00F4289D">
        <w:trPr>
          <w:tblHeader/>
        </w:trPr>
        <w:tc>
          <w:tcPr>
            <w:tcW w:w="1336" w:type="dxa"/>
            <w:shd w:val="clear" w:color="auto" w:fill="1B556B" w:themeFill="text2"/>
          </w:tcPr>
          <w:p w14:paraId="0EC2D95B" w14:textId="77777777" w:rsidR="00394B3C" w:rsidRPr="00F03917" w:rsidRDefault="00394B3C" w:rsidP="00F4289D">
            <w:pPr>
              <w:pStyle w:val="TableTextbold"/>
              <w:spacing w:before="30" w:after="30" w:line="230" w:lineRule="atLeast"/>
              <w:rPr>
                <w:color w:val="FFFFFF" w:themeColor="background1"/>
              </w:rPr>
            </w:pPr>
            <w:r w:rsidRPr="00F03917">
              <w:rPr>
                <w:color w:val="FFFFFF" w:themeColor="background1"/>
              </w:rPr>
              <w:t>Method</w:t>
            </w:r>
          </w:p>
        </w:tc>
        <w:tc>
          <w:tcPr>
            <w:tcW w:w="2208" w:type="dxa"/>
            <w:shd w:val="clear" w:color="auto" w:fill="1B556B" w:themeFill="text2"/>
          </w:tcPr>
          <w:p w14:paraId="641931E7" w14:textId="0A50FD50" w:rsidR="00394B3C" w:rsidRPr="00F03917" w:rsidRDefault="00394B3C" w:rsidP="00F4289D">
            <w:pPr>
              <w:pStyle w:val="TableTextbold"/>
              <w:spacing w:before="30" w:after="30" w:line="230" w:lineRule="atLeast"/>
              <w:rPr>
                <w:color w:val="FFFFFF" w:themeColor="background1"/>
              </w:rPr>
            </w:pPr>
            <w:r w:rsidRPr="00F03917">
              <w:rPr>
                <w:bCs/>
                <w:color w:val="FFFFFF" w:themeColor="background1"/>
              </w:rPr>
              <w:t>Example</w:t>
            </w:r>
            <w:r w:rsidR="6DC3D85F" w:rsidRPr="00F03917">
              <w:rPr>
                <w:bCs/>
                <w:color w:val="FFFFFF" w:themeColor="background1"/>
              </w:rPr>
              <w:t>s</w:t>
            </w:r>
          </w:p>
        </w:tc>
        <w:tc>
          <w:tcPr>
            <w:tcW w:w="2278" w:type="dxa"/>
            <w:shd w:val="clear" w:color="auto" w:fill="1B556B" w:themeFill="text2"/>
          </w:tcPr>
          <w:p w14:paraId="359C4D73" w14:textId="77777777" w:rsidR="00394B3C" w:rsidRPr="00F03917" w:rsidRDefault="00394B3C" w:rsidP="00F4289D">
            <w:pPr>
              <w:pStyle w:val="TableTextbold"/>
              <w:spacing w:before="30" w:after="30" w:line="230" w:lineRule="atLeast"/>
              <w:rPr>
                <w:color w:val="FFFFFF" w:themeColor="background1"/>
              </w:rPr>
            </w:pPr>
            <w:r w:rsidRPr="00F03917">
              <w:rPr>
                <w:color w:val="FFFFFF" w:themeColor="background1"/>
              </w:rPr>
              <w:t xml:space="preserve">Advantages </w:t>
            </w:r>
          </w:p>
        </w:tc>
        <w:tc>
          <w:tcPr>
            <w:tcW w:w="2683" w:type="dxa"/>
            <w:shd w:val="clear" w:color="auto" w:fill="1B556B" w:themeFill="text2"/>
          </w:tcPr>
          <w:p w14:paraId="48540925" w14:textId="77777777" w:rsidR="00394B3C" w:rsidRPr="00F03917" w:rsidRDefault="00394B3C" w:rsidP="00F4289D">
            <w:pPr>
              <w:pStyle w:val="TableTextbold"/>
              <w:spacing w:before="30" w:after="30" w:line="230" w:lineRule="atLeast"/>
              <w:rPr>
                <w:color w:val="FFFFFF" w:themeColor="background1"/>
              </w:rPr>
            </w:pPr>
            <w:r w:rsidRPr="00F03917">
              <w:rPr>
                <w:color w:val="FFFFFF" w:themeColor="background1"/>
              </w:rPr>
              <w:t>Disadvantages</w:t>
            </w:r>
          </w:p>
        </w:tc>
      </w:tr>
      <w:tr w:rsidR="00394B3C" w:rsidRPr="00F03917" w14:paraId="04C9B2FF" w14:textId="77777777" w:rsidTr="00F4289D">
        <w:tc>
          <w:tcPr>
            <w:tcW w:w="1336" w:type="dxa"/>
          </w:tcPr>
          <w:p w14:paraId="3A6C7AE9" w14:textId="70C1AD1D" w:rsidR="00394B3C" w:rsidRPr="00F03917" w:rsidRDefault="00394B3C" w:rsidP="00F4289D">
            <w:pPr>
              <w:pStyle w:val="TableText"/>
              <w:spacing w:before="40" w:line="230" w:lineRule="atLeast"/>
            </w:pPr>
            <w:r w:rsidRPr="00F03917">
              <w:t>Quantitative</w:t>
            </w:r>
            <w:r w:rsidR="00FB7D30" w:rsidRPr="00F03917">
              <w:t xml:space="preserve"> </w:t>
            </w:r>
            <w:r w:rsidR="72FE4D73" w:rsidRPr="00F03917">
              <w:t>indicator-based approaches</w:t>
            </w:r>
          </w:p>
        </w:tc>
        <w:tc>
          <w:tcPr>
            <w:tcW w:w="2208" w:type="dxa"/>
          </w:tcPr>
          <w:p w14:paraId="6EB415E2" w14:textId="092E876A" w:rsidR="00394B3C" w:rsidRPr="00F03917" w:rsidRDefault="00394B3C" w:rsidP="00F4289D">
            <w:pPr>
              <w:pStyle w:val="TableText"/>
              <w:spacing w:before="40" w:line="230" w:lineRule="atLeast"/>
            </w:pPr>
            <w:r w:rsidRPr="00F03917">
              <w:t>Social Vulnerability Index (Cutter et al</w:t>
            </w:r>
            <w:r w:rsidR="00C158E4" w:rsidRPr="00F03917">
              <w:t>,</w:t>
            </w:r>
            <w:r w:rsidRPr="00F03917">
              <w:t xml:space="preserve"> 2003) considers vulnerability as a product of exposure to a hazard and social and cultural characteristics (eg, education, income, occupation, age, race and gender)</w:t>
            </w:r>
          </w:p>
        </w:tc>
        <w:tc>
          <w:tcPr>
            <w:tcW w:w="2278" w:type="dxa"/>
          </w:tcPr>
          <w:p w14:paraId="0DB865C2" w14:textId="21F0F049" w:rsidR="00394B3C" w:rsidRPr="00F03917" w:rsidRDefault="00394B3C" w:rsidP="00F4289D">
            <w:pPr>
              <w:pStyle w:val="TableText"/>
              <w:spacing w:before="40" w:after="0" w:line="230" w:lineRule="atLeast"/>
            </w:pPr>
            <w:r w:rsidRPr="00F03917">
              <w:t>A large pool of existing indicators.</w:t>
            </w:r>
          </w:p>
          <w:p w14:paraId="7624711B" w14:textId="23BF22BE" w:rsidR="00394B3C" w:rsidRPr="00F03917" w:rsidRDefault="00394B3C" w:rsidP="00F4289D">
            <w:pPr>
              <w:pStyle w:val="TableText"/>
              <w:spacing w:after="0" w:line="230" w:lineRule="atLeast"/>
            </w:pPr>
            <w:r w:rsidRPr="00F03917">
              <w:t>Information available from census data or other assessable data sets.</w:t>
            </w:r>
          </w:p>
          <w:p w14:paraId="6F140A66" w14:textId="77777777" w:rsidR="00394B3C" w:rsidRPr="00F03917" w:rsidRDefault="00394B3C" w:rsidP="00F4289D">
            <w:pPr>
              <w:pStyle w:val="TableText"/>
              <w:spacing w:after="0" w:line="230" w:lineRule="atLeast"/>
            </w:pPr>
            <w:r w:rsidRPr="00F03917">
              <w:t>Useful for high-level comparisons between different populations.</w:t>
            </w:r>
          </w:p>
          <w:p w14:paraId="6EDFD2FA" w14:textId="77777777" w:rsidR="00394B3C" w:rsidRPr="00F03917" w:rsidRDefault="00394B3C" w:rsidP="00F4289D">
            <w:pPr>
              <w:pStyle w:val="TableText"/>
              <w:spacing w:line="230" w:lineRule="atLeast"/>
            </w:pPr>
            <w:r w:rsidRPr="00F03917">
              <w:t>Geographic ‘hot spots’ can be quickly identified, where hazards affect a potentially vulnerable population.</w:t>
            </w:r>
          </w:p>
        </w:tc>
        <w:tc>
          <w:tcPr>
            <w:tcW w:w="2683" w:type="dxa"/>
          </w:tcPr>
          <w:p w14:paraId="12E79715" w14:textId="745B5D43" w:rsidR="00394B3C" w:rsidRPr="00F03917" w:rsidRDefault="52A298C9" w:rsidP="00F4289D">
            <w:pPr>
              <w:pStyle w:val="TableText"/>
              <w:spacing w:before="40" w:after="0" w:line="230" w:lineRule="atLeast"/>
            </w:pPr>
            <w:r w:rsidRPr="00F03917">
              <w:t xml:space="preserve">High level, generalised static </w:t>
            </w:r>
            <w:r w:rsidR="70817255" w:rsidRPr="00F03917">
              <w:t>po</w:t>
            </w:r>
            <w:r w:rsidR="5B5AA2DD" w:rsidRPr="00F03917">
              <w:t>r</w:t>
            </w:r>
            <w:r w:rsidR="70817255" w:rsidRPr="00F03917">
              <w:t>trayals</w:t>
            </w:r>
            <w:r w:rsidRPr="00F03917">
              <w:t xml:space="preserve"> about vulnerability (Johnson et al, 2023)</w:t>
            </w:r>
            <w:r w:rsidR="004002E8" w:rsidRPr="00F03917">
              <w:t>.</w:t>
            </w:r>
            <w:r w:rsidR="00FB7D30" w:rsidRPr="00F03917" w:rsidDel="004002E8">
              <w:t xml:space="preserve"> </w:t>
            </w:r>
            <w:r w:rsidR="004002E8" w:rsidRPr="00F03917">
              <w:t>A</w:t>
            </w:r>
            <w:r w:rsidR="00394B3C" w:rsidRPr="00F03917">
              <w:t>ssumes</w:t>
            </w:r>
            <w:r w:rsidR="00394B3C" w:rsidRPr="00F03917" w:rsidDel="004002E8">
              <w:t xml:space="preserve"> </w:t>
            </w:r>
            <w:r w:rsidR="00394B3C" w:rsidRPr="00F03917">
              <w:t>all people and groups with certain characteristics are vulnerable</w:t>
            </w:r>
            <w:r w:rsidR="1BA2A67D" w:rsidRPr="00F03917">
              <w:t xml:space="preserve"> (excludes diversity within groupings).</w:t>
            </w:r>
          </w:p>
          <w:p w14:paraId="55AD982C" w14:textId="677FBEB3" w:rsidR="00394B3C" w:rsidRPr="00F03917" w:rsidRDefault="1BA2A67D" w:rsidP="00F4289D">
            <w:pPr>
              <w:pStyle w:val="TableText"/>
              <w:spacing w:after="0" w:line="230" w:lineRule="atLeast"/>
            </w:pPr>
            <w:r w:rsidRPr="00F03917">
              <w:t>Limited connection with adaptive capacities.</w:t>
            </w:r>
          </w:p>
          <w:p w14:paraId="7376D910" w14:textId="7A8B6F15" w:rsidR="00394B3C" w:rsidRPr="00F03917" w:rsidRDefault="00394B3C" w:rsidP="00F4289D">
            <w:pPr>
              <w:pStyle w:val="TableText"/>
              <w:spacing w:after="0" w:line="230" w:lineRule="atLeast"/>
            </w:pPr>
            <w:r w:rsidRPr="00F03917">
              <w:t>Biased toward indicators that can be measured rather than what is important to measure and assess.</w:t>
            </w:r>
          </w:p>
          <w:p w14:paraId="31722BF5" w14:textId="666D055E" w:rsidR="00394B3C" w:rsidRPr="00F03917" w:rsidRDefault="00394B3C" w:rsidP="00F4289D">
            <w:pPr>
              <w:pStyle w:val="TableText"/>
              <w:spacing w:after="0" w:line="230" w:lineRule="atLeast"/>
            </w:pPr>
            <w:r w:rsidRPr="00F03917">
              <w:t>Less useful at a local scale because the quality or resolution of the data is low or aggregated.</w:t>
            </w:r>
            <w:r w:rsidR="00FB7D30" w:rsidRPr="00F03917">
              <w:t xml:space="preserve"> </w:t>
            </w:r>
          </w:p>
          <w:p w14:paraId="040D1420" w14:textId="77777777" w:rsidR="00394B3C" w:rsidRPr="00F03917" w:rsidRDefault="00394B3C" w:rsidP="00F4289D">
            <w:pPr>
              <w:pStyle w:val="TableText"/>
              <w:spacing w:after="40" w:line="230" w:lineRule="atLeast"/>
            </w:pPr>
            <w:r w:rsidRPr="00F03917">
              <w:t>Communities may not like external agencies telling them they are vulnerable.</w:t>
            </w:r>
          </w:p>
        </w:tc>
      </w:tr>
      <w:tr w:rsidR="00394B3C" w:rsidRPr="00F03917" w14:paraId="2B8B5A54" w14:textId="77777777" w:rsidTr="00F4289D">
        <w:tc>
          <w:tcPr>
            <w:tcW w:w="1336" w:type="dxa"/>
          </w:tcPr>
          <w:p w14:paraId="48E489EC" w14:textId="457D9B9A" w:rsidR="00394B3C" w:rsidRPr="00F03917" w:rsidRDefault="6AEA3BCD" w:rsidP="00F4289D">
            <w:pPr>
              <w:pStyle w:val="TableText"/>
              <w:spacing w:before="40" w:line="230" w:lineRule="atLeast"/>
            </w:pPr>
            <w:r w:rsidRPr="00F03917">
              <w:t>Bottom-up q</w:t>
            </w:r>
            <w:r w:rsidR="00394B3C" w:rsidRPr="00F03917">
              <w:t xml:space="preserve">ualitative </w:t>
            </w:r>
            <w:r w:rsidR="10E4797A" w:rsidRPr="00F03917">
              <w:t>approaches</w:t>
            </w:r>
          </w:p>
        </w:tc>
        <w:tc>
          <w:tcPr>
            <w:tcW w:w="2208" w:type="dxa"/>
          </w:tcPr>
          <w:p w14:paraId="028BFFCD" w14:textId="77777777" w:rsidR="00394B3C" w:rsidRPr="00F03917" w:rsidRDefault="00394B3C" w:rsidP="00F4289D">
            <w:pPr>
              <w:pStyle w:val="TableText"/>
              <w:spacing w:before="40" w:line="230" w:lineRule="atLeast"/>
            </w:pPr>
            <w:r w:rsidRPr="00F03917">
              <w:t>Explore local social vulnerability with potentially affected parties, through collaborative development of indicators, or collecting qualitative data through meetings and interviews</w:t>
            </w:r>
          </w:p>
        </w:tc>
        <w:tc>
          <w:tcPr>
            <w:tcW w:w="2278" w:type="dxa"/>
          </w:tcPr>
          <w:p w14:paraId="4FE0FF83" w14:textId="31F357AD" w:rsidR="00394B3C" w:rsidRPr="00F03917" w:rsidRDefault="00394B3C" w:rsidP="00F4289D">
            <w:pPr>
              <w:pStyle w:val="TableText"/>
              <w:spacing w:before="40" w:after="0" w:line="230" w:lineRule="atLeast"/>
            </w:pPr>
            <w:r w:rsidRPr="00F03917">
              <w:t xml:space="preserve">Addresses adaptive capacity, giving a clear picture of actual vulnerability. </w:t>
            </w:r>
          </w:p>
          <w:p w14:paraId="05B72C99" w14:textId="77777777" w:rsidR="00394B3C" w:rsidRPr="00F03917" w:rsidRDefault="00394B3C" w:rsidP="00F4289D">
            <w:pPr>
              <w:pStyle w:val="TableText"/>
              <w:spacing w:after="0" w:line="230" w:lineRule="atLeast"/>
            </w:pPr>
            <w:r w:rsidRPr="00F03917">
              <w:t xml:space="preserve">Information will be more detailed and related to specific places, hazards and intra-regional connectivity. </w:t>
            </w:r>
          </w:p>
          <w:p w14:paraId="5F369231" w14:textId="77777777" w:rsidR="00394B3C" w:rsidRPr="00F03917" w:rsidRDefault="00394B3C" w:rsidP="00F4289D">
            <w:pPr>
              <w:pStyle w:val="TableText"/>
              <w:spacing w:line="230" w:lineRule="atLeast"/>
            </w:pPr>
            <w:r w:rsidRPr="00F03917">
              <w:t>Provides a good starting position for considering local adaptation options.</w:t>
            </w:r>
          </w:p>
        </w:tc>
        <w:tc>
          <w:tcPr>
            <w:tcW w:w="2683" w:type="dxa"/>
          </w:tcPr>
          <w:p w14:paraId="4B934CDF" w14:textId="439D0774" w:rsidR="00394B3C" w:rsidRPr="00F03917" w:rsidRDefault="00394B3C" w:rsidP="00F4289D">
            <w:pPr>
              <w:pStyle w:val="TableText"/>
              <w:spacing w:before="40" w:after="0" w:line="230" w:lineRule="atLeast"/>
            </w:pPr>
            <w:r w:rsidRPr="00F03917">
              <w:t>Requires hui and interviews, so takes longer to collate the information. Requires careful attention to who takes part, for a representative view.</w:t>
            </w:r>
            <w:r w:rsidR="00FB7D30" w:rsidRPr="00F03917">
              <w:t xml:space="preserve"> </w:t>
            </w:r>
          </w:p>
          <w:p w14:paraId="6CF8F681" w14:textId="77777777" w:rsidR="00394B3C" w:rsidRPr="00F03917" w:rsidRDefault="00394B3C" w:rsidP="00F4289D">
            <w:pPr>
              <w:pStyle w:val="TableText"/>
              <w:spacing w:after="0" w:line="230" w:lineRule="atLeast"/>
            </w:pPr>
            <w:r w:rsidRPr="00F03917">
              <w:t xml:space="preserve">Difficult at larger geographical scales. </w:t>
            </w:r>
          </w:p>
          <w:p w14:paraId="2615977E" w14:textId="77777777" w:rsidR="00394B3C" w:rsidRPr="00F03917" w:rsidRDefault="00394B3C" w:rsidP="00F4289D">
            <w:pPr>
              <w:pStyle w:val="TableText"/>
              <w:spacing w:after="0" w:line="230" w:lineRule="atLeast"/>
            </w:pPr>
            <w:r w:rsidRPr="00F03917">
              <w:t>May be affected by experiences with past hazard events.</w:t>
            </w:r>
          </w:p>
          <w:p w14:paraId="25619484" w14:textId="77777777" w:rsidR="00394B3C" w:rsidRPr="00F03917" w:rsidRDefault="00394B3C" w:rsidP="00F4289D">
            <w:pPr>
              <w:pStyle w:val="TableText"/>
              <w:spacing w:line="230" w:lineRule="atLeast"/>
            </w:pPr>
            <w:r w:rsidRPr="00F03917">
              <w:t>Requires more complex analysis.</w:t>
            </w:r>
          </w:p>
        </w:tc>
      </w:tr>
      <w:tr w:rsidR="441976DE" w:rsidRPr="00F03917" w14:paraId="6342F44A" w14:textId="77777777" w:rsidTr="00F4289D">
        <w:tc>
          <w:tcPr>
            <w:tcW w:w="1336" w:type="dxa"/>
          </w:tcPr>
          <w:p w14:paraId="3744C701" w14:textId="550825BB" w:rsidR="79DB32F6" w:rsidRPr="00F03917" w:rsidRDefault="79DB32F6" w:rsidP="00F4289D">
            <w:pPr>
              <w:pStyle w:val="TableText"/>
              <w:spacing w:before="40" w:after="40" w:line="230" w:lineRule="atLeast"/>
            </w:pPr>
            <w:r w:rsidRPr="00F03917">
              <w:t>Combined approaches</w:t>
            </w:r>
          </w:p>
        </w:tc>
        <w:tc>
          <w:tcPr>
            <w:tcW w:w="2208" w:type="dxa"/>
          </w:tcPr>
          <w:p w14:paraId="115779D4" w14:textId="3AB669CF" w:rsidR="441976DE" w:rsidRPr="00F03917" w:rsidRDefault="79DB32F6" w:rsidP="00F4289D">
            <w:pPr>
              <w:pStyle w:val="TableText"/>
              <w:spacing w:before="40" w:after="40" w:line="230" w:lineRule="atLeast"/>
            </w:pPr>
            <w:r w:rsidRPr="00F03917">
              <w:t xml:space="preserve">Nuanced specific indicators (Johnson et al, 2023) that engage more deeply with the interlinked </w:t>
            </w:r>
            <w:r w:rsidR="6F7C69F5" w:rsidRPr="00F03917">
              <w:t>socio</w:t>
            </w:r>
            <w:r w:rsidR="01C63B27" w:rsidRPr="00F03917">
              <w:t>-</w:t>
            </w:r>
            <w:r w:rsidR="6F7C69F5" w:rsidRPr="00F03917">
              <w:t>economic</w:t>
            </w:r>
            <w:r w:rsidRPr="00F03917">
              <w:t xml:space="preserve">, cultural, political and economic </w:t>
            </w:r>
            <w:r w:rsidRPr="00F03917">
              <w:rPr>
                <w:szCs w:val="18"/>
              </w:rPr>
              <w:t>speciﬁcities of place</w:t>
            </w:r>
            <w:r w:rsidR="00905440" w:rsidRPr="00F03917">
              <w:rPr>
                <w:szCs w:val="18"/>
              </w:rPr>
              <w:t>,</w:t>
            </w:r>
            <w:r w:rsidRPr="00F03917">
              <w:rPr>
                <w:szCs w:val="18"/>
              </w:rPr>
              <w:t xml:space="preserve"> </w:t>
            </w:r>
            <w:r w:rsidR="00905440" w:rsidRPr="00F03917">
              <w:rPr>
                <w:szCs w:val="18"/>
              </w:rPr>
              <w:t>for example</w:t>
            </w:r>
            <w:r w:rsidRPr="00F03917">
              <w:rPr>
                <w:szCs w:val="18"/>
              </w:rPr>
              <w:t>, use of personas through serious games</w:t>
            </w:r>
            <w:r w:rsidR="000D4779" w:rsidRPr="00F03917">
              <w:rPr>
                <w:rStyle w:val="FootnoteReference"/>
                <w:sz w:val="18"/>
                <w:szCs w:val="18"/>
              </w:rPr>
              <w:footnoteReference w:id="80"/>
            </w:r>
            <w:r w:rsidRPr="00F03917">
              <w:rPr>
                <w:szCs w:val="18"/>
              </w:rPr>
              <w:t xml:space="preserve"> combined</w:t>
            </w:r>
            <w:r w:rsidRPr="00F03917">
              <w:t xml:space="preserve"> with agent-based modelling using climate hazards and </w:t>
            </w:r>
            <w:r w:rsidR="00905440" w:rsidRPr="00F03917">
              <w:t>relative sea-level rise</w:t>
            </w:r>
            <w:r w:rsidRPr="00F03917">
              <w:t xml:space="preserve"> </w:t>
            </w:r>
            <w:r w:rsidR="005642D8" w:rsidRPr="00F03917">
              <w:t xml:space="preserve">projections </w:t>
            </w:r>
            <w:r w:rsidRPr="00F03917">
              <w:t>(</w:t>
            </w:r>
            <w:r w:rsidR="00905440" w:rsidRPr="00F03917">
              <w:t xml:space="preserve">Johnson et al, 2023; </w:t>
            </w:r>
            <w:r w:rsidR="00653290" w:rsidRPr="00F03917">
              <w:t>Lawrence et al</w:t>
            </w:r>
            <w:r w:rsidR="00053BAE" w:rsidRPr="00F03917">
              <w:t>,</w:t>
            </w:r>
            <w:r w:rsidR="00653290" w:rsidRPr="00F03917">
              <w:t xml:space="preserve"> 2021</w:t>
            </w:r>
            <w:r w:rsidR="00053BAE" w:rsidRPr="00F03917">
              <w:t>c</w:t>
            </w:r>
            <w:r w:rsidRPr="00F03917">
              <w:t xml:space="preserve">) </w:t>
            </w:r>
          </w:p>
        </w:tc>
        <w:tc>
          <w:tcPr>
            <w:tcW w:w="2278" w:type="dxa"/>
          </w:tcPr>
          <w:p w14:paraId="2024BC3D" w14:textId="2CFD5894" w:rsidR="79DB32F6" w:rsidRPr="00F03917" w:rsidRDefault="79DB32F6" w:rsidP="00F4289D">
            <w:pPr>
              <w:pStyle w:val="TableText"/>
              <w:spacing w:before="40" w:after="0" w:line="230" w:lineRule="atLeast"/>
            </w:pPr>
            <w:r w:rsidRPr="00F03917">
              <w:t>Greater engagement with social context of specific place or locality.</w:t>
            </w:r>
          </w:p>
          <w:p w14:paraId="532E2091" w14:textId="47924867" w:rsidR="79DB32F6" w:rsidRPr="00F03917" w:rsidRDefault="79DB32F6" w:rsidP="00F4289D">
            <w:pPr>
              <w:pStyle w:val="TableText"/>
              <w:spacing w:after="0" w:line="230" w:lineRule="atLeast"/>
            </w:pPr>
            <w:r w:rsidRPr="00F03917">
              <w:t xml:space="preserve">Attempts to capture the dynamics (over time) in vulnerability. </w:t>
            </w:r>
          </w:p>
          <w:p w14:paraId="69BCA79F" w14:textId="3317F9BF" w:rsidR="79DB32F6" w:rsidRPr="00F03917" w:rsidRDefault="79DB32F6" w:rsidP="00F4289D">
            <w:pPr>
              <w:pStyle w:val="TableText"/>
              <w:spacing w:after="0" w:line="230" w:lineRule="atLeast"/>
            </w:pPr>
            <w:r w:rsidRPr="00F03917">
              <w:t>Accounts for adaptive capacities and strengths.</w:t>
            </w:r>
          </w:p>
          <w:p w14:paraId="47F97B0A" w14:textId="54B9E684" w:rsidR="441976DE" w:rsidRPr="00F03917" w:rsidRDefault="79DB32F6" w:rsidP="00F4289D">
            <w:pPr>
              <w:pStyle w:val="TableText"/>
              <w:spacing w:after="40" w:line="230" w:lineRule="atLeast"/>
            </w:pPr>
            <w:r w:rsidRPr="00F03917">
              <w:t>Balances detail of grounded, place-specif</w:t>
            </w:r>
            <w:r w:rsidR="009369CA" w:rsidRPr="00F03917">
              <w:t>i</w:t>
            </w:r>
            <w:r w:rsidRPr="00F03917">
              <w:t>c accounts of vulnerability with high-level vulnerability indices.</w:t>
            </w:r>
          </w:p>
        </w:tc>
        <w:tc>
          <w:tcPr>
            <w:tcW w:w="2683" w:type="dxa"/>
          </w:tcPr>
          <w:p w14:paraId="0D971899" w14:textId="5209FDFD" w:rsidR="79DB32F6" w:rsidRPr="00F03917" w:rsidRDefault="79DB32F6" w:rsidP="00F4289D">
            <w:pPr>
              <w:pStyle w:val="TableText"/>
              <w:spacing w:before="40" w:after="0" w:line="230" w:lineRule="atLeast"/>
            </w:pPr>
            <w:r w:rsidRPr="00F03917">
              <w:t>Requires expert analyses of the decisions and reasons of all individual players in a serious game from a community.</w:t>
            </w:r>
          </w:p>
          <w:p w14:paraId="34382F6C" w14:textId="75BB4AC6" w:rsidR="441976DE" w:rsidRPr="00F03917" w:rsidRDefault="79DB32F6" w:rsidP="00F4289D">
            <w:pPr>
              <w:pStyle w:val="TableText"/>
              <w:spacing w:line="230" w:lineRule="atLeast"/>
            </w:pPr>
            <w:r w:rsidRPr="00F03917">
              <w:t>Skill needed to translate player’s responses into behaviours in an agent-based model.</w:t>
            </w:r>
          </w:p>
        </w:tc>
      </w:tr>
    </w:tbl>
    <w:p w14:paraId="088A544A" w14:textId="498DB30E" w:rsidR="00BB2AC7" w:rsidRPr="00F03917" w:rsidRDefault="00805FC1" w:rsidP="00BB2AC7">
      <w:pPr>
        <w:pStyle w:val="Heading3"/>
      </w:pPr>
      <w:bookmarkStart w:id="136" w:name="_Hlk139717502"/>
      <w:r w:rsidRPr="00F03917">
        <w:lastRenderedPageBreak/>
        <w:t>4.2.2</w:t>
      </w:r>
      <w:r w:rsidRPr="00F03917">
        <w:tab/>
      </w:r>
      <w:r w:rsidR="002961F8" w:rsidRPr="00F03917">
        <w:t>Assess</w:t>
      </w:r>
      <w:r w:rsidR="00BB2AC7" w:rsidRPr="00F03917">
        <w:t xml:space="preserve"> environmental vulnerability</w:t>
      </w:r>
    </w:p>
    <w:p w14:paraId="063E3A62" w14:textId="13B56BC4" w:rsidR="00C55F4A" w:rsidRPr="00F03917" w:rsidRDefault="00C55F4A" w:rsidP="0023455A">
      <w:pPr>
        <w:pStyle w:val="BodyText"/>
        <w:spacing w:before="100" w:after="100"/>
      </w:pPr>
      <w:r w:rsidRPr="00F03917">
        <w:t>Environmental vulnerability in coastal settings will be determined by the natural systems exposure to the climate stressors, how sensitive they are to the</w:t>
      </w:r>
      <w:r w:rsidR="00FC7D62" w:rsidRPr="00F03917">
        <w:t xml:space="preserve"> climate stressors,</w:t>
      </w:r>
      <w:r w:rsidRPr="00F03917">
        <w:t xml:space="preserve"> and whether they can adapt to the type and rate of coastal hazards, and particularly to</w:t>
      </w:r>
      <w:r w:rsidR="00CB5834" w:rsidRPr="00F03917">
        <w:t xml:space="preserve"> SLR</w:t>
      </w:r>
      <w:r w:rsidRPr="00F03917">
        <w:t xml:space="preserve"> (Mf</w:t>
      </w:r>
      <w:r w:rsidR="00F850D5" w:rsidRPr="00F03917">
        <w:t>E,</w:t>
      </w:r>
      <w:r w:rsidRPr="00F03917">
        <w:t xml:space="preserve"> 202</w:t>
      </w:r>
      <w:r w:rsidR="009C674E" w:rsidRPr="00F03917">
        <w:t>0a</w:t>
      </w:r>
      <w:r w:rsidRPr="00F03917">
        <w:t xml:space="preserve">). Like human systems, the environment has thresholds that, if reached, will affect the ability to adapt. In turn, this depends on the rate of change at the coast and whether the species or system can move </w:t>
      </w:r>
      <w:r w:rsidR="00D679CA" w:rsidRPr="00F03917">
        <w:t xml:space="preserve">or </w:t>
      </w:r>
      <w:r w:rsidRPr="00F03917">
        <w:t>continue to function</w:t>
      </w:r>
      <w:r w:rsidR="00D679CA" w:rsidRPr="00F03917">
        <w:t xml:space="preserve">. </w:t>
      </w:r>
      <w:r w:rsidR="00C51BA7" w:rsidRPr="00F03917">
        <w:t>It is also dependent</w:t>
      </w:r>
      <w:r w:rsidRPr="00F03917" w:rsidDel="00C51BA7">
        <w:t xml:space="preserve"> </w:t>
      </w:r>
      <w:r w:rsidRPr="00F03917">
        <w:t>on how humans manage and affect the natural systems through their activities. </w:t>
      </w:r>
    </w:p>
    <w:p w14:paraId="34079437" w14:textId="3416AE87" w:rsidR="00C55F4A" w:rsidRPr="00F03917" w:rsidRDefault="00C55F4A" w:rsidP="0023455A">
      <w:pPr>
        <w:pStyle w:val="BodyText"/>
        <w:spacing w:before="100" w:after="100"/>
      </w:pPr>
      <w:r w:rsidRPr="00F03917">
        <w:t>In the absence of human</w:t>
      </w:r>
      <w:r w:rsidR="00F7099F" w:rsidRPr="00F03917">
        <w:t>-</w:t>
      </w:r>
      <w:r w:rsidRPr="00F03917">
        <w:t>induced pressures, many coastal ecosystems and species would be</w:t>
      </w:r>
      <w:r w:rsidR="002E4C23" w:rsidRPr="00F03917">
        <w:t> </w:t>
      </w:r>
      <w:r w:rsidRPr="00F03917">
        <w:t xml:space="preserve">able to adapt in some way. However, most are exposed to the effects of </w:t>
      </w:r>
      <w:r w:rsidR="006F1A45" w:rsidRPr="00F03917">
        <w:t xml:space="preserve">habitat loss, </w:t>
      </w:r>
      <w:r w:rsidRPr="00F03917">
        <w:t>introduced species, nutrient and sediment inputs from land</w:t>
      </w:r>
      <w:r w:rsidR="00F7099F" w:rsidRPr="00F03917">
        <w:t>-</w:t>
      </w:r>
      <w:r w:rsidRPr="00F03917">
        <w:t xml:space="preserve">use practices, and direct disturbances from activities such as roading, subdivision, building construction and marine structures. </w:t>
      </w:r>
      <w:r w:rsidR="0014316D" w:rsidRPr="00F03917">
        <w:t>T</w:t>
      </w:r>
      <w:r w:rsidR="00A43D95" w:rsidRPr="00F03917">
        <w:t xml:space="preserve">he </w:t>
      </w:r>
      <w:r w:rsidR="00F07409" w:rsidRPr="00F03917">
        <w:t xml:space="preserve">coastal </w:t>
      </w:r>
      <w:r w:rsidR="00A43D95" w:rsidRPr="00F03917">
        <w:t>environment</w:t>
      </w:r>
      <w:r w:rsidR="00F07409" w:rsidRPr="00F03917">
        <w:t xml:space="preserve"> </w:t>
      </w:r>
      <w:r w:rsidR="005B356E" w:rsidRPr="00F03917">
        <w:t xml:space="preserve">already </w:t>
      </w:r>
      <w:r w:rsidR="00E43AAA" w:rsidRPr="00F03917">
        <w:t>contain</w:t>
      </w:r>
      <w:r w:rsidR="00B53047" w:rsidRPr="00F03917">
        <w:t>s</w:t>
      </w:r>
      <w:r w:rsidR="00E43AAA" w:rsidRPr="00F03917">
        <w:t xml:space="preserve"> </w:t>
      </w:r>
      <w:r w:rsidR="00A3072D" w:rsidRPr="00F03917">
        <w:t>many</w:t>
      </w:r>
      <w:r w:rsidR="00E43AAA" w:rsidRPr="00F03917">
        <w:t xml:space="preserve"> threatened and rare ecosystems and species. </w:t>
      </w:r>
    </w:p>
    <w:p w14:paraId="1F34A778" w14:textId="3456F407" w:rsidR="00C55F4A" w:rsidRPr="00F03917" w:rsidRDefault="00C55F4A" w:rsidP="0023455A">
      <w:pPr>
        <w:pStyle w:val="BodyText"/>
        <w:spacing w:before="100" w:after="100"/>
      </w:pPr>
      <w:r w:rsidRPr="00F03917">
        <w:t>Climate risks will affect coastal ecosystems</w:t>
      </w:r>
      <w:r w:rsidR="00F7099F" w:rsidRPr="00F03917">
        <w:t>,</w:t>
      </w:r>
      <w:r w:rsidRPr="00F03917">
        <w:t xml:space="preserve"> including intertidal zone</w:t>
      </w:r>
      <w:r w:rsidR="002B48BF" w:rsidRPr="00F03917">
        <w:t>s</w:t>
      </w:r>
      <w:r w:rsidRPr="00F03917">
        <w:t>, estuaries, dunes, coastal lakes and wetlands</w:t>
      </w:r>
      <w:r w:rsidR="002B48BF" w:rsidRPr="00F03917">
        <w:t>,</w:t>
      </w:r>
      <w:r w:rsidRPr="00F03917">
        <w:t xml:space="preserve"> due to both ongoing </w:t>
      </w:r>
      <w:r w:rsidR="00770A6F" w:rsidRPr="00F03917">
        <w:t>SLR</w:t>
      </w:r>
      <w:r w:rsidRPr="00F03917">
        <w:t xml:space="preserve"> and extreme weather events. Hazards compound at the coast with interacting and cascading consequences beyond the coastal environment.</w:t>
      </w:r>
    </w:p>
    <w:p w14:paraId="42097532" w14:textId="68225F44" w:rsidR="00C55F4A" w:rsidRPr="00F03917" w:rsidRDefault="00C55F4A" w:rsidP="0023455A">
      <w:pPr>
        <w:pStyle w:val="BodyText"/>
        <w:spacing w:before="100" w:after="100"/>
      </w:pPr>
      <w:r w:rsidRPr="00F03917">
        <w:t>When assessing the vulnerability of the coastal environment, at whatever scale, follow the same or similar processes as for social and cultural vulnerability assessments</w:t>
      </w:r>
      <w:r w:rsidR="00355EC8" w:rsidRPr="00F03917">
        <w:t>,</w:t>
      </w:r>
      <w:r w:rsidRPr="00F03917">
        <w:t xml:space="preserve"> </w:t>
      </w:r>
      <w:r w:rsidR="002B48BF" w:rsidRPr="00F03917">
        <w:t>that is,</w:t>
      </w:r>
      <w:r w:rsidRPr="00F03917">
        <w:t xml:space="preserve"> consider exposure, sensitivity and adaptive capacity in the context of the particular hazards at the location of interest and use the questions in </w:t>
      </w:r>
      <w:r w:rsidR="00B4114A" w:rsidRPr="00F03917">
        <w:t>section 4.2.3</w:t>
      </w:r>
      <w:r w:rsidRPr="00F03917">
        <w:t xml:space="preserve"> as a guide. The vulnerability assessment will feed into the risk assessment of the coastal environment more generally and should </w:t>
      </w:r>
      <w:r w:rsidR="00CB6E8F" w:rsidRPr="00F03917">
        <w:t xml:space="preserve">include </w:t>
      </w:r>
      <w:r w:rsidRPr="00F03917">
        <w:t>the geomorphic type of coast, the particular species and ecosystem processes</w:t>
      </w:r>
      <w:r w:rsidR="00F731D7" w:rsidRPr="00F03917">
        <w:t>,</w:t>
      </w:r>
      <w:r w:rsidRPr="00F03917">
        <w:t xml:space="preserve"> </w:t>
      </w:r>
      <w:r w:rsidR="00F731D7" w:rsidRPr="00F03917">
        <w:t xml:space="preserve">as well as </w:t>
      </w:r>
      <w:r w:rsidRPr="00F03917">
        <w:t>the human effects on the environment at the area or locality.</w:t>
      </w:r>
    </w:p>
    <w:p w14:paraId="721EEDBF" w14:textId="3B461660" w:rsidR="00394B3C" w:rsidRPr="00F03917" w:rsidRDefault="00805FC1" w:rsidP="0023455A">
      <w:pPr>
        <w:pStyle w:val="Heading3"/>
      </w:pPr>
      <w:bookmarkStart w:id="137" w:name="_4.2.3_Questions_to"/>
      <w:bookmarkEnd w:id="137"/>
      <w:r w:rsidRPr="00F03917">
        <w:t>4.2.3</w:t>
      </w:r>
      <w:r w:rsidRPr="00F03917">
        <w:tab/>
      </w:r>
      <w:r w:rsidR="00394B3C" w:rsidRPr="00F03917">
        <w:t xml:space="preserve">Questions to guide </w:t>
      </w:r>
      <w:r w:rsidR="27B8F1A7" w:rsidRPr="00F03917">
        <w:t>asses</w:t>
      </w:r>
      <w:r w:rsidR="009529B2" w:rsidRPr="00F03917">
        <w:t>sing</w:t>
      </w:r>
      <w:r w:rsidR="528552C5" w:rsidRPr="00F03917">
        <w:t xml:space="preserve"> </w:t>
      </w:r>
      <w:r w:rsidR="00394B3C" w:rsidRPr="00F03917">
        <w:t>vulnerability</w:t>
      </w:r>
    </w:p>
    <w:bookmarkEnd w:id="136"/>
    <w:p w14:paraId="6B61CF6E" w14:textId="2BACEE9C" w:rsidR="00451145" w:rsidRPr="00F03917" w:rsidRDefault="00451145" w:rsidP="00673DAE">
      <w:pPr>
        <w:pStyle w:val="BodyText"/>
        <w:spacing w:after="240"/>
      </w:pPr>
      <w:r w:rsidRPr="00F03917">
        <w:t>The vulnerability component of a detailed risk assessment includes</w:t>
      </w:r>
      <w:r w:rsidR="00043E02" w:rsidRPr="00F03917">
        <w:t xml:space="preserve"> </w:t>
      </w:r>
      <w:r w:rsidR="558F29E2" w:rsidRPr="00F03917">
        <w:t>a</w:t>
      </w:r>
      <w:r w:rsidRPr="00F03917">
        <w:t xml:space="preserve">n assessment combining </w:t>
      </w:r>
      <w:r w:rsidR="0D231416" w:rsidRPr="00F03917">
        <w:t>sensitivity and adaptive capacity.</w:t>
      </w:r>
      <w:r w:rsidRPr="00F03917">
        <w:t xml:space="preserve"> </w:t>
      </w:r>
      <w:r w:rsidR="4DFDC82F" w:rsidRPr="00F03917">
        <w:t xml:space="preserve">The following questions can help guide </w:t>
      </w:r>
      <w:r w:rsidRPr="00F03917">
        <w:t xml:space="preserve">how </w:t>
      </w:r>
      <w:r w:rsidR="006E2816" w:rsidRPr="00F03917">
        <w:t xml:space="preserve">to determine how </w:t>
      </w:r>
      <w:r w:rsidRPr="00F03917">
        <w:t xml:space="preserve">vulnerable </w:t>
      </w:r>
      <w:r w:rsidR="7BF20B53" w:rsidRPr="00F03917">
        <w:t>communities and environments in</w:t>
      </w:r>
      <w:r w:rsidRPr="00F03917">
        <w:t xml:space="preserve"> coastal areas are to the more frequent or progressive impacts of climate change.</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4F356F" w:rsidRPr="00F03917" w14:paraId="67000AE1" w14:textId="77777777" w:rsidTr="002E4C23">
        <w:tc>
          <w:tcPr>
            <w:tcW w:w="8505" w:type="dxa"/>
            <w:shd w:val="clear" w:color="auto" w:fill="D5EBE8" w:themeFill="accent3"/>
          </w:tcPr>
          <w:p w14:paraId="62253A80" w14:textId="4EC06A12" w:rsidR="003F21A7" w:rsidRPr="00F03917" w:rsidRDefault="003F21A7" w:rsidP="003F21A7">
            <w:pPr>
              <w:pStyle w:val="Boxtext"/>
              <w:spacing w:before="240"/>
              <w:rPr>
                <w:b/>
              </w:rPr>
            </w:pPr>
            <w:r w:rsidRPr="00F03917">
              <w:rPr>
                <w:b/>
              </w:rPr>
              <w:t>Focus the analysis</w:t>
            </w:r>
            <w:r w:rsidRPr="00F03917" w:rsidDel="004F1262">
              <w:rPr>
                <w:b/>
              </w:rPr>
              <w:t xml:space="preserve"> of </w:t>
            </w:r>
            <w:r w:rsidRPr="00F03917">
              <w:rPr>
                <w:b/>
                <w:i/>
              </w:rPr>
              <w:t>sensitivity</w:t>
            </w:r>
            <w:r w:rsidRPr="00F03917">
              <w:rPr>
                <w:b/>
              </w:rPr>
              <w:t xml:space="preserve"> on the following questions</w:t>
            </w:r>
          </w:p>
          <w:p w14:paraId="49421A90" w14:textId="4FA89854" w:rsidR="003F21A7" w:rsidRPr="00F03917" w:rsidRDefault="003F21A7" w:rsidP="003F21A7">
            <w:pPr>
              <w:pStyle w:val="Boxbullet"/>
              <w:spacing w:after="80"/>
            </w:pPr>
            <w:r w:rsidRPr="00F03917">
              <w:t xml:space="preserve">Are there groups or individuals more predisposed to climate impacts (eg, </w:t>
            </w:r>
            <w:r w:rsidR="00862A45" w:rsidRPr="00F03917">
              <w:t xml:space="preserve">those with pre-existing stress due to economic conditions, </w:t>
            </w:r>
            <w:r w:rsidRPr="00F03917">
              <w:t>uninsured, renters, certain ethnicities or ages, mobility impaired, lower socio-economic groups, or those with health conditions)?</w:t>
            </w:r>
          </w:p>
          <w:p w14:paraId="0801ECE5" w14:textId="55B2A226" w:rsidR="003F21A7" w:rsidRPr="00F03917" w:rsidRDefault="003F21A7" w:rsidP="003F21A7">
            <w:pPr>
              <w:pStyle w:val="Boxbullet"/>
              <w:spacing w:after="80"/>
            </w:pPr>
            <w:r w:rsidRPr="00F03917">
              <w:t>Is the system already stressed</w:t>
            </w:r>
            <w:r w:rsidRPr="00F03917">
              <w:rPr>
                <w:rFonts w:eastAsia="Calibri" w:cs="Calibri"/>
              </w:rPr>
              <w:t>, starting to stretch coping capacity or risk tolerance</w:t>
            </w:r>
            <w:r w:rsidRPr="00F03917">
              <w:t xml:space="preserve"> (eg,</w:t>
            </w:r>
            <w:r w:rsidR="008E0409" w:rsidRPr="00F03917">
              <w:t> </w:t>
            </w:r>
            <w:r w:rsidRPr="00F03917">
              <w:t>regular overtopping of a seawall, nuisance coastal</w:t>
            </w:r>
            <w:r w:rsidR="00867895" w:rsidRPr="00F03917">
              <w:t xml:space="preserve"> and</w:t>
            </w:r>
            <w:r w:rsidRPr="00F03917">
              <w:t>/</w:t>
            </w:r>
            <w:r w:rsidR="00867895" w:rsidRPr="00F03917">
              <w:t xml:space="preserve">or </w:t>
            </w:r>
            <w:r w:rsidRPr="00F03917">
              <w:t xml:space="preserve">stormwater flooding, increasing </w:t>
            </w:r>
            <w:r w:rsidRPr="00F03917" w:rsidDel="00520810">
              <w:t>shoreline</w:t>
            </w:r>
            <w:r w:rsidRPr="00F03917">
              <w:t xml:space="preserve"> erosion, or insurance retreat)?</w:t>
            </w:r>
          </w:p>
          <w:p w14:paraId="4CE9B3DB" w14:textId="77777777" w:rsidR="003F21A7" w:rsidRPr="00F03917" w:rsidRDefault="003F21A7" w:rsidP="003F21A7">
            <w:pPr>
              <w:pStyle w:val="Boxbullet"/>
              <w:spacing w:after="80"/>
            </w:pPr>
            <w:r w:rsidRPr="00F03917">
              <w:t xml:space="preserve">Is the system, environment or network limited or inflexible </w:t>
            </w:r>
            <w:r w:rsidRPr="00F03917">
              <w:rPr>
                <w:rFonts w:eastAsia="Calibri" w:cs="Calibri"/>
              </w:rPr>
              <w:t>in the face of coastal climate change</w:t>
            </w:r>
            <w:r w:rsidRPr="00F03917">
              <w:t>?</w:t>
            </w:r>
          </w:p>
          <w:p w14:paraId="3CA5A7E8" w14:textId="2F18FB14" w:rsidR="003F21A7" w:rsidRPr="00F03917" w:rsidRDefault="003F21A7" w:rsidP="003F21A7">
            <w:pPr>
              <w:pStyle w:val="Boxbullet"/>
              <w:spacing w:after="80"/>
            </w:pPr>
            <w:r w:rsidRPr="00F03917">
              <w:t xml:space="preserve">For tourism and recreational activities, how sensitive are public coastal spaces (reserves, esplanades and beaches) to coastal hazards and </w:t>
            </w:r>
            <w:r w:rsidR="00867895" w:rsidRPr="00F03917">
              <w:t>relative sea-level rise (</w:t>
            </w:r>
            <w:r w:rsidRPr="00F03917">
              <w:t>RSLR</w:t>
            </w:r>
            <w:r w:rsidR="00867895" w:rsidRPr="00F03917">
              <w:t>)</w:t>
            </w:r>
            <w:r w:rsidRPr="00F03917">
              <w:t xml:space="preserve">? </w:t>
            </w:r>
          </w:p>
          <w:p w14:paraId="3A2756D5" w14:textId="77777777" w:rsidR="003F21A7" w:rsidRPr="00F03917" w:rsidRDefault="003F21A7" w:rsidP="008E0409">
            <w:pPr>
              <w:pStyle w:val="Boxbullet"/>
              <w:rPr>
                <w:szCs w:val="22"/>
              </w:rPr>
            </w:pPr>
            <w:r w:rsidRPr="00F03917">
              <w:t>Are some productive land uses more sensitive than others?</w:t>
            </w:r>
          </w:p>
          <w:p w14:paraId="123B0445" w14:textId="6C177342" w:rsidR="003F21A7" w:rsidRPr="00F03917" w:rsidRDefault="003F21A7" w:rsidP="0023455A">
            <w:pPr>
              <w:pStyle w:val="Boxbullet"/>
              <w:spacing w:before="120" w:after="80"/>
            </w:pPr>
            <w:r w:rsidRPr="00F03917">
              <w:lastRenderedPageBreak/>
              <w:t xml:space="preserve">Is the natural ecosystem </w:t>
            </w:r>
            <w:r w:rsidR="001A01B9" w:rsidRPr="00F03917">
              <w:t>exposed</w:t>
            </w:r>
            <w:r w:rsidRPr="00F03917">
              <w:t xml:space="preserve"> to ongoing RSLR (eg, nesting birds on beaches, Ramsar sites,</w:t>
            </w:r>
            <w:r w:rsidRPr="00F03917">
              <w:rPr>
                <w:sz w:val="22"/>
                <w:szCs w:val="22"/>
                <w:vertAlign w:val="superscript"/>
              </w:rPr>
              <w:footnoteReference w:id="81"/>
            </w:r>
            <w:r w:rsidRPr="00F03917">
              <w:t xml:space="preserve"> wetlands or marshes, or decreasing intertidal flats)?</w:t>
            </w:r>
          </w:p>
          <w:p w14:paraId="7D1F8B34" w14:textId="77777777" w:rsidR="003F21A7" w:rsidRPr="00F03917" w:rsidRDefault="003F21A7" w:rsidP="003F21A7">
            <w:pPr>
              <w:pStyle w:val="Boxbullet"/>
              <w:spacing w:after="80"/>
              <w:rPr>
                <w:szCs w:val="22"/>
              </w:rPr>
            </w:pPr>
            <w:r w:rsidRPr="00F03917">
              <w:t xml:space="preserve">What is the system’s impact threshold? </w:t>
            </w:r>
          </w:p>
          <w:p w14:paraId="74406F70" w14:textId="07F97C1E" w:rsidR="004F356F" w:rsidRPr="00F03917" w:rsidRDefault="003F21A7" w:rsidP="00673DAE">
            <w:pPr>
              <w:pStyle w:val="Boxbullet"/>
            </w:pPr>
            <w:r w:rsidRPr="00F03917">
              <w:t xml:space="preserve">How do environmental sensitivities vary across the region? </w:t>
            </w:r>
          </w:p>
        </w:tc>
      </w:tr>
      <w:tr w:rsidR="00673DAE" w:rsidRPr="00F03917" w14:paraId="4BDCAB7D" w14:textId="77777777" w:rsidTr="002E4C23">
        <w:tc>
          <w:tcPr>
            <w:tcW w:w="8505" w:type="dxa"/>
            <w:shd w:val="clear" w:color="auto" w:fill="D5EBE8" w:themeFill="accent3"/>
          </w:tcPr>
          <w:p w14:paraId="75597F75" w14:textId="5EAD3366" w:rsidR="00673DAE" w:rsidRPr="00F03917" w:rsidRDefault="00673DAE" w:rsidP="0023455A">
            <w:pPr>
              <w:pStyle w:val="Boxtext"/>
              <w:keepNext/>
              <w:spacing w:before="80" w:after="80"/>
              <w:rPr>
                <w:b/>
                <w:bCs/>
                <w:color w:val="1B556B" w:themeColor="text2"/>
                <w:szCs w:val="20"/>
              </w:rPr>
            </w:pPr>
            <w:r w:rsidRPr="00F03917">
              <w:rPr>
                <w:b/>
                <w:color w:val="1B556B" w:themeColor="text2"/>
              </w:rPr>
              <w:lastRenderedPageBreak/>
              <w:t xml:space="preserve">Focus the analysis of </w:t>
            </w:r>
            <w:r w:rsidRPr="00F03917">
              <w:rPr>
                <w:b/>
                <w:i/>
                <w:color w:val="1B556B" w:themeColor="text2"/>
              </w:rPr>
              <w:t>adaptive capacity</w:t>
            </w:r>
            <w:r w:rsidRPr="00F03917">
              <w:rPr>
                <w:b/>
                <w:color w:val="1B556B" w:themeColor="text2"/>
              </w:rPr>
              <w:t xml:space="preserve"> on the following questions</w:t>
            </w:r>
            <w:r w:rsidRPr="00F03917">
              <w:rPr>
                <w:b/>
                <w:color w:val="1B556B" w:themeColor="text2"/>
                <w:vertAlign w:val="superscript"/>
              </w:rPr>
              <w:footnoteReference w:id="82"/>
            </w:r>
          </w:p>
          <w:p w14:paraId="5589B9C8" w14:textId="43508542" w:rsidR="004A562A" w:rsidRPr="00F03917" w:rsidRDefault="007B16B3" w:rsidP="0023455A">
            <w:pPr>
              <w:pStyle w:val="Boxbullet"/>
              <w:spacing w:after="80"/>
            </w:pPr>
            <w:r w:rsidRPr="00F03917">
              <w:t>Are the</w:t>
            </w:r>
            <w:r w:rsidR="00673DAE" w:rsidRPr="00F03917">
              <w:t xml:space="preserve"> systems and people </w:t>
            </w:r>
            <w:r w:rsidRPr="00F03917">
              <w:t xml:space="preserve">able to </w:t>
            </w:r>
            <w:r w:rsidR="00673DAE" w:rsidRPr="00F03917">
              <w:t>accommodate the changes in climate impacts? For example</w:t>
            </w:r>
            <w:r w:rsidR="004A562A" w:rsidRPr="00F03917">
              <w:t>:</w:t>
            </w:r>
            <w:r w:rsidR="00673DAE" w:rsidRPr="00F03917">
              <w:t xml:space="preserve"> </w:t>
            </w:r>
          </w:p>
          <w:p w14:paraId="76E8F0D1" w14:textId="777FBF79" w:rsidR="008D5647" w:rsidRPr="00F03917" w:rsidRDefault="007B16B3" w:rsidP="0023455A">
            <w:pPr>
              <w:pStyle w:val="Boxsub-bullet"/>
              <w:spacing w:after="80"/>
            </w:pPr>
            <w:r w:rsidRPr="00F03917">
              <w:t>are there institutional and governance structures in place to adapt</w:t>
            </w:r>
            <w:r w:rsidR="00673DAE" w:rsidRPr="00F03917">
              <w:t xml:space="preserve"> </w:t>
            </w:r>
          </w:p>
          <w:p w14:paraId="63953708" w14:textId="38F17482" w:rsidR="008411FC" w:rsidRPr="00F03917" w:rsidRDefault="00673DAE" w:rsidP="0023455A">
            <w:pPr>
              <w:pStyle w:val="Boxsub-bullet"/>
              <w:spacing w:after="80"/>
            </w:pPr>
            <w:r w:rsidRPr="00F03917">
              <w:t xml:space="preserve">does the area have high numbers of elderly and </w:t>
            </w:r>
            <w:r w:rsidR="006040C4" w:rsidRPr="00F03917">
              <w:t xml:space="preserve">very </w:t>
            </w:r>
            <w:r w:rsidRPr="00F03917">
              <w:t xml:space="preserve">young people </w:t>
            </w:r>
          </w:p>
          <w:p w14:paraId="57B1BC29" w14:textId="2DED6AE9" w:rsidR="008411FC" w:rsidRPr="00F03917" w:rsidRDefault="006246EC" w:rsidP="0023455A">
            <w:pPr>
              <w:pStyle w:val="Boxsub-bullet"/>
              <w:spacing w:after="80"/>
            </w:pPr>
            <w:r w:rsidRPr="00F03917">
              <w:t xml:space="preserve">are there </w:t>
            </w:r>
            <w:r w:rsidR="00673DAE" w:rsidRPr="00F03917">
              <w:t>tapu or other cultural sites</w:t>
            </w:r>
            <w:r w:rsidR="00673DAE" w:rsidRPr="00F03917" w:rsidDel="00520810">
              <w:t xml:space="preserve"> </w:t>
            </w:r>
          </w:p>
          <w:p w14:paraId="2DA1EADC" w14:textId="5E331523" w:rsidR="008411FC" w:rsidRPr="00F03917" w:rsidRDefault="00DA4F29" w:rsidP="0023455A">
            <w:pPr>
              <w:pStyle w:val="Boxsub-bullet"/>
              <w:spacing w:after="80"/>
            </w:pPr>
            <w:r w:rsidRPr="00F03917">
              <w:t xml:space="preserve">is there </w:t>
            </w:r>
            <w:r w:rsidR="00673DAE" w:rsidRPr="00F03917">
              <w:t>a lack of critical facilities</w:t>
            </w:r>
            <w:r w:rsidRPr="00F03917">
              <w:t xml:space="preserve"> </w:t>
            </w:r>
          </w:p>
          <w:p w14:paraId="057BA737" w14:textId="33DC1853" w:rsidR="00673DAE" w:rsidRPr="00F03917" w:rsidRDefault="00984639" w:rsidP="0023455A">
            <w:pPr>
              <w:pStyle w:val="Boxsub-bullet"/>
              <w:spacing w:after="80"/>
            </w:pPr>
            <w:r w:rsidRPr="00F03917">
              <w:t>are there</w:t>
            </w:r>
            <w:r w:rsidR="00673DAE" w:rsidRPr="00F03917">
              <w:t xml:space="preserve"> </w:t>
            </w:r>
            <w:r w:rsidR="00CD6A6B" w:rsidRPr="00F03917">
              <w:t>people located where they cannot physically move from the risk</w:t>
            </w:r>
            <w:r w:rsidR="00673DAE" w:rsidRPr="00F03917">
              <w:t xml:space="preserve">? </w:t>
            </w:r>
          </w:p>
          <w:p w14:paraId="73CA9842" w14:textId="02400526" w:rsidR="00673DAE" w:rsidRPr="00F03917" w:rsidRDefault="00673DAE" w:rsidP="00673DAE">
            <w:pPr>
              <w:pStyle w:val="Boxbullet"/>
              <w:spacing w:before="120" w:after="80"/>
              <w:rPr>
                <w:color w:val="1B556B" w:themeColor="text2"/>
              </w:rPr>
            </w:pPr>
            <w:r w:rsidRPr="00F03917">
              <w:t>Are there barriers to a system’s ability to accommodate climate impacts? For example,</w:t>
            </w:r>
            <w:r w:rsidRPr="00F03917" w:rsidDel="00520810">
              <w:t xml:space="preserve"> </w:t>
            </w:r>
            <w:r w:rsidRPr="00F03917">
              <w:t>are planning rules based on historic climate conditions or are the rules likely to create other limitations on changing or repurposing land use</w:t>
            </w:r>
            <w:r w:rsidRPr="00F03917">
              <w:rPr>
                <w:color w:val="1B556B" w:themeColor="text2"/>
              </w:rPr>
              <w:t>?</w:t>
            </w:r>
            <w:r w:rsidR="00243D24" w:rsidRPr="00F03917">
              <w:rPr>
                <w:color w:val="1B556B" w:themeColor="text2"/>
              </w:rPr>
              <w:t xml:space="preserve"> (White et al, 2023)</w:t>
            </w:r>
            <w:r w:rsidRPr="00F03917">
              <w:rPr>
                <w:color w:val="1B556B" w:themeColor="text2"/>
              </w:rPr>
              <w:t xml:space="preserve"> </w:t>
            </w:r>
          </w:p>
          <w:p w14:paraId="5219EB7D" w14:textId="77777777" w:rsidR="00752CA7" w:rsidRPr="00F03917" w:rsidRDefault="00673DAE" w:rsidP="00752CA7">
            <w:pPr>
              <w:pStyle w:val="Boxbullet"/>
              <w:rPr>
                <w:b/>
              </w:rPr>
            </w:pPr>
            <w:r w:rsidRPr="00F03917">
              <w:t>When does the rate of change exceed the ability of the systems, organisations and people affected to respond?</w:t>
            </w:r>
            <w:r w:rsidR="00752CA7" w:rsidRPr="00F03917">
              <w:t xml:space="preserve"> </w:t>
            </w:r>
          </w:p>
          <w:p w14:paraId="026A877E" w14:textId="3C21EB2E" w:rsidR="00673DAE" w:rsidRPr="00F03917" w:rsidRDefault="00673DAE" w:rsidP="008E0409">
            <w:pPr>
              <w:pStyle w:val="Boxbullet"/>
              <w:spacing w:after="240"/>
              <w:rPr>
                <w:spacing w:val="-2"/>
              </w:rPr>
            </w:pPr>
            <w:r w:rsidRPr="00F03917">
              <w:rPr>
                <w:spacing w:val="-2"/>
              </w:rPr>
              <w:t>Are efforts already under</w:t>
            </w:r>
            <w:r w:rsidR="005065BF" w:rsidRPr="00F03917">
              <w:rPr>
                <w:spacing w:val="-2"/>
              </w:rPr>
              <w:t xml:space="preserve"> </w:t>
            </w:r>
            <w:r w:rsidRPr="00F03917">
              <w:rPr>
                <w:spacing w:val="-2"/>
              </w:rPr>
              <w:t>way to address climate impacts (eg, preparedness, criteria for monitoring the effectiveness of current planning,</w:t>
            </w:r>
            <w:r w:rsidRPr="00F03917" w:rsidDel="00520810">
              <w:rPr>
                <w:spacing w:val="-2"/>
              </w:rPr>
              <w:t xml:space="preserve"> </w:t>
            </w:r>
            <w:r w:rsidRPr="00F03917">
              <w:rPr>
                <w:spacing w:val="-2"/>
              </w:rPr>
              <w:t>and early signals for a change of course)?</w:t>
            </w:r>
          </w:p>
        </w:tc>
      </w:tr>
    </w:tbl>
    <w:p w14:paraId="54735C21" w14:textId="77777777" w:rsidR="00B57283" w:rsidRPr="00F03917" w:rsidRDefault="00B57283" w:rsidP="00673DAE">
      <w:pPr>
        <w:pStyle w:val="BodyText"/>
      </w:pPr>
    </w:p>
    <w:p w14:paraId="6E961F49" w14:textId="32218FBD" w:rsidR="00347E48" w:rsidRPr="00F03917" w:rsidRDefault="00FC6C0D" w:rsidP="00E1635C">
      <w:pPr>
        <w:pStyle w:val="BodyText"/>
      </w:pPr>
      <w:r w:rsidRPr="00F03917">
        <w:rPr>
          <w:noProof/>
        </w:rPr>
        <w:lastRenderedPageBreak/>
        <w:drawing>
          <wp:inline distT="0" distB="0" distL="0" distR="0" wp14:anchorId="236B88B2" wp14:editId="3B192668">
            <wp:extent cx="5400040" cy="5210827"/>
            <wp:effectExtent l="0" t="0" r="86360" b="0"/>
            <wp:docPr id="1831241287" name="Diagram 18312412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0" r:lo="rId111" r:qs="rId112" r:cs="rId113"/>
              </a:graphicData>
            </a:graphic>
          </wp:inline>
        </w:drawing>
      </w:r>
    </w:p>
    <w:p w14:paraId="62205E60" w14:textId="77777777" w:rsidR="00E1635C" w:rsidRPr="00F03917" w:rsidRDefault="00E1635C" w:rsidP="00E1635C">
      <w:pPr>
        <w:pStyle w:val="BodyText"/>
      </w:pPr>
    </w:p>
    <w:p w14:paraId="498D6792" w14:textId="77777777" w:rsidR="00347E48" w:rsidRPr="00F03917" w:rsidRDefault="00347E48" w:rsidP="00E1635C">
      <w:pPr>
        <w:pStyle w:val="BodyText"/>
        <w:sectPr w:rsidR="00347E48" w:rsidRPr="00F03917" w:rsidSect="007E5AB2">
          <w:headerReference w:type="default" r:id="rId115"/>
          <w:footerReference w:type="even" r:id="rId116"/>
          <w:footerReference w:type="default" r:id="rId117"/>
          <w:pgSz w:w="11907" w:h="16840" w:code="9"/>
          <w:pgMar w:top="1134" w:right="1701" w:bottom="1134" w:left="1701" w:header="567" w:footer="567" w:gutter="0"/>
          <w:cols w:space="720"/>
          <w:docGrid w:linePitch="299"/>
        </w:sectPr>
      </w:pPr>
    </w:p>
    <w:p w14:paraId="705195E3" w14:textId="72301DDD" w:rsidR="00BC2E1F" w:rsidRPr="00F03917" w:rsidRDefault="00BC2E1F" w:rsidP="000A1A25">
      <w:pPr>
        <w:pStyle w:val="PARTHEADING"/>
      </w:pPr>
      <w:bookmarkStart w:id="138" w:name="_Toc160096246"/>
      <w:r w:rsidRPr="00F03917">
        <w:lastRenderedPageBreak/>
        <w:t>Part C: What can we do about it?</w:t>
      </w:r>
      <w:bookmarkEnd w:id="138"/>
    </w:p>
    <w:p w14:paraId="0721F980" w14:textId="3224860F" w:rsidR="00BC2E1F" w:rsidRPr="00F03917" w:rsidRDefault="000E29F9" w:rsidP="00C830F4">
      <w:pPr>
        <w:pStyle w:val="Heading1"/>
        <w:spacing w:after="240"/>
      </w:pPr>
      <w:bookmarkStart w:id="139" w:name="_9_Adapting_to"/>
      <w:bookmarkStart w:id="140" w:name="_Step_5:_Identify"/>
      <w:bookmarkStart w:id="141" w:name="_Toc160096247"/>
      <w:bookmarkEnd w:id="139"/>
      <w:bookmarkEnd w:id="140"/>
      <w:r w:rsidRPr="00F03917">
        <w:t xml:space="preserve">Step 5: </w:t>
      </w:r>
      <w:r w:rsidR="00BC2E1F" w:rsidRPr="00F03917">
        <w:t>Identify options and pathways</w:t>
      </w:r>
      <w:bookmarkEnd w:id="141"/>
    </w:p>
    <w:p w14:paraId="19120B64" w14:textId="08B292FB" w:rsidR="00DA35AA" w:rsidRPr="00F03917" w:rsidRDefault="00DA35AA" w:rsidP="007F2DAE">
      <w:pPr>
        <w:pStyle w:val="BodyText"/>
      </w:pPr>
      <w:r w:rsidRPr="00F03917" w:rsidDel="00861A9E">
        <w:t>A range of</w:t>
      </w:r>
      <w:r w:rsidRPr="00F03917">
        <w:t xml:space="preserve"> options and pathways are developed at this step to reflect the dynamic and changing risk that is driven by climate change, in particular relative sea-level rise (RSLR). At the coast, there are known and unknown impacts of climate change as the risks rise, and there are uncertainties in the future that cannot be predicted. This means that ways of identifying the options and pathways should be appropriate for the dynamic coastal context. </w:t>
      </w:r>
    </w:p>
    <w:p w14:paraId="05306F28" w14:textId="67EE455C" w:rsidR="00BC2E1F" w:rsidRPr="00F03917" w:rsidRDefault="00BC2E1F" w:rsidP="00AD2ABD">
      <w:pPr>
        <w:spacing w:after="240" w:line="280" w:lineRule="atLeast"/>
        <w:jc w:val="center"/>
        <w:rPr>
          <w:rFonts w:ascii="Calibri" w:eastAsiaTheme="minorEastAsia" w:hAnsi="Calibri"/>
          <w:kern w:val="0"/>
          <w:sz w:val="22"/>
          <w:szCs w:val="22"/>
          <w:lang w:eastAsia="en-NZ"/>
          <w14:ligatures w14:val="none"/>
        </w:rPr>
      </w:pPr>
      <w:r w:rsidRPr="00F03917">
        <w:rPr>
          <w:rFonts w:ascii="Calibri" w:eastAsiaTheme="minorEastAsia" w:hAnsi="Calibri"/>
          <w:noProof/>
          <w:kern w:val="0"/>
          <w:sz w:val="22"/>
          <w:szCs w:val="22"/>
          <w:lang w:eastAsia="en-NZ"/>
          <w14:ligatures w14:val="none"/>
        </w:rPr>
        <w:drawing>
          <wp:inline distT="0" distB="0" distL="0" distR="0" wp14:anchorId="756D2DF5" wp14:editId="17F716F9">
            <wp:extent cx="4679315" cy="455104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rotWithShape="1">
                    <a:blip r:embed="rId118" cstate="print">
                      <a:extLst>
                        <a:ext uri="{28A0092B-C50C-407E-A947-70E740481C1C}">
                          <a14:useLocalDpi xmlns:a14="http://schemas.microsoft.com/office/drawing/2010/main" val="0"/>
                        </a:ext>
                      </a:extLst>
                    </a:blip>
                    <a:srcRect l="-6625" t="-6522" r="-6417" b="-3422"/>
                    <a:stretch/>
                  </pic:blipFill>
                  <pic:spPr bwMode="auto">
                    <a:xfrm>
                      <a:off x="0" y="0"/>
                      <a:ext cx="4680000" cy="4551711"/>
                    </a:xfrm>
                    <a:prstGeom prst="rect">
                      <a:avLst/>
                    </a:prstGeom>
                    <a:ln>
                      <a:noFill/>
                    </a:ln>
                    <a:extLst>
                      <a:ext uri="{53640926-AAD7-44D8-BBD7-CCE9431645EC}">
                        <a14:shadowObscured xmlns:a14="http://schemas.microsoft.com/office/drawing/2010/main"/>
                      </a:ext>
                    </a:extLst>
                  </pic:spPr>
                </pic:pic>
              </a:graphicData>
            </a:graphic>
          </wp:inline>
        </w:drawing>
      </w:r>
    </w:p>
    <w:p w14:paraId="350B611B" w14:textId="77777777" w:rsidR="0052308C" w:rsidRPr="00F03917" w:rsidRDefault="0052308C" w:rsidP="007F2DAE">
      <w:pPr>
        <w:pStyle w:val="Heading2"/>
        <w:numPr>
          <w:ilvl w:val="0"/>
          <w:numId w:val="44"/>
        </w:numPr>
        <w:spacing w:before="240"/>
        <w:rPr>
          <w:sz w:val="35"/>
          <w:szCs w:val="35"/>
        </w:rPr>
      </w:pPr>
      <w:bookmarkStart w:id="142" w:name="_9.1.2_What_is"/>
      <w:bookmarkStart w:id="143" w:name="_Toc160030646"/>
      <w:bookmarkStart w:id="144" w:name="_Toc160081753"/>
      <w:bookmarkStart w:id="145" w:name="_Toc160096248"/>
      <w:bookmarkStart w:id="146" w:name="_Identify_adaptation_options"/>
      <w:bookmarkStart w:id="147" w:name="_Toc160096249"/>
      <w:bookmarkEnd w:id="142"/>
      <w:bookmarkEnd w:id="143"/>
      <w:bookmarkEnd w:id="144"/>
      <w:bookmarkEnd w:id="145"/>
      <w:bookmarkEnd w:id="146"/>
      <w:r w:rsidRPr="00F03917">
        <w:rPr>
          <w:sz w:val="35"/>
          <w:szCs w:val="35"/>
        </w:rPr>
        <w:t>Identify adaptation options and pathways</w:t>
      </w:r>
      <w:bookmarkEnd w:id="147"/>
    </w:p>
    <w:p w14:paraId="4B065A59" w14:textId="6011B8E0" w:rsidR="00013A80" w:rsidRPr="00F03917" w:rsidRDefault="00A4314B" w:rsidP="00CF4972">
      <w:pPr>
        <w:pStyle w:val="Heading3"/>
        <w:numPr>
          <w:ilvl w:val="0"/>
          <w:numId w:val="28"/>
        </w:numPr>
        <w:spacing w:before="240"/>
      </w:pPr>
      <w:bookmarkStart w:id="148" w:name="_Consider_options_and"/>
      <w:bookmarkEnd w:id="148"/>
      <w:r w:rsidRPr="00F03917">
        <w:t>Consider o</w:t>
      </w:r>
      <w:r w:rsidR="00AE1DC0" w:rsidRPr="00F03917">
        <w:t>ptions and pathways</w:t>
      </w:r>
    </w:p>
    <w:p w14:paraId="36C40E3F" w14:textId="1F5372C0" w:rsidR="008825CC" w:rsidRPr="00F03917" w:rsidRDefault="008825CC" w:rsidP="00CF4972">
      <w:pPr>
        <w:pStyle w:val="Heading4"/>
      </w:pPr>
      <w:r w:rsidRPr="00F03917">
        <w:t>Adaptation pathway</w:t>
      </w:r>
      <w:r w:rsidR="00675D91" w:rsidRPr="00F03917">
        <w:t>s</w:t>
      </w:r>
      <w:r w:rsidRPr="00F03917">
        <w:t xml:space="preserve"> planning</w:t>
      </w:r>
    </w:p>
    <w:p w14:paraId="57C9B5D4" w14:textId="7DDA9953" w:rsidR="00121C24" w:rsidRPr="00F03917" w:rsidRDefault="00BC2E1F" w:rsidP="00FB605D">
      <w:pPr>
        <w:pStyle w:val="BodyText"/>
      </w:pPr>
      <w:r w:rsidRPr="00F03917">
        <w:t>This s</w:t>
      </w:r>
      <w:r w:rsidR="16F45E2D" w:rsidRPr="00F03917">
        <w:t>tep</w:t>
      </w:r>
      <w:r w:rsidRPr="00F03917">
        <w:t xml:space="preserve"> outlines how to identify adaptation options and develop </w:t>
      </w:r>
      <w:r w:rsidR="65D98347" w:rsidRPr="00F03917">
        <w:t xml:space="preserve">dynamic </w:t>
      </w:r>
      <w:r w:rsidRPr="00F03917">
        <w:t>adaptive pathways</w:t>
      </w:r>
      <w:r w:rsidR="009C10E3" w:rsidRPr="00F03917">
        <w:t xml:space="preserve"> </w:t>
      </w:r>
      <w:r w:rsidR="46C61424" w:rsidRPr="00F03917">
        <w:t>planning</w:t>
      </w:r>
      <w:r w:rsidR="009C10E3" w:rsidRPr="00F03917">
        <w:t xml:space="preserve"> </w:t>
      </w:r>
      <w:r w:rsidR="00C41D4F" w:rsidRPr="00F03917">
        <w:t xml:space="preserve">(DAPP) </w:t>
      </w:r>
      <w:r w:rsidR="009C10E3" w:rsidRPr="00F03917">
        <w:t xml:space="preserve">(see </w:t>
      </w:r>
      <w:r w:rsidR="721730C2" w:rsidRPr="00F03917">
        <w:t>b</w:t>
      </w:r>
      <w:r w:rsidR="009C10E3" w:rsidRPr="00F03917">
        <w:t xml:space="preserve">ox </w:t>
      </w:r>
      <w:r w:rsidR="007142DC" w:rsidRPr="00F03917">
        <w:t>1</w:t>
      </w:r>
      <w:r w:rsidR="00D70041" w:rsidRPr="00F03917">
        <w:t>1</w:t>
      </w:r>
      <w:r w:rsidR="009C10E3" w:rsidRPr="00F03917">
        <w:t>)</w:t>
      </w:r>
      <w:r w:rsidRPr="00F03917">
        <w:t xml:space="preserve">. </w:t>
      </w:r>
      <w:r w:rsidR="001C042D" w:rsidRPr="00F03917">
        <w:t xml:space="preserve">It should be read </w:t>
      </w:r>
      <w:r w:rsidR="15F56972" w:rsidRPr="00F03917">
        <w:t>together</w:t>
      </w:r>
      <w:r w:rsidR="001C042D" w:rsidRPr="00F03917">
        <w:t xml:space="preserve"> with </w:t>
      </w:r>
      <w:r w:rsidR="60BED2E7" w:rsidRPr="00F03917">
        <w:t>p</w:t>
      </w:r>
      <w:r w:rsidR="001C042D" w:rsidRPr="00F03917">
        <w:t>olicies 24</w:t>
      </w:r>
      <w:r w:rsidR="2BDCB43E" w:rsidRPr="00F03917">
        <w:t xml:space="preserve"> to </w:t>
      </w:r>
      <w:r w:rsidR="001C042D" w:rsidRPr="00F03917">
        <w:t xml:space="preserve">27 of the </w:t>
      </w:r>
      <w:r w:rsidR="002F1AB2" w:rsidRPr="00F03917">
        <w:t>New</w:t>
      </w:r>
      <w:r w:rsidR="006858BF" w:rsidRPr="00F03917">
        <w:t xml:space="preserve"> </w:t>
      </w:r>
      <w:r w:rsidR="447B1750" w:rsidRPr="00F03917">
        <w:t>Zealand Coastal Policy Statement 2010 (</w:t>
      </w:r>
      <w:r w:rsidR="001C042D" w:rsidRPr="00F03917">
        <w:t>NZCPS</w:t>
      </w:r>
      <w:r w:rsidR="006858BF" w:rsidRPr="00F03917">
        <w:t>, DOC, 2010</w:t>
      </w:r>
      <w:r w:rsidR="0F6170B3" w:rsidRPr="00F03917">
        <w:t>)</w:t>
      </w:r>
      <w:r w:rsidR="001C042D" w:rsidRPr="00F03917">
        <w:t xml:space="preserve"> and its associated guidance</w:t>
      </w:r>
      <w:r w:rsidR="2FC4ABD2" w:rsidRPr="00F03917">
        <w:t xml:space="preserve"> (D</w:t>
      </w:r>
      <w:r w:rsidR="4F832B8D" w:rsidRPr="00F03917">
        <w:t>O</w:t>
      </w:r>
      <w:r w:rsidR="2FC4ABD2" w:rsidRPr="00F03917">
        <w:t>C, 201</w:t>
      </w:r>
      <w:r w:rsidR="00607CA7" w:rsidRPr="00F03917">
        <w:t>7</w:t>
      </w:r>
      <w:r w:rsidR="2FC4ABD2" w:rsidRPr="00F03917">
        <w:t>)</w:t>
      </w:r>
      <w:r w:rsidR="009C10E3" w:rsidRPr="00F03917">
        <w:t>.</w:t>
      </w:r>
      <w:r w:rsidR="01D96379" w:rsidRPr="00F03917">
        <w:t xml:space="preserve"> </w:t>
      </w:r>
      <w:r w:rsidRPr="00F03917">
        <w:t xml:space="preserve">The outcome will </w:t>
      </w:r>
      <w:r w:rsidR="708E6AD1" w:rsidRPr="00F03917">
        <w:t xml:space="preserve">involve </w:t>
      </w:r>
      <w:r w:rsidR="426878B3" w:rsidRPr="00F03917">
        <w:t>several</w:t>
      </w:r>
      <w:r w:rsidRPr="00F03917">
        <w:t xml:space="preserve"> </w:t>
      </w:r>
      <w:r w:rsidR="0904F4C1" w:rsidRPr="00F03917">
        <w:t>alternative</w:t>
      </w:r>
      <w:r w:rsidRPr="00F03917">
        <w:t xml:space="preserve"> pathways to achieve the agreed objectives. </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6FBF9"/>
        <w:tblLook w:val="04A0" w:firstRow="1" w:lastRow="0" w:firstColumn="1" w:lastColumn="0" w:noHBand="0" w:noVBand="1"/>
      </w:tblPr>
      <w:tblGrid>
        <w:gridCol w:w="8505"/>
      </w:tblGrid>
      <w:tr w:rsidR="00121C24" w:rsidRPr="00F03917" w14:paraId="7E8EF271" w14:textId="77777777" w:rsidTr="67ECA7B6">
        <w:trPr>
          <w:tblHeader/>
        </w:trPr>
        <w:tc>
          <w:tcPr>
            <w:tcW w:w="8562" w:type="dxa"/>
            <w:tcBorders>
              <w:top w:val="single" w:sz="4" w:space="0" w:color="1B556B" w:themeColor="text2"/>
              <w:left w:val="single" w:sz="4" w:space="0" w:color="1B556B" w:themeColor="text2"/>
              <w:bottom w:val="nil"/>
              <w:right w:val="single" w:sz="4" w:space="0" w:color="1B556B" w:themeColor="text2"/>
            </w:tcBorders>
            <w:shd w:val="clear" w:color="auto" w:fill="1B556B" w:themeFill="text2"/>
            <w:vAlign w:val="center"/>
          </w:tcPr>
          <w:p w14:paraId="70516B51" w14:textId="71AB84CE" w:rsidR="00121C24" w:rsidRPr="00F03917" w:rsidDel="00D5390D" w:rsidRDefault="00121C24">
            <w:pPr>
              <w:pStyle w:val="Casestudyheading"/>
              <w:spacing w:before="80" w:after="80"/>
            </w:pPr>
            <w:bookmarkStart w:id="149" w:name="box11"/>
            <w:bookmarkEnd w:id="149"/>
            <w:r w:rsidRPr="00F03917">
              <w:lastRenderedPageBreak/>
              <w:t>:</w:t>
            </w:r>
            <w:r w:rsidRPr="00F03917" w:rsidDel="3AA3B4A8">
              <w:t xml:space="preserve"> </w:t>
            </w:r>
            <w:r w:rsidR="3AA3B4A8" w:rsidRPr="00F03917">
              <w:t xml:space="preserve">DYNAMIC ADAPTIVE PATHWAYS PLANNING APPROACH </w:t>
            </w:r>
          </w:p>
        </w:tc>
      </w:tr>
      <w:tr w:rsidR="00121C24" w:rsidRPr="00F03917" w14:paraId="77536A89" w14:textId="77777777" w:rsidTr="67ECA7B6">
        <w:tc>
          <w:tcPr>
            <w:tcW w:w="8562" w:type="dxa"/>
            <w:tcBorders>
              <w:top w:val="nil"/>
              <w:left w:val="single" w:sz="4" w:space="0" w:color="D2DDE1" w:themeColor="background2"/>
              <w:bottom w:val="single" w:sz="4" w:space="0" w:color="D2DDE1" w:themeColor="background2"/>
              <w:right w:val="single" w:sz="4" w:space="0" w:color="D2DDE1" w:themeColor="background2"/>
            </w:tcBorders>
            <w:shd w:val="clear" w:color="auto" w:fill="D2DDE1" w:themeFill="background2"/>
          </w:tcPr>
          <w:p w14:paraId="1A49588D" w14:textId="1BD59495" w:rsidR="00121C24" w:rsidRPr="00F03917" w:rsidRDefault="3AA3B4A8">
            <w:pPr>
              <w:pStyle w:val="Boxtext"/>
              <w:spacing w:after="80"/>
            </w:pPr>
            <w:r w:rsidRPr="00F03917">
              <w:t xml:space="preserve">The </w:t>
            </w:r>
            <w:r w:rsidR="7573DED8" w:rsidRPr="00F03917">
              <w:t>dynamic adaptive pathways planning (</w:t>
            </w:r>
            <w:r w:rsidRPr="00F03917">
              <w:t>DAPP</w:t>
            </w:r>
            <w:r w:rsidR="3C9647F0" w:rsidRPr="00F03917">
              <w:t>)</w:t>
            </w:r>
            <w:r w:rsidRPr="00F03917">
              <w:t xml:space="preserve"> </w:t>
            </w:r>
            <w:r w:rsidRPr="00F03917" w:rsidDel="009E00F6">
              <w:t xml:space="preserve">approach </w:t>
            </w:r>
            <w:r w:rsidRPr="00F03917">
              <w:t xml:space="preserve">is a </w:t>
            </w:r>
            <w:r w:rsidR="027A4F07" w:rsidRPr="00F03917">
              <w:t xml:space="preserve">decision making under deep uncertainty (DMDU) </w:t>
            </w:r>
            <w:r w:rsidR="60E08248" w:rsidRPr="00F03917">
              <w:t xml:space="preserve">approach suitable for use in coastal settings </w:t>
            </w:r>
            <w:r w:rsidR="004B54EC" w:rsidRPr="00F03917">
              <w:t>where the rate and magnitude of changing risks are uncertain</w:t>
            </w:r>
            <w:r w:rsidR="19B27CE8" w:rsidRPr="00F03917">
              <w:t>.</w:t>
            </w:r>
          </w:p>
          <w:p w14:paraId="278B0807" w14:textId="30B324DC" w:rsidR="007E6E40" w:rsidRPr="00F03917" w:rsidRDefault="19B27CE8" w:rsidP="00E96CB6">
            <w:pPr>
              <w:pStyle w:val="Boxtext"/>
              <w:spacing w:before="100" w:after="80"/>
            </w:pPr>
            <w:r w:rsidRPr="00F03917">
              <w:t xml:space="preserve">DAPP enables the user to develop </w:t>
            </w:r>
            <w:r w:rsidR="0FE9D5AF" w:rsidRPr="00F03917">
              <w:t>short-term actions and long-term options. These are depicted visually</w:t>
            </w:r>
            <w:r w:rsidR="062744A6" w:rsidRPr="00F03917">
              <w:t xml:space="preserve"> as a series of alternative pathways that meet the user’s </w:t>
            </w:r>
            <w:r w:rsidR="3BE32B1B" w:rsidRPr="00F03917">
              <w:t>objectives</w:t>
            </w:r>
            <w:r w:rsidR="51C56AF2" w:rsidRPr="00F03917">
              <w:t>, for example,</w:t>
            </w:r>
            <w:r w:rsidR="006A220F" w:rsidRPr="00F03917" w:rsidDel="6521DC72">
              <w:t xml:space="preserve"> </w:t>
            </w:r>
            <w:r w:rsidR="6521DC72" w:rsidRPr="00F03917">
              <w:t xml:space="preserve">to reduce </w:t>
            </w:r>
            <w:r w:rsidR="214E6099" w:rsidRPr="00F03917">
              <w:t xml:space="preserve">risks from the changing climate and ongoing </w:t>
            </w:r>
            <w:r w:rsidR="0050472E" w:rsidRPr="00F03917">
              <w:t>sea-level rise (</w:t>
            </w:r>
            <w:r w:rsidR="214E6099" w:rsidRPr="00F03917">
              <w:t>SLR</w:t>
            </w:r>
            <w:r w:rsidR="4466155A" w:rsidRPr="00F03917">
              <w:t>)</w:t>
            </w:r>
            <w:r w:rsidR="214E6099" w:rsidRPr="00F03917">
              <w:t xml:space="preserve">. It does this through a </w:t>
            </w:r>
            <w:r w:rsidR="1D19E4C8" w:rsidRPr="00F03917">
              <w:t>step</w:t>
            </w:r>
            <w:r w:rsidR="1BE8BA89" w:rsidRPr="00F03917">
              <w:t>-</w:t>
            </w:r>
            <w:r w:rsidR="1D19E4C8" w:rsidRPr="00F03917">
              <w:t>wise process</w:t>
            </w:r>
            <w:r w:rsidR="5909D25A" w:rsidRPr="00F03917">
              <w:t xml:space="preserve"> that:</w:t>
            </w:r>
          </w:p>
          <w:p w14:paraId="71FF2B83" w14:textId="2CD60CA5" w:rsidR="00DE1317" w:rsidRPr="00F03917" w:rsidRDefault="00C051E2" w:rsidP="00CF4972">
            <w:pPr>
              <w:pStyle w:val="Boxbullet"/>
              <w:spacing w:after="80"/>
            </w:pPr>
            <w:r w:rsidRPr="00F03917">
              <w:t>identifies</w:t>
            </w:r>
            <w:r w:rsidR="00CA1F9C" w:rsidRPr="00F03917">
              <w:t xml:space="preserve"> objectives and thresholds to be avoided</w:t>
            </w:r>
          </w:p>
          <w:p w14:paraId="69F56CC9" w14:textId="37474318" w:rsidR="00CA1F9C" w:rsidRPr="00F03917" w:rsidRDefault="00C051E2" w:rsidP="00CF4972">
            <w:pPr>
              <w:pStyle w:val="Boxbullet"/>
              <w:spacing w:after="80"/>
            </w:pPr>
            <w:r w:rsidRPr="00F03917">
              <w:t>identifies</w:t>
            </w:r>
            <w:r w:rsidR="000C32F6" w:rsidRPr="00F03917">
              <w:t xml:space="preserve"> possible adaptation options and interlinked pathways</w:t>
            </w:r>
          </w:p>
          <w:p w14:paraId="12B0E19A" w14:textId="56F487CA" w:rsidR="000C32F6" w:rsidRPr="00F03917" w:rsidRDefault="526CB6A6" w:rsidP="00CF4972">
            <w:pPr>
              <w:pStyle w:val="Boxbullet"/>
              <w:spacing w:after="80"/>
            </w:pPr>
            <w:r w:rsidRPr="00F03917">
              <w:t>evaluates</w:t>
            </w:r>
            <w:r w:rsidR="61F53EBF" w:rsidRPr="00F03917">
              <w:t xml:space="preserve"> the options and pathways by ‘st</w:t>
            </w:r>
            <w:r w:rsidR="72DFFE66" w:rsidRPr="00F03917">
              <w:t>r</w:t>
            </w:r>
            <w:r w:rsidR="61F53EBF" w:rsidRPr="00F03917">
              <w:t xml:space="preserve">ess-testing’ them for their sensitivity to different future climate change conditions, using a range of future scenarios of </w:t>
            </w:r>
            <w:r w:rsidR="002B1799" w:rsidRPr="00F03917">
              <w:t>relative sea-level rise (</w:t>
            </w:r>
            <w:r w:rsidR="00145D81" w:rsidRPr="00F03917">
              <w:t>R</w:t>
            </w:r>
            <w:r w:rsidR="61F53EBF" w:rsidRPr="00F03917">
              <w:t>SLR</w:t>
            </w:r>
            <w:r w:rsidR="002B1799" w:rsidRPr="00F03917">
              <w:t>)</w:t>
            </w:r>
            <w:r w:rsidR="61F53EBF" w:rsidRPr="00F03917">
              <w:t xml:space="preserve"> increments (</w:t>
            </w:r>
            <w:hyperlink w:anchor="_Step_6:_Evaluate" w:history="1">
              <w:r w:rsidR="468A97BE" w:rsidRPr="00F03917">
                <w:rPr>
                  <w:rStyle w:val="Hyperlink"/>
                </w:rPr>
                <w:t>s</w:t>
              </w:r>
              <w:r w:rsidR="000C32F6" w:rsidRPr="00F03917">
                <w:rPr>
                  <w:rStyle w:val="Hyperlink"/>
                </w:rPr>
                <w:t>tep</w:t>
              </w:r>
              <w:r w:rsidR="61F53EBF" w:rsidRPr="00F03917">
                <w:rPr>
                  <w:rStyle w:val="Hyperlink"/>
                </w:rPr>
                <w:t xml:space="preserve"> 6</w:t>
              </w:r>
            </w:hyperlink>
            <w:r w:rsidR="61F53EBF" w:rsidRPr="00F03917">
              <w:t>)</w:t>
            </w:r>
            <w:r w:rsidR="076C8635" w:rsidRPr="00F03917">
              <w:t xml:space="preserve"> and other uncertainty assessment tools (</w:t>
            </w:r>
            <w:hyperlink w:anchor="_10_Adaptive_planning" w:history="1">
              <w:r w:rsidR="5172D5BC" w:rsidRPr="00F03917">
                <w:rPr>
                  <w:rStyle w:val="Hyperlink"/>
                </w:rPr>
                <w:t>s</w:t>
              </w:r>
              <w:r w:rsidR="006B6C4B" w:rsidRPr="00F03917">
                <w:rPr>
                  <w:rStyle w:val="Hyperlink"/>
                </w:rPr>
                <w:t>tep</w:t>
              </w:r>
              <w:r w:rsidR="076C8635" w:rsidRPr="00F03917">
                <w:rPr>
                  <w:rStyle w:val="Hyperlink"/>
                </w:rPr>
                <w:t xml:space="preserve"> 7</w:t>
              </w:r>
            </w:hyperlink>
            <w:r w:rsidR="076C8635" w:rsidRPr="00F03917">
              <w:t>)</w:t>
            </w:r>
          </w:p>
          <w:p w14:paraId="31D2CCD8" w14:textId="4A6F33DA" w:rsidR="006B6C4B" w:rsidRPr="00F03917" w:rsidRDefault="526CB6A6" w:rsidP="00CF4972">
            <w:pPr>
              <w:pStyle w:val="Boxbullet"/>
              <w:spacing w:after="80"/>
            </w:pPr>
            <w:r w:rsidRPr="00F03917">
              <w:t>develop</w:t>
            </w:r>
            <w:r w:rsidR="005401B5" w:rsidRPr="00F03917">
              <w:t>s</w:t>
            </w:r>
            <w:r w:rsidR="076C8635" w:rsidRPr="00F03917" w:rsidDel="005401B5">
              <w:t xml:space="preserve"> </w:t>
            </w:r>
            <w:r w:rsidR="0064137D" w:rsidRPr="00F03917">
              <w:t>an adaptive strategy with</w:t>
            </w:r>
            <w:r w:rsidR="076C8635" w:rsidRPr="00F03917" w:rsidDel="005401B5">
              <w:t xml:space="preserve"> </w:t>
            </w:r>
            <w:r w:rsidR="076C8635" w:rsidRPr="00F03917">
              <w:t xml:space="preserve">signals and triggers </w:t>
            </w:r>
            <w:r w:rsidR="0020341C" w:rsidRPr="00F03917">
              <w:t>that</w:t>
            </w:r>
            <w:r w:rsidR="076C8635" w:rsidRPr="00F03917">
              <w:t xml:space="preserve"> can be monitored for change</w:t>
            </w:r>
            <w:r w:rsidR="00166542" w:rsidRPr="00F03917">
              <w:t>, and measures for implementing it</w:t>
            </w:r>
          </w:p>
          <w:p w14:paraId="1250C7D1" w14:textId="01C043D8" w:rsidR="006B6C4B" w:rsidRPr="00F03917" w:rsidRDefault="526CB6A6" w:rsidP="00CF4972">
            <w:pPr>
              <w:pStyle w:val="Boxbullet"/>
              <w:spacing w:after="80"/>
            </w:pPr>
            <w:r w:rsidRPr="00F03917">
              <w:t>develop</w:t>
            </w:r>
            <w:r w:rsidR="005401B5" w:rsidRPr="00F03917">
              <w:t>s</w:t>
            </w:r>
            <w:r w:rsidR="076C8635" w:rsidRPr="00F03917" w:rsidDel="005401B5">
              <w:t xml:space="preserve"> </w:t>
            </w:r>
            <w:r w:rsidR="076C8635" w:rsidRPr="00F03917">
              <w:t>a monitoring strategy with indicators</w:t>
            </w:r>
            <w:r w:rsidR="39677A25" w:rsidRPr="00F03917">
              <w:t xml:space="preserve"> to track that give lead time to review changes in impacts and objectives, and to change options or pathways with lead time before the threshold is reached (</w:t>
            </w:r>
            <w:hyperlink w:anchor="_Step_9:_Monitor" w:history="1">
              <w:r w:rsidR="22FF6857" w:rsidRPr="00F03917">
                <w:rPr>
                  <w:rStyle w:val="Hyperlink"/>
                </w:rPr>
                <w:t>s</w:t>
              </w:r>
              <w:r w:rsidR="008C754B" w:rsidRPr="00F03917">
                <w:rPr>
                  <w:rStyle w:val="Hyperlink"/>
                </w:rPr>
                <w:t>tep</w:t>
              </w:r>
              <w:r w:rsidR="39677A25" w:rsidRPr="00F03917">
                <w:rPr>
                  <w:rStyle w:val="Hyperlink"/>
                </w:rPr>
                <w:t xml:space="preserve"> 9</w:t>
              </w:r>
            </w:hyperlink>
            <w:r w:rsidR="39677A25" w:rsidRPr="00F03917">
              <w:t>)</w:t>
            </w:r>
            <w:r w:rsidR="16065647" w:rsidRPr="00F03917">
              <w:t>.</w:t>
            </w:r>
          </w:p>
          <w:p w14:paraId="3F6A97EE" w14:textId="7880A9BB" w:rsidR="00121C24" w:rsidRPr="00F03917" w:rsidRDefault="008C754B" w:rsidP="00E96CB6">
            <w:pPr>
              <w:pStyle w:val="Boxtext"/>
              <w:spacing w:before="100" w:after="180"/>
            </w:pPr>
            <w:r w:rsidRPr="00F03917">
              <w:t xml:space="preserve">DAPP </w:t>
            </w:r>
            <w:r w:rsidR="00CD0541" w:rsidRPr="00F03917">
              <w:t>prevents</w:t>
            </w:r>
            <w:r w:rsidR="27D2FBEC" w:rsidRPr="00F03917">
              <w:t xml:space="preserve"> having to preselect upfront a specific climate change </w:t>
            </w:r>
            <w:r w:rsidR="00CE2B57" w:rsidRPr="00F03917">
              <w:t xml:space="preserve">scenario </w:t>
            </w:r>
            <w:r w:rsidR="27D2FBEC" w:rsidRPr="00F03917">
              <w:t xml:space="preserve">or </w:t>
            </w:r>
            <w:r w:rsidR="00145D81" w:rsidRPr="00F03917">
              <w:t>RSLR projection</w:t>
            </w:r>
            <w:r w:rsidR="27D2FBEC" w:rsidRPr="00F03917">
              <w:t xml:space="preserve">, compared with a conventional ‘predict-then-act’ single investment approach. </w:t>
            </w:r>
            <w:r w:rsidR="29055B60" w:rsidRPr="00F03917">
              <w:t>DA</w:t>
            </w:r>
            <w:r w:rsidR="211B4857" w:rsidRPr="00F03917">
              <w:t>P</w:t>
            </w:r>
            <w:r w:rsidR="29055B60" w:rsidRPr="00F03917">
              <w:t>P</w:t>
            </w:r>
            <w:r w:rsidR="00CF4972" w:rsidRPr="00F03917">
              <w:t> </w:t>
            </w:r>
            <w:r w:rsidR="27D2FBEC" w:rsidRPr="00F03917">
              <w:t xml:space="preserve">is an approach that enables </w:t>
            </w:r>
            <w:r w:rsidR="31F14052" w:rsidRPr="00F03917">
              <w:t>decisions to be made without delaying decisions until uncertainties are reduced (if they can be). DAPP also enables better informed decisions in crisis situations that can otherwise result in maladaptive outcomes</w:t>
            </w:r>
            <w:r w:rsidR="2234DC11" w:rsidRPr="00F03917">
              <w:t xml:space="preserve"> that increase exposure or vulnerability. DAPP is typically used alongside</w:t>
            </w:r>
            <w:r w:rsidR="3DD5B876" w:rsidRPr="00F03917">
              <w:t xml:space="preserve"> other</w:t>
            </w:r>
            <w:r w:rsidR="2234DC11" w:rsidRPr="00F03917">
              <w:t xml:space="preserve"> DMDU</w:t>
            </w:r>
            <w:r w:rsidR="37752683" w:rsidRPr="00F03917">
              <w:t xml:space="preserve"> evaluation tools (</w:t>
            </w:r>
            <w:hyperlink w:anchor="_Step_6:_Evaluate" w:history="1">
              <w:r w:rsidR="430BD0E8" w:rsidRPr="00F03917">
                <w:rPr>
                  <w:rStyle w:val="Hyperlink"/>
                </w:rPr>
                <w:t>s</w:t>
              </w:r>
              <w:r w:rsidR="00C20042" w:rsidRPr="00F03917">
                <w:rPr>
                  <w:rStyle w:val="Hyperlink"/>
                </w:rPr>
                <w:t>tep</w:t>
              </w:r>
              <w:r w:rsidR="37752683" w:rsidRPr="00F03917">
                <w:rPr>
                  <w:rStyle w:val="Hyperlink"/>
                </w:rPr>
                <w:t xml:space="preserve"> 6</w:t>
              </w:r>
            </w:hyperlink>
            <w:r w:rsidR="37752683" w:rsidRPr="00F03917">
              <w:t>) and</w:t>
            </w:r>
            <w:r w:rsidR="253B656D" w:rsidRPr="00F03917">
              <w:t xml:space="preserve"> can be used at any scale.</w:t>
            </w:r>
          </w:p>
        </w:tc>
      </w:tr>
    </w:tbl>
    <w:p w14:paraId="4DB40142" w14:textId="3A6DCA6C" w:rsidR="002943CB" w:rsidRPr="00F03917" w:rsidRDefault="008825CC" w:rsidP="002623E4">
      <w:pPr>
        <w:pStyle w:val="Heading4"/>
        <w:spacing w:before="360" w:after="80"/>
      </w:pPr>
      <w:bookmarkStart w:id="150" w:name="_9.3.1_Decide_objectives"/>
      <w:bookmarkEnd w:id="150"/>
      <w:r w:rsidRPr="00F03917">
        <w:t>O</w:t>
      </w:r>
      <w:r w:rsidR="009F1522" w:rsidRPr="00F03917">
        <w:t>ptions</w:t>
      </w:r>
      <w:r w:rsidRPr="00F03917">
        <w:t xml:space="preserve"> to consider</w:t>
      </w:r>
    </w:p>
    <w:p w14:paraId="112EADCD" w14:textId="5AFB2B4C" w:rsidR="6B9ED782" w:rsidRPr="00F03917" w:rsidRDefault="0072149E" w:rsidP="00595560">
      <w:pPr>
        <w:pStyle w:val="BodyText"/>
      </w:pPr>
      <w:r w:rsidRPr="00F03917">
        <w:t>S</w:t>
      </w:r>
      <w:r w:rsidR="00764E48" w:rsidRPr="00F03917">
        <w:t>everal</w:t>
      </w:r>
      <w:r w:rsidR="00210826" w:rsidRPr="00F03917">
        <w:t xml:space="preserve"> </w:t>
      </w:r>
      <w:r w:rsidR="00D97FA0" w:rsidRPr="00F03917">
        <w:t xml:space="preserve">types of </w:t>
      </w:r>
      <w:r w:rsidR="00FA6375" w:rsidRPr="00F03917">
        <w:t xml:space="preserve">adaptation </w:t>
      </w:r>
      <w:r w:rsidR="6B9ED782" w:rsidRPr="00F03917">
        <w:t>options</w:t>
      </w:r>
      <w:r w:rsidR="0040494E" w:rsidRPr="00F03917">
        <w:t xml:space="preserve"> </w:t>
      </w:r>
      <w:r w:rsidRPr="00F03917">
        <w:t xml:space="preserve">are </w:t>
      </w:r>
      <w:r w:rsidR="0040494E" w:rsidRPr="00F03917">
        <w:t>available</w:t>
      </w:r>
      <w:r w:rsidR="6B9ED782" w:rsidRPr="00F03917">
        <w:t xml:space="preserve"> for adapting to coastal hazards and climate change</w:t>
      </w:r>
      <w:r w:rsidR="00822A70" w:rsidRPr="00F03917">
        <w:rPr>
          <w:rStyle w:val="FootnoteReference"/>
        </w:rPr>
        <w:footnoteReference w:id="83"/>
      </w:r>
      <w:r w:rsidR="6B9ED782" w:rsidRPr="00F03917">
        <w:t xml:space="preserve"> (</w:t>
      </w:r>
      <w:hyperlink w:anchor="figure5" w:history="1">
        <w:r w:rsidR="4E44A514" w:rsidRPr="00F03917">
          <w:rPr>
            <w:rStyle w:val="Hyperlink"/>
          </w:rPr>
          <w:t>f</w:t>
        </w:r>
        <w:r w:rsidR="6B9ED782" w:rsidRPr="00F03917">
          <w:rPr>
            <w:rStyle w:val="Hyperlink"/>
          </w:rPr>
          <w:t xml:space="preserve">igure </w:t>
        </w:r>
        <w:r w:rsidR="00FF3909" w:rsidRPr="00F03917">
          <w:rPr>
            <w:rStyle w:val="Hyperlink"/>
          </w:rPr>
          <w:t>5</w:t>
        </w:r>
      </w:hyperlink>
      <w:r w:rsidR="6B9ED782" w:rsidRPr="00F03917">
        <w:t>)</w:t>
      </w:r>
      <w:r w:rsidR="004F16AA" w:rsidRPr="00F03917">
        <w:t>. These</w:t>
      </w:r>
      <w:r w:rsidR="0040494E" w:rsidRPr="00F03917">
        <w:t xml:space="preserve"> </w:t>
      </w:r>
      <w:r w:rsidR="00A7340F" w:rsidRPr="00F03917">
        <w:t xml:space="preserve">adaptation </w:t>
      </w:r>
      <w:r w:rsidR="00896149" w:rsidRPr="00F03917">
        <w:t>option</w:t>
      </w:r>
      <w:r w:rsidR="00A7340F" w:rsidRPr="00F03917">
        <w:t>s</w:t>
      </w:r>
      <w:r w:rsidR="00050493" w:rsidRPr="00F03917">
        <w:t xml:space="preserve"> include</w:t>
      </w:r>
      <w:r w:rsidR="00926A96" w:rsidRPr="00F03917">
        <w:t xml:space="preserve"> the following.</w:t>
      </w:r>
    </w:p>
    <w:p w14:paraId="17BCA2C6" w14:textId="2DAA51C0" w:rsidR="5BA48443" w:rsidRPr="00F03917" w:rsidRDefault="6B9ED782" w:rsidP="00174F6E">
      <w:pPr>
        <w:pStyle w:val="BulletFIX"/>
      </w:pPr>
      <w:r w:rsidRPr="00F03917">
        <w:rPr>
          <w:b/>
          <w:bCs/>
        </w:rPr>
        <w:t>Avoid</w:t>
      </w:r>
      <w:r w:rsidR="0072149E" w:rsidRPr="00F03917">
        <w:rPr>
          <w:b/>
          <w:bCs/>
        </w:rPr>
        <w:t>:</w:t>
      </w:r>
      <w:r w:rsidRPr="00F03917">
        <w:t xml:space="preserve"> </w:t>
      </w:r>
      <w:r w:rsidR="00B040AD" w:rsidRPr="00F03917">
        <w:t>S</w:t>
      </w:r>
      <w:r w:rsidRPr="00F03917">
        <w:t>top</w:t>
      </w:r>
      <w:r w:rsidRPr="00F03917" w:rsidDel="00B040AD">
        <w:t xml:space="preserve"> </w:t>
      </w:r>
      <w:r w:rsidRPr="00F03917">
        <w:t xml:space="preserve">people and assets </w:t>
      </w:r>
      <w:r w:rsidR="00B040AD" w:rsidRPr="00F03917">
        <w:t xml:space="preserve">being </w:t>
      </w:r>
      <w:r w:rsidR="00FE3908" w:rsidRPr="00F03917">
        <w:t>put</w:t>
      </w:r>
      <w:r w:rsidR="00B040AD" w:rsidRPr="00F03917">
        <w:t xml:space="preserve"> in high</w:t>
      </w:r>
      <w:r w:rsidR="0072149E" w:rsidRPr="00F03917">
        <w:t>-</w:t>
      </w:r>
      <w:r w:rsidR="00B040AD" w:rsidRPr="00F03917">
        <w:t>risk locations</w:t>
      </w:r>
      <w:r w:rsidR="00FE3908" w:rsidRPr="00F03917">
        <w:t xml:space="preserve">. </w:t>
      </w:r>
      <w:r w:rsidR="009A1C7E" w:rsidRPr="00F03917">
        <w:t>It p</w:t>
      </w:r>
      <w:r w:rsidRPr="00F03917">
        <w:t>rimarily us</w:t>
      </w:r>
      <w:r w:rsidR="009A1C7E" w:rsidRPr="00F03917">
        <w:t>es</w:t>
      </w:r>
      <w:r w:rsidRPr="00F03917">
        <w:t xml:space="preserve"> land</w:t>
      </w:r>
      <w:r w:rsidR="00DC65DB" w:rsidRPr="00F03917">
        <w:noBreakHyphen/>
      </w:r>
      <w:r w:rsidRPr="00F03917">
        <w:t>use planning measures, spatial planning and adaptive management of assets</w:t>
      </w:r>
      <w:r w:rsidR="01DCE0DF" w:rsidRPr="00F03917">
        <w:t xml:space="preserve"> and</w:t>
      </w:r>
      <w:r w:rsidR="00DC65DB" w:rsidRPr="00F03917">
        <w:t> </w:t>
      </w:r>
      <w:r w:rsidRPr="00F03917">
        <w:t xml:space="preserve">services. </w:t>
      </w:r>
    </w:p>
    <w:p w14:paraId="27797824" w14:textId="225A5114" w:rsidR="5BA48443" w:rsidRPr="00F03917" w:rsidRDefault="6B9ED782" w:rsidP="00174F6E">
      <w:pPr>
        <w:pStyle w:val="BulletFIX"/>
      </w:pPr>
      <w:r w:rsidRPr="00F03917">
        <w:rPr>
          <w:b/>
        </w:rPr>
        <w:t>Accommodate:</w:t>
      </w:r>
      <w:r w:rsidRPr="00F03917">
        <w:t xml:space="preserve"> </w:t>
      </w:r>
      <w:r w:rsidR="007F5353" w:rsidRPr="00F03917">
        <w:t>Stay in place and make changes to buildings and infrastructure to improve resilience and work around the increasing risk.</w:t>
      </w:r>
      <w:r w:rsidR="007F5353" w:rsidRPr="00F03917">
        <w:rPr>
          <w:i/>
        </w:rPr>
        <w:t xml:space="preserve"> </w:t>
      </w:r>
      <w:r w:rsidR="009631F9" w:rsidRPr="00F03917">
        <w:t>F</w:t>
      </w:r>
      <w:r w:rsidR="57432624" w:rsidRPr="00F03917">
        <w:t>or example</w:t>
      </w:r>
      <w:r w:rsidRPr="00F03917">
        <w:t xml:space="preserve">, raising floor levels or roads, </w:t>
      </w:r>
      <w:r w:rsidR="00DB7317" w:rsidRPr="00F03917">
        <w:t xml:space="preserve">building </w:t>
      </w:r>
      <w:r w:rsidRPr="00F03917">
        <w:t xml:space="preserve">relocatable houses, setting minimum build levels, </w:t>
      </w:r>
      <w:r w:rsidR="00E3767A" w:rsidRPr="00F03917">
        <w:t xml:space="preserve">and </w:t>
      </w:r>
      <w:r w:rsidRPr="00F03917">
        <w:t>providing alternative inundation flow paths</w:t>
      </w:r>
      <w:r w:rsidR="00B4517F" w:rsidRPr="00F03917">
        <w:t>.</w:t>
      </w:r>
      <w:r w:rsidRPr="00F03917">
        <w:t xml:space="preserve"> </w:t>
      </w:r>
      <w:r w:rsidR="00B4517F" w:rsidRPr="00F03917">
        <w:t>P</w:t>
      </w:r>
      <w:r w:rsidRPr="00F03917">
        <w:t xml:space="preserve">rovide room for beach or shoreline change processes and ponding of intertidal areas further inland. </w:t>
      </w:r>
    </w:p>
    <w:p w14:paraId="6E5EE09E" w14:textId="033F5830" w:rsidR="5BA48443" w:rsidRPr="00F03917" w:rsidRDefault="6B9ED782" w:rsidP="00174F6E">
      <w:pPr>
        <w:pStyle w:val="BulletFIX"/>
        <w:rPr>
          <w:color w:val="000000" w:themeColor="text1"/>
        </w:rPr>
      </w:pPr>
      <w:r w:rsidRPr="00F03917">
        <w:rPr>
          <w:b/>
          <w:bCs/>
        </w:rPr>
        <w:t>Protect:</w:t>
      </w:r>
      <w:r w:rsidRPr="00F03917">
        <w:t xml:space="preserve"> </w:t>
      </w:r>
      <w:r w:rsidR="00272A0B" w:rsidRPr="00F03917">
        <w:t>Stay in place and</w:t>
      </w:r>
      <w:r w:rsidRPr="00F03917">
        <w:t xml:space="preserve"> manage the hazard by defending the shoreline</w:t>
      </w:r>
      <w:r w:rsidR="00272A0B" w:rsidRPr="00F03917">
        <w:t>.</w:t>
      </w:r>
      <w:r w:rsidR="7C3442FB" w:rsidRPr="00F03917">
        <w:t xml:space="preserve"> </w:t>
      </w:r>
      <w:r w:rsidR="00272A0B" w:rsidRPr="00F03917">
        <w:t>F</w:t>
      </w:r>
      <w:r w:rsidR="7C3442FB" w:rsidRPr="00F03917">
        <w:t>or example</w:t>
      </w:r>
      <w:r w:rsidRPr="00F03917">
        <w:t>, maintaining or enhancing natural buffers (dunes</w:t>
      </w:r>
      <w:r w:rsidR="00B4517F" w:rsidRPr="00F03917">
        <w:t>, estuaries</w:t>
      </w:r>
      <w:r w:rsidR="00263D54" w:rsidRPr="00F03917">
        <w:t>;</w:t>
      </w:r>
      <w:r w:rsidR="00390163" w:rsidRPr="00F03917">
        <w:t xml:space="preserve"> see </w:t>
      </w:r>
      <w:hyperlink w:anchor="box12" w:history="1">
        <w:r w:rsidR="00390163" w:rsidRPr="00F03917">
          <w:rPr>
            <w:rStyle w:val="Hyperlink"/>
          </w:rPr>
          <w:t xml:space="preserve">box </w:t>
        </w:r>
        <w:r w:rsidR="00AF289D" w:rsidRPr="00F03917">
          <w:rPr>
            <w:rStyle w:val="Hyperlink"/>
          </w:rPr>
          <w:t>1</w:t>
        </w:r>
        <w:r w:rsidR="000C34C2" w:rsidRPr="00F03917">
          <w:rPr>
            <w:rStyle w:val="Hyperlink"/>
          </w:rPr>
          <w:t>2</w:t>
        </w:r>
      </w:hyperlink>
      <w:r w:rsidRPr="00F03917">
        <w:t>), hard structures (seawalls, rock revetments</w:t>
      </w:r>
      <w:r w:rsidR="006D4F6D" w:rsidRPr="00F03917">
        <w:rPr>
          <w:rStyle w:val="FootnoteReference"/>
        </w:rPr>
        <w:footnoteReference w:id="84"/>
      </w:r>
      <w:r w:rsidR="00A51C35" w:rsidRPr="00F03917">
        <w:t>),</w:t>
      </w:r>
      <w:r w:rsidRPr="00F03917">
        <w:t xml:space="preserve"> soft engineering (renourishment, geotextile sand tubes), tidal gates, pumps, planting vegetation to support land accretion. </w:t>
      </w:r>
    </w:p>
    <w:p w14:paraId="55FAFED9" w14:textId="16C76449" w:rsidR="5BA48443" w:rsidRPr="00F03917" w:rsidRDefault="6B9ED782" w:rsidP="00595560">
      <w:pPr>
        <w:pStyle w:val="BulletFIX"/>
      </w:pPr>
      <w:r w:rsidRPr="00F03917">
        <w:rPr>
          <w:b/>
        </w:rPr>
        <w:lastRenderedPageBreak/>
        <w:t xml:space="preserve">Retreat: </w:t>
      </w:r>
      <w:r w:rsidR="00F138DD" w:rsidRPr="00F03917">
        <w:t>P</w:t>
      </w:r>
      <w:r w:rsidRPr="00F03917">
        <w:t>ermanent remov</w:t>
      </w:r>
      <w:r w:rsidR="00F138DD" w:rsidRPr="00F03917">
        <w:t>al</w:t>
      </w:r>
      <w:r w:rsidRPr="00F03917">
        <w:t xml:space="preserve"> or relocat</w:t>
      </w:r>
      <w:r w:rsidR="00F138DD" w:rsidRPr="00F03917">
        <w:t>ion</w:t>
      </w:r>
      <w:r w:rsidR="000432AA" w:rsidRPr="00F03917">
        <w:t xml:space="preserve"> of</w:t>
      </w:r>
      <w:r w:rsidRPr="00F03917">
        <w:t xml:space="preserve"> existing habitation (people and buildings), assets and services from the coast in a planned, staged and managed </w:t>
      </w:r>
      <w:r w:rsidR="00762824" w:rsidRPr="00F03917">
        <w:t>approach</w:t>
      </w:r>
      <w:r w:rsidRPr="00F03917">
        <w:t xml:space="preserve"> over time. Also applies to ‘managed realignment’ by deliberate breaching or</w:t>
      </w:r>
      <w:r w:rsidR="00DC65DB" w:rsidRPr="00F03917">
        <w:t> </w:t>
      </w:r>
      <w:r w:rsidRPr="00F03917">
        <w:t>removal of causeways or flood banks to allow wetlands and marshes to migrate further inland (Allan et al, 2023).</w:t>
      </w:r>
    </w:p>
    <w:p w14:paraId="245E6BB5" w14:textId="387CA49E" w:rsidR="00372477" w:rsidRPr="00F03917" w:rsidRDefault="006B34DB" w:rsidP="00CF4972">
      <w:pPr>
        <w:pStyle w:val="BodyText"/>
      </w:pPr>
      <w:r w:rsidRPr="00F03917">
        <w:t>Each type of adaptation option has different lif</w:t>
      </w:r>
      <w:r w:rsidR="0086006F" w:rsidRPr="00F03917">
        <w:t xml:space="preserve">etimes and will have different performance limits. </w:t>
      </w:r>
      <w:r w:rsidR="00254850" w:rsidRPr="00F03917">
        <w:t>In general</w:t>
      </w:r>
      <w:r w:rsidR="00BE1CF8" w:rsidRPr="00F03917">
        <w:t>,</w:t>
      </w:r>
      <w:r w:rsidR="00254850" w:rsidRPr="00F03917">
        <w:t xml:space="preserve"> a</w:t>
      </w:r>
      <w:r w:rsidR="00372477" w:rsidRPr="00F03917">
        <w:t>voidance strategies should be considered first in coastal settings, to ensure</w:t>
      </w:r>
      <w:r w:rsidR="00DC65DB" w:rsidRPr="00F03917">
        <w:t> </w:t>
      </w:r>
      <w:r w:rsidR="00372477" w:rsidRPr="00F03917">
        <w:t>that protect and accommodate options do not become the default approach without consideration of the known ongoing and progressive risk from SLR and storm surge.</w:t>
      </w:r>
      <w:r w:rsidR="005D3E54" w:rsidRPr="00F03917">
        <w:t xml:space="preserve"> Only avoidance and retreat strategies provide permanent reduction of risk.</w:t>
      </w:r>
    </w:p>
    <w:p w14:paraId="496BC788" w14:textId="6749692A" w:rsidR="00BC2E1F" w:rsidRPr="00F03917" w:rsidRDefault="00372477" w:rsidP="00CF4972">
      <w:pPr>
        <w:pStyle w:val="BodyText"/>
        <w:rPr>
          <w:rFonts w:eastAsia="Calibri" w:cs="Calibri"/>
          <w:color w:val="000000" w:themeColor="text1"/>
        </w:rPr>
      </w:pPr>
      <w:r w:rsidRPr="00F03917">
        <w:t xml:space="preserve">In practice, a suite of options should be considered and the option chosen </w:t>
      </w:r>
      <w:r w:rsidR="00940AD5" w:rsidRPr="00F03917">
        <w:t xml:space="preserve">should </w:t>
      </w:r>
      <w:r w:rsidRPr="00F03917">
        <w:t>depend on the</w:t>
      </w:r>
      <w:r w:rsidR="00DC65DB" w:rsidRPr="00F03917">
        <w:t> </w:t>
      </w:r>
      <w:r w:rsidRPr="00F03917">
        <w:t>local circumstances</w:t>
      </w:r>
      <w:r w:rsidR="00AA054D" w:rsidRPr="00F03917">
        <w:t>.</w:t>
      </w:r>
      <w:r w:rsidRPr="00F03917">
        <w:t xml:space="preserve"> </w:t>
      </w:r>
      <w:r w:rsidR="00AA054D" w:rsidRPr="00F03917">
        <w:t>F</w:t>
      </w:r>
      <w:r w:rsidR="00254850" w:rsidRPr="00F03917">
        <w:t>or example, in areas of significant existing development</w:t>
      </w:r>
      <w:r w:rsidR="005E002F" w:rsidRPr="00F03917">
        <w:t xml:space="preserve"> </w:t>
      </w:r>
      <w:r w:rsidR="003D729C" w:rsidRPr="00F03917">
        <w:t>a range of</w:t>
      </w:r>
      <w:r w:rsidR="005E002F" w:rsidRPr="00F03917">
        <w:t xml:space="preserve"> options to reduce risk </w:t>
      </w:r>
      <w:r w:rsidR="00E0371F" w:rsidRPr="00F03917">
        <w:t>should be assessed</w:t>
      </w:r>
      <w:r w:rsidR="001760C1" w:rsidRPr="00F03917">
        <w:t>.</w:t>
      </w:r>
      <w:r w:rsidR="007C4D9C" w:rsidRPr="00F03917">
        <w:rPr>
          <w:rStyle w:val="FootnoteReference"/>
        </w:rPr>
        <w:footnoteReference w:id="85"/>
      </w:r>
      <w:r w:rsidR="005009C7" w:rsidRPr="00F03917">
        <w:t xml:space="preserve"> </w:t>
      </w:r>
      <w:r w:rsidR="6784697E" w:rsidRPr="00F03917">
        <w:t>Considering which types of options to use will depend on whether an existing development or a new development is being considered. For example:</w:t>
      </w:r>
    </w:p>
    <w:p w14:paraId="25C6E14C" w14:textId="11B0BC63" w:rsidR="00BC2E1F" w:rsidRPr="00F03917" w:rsidRDefault="6784697E" w:rsidP="00174F6E">
      <w:pPr>
        <w:pStyle w:val="BulletFIX"/>
        <w:rPr>
          <w:rFonts w:eastAsia="Calibri" w:cs="Calibri"/>
          <w:color w:val="000000" w:themeColor="text1"/>
        </w:rPr>
      </w:pPr>
      <w:r w:rsidRPr="00F03917">
        <w:t>maintaining the current level of development (</w:t>
      </w:r>
      <w:r w:rsidR="5EEDC57E" w:rsidRPr="00F03917">
        <w:t>ie</w:t>
      </w:r>
      <w:r w:rsidR="44306F65" w:rsidRPr="00F03917">
        <w:t>,</w:t>
      </w:r>
      <w:r w:rsidRPr="00F03917">
        <w:t xml:space="preserve"> no further development or intensification)</w:t>
      </w:r>
    </w:p>
    <w:p w14:paraId="7699DE21" w14:textId="2F2706F9" w:rsidR="00BC2E1F" w:rsidRPr="00F03917" w:rsidRDefault="6784697E" w:rsidP="00174F6E">
      <w:pPr>
        <w:pStyle w:val="BulletFIX"/>
        <w:rPr>
          <w:rFonts w:eastAsia="Calibri" w:cs="Calibri"/>
          <w:color w:val="000000" w:themeColor="text1"/>
          <w:szCs w:val="22"/>
        </w:rPr>
      </w:pPr>
      <w:r w:rsidRPr="00F03917">
        <w:t xml:space="preserve">preparing for retreat </w:t>
      </w:r>
    </w:p>
    <w:p w14:paraId="69541155" w14:textId="78EE9F68" w:rsidR="00BC2E1F" w:rsidRPr="00F03917" w:rsidRDefault="6784697E" w:rsidP="00174F6E">
      <w:pPr>
        <w:pStyle w:val="BulletFIX"/>
        <w:rPr>
          <w:rFonts w:eastAsia="Calibri" w:cs="Calibri"/>
          <w:color w:val="000000" w:themeColor="text1"/>
        </w:rPr>
      </w:pPr>
      <w:r w:rsidRPr="00F03917">
        <w:t xml:space="preserve">protecting the area for longer (assuming the protection is already in place and that retreat or alternative protection are options at some point in the future) </w:t>
      </w:r>
    </w:p>
    <w:p w14:paraId="6A6AD5D2" w14:textId="5CC5D1AF" w:rsidR="00BC2E1F" w:rsidRPr="00F03917" w:rsidRDefault="005170B6" w:rsidP="00174F6E">
      <w:pPr>
        <w:pStyle w:val="BulletFIX"/>
        <w:rPr>
          <w:rFonts w:eastAsia="Calibri" w:cs="Calibri"/>
          <w:color w:val="000000" w:themeColor="text1"/>
        </w:rPr>
      </w:pPr>
      <w:r w:rsidRPr="00F03917">
        <w:t xml:space="preserve">or </w:t>
      </w:r>
      <w:r w:rsidR="6784697E" w:rsidRPr="00F03917">
        <w:t>combinations and intermediate options within this range across the different types.</w:t>
      </w:r>
      <w:r w:rsidR="6784697E" w:rsidRPr="00F03917">
        <w:rPr>
          <w:rFonts w:eastAsiaTheme="minorEastAsia"/>
        </w:rPr>
        <w:t xml:space="preserve"> </w:t>
      </w:r>
    </w:p>
    <w:p w14:paraId="7A9281C4" w14:textId="4597D6D8" w:rsidR="00BC2E1F" w:rsidRPr="00F03917" w:rsidRDefault="00BC2E1F" w:rsidP="00216560">
      <w:pPr>
        <w:pStyle w:val="BodyText"/>
      </w:pPr>
      <w:bookmarkStart w:id="151" w:name="_bookmark0"/>
      <w:bookmarkEnd w:id="151"/>
      <w:r w:rsidRPr="00F03917">
        <w:t xml:space="preserve">Consider the adequacy of infrastructure </w:t>
      </w:r>
      <w:r w:rsidR="110257A4" w:rsidRPr="00F03917">
        <w:t xml:space="preserve">as conditions change </w:t>
      </w:r>
      <w:r w:rsidRPr="00F03917">
        <w:t xml:space="preserve">over </w:t>
      </w:r>
      <w:r w:rsidR="0AF78E60" w:rsidRPr="00F03917">
        <w:t>its life</w:t>
      </w:r>
      <w:r w:rsidRPr="00F03917">
        <w:t>time</w:t>
      </w:r>
      <w:r w:rsidR="00B05E1B" w:rsidRPr="00F03917">
        <w:t xml:space="preserve">, </w:t>
      </w:r>
      <w:r w:rsidR="1E37C307" w:rsidRPr="00F03917">
        <w:t>for example,</w:t>
      </w:r>
      <w:r w:rsidR="00B05E1B" w:rsidRPr="00F03917">
        <w:t xml:space="preserve"> water, wastewater and stormwater services, above</w:t>
      </w:r>
      <w:r w:rsidR="0070A12C" w:rsidRPr="00F03917">
        <w:t>-</w:t>
      </w:r>
      <w:r w:rsidR="00B05E1B" w:rsidRPr="00F03917">
        <w:t>ground utilities and national and local roads. These will</w:t>
      </w:r>
      <w:r w:rsidRPr="00F03917">
        <w:t xml:space="preserve"> require separate evaluation</w:t>
      </w:r>
      <w:r w:rsidR="6B42F637" w:rsidRPr="00F03917">
        <w:t>.</w:t>
      </w:r>
      <w:r w:rsidRPr="00F03917">
        <w:t xml:space="preserve"> </w:t>
      </w:r>
      <w:r w:rsidR="013D0B58" w:rsidRPr="00F03917">
        <w:t>U</w:t>
      </w:r>
      <w:r w:rsidRPr="00F03917">
        <w:t>rban systems cannot function without supporting infrastructure, and delaying replacement decisions</w:t>
      </w:r>
      <w:r w:rsidR="092087C0" w:rsidRPr="00F03917">
        <w:t>,</w:t>
      </w:r>
      <w:r w:rsidRPr="00F03917">
        <w:t xml:space="preserve"> </w:t>
      </w:r>
      <w:r w:rsidR="00392912" w:rsidRPr="00F03917">
        <w:t xml:space="preserve">or putting </w:t>
      </w:r>
      <w:r w:rsidR="13D83DBB" w:rsidRPr="00F03917">
        <w:t>infrastructure</w:t>
      </w:r>
      <w:r w:rsidR="00392912" w:rsidRPr="00F03917">
        <w:t xml:space="preserve"> in exposed locations</w:t>
      </w:r>
      <w:r w:rsidRPr="00F03917">
        <w:t xml:space="preserve"> </w:t>
      </w:r>
      <w:r w:rsidR="003C33DC" w:rsidRPr="00F03917">
        <w:t xml:space="preserve">with increasing </w:t>
      </w:r>
      <w:r w:rsidR="4676F8B5" w:rsidRPr="00F03917">
        <w:t>risk</w:t>
      </w:r>
      <w:r w:rsidR="4676F8B5" w:rsidRPr="00F03917" w:rsidDel="002F7B93">
        <w:t xml:space="preserve"> </w:t>
      </w:r>
      <w:r w:rsidRPr="00F03917">
        <w:t xml:space="preserve">places a large </w:t>
      </w:r>
      <w:r w:rsidR="3D957212" w:rsidRPr="00F03917">
        <w:t>adjustment</w:t>
      </w:r>
      <w:r w:rsidRPr="00F03917">
        <w:t xml:space="preserve"> burden on future generations.</w:t>
      </w:r>
    </w:p>
    <w:p w14:paraId="78C9401D" w14:textId="5F0ECCB5" w:rsidR="00A924A9" w:rsidRPr="00F03917" w:rsidRDefault="00590367" w:rsidP="00A924A9">
      <w:pPr>
        <w:pStyle w:val="BodyText"/>
      </w:pPr>
      <w:r w:rsidRPr="00F03917">
        <w:t xml:space="preserve">Other </w:t>
      </w:r>
      <w:r w:rsidR="00B140BD" w:rsidRPr="00F03917">
        <w:t>criteria will</w:t>
      </w:r>
      <w:r w:rsidR="00BC2E1F" w:rsidRPr="00F03917">
        <w:t xml:space="preserve"> be driven by </w:t>
      </w:r>
      <w:r w:rsidR="17D2BEBC" w:rsidRPr="00F03917">
        <w:t>compliance with relevant statutes (eg, the R</w:t>
      </w:r>
      <w:r w:rsidR="37958DE8" w:rsidRPr="00F03917">
        <w:t xml:space="preserve">esource </w:t>
      </w:r>
      <w:r w:rsidR="17D2BEBC" w:rsidRPr="00F03917">
        <w:t>M</w:t>
      </w:r>
      <w:r w:rsidR="3D2D9FE2" w:rsidRPr="00F03917">
        <w:t xml:space="preserve">anagement </w:t>
      </w:r>
      <w:r w:rsidR="17D2BEBC" w:rsidRPr="00F03917">
        <w:t>A</w:t>
      </w:r>
      <w:r w:rsidR="57990D47" w:rsidRPr="00F03917">
        <w:t>ct 1991</w:t>
      </w:r>
      <w:r w:rsidR="17D2BEBC" w:rsidRPr="00F03917">
        <w:t xml:space="preserve">, Building Act </w:t>
      </w:r>
      <w:r w:rsidR="563C5B55" w:rsidRPr="00F03917">
        <w:t>2004</w:t>
      </w:r>
      <w:r w:rsidR="17D2BEBC" w:rsidRPr="00F03917">
        <w:t xml:space="preserve"> and Local Government Act</w:t>
      </w:r>
      <w:r w:rsidR="487DFC84" w:rsidRPr="00F03917">
        <w:t xml:space="preserve"> 2002</w:t>
      </w:r>
      <w:r w:rsidR="17D2BEBC" w:rsidRPr="00F03917">
        <w:t xml:space="preserve">), </w:t>
      </w:r>
      <w:r w:rsidR="00BC2E1F" w:rsidRPr="00F03917">
        <w:t>the values and</w:t>
      </w:r>
      <w:r w:rsidR="00501ECC" w:rsidRPr="00F03917">
        <w:t> </w:t>
      </w:r>
      <w:r w:rsidR="00BC2E1F" w:rsidRPr="00F03917">
        <w:t>objectives of the community and councils, and</w:t>
      </w:r>
      <w:r w:rsidR="00AD2ABD" w:rsidRPr="00F03917">
        <w:t> </w:t>
      </w:r>
      <w:r w:rsidR="00BC2E1F" w:rsidRPr="00F03917">
        <w:t>may include coastal amenity, ease of</w:t>
      </w:r>
      <w:r w:rsidR="00DC65DB" w:rsidRPr="00F03917">
        <w:t> </w:t>
      </w:r>
      <w:r w:rsidR="00BC2E1F" w:rsidRPr="00F03917">
        <w:t xml:space="preserve">implementation, </w:t>
      </w:r>
      <w:r w:rsidR="1BE00313" w:rsidRPr="00F03917">
        <w:t>and</w:t>
      </w:r>
      <w:r w:rsidR="00BC2E1F" w:rsidRPr="00F03917">
        <w:t xml:space="preserve"> any multiple </w:t>
      </w:r>
      <w:r w:rsidR="00037A3C" w:rsidRPr="00F03917">
        <w:t xml:space="preserve">benefits </w:t>
      </w:r>
      <w:r w:rsidR="00BC2E1F" w:rsidRPr="00F03917">
        <w:t>and co-benefits</w:t>
      </w:r>
      <w:r w:rsidR="6FB1AF57" w:rsidRPr="00F03917">
        <w:t>.</w:t>
      </w:r>
      <w:r w:rsidR="00BC2E1F" w:rsidRPr="00F03917">
        <w:t xml:space="preserve"> For areas that have significant development </w:t>
      </w:r>
      <w:r w:rsidR="00037A3C" w:rsidRPr="00F03917">
        <w:t xml:space="preserve">that </w:t>
      </w:r>
      <w:r w:rsidR="00BC2E1F" w:rsidRPr="00F03917">
        <w:t xml:space="preserve">are likely to be affected by coastal </w:t>
      </w:r>
      <w:r w:rsidR="00241C34" w:rsidRPr="00F03917">
        <w:t xml:space="preserve">hazards, Policy 27 of the NZCPS </w:t>
      </w:r>
      <w:r w:rsidR="00037A3C" w:rsidRPr="00F03917">
        <w:t xml:space="preserve">(DOC, 2010) </w:t>
      </w:r>
      <w:r w:rsidR="00241C34" w:rsidRPr="00F03917">
        <w:t>sets</w:t>
      </w:r>
      <w:r w:rsidR="00237E7B" w:rsidRPr="00F03917">
        <w:t> </w:t>
      </w:r>
      <w:r w:rsidR="00241C34" w:rsidRPr="00F03917">
        <w:t>out</w:t>
      </w:r>
      <w:r w:rsidR="00501ECC" w:rsidRPr="00F03917">
        <w:t> </w:t>
      </w:r>
      <w:r w:rsidR="00241C34" w:rsidRPr="00F03917">
        <w:t>requirements for options and strategies</w:t>
      </w:r>
      <w:r w:rsidR="00652B20" w:rsidRPr="00F03917">
        <w:t xml:space="preserve"> for reducing coastal hazard risk</w:t>
      </w:r>
      <w:r w:rsidR="00241C34" w:rsidRPr="00F03917">
        <w:t xml:space="preserve"> .</w:t>
      </w:r>
      <w:r w:rsidR="00BC2E1F" w:rsidRPr="00F03917">
        <w:t xml:space="preserve"> </w:t>
      </w:r>
    </w:p>
    <w:p w14:paraId="18591064" w14:textId="473150EA" w:rsidR="00536A56" w:rsidRPr="00F03917" w:rsidRDefault="00536A56" w:rsidP="00501ECC">
      <w:pPr>
        <w:pStyle w:val="BodyText"/>
      </w:pPr>
      <w:r w:rsidRPr="00F03917">
        <w:t>In practice,</w:t>
      </w:r>
      <w:r w:rsidRPr="00F03917" w:rsidDel="00163813">
        <w:t xml:space="preserve"> </w:t>
      </w:r>
      <w:r w:rsidRPr="00F03917">
        <w:t>a combination of near-term actions and long-term options, which may be staged over time, depending on the exposure of the locality will be needed. The DAPP approach can be used to identify the options, evaluate them, and</w:t>
      </w:r>
      <w:r w:rsidR="00501ECC" w:rsidRPr="00F03917">
        <w:t> </w:t>
      </w:r>
      <w:r w:rsidRPr="00F03917">
        <w:t>develop an adaptation strategy and implementation plan (steps 7 to 10). This enables management of the changes in SLR and associated impacts over the lifetime of the option and</w:t>
      </w:r>
      <w:r w:rsidR="00501ECC" w:rsidRPr="00F03917">
        <w:t> </w:t>
      </w:r>
      <w:r w:rsidRPr="00F03917">
        <w:t>minimises or avoids lock-in of services that reduces the ability to adapt over time.</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6FBF9"/>
        <w:tblLook w:val="04A0" w:firstRow="1" w:lastRow="0" w:firstColumn="1" w:lastColumn="0" w:noHBand="0" w:noVBand="1"/>
      </w:tblPr>
      <w:tblGrid>
        <w:gridCol w:w="8505"/>
      </w:tblGrid>
      <w:tr w:rsidR="00D0685E" w:rsidRPr="00F03917" w14:paraId="6AA92761" w14:textId="77777777" w:rsidTr="00501ECC">
        <w:trPr>
          <w:cantSplit/>
        </w:trPr>
        <w:tc>
          <w:tcPr>
            <w:tcW w:w="8505" w:type="dxa"/>
            <w:tcBorders>
              <w:top w:val="single" w:sz="4" w:space="0" w:color="1B556B" w:themeColor="text2"/>
              <w:left w:val="single" w:sz="4" w:space="0" w:color="1B556B" w:themeColor="text2"/>
              <w:bottom w:val="nil"/>
              <w:right w:val="single" w:sz="4" w:space="0" w:color="1B556B" w:themeColor="text2"/>
            </w:tcBorders>
            <w:shd w:val="clear" w:color="auto" w:fill="1B556B" w:themeFill="text2"/>
            <w:vAlign w:val="center"/>
          </w:tcPr>
          <w:p w14:paraId="4E0681AA" w14:textId="77777777" w:rsidR="00D0685E" w:rsidRPr="00F03917" w:rsidDel="00D5390D" w:rsidRDefault="00D0685E" w:rsidP="00D25D49">
            <w:pPr>
              <w:pStyle w:val="Casestudyheading"/>
            </w:pPr>
            <w:bookmarkStart w:id="152" w:name="box12"/>
            <w:r w:rsidRPr="00F03917">
              <w:lastRenderedPageBreak/>
              <w:t>: NATURE-BASED SOLUTIONS</w:t>
            </w:r>
            <w:bookmarkEnd w:id="152"/>
          </w:p>
        </w:tc>
      </w:tr>
      <w:tr w:rsidR="00D0685E" w:rsidRPr="00F03917" w14:paraId="4F60CFF6" w14:textId="77777777" w:rsidTr="00501ECC">
        <w:trPr>
          <w:cantSplit/>
        </w:trPr>
        <w:tc>
          <w:tcPr>
            <w:tcW w:w="8505" w:type="dxa"/>
            <w:tcBorders>
              <w:top w:val="nil"/>
              <w:left w:val="single" w:sz="4" w:space="0" w:color="D2DDE1" w:themeColor="background2"/>
              <w:bottom w:val="single" w:sz="4" w:space="0" w:color="D2DDE1" w:themeColor="background2"/>
              <w:right w:val="single" w:sz="4" w:space="0" w:color="D2DDE1" w:themeColor="background2"/>
            </w:tcBorders>
            <w:shd w:val="clear" w:color="auto" w:fill="D2DDE1" w:themeFill="background2"/>
          </w:tcPr>
          <w:p w14:paraId="76589F28" w14:textId="4FAAA636" w:rsidR="00D0685E" w:rsidRPr="00F03917" w:rsidRDefault="00D0685E" w:rsidP="00501ECC">
            <w:pPr>
              <w:pStyle w:val="Boxtext"/>
              <w:spacing w:after="80"/>
              <w:rPr>
                <w:color w:val="1C556C" w:themeColor="accent1"/>
              </w:rPr>
            </w:pPr>
            <w:r w:rsidRPr="00F03917">
              <w:t xml:space="preserve">Nature-based solutions </w:t>
            </w:r>
            <w:r w:rsidRPr="00F03917">
              <w:rPr>
                <w:color w:val="1C556C" w:themeColor="accent1"/>
              </w:rPr>
              <w:t xml:space="preserve">(NbS) </w:t>
            </w:r>
            <w:r w:rsidRPr="00F03917">
              <w:t>are accommodation types of adaptation options. At the coast, the</w:t>
            </w:r>
            <w:r w:rsidRPr="00F03917">
              <w:rPr>
                <w:color w:val="1C556C" w:themeColor="accent1"/>
              </w:rPr>
              <w:t>y can provide a temporary buffer at the same time as providing</w:t>
            </w:r>
            <w:r w:rsidRPr="00F03917">
              <w:t xml:space="preserve"> co-benefits for people and</w:t>
            </w:r>
            <w:r w:rsidR="00237E7B" w:rsidRPr="00F03917">
              <w:t> </w:t>
            </w:r>
            <w:r w:rsidRPr="00F03917">
              <w:t>nature.</w:t>
            </w:r>
          </w:p>
          <w:p w14:paraId="40DEC974" w14:textId="38A5555F" w:rsidR="00D0685E" w:rsidRPr="00F03917" w:rsidRDefault="00D0685E" w:rsidP="00501ECC">
            <w:pPr>
              <w:pStyle w:val="Boxtext"/>
              <w:spacing w:after="80"/>
            </w:pPr>
            <w:r w:rsidRPr="00F03917">
              <w:t>NbS support biodiversity and wider environmental outcomes. They are well aligned with the 2010 N</w:t>
            </w:r>
            <w:r w:rsidRPr="00F03917">
              <w:rPr>
                <w:color w:val="1C556C" w:themeColor="accent1"/>
              </w:rPr>
              <w:t xml:space="preserve">ew </w:t>
            </w:r>
            <w:r w:rsidRPr="00F03917">
              <w:t>Z</w:t>
            </w:r>
            <w:r w:rsidRPr="00F03917">
              <w:rPr>
                <w:color w:val="1C556C" w:themeColor="accent1"/>
              </w:rPr>
              <w:t xml:space="preserve">ealand </w:t>
            </w:r>
            <w:r w:rsidRPr="00F03917">
              <w:t>C</w:t>
            </w:r>
            <w:r w:rsidRPr="00F03917">
              <w:rPr>
                <w:color w:val="1C556C" w:themeColor="accent1"/>
              </w:rPr>
              <w:t xml:space="preserve">oastal </w:t>
            </w:r>
            <w:r w:rsidRPr="00F03917">
              <w:t>P</w:t>
            </w:r>
            <w:r w:rsidRPr="00F03917">
              <w:rPr>
                <w:color w:val="1C556C" w:themeColor="accent1"/>
              </w:rPr>
              <w:t xml:space="preserve">olicy </w:t>
            </w:r>
            <w:r w:rsidRPr="00F03917">
              <w:t>S</w:t>
            </w:r>
            <w:r w:rsidRPr="00F03917">
              <w:rPr>
                <w:color w:val="1C556C" w:themeColor="accent1"/>
              </w:rPr>
              <w:t>tatement</w:t>
            </w:r>
            <w:r w:rsidRPr="00F03917">
              <w:t xml:space="preserve"> direction to “provide where appropriate for the protection, restoration or enhancement of natural defences …” (Policy 26,</w:t>
            </w:r>
            <w:r w:rsidRPr="00F03917">
              <w:rPr>
                <w:color w:val="1C556C" w:themeColor="accent1"/>
              </w:rPr>
              <w:t xml:space="preserve"> DOC, 2010</w:t>
            </w:r>
            <w:r w:rsidR="003129CD" w:rsidRPr="00F03917">
              <w:rPr>
                <w:color w:val="1C556C" w:themeColor="accent1"/>
              </w:rPr>
              <w:t>, p 24</w:t>
            </w:r>
            <w:r w:rsidRPr="00F03917">
              <w:t xml:space="preserve">). </w:t>
            </w:r>
          </w:p>
          <w:p w14:paraId="3DE32DCC" w14:textId="2783A53E" w:rsidR="00D0685E" w:rsidRPr="00F03917" w:rsidRDefault="00D0685E" w:rsidP="00501ECC">
            <w:pPr>
              <w:pStyle w:val="Boxtext"/>
              <w:spacing w:after="240"/>
              <w:rPr>
                <w:color w:val="1C556C" w:themeColor="accent1"/>
              </w:rPr>
            </w:pPr>
            <w:r w:rsidRPr="00F03917">
              <w:rPr>
                <w:color w:val="1C556C" w:themeColor="accent1"/>
              </w:rPr>
              <w:t>Te Mana o te Taiao – Aotearoa New Zealand Biodiversity Strategy 2020 defines NbS as “solutions that are inspired and supported by nature, cost-effective</w:t>
            </w:r>
            <w:r w:rsidR="00BB267B" w:rsidRPr="00F03917">
              <w:rPr>
                <w:color w:val="1C556C" w:themeColor="accent1"/>
              </w:rPr>
              <w:t>,</w:t>
            </w:r>
            <w:r w:rsidRPr="00F03917">
              <w:rPr>
                <w:color w:val="1C556C" w:themeColor="accent1"/>
              </w:rPr>
              <w:t xml:space="preserve"> and simultaneously provide environmental, social and economic benefits and help build resilience” (DOC, 2020, p</w:t>
            </w:r>
            <w:r w:rsidR="00237E7B" w:rsidRPr="00F03917">
              <w:rPr>
                <w:color w:val="1C556C" w:themeColor="accent1"/>
              </w:rPr>
              <w:t> </w:t>
            </w:r>
            <w:r w:rsidRPr="00F03917">
              <w:rPr>
                <w:color w:val="1C556C" w:themeColor="accent1"/>
              </w:rPr>
              <w:t>62</w:t>
            </w:r>
            <w:r w:rsidR="0069304C" w:rsidRPr="00F03917">
              <w:rPr>
                <w:color w:val="1C556C" w:themeColor="accent1"/>
              </w:rPr>
              <w:t>)</w:t>
            </w:r>
            <w:r w:rsidRPr="00F03917">
              <w:rPr>
                <w:color w:val="1C556C" w:themeColor="accent1"/>
              </w:rPr>
              <w:t>. When well-designed and implemented, NbS can contribute a range of benefits, including improved biodiversity outcomes, enhanced community wellbeing and climate change mitigation. For example, the restoration and preservation of mangroves, salt marshes and seagrass meadows can also remove carbon</w:t>
            </w:r>
            <w:r w:rsidRPr="00F03917" w:rsidDel="1C004AC9">
              <w:rPr>
                <w:color w:val="1C556C" w:themeColor="accent1"/>
              </w:rPr>
              <w:t xml:space="preserve"> </w:t>
            </w:r>
            <w:r w:rsidRPr="00F03917">
              <w:rPr>
                <w:color w:val="1C556C" w:themeColor="accent1"/>
              </w:rPr>
              <w:t xml:space="preserve">(Cooley et al, 2022). </w:t>
            </w:r>
          </w:p>
        </w:tc>
      </w:tr>
    </w:tbl>
    <w:p w14:paraId="18CF1598" w14:textId="5BBD63DB" w:rsidR="00BC2E1F" w:rsidRPr="00F03917" w:rsidRDefault="00BC2E1F" w:rsidP="00B765D7">
      <w:pPr>
        <w:pStyle w:val="Heading3"/>
        <w:numPr>
          <w:ilvl w:val="0"/>
          <w:numId w:val="28"/>
        </w:numPr>
      </w:pPr>
      <w:r w:rsidRPr="00F03917">
        <w:t>Community engagement</w:t>
      </w:r>
    </w:p>
    <w:p w14:paraId="5B7C23DC" w14:textId="03D18D8C" w:rsidR="00BC2E1F" w:rsidRPr="00F03917" w:rsidRDefault="00BC2E1F" w:rsidP="000C4F40">
      <w:pPr>
        <w:pStyle w:val="BodyText"/>
      </w:pPr>
      <w:r w:rsidRPr="00F03917">
        <w:t xml:space="preserve">Identifying options and actions for addressing hazard exposure </w:t>
      </w:r>
      <w:r w:rsidR="00221DA6" w:rsidRPr="00F03917">
        <w:t>and vulnerability</w:t>
      </w:r>
      <w:r w:rsidRPr="00F03917">
        <w:t xml:space="preserve"> will require contributions from all stakeholders, including the affected community, iwi/hapū, council staff, technical experts, the wider community, government agencies with interests in the area, and potential funding agencies. </w:t>
      </w:r>
    </w:p>
    <w:p w14:paraId="44789F3D" w14:textId="41A1291A" w:rsidR="00BC2E1F" w:rsidRPr="00F03917" w:rsidRDefault="00BC2E1F" w:rsidP="000C4F40">
      <w:pPr>
        <w:pStyle w:val="BodyText"/>
      </w:pPr>
      <w:r w:rsidRPr="00F03917">
        <w:t xml:space="preserve">It is essential to include the community in identifying options and pathways, particularly for those currently, or soon to be, exposed to coastal climate change effects, because this engagement will: </w:t>
      </w:r>
    </w:p>
    <w:p w14:paraId="6281CBB6" w14:textId="77777777" w:rsidR="00BC2E1F" w:rsidRPr="00F03917" w:rsidRDefault="19CDADC1" w:rsidP="00174F6E">
      <w:pPr>
        <w:pStyle w:val="BulletFIX"/>
        <w:rPr>
          <w:rFonts w:eastAsiaTheme="minorEastAsia"/>
        </w:rPr>
      </w:pPr>
      <w:r w:rsidRPr="00F03917">
        <w:rPr>
          <w:rFonts w:eastAsiaTheme="minorEastAsia"/>
        </w:rPr>
        <w:t xml:space="preserve">provide deeper understanding about what options and pathways meet their objectives </w:t>
      </w:r>
    </w:p>
    <w:p w14:paraId="2870FC2E" w14:textId="77777777" w:rsidR="00BC2E1F" w:rsidRPr="00F03917" w:rsidRDefault="19CDADC1" w:rsidP="00174F6E">
      <w:pPr>
        <w:pStyle w:val="BulletFIX"/>
        <w:rPr>
          <w:rFonts w:eastAsiaTheme="minorEastAsia"/>
        </w:rPr>
      </w:pPr>
      <w:r w:rsidRPr="00F03917">
        <w:rPr>
          <w:rFonts w:eastAsiaTheme="minorEastAsia"/>
        </w:rPr>
        <w:t>highlight what can be practically implemented and how these options might be funded</w:t>
      </w:r>
    </w:p>
    <w:p w14:paraId="11873C3E" w14:textId="2D85A85F" w:rsidR="00BC2E1F" w:rsidRPr="00F03917" w:rsidRDefault="19CDADC1" w:rsidP="00174F6E">
      <w:pPr>
        <w:pStyle w:val="BulletFIX"/>
        <w:rPr>
          <w:rFonts w:eastAsiaTheme="minorEastAsia"/>
        </w:rPr>
      </w:pPr>
      <w:r w:rsidRPr="00F03917">
        <w:rPr>
          <w:rFonts w:eastAsiaTheme="minorEastAsia"/>
        </w:rPr>
        <w:t xml:space="preserve">maintain transparency about the process and </w:t>
      </w:r>
      <w:r w:rsidR="3390CC3D" w:rsidRPr="00F03917">
        <w:rPr>
          <w:rFonts w:eastAsiaTheme="minorEastAsia"/>
        </w:rPr>
        <w:t xml:space="preserve">understanding of </w:t>
      </w:r>
      <w:r w:rsidRPr="00F03917">
        <w:rPr>
          <w:rFonts w:eastAsiaTheme="minorEastAsia"/>
        </w:rPr>
        <w:t xml:space="preserve">why certain options </w:t>
      </w:r>
      <w:r w:rsidR="3390CC3D" w:rsidRPr="00F03917">
        <w:rPr>
          <w:rFonts w:eastAsiaTheme="minorEastAsia"/>
        </w:rPr>
        <w:t>are</w:t>
      </w:r>
      <w:r w:rsidRPr="00F03917">
        <w:rPr>
          <w:rFonts w:eastAsiaTheme="minorEastAsia"/>
        </w:rPr>
        <w:t xml:space="preserve"> included (or not</w:t>
      </w:r>
      <w:r w:rsidR="5EC8DFF2" w:rsidRPr="00F03917">
        <w:rPr>
          <w:rFonts w:eastAsiaTheme="minorEastAsia"/>
        </w:rPr>
        <w:t xml:space="preserve">). </w:t>
      </w:r>
    </w:p>
    <w:p w14:paraId="0C1ECD99" w14:textId="065456C3" w:rsidR="00BC2E1F" w:rsidRPr="00F03917" w:rsidRDefault="006C4AE5" w:rsidP="000C4F40">
      <w:pPr>
        <w:pStyle w:val="BodyText"/>
      </w:pPr>
      <w:r w:rsidRPr="00F03917">
        <w:t>C</w:t>
      </w:r>
      <w:r w:rsidR="00BC2E1F" w:rsidRPr="00F03917">
        <w:t xml:space="preserve">ommunity engagement will bring new ideas. Brainstorming </w:t>
      </w:r>
      <w:r w:rsidRPr="00F03917">
        <w:t xml:space="preserve">a range of </w:t>
      </w:r>
      <w:r w:rsidR="00BC2E1F" w:rsidRPr="00F03917">
        <w:t>options will avoid narrowing them down too early</w:t>
      </w:r>
      <w:r w:rsidR="4F4CBD53" w:rsidRPr="00F03917">
        <w:t xml:space="preserve"> and increase the flexibility for considering the impact of the rising risk over the lifetime of the options</w:t>
      </w:r>
      <w:r w:rsidR="00E53377" w:rsidRPr="00F03917">
        <w:t xml:space="preserve">. </w:t>
      </w:r>
      <w:r w:rsidR="00BC2E1F" w:rsidRPr="00F03917">
        <w:t xml:space="preserve">A combination of </w:t>
      </w:r>
      <w:r w:rsidR="007A3964" w:rsidRPr="00F03917">
        <w:t>complementary</w:t>
      </w:r>
      <w:r w:rsidR="00BC2E1F" w:rsidRPr="00F03917">
        <w:t xml:space="preserve"> options </w:t>
      </w:r>
      <w:r w:rsidR="7ABF80CC" w:rsidRPr="00F03917">
        <w:t xml:space="preserve">may be </w:t>
      </w:r>
      <w:r w:rsidR="004F31EF" w:rsidRPr="00F03917">
        <w:t xml:space="preserve">most </w:t>
      </w:r>
      <w:r w:rsidR="00C35D99" w:rsidRPr="00F03917">
        <w:t>effective</w:t>
      </w:r>
      <w:r w:rsidR="002012E8" w:rsidRPr="00F03917">
        <w:t>. These can be</w:t>
      </w:r>
      <w:r w:rsidR="00BC2E1F" w:rsidRPr="00F03917">
        <w:t xml:space="preserve"> presented as alternative pathways</w:t>
      </w:r>
      <w:r w:rsidR="002012E8" w:rsidRPr="00F03917">
        <w:t xml:space="preserve"> with actions in the near term and options for the long-term</w:t>
      </w:r>
      <w:r w:rsidR="00BC2E1F" w:rsidRPr="00F03917">
        <w:t xml:space="preserve">. </w:t>
      </w:r>
      <w:hyperlink w:anchor="_Supplements" w:history="1">
        <w:r w:rsidR="005E37D0" w:rsidRPr="00F03917">
          <w:rPr>
            <w:rStyle w:val="Hyperlink"/>
            <w:i/>
          </w:rPr>
          <w:t>Community engagement principles and approaches, and practice methods: Coastal hazards and climate change guidance – Supplement B</w:t>
        </w:r>
      </w:hyperlink>
      <w:r w:rsidR="00BC2E1F" w:rsidRPr="00F03917">
        <w:t xml:space="preserve"> describes methods for community engagement on options and pathways. </w:t>
      </w:r>
    </w:p>
    <w:p w14:paraId="37FE1EFC" w14:textId="77CD32EF" w:rsidR="006A0614" w:rsidRPr="00F03917" w:rsidRDefault="006A0614" w:rsidP="00B765D7">
      <w:pPr>
        <w:pStyle w:val="Heading3"/>
        <w:numPr>
          <w:ilvl w:val="0"/>
          <w:numId w:val="28"/>
        </w:numPr>
      </w:pPr>
      <w:r w:rsidRPr="00F03917">
        <w:t>Identify adaptation thresholds</w:t>
      </w:r>
    </w:p>
    <w:p w14:paraId="5D617410" w14:textId="03110C5F" w:rsidR="006A0614" w:rsidRPr="00F03917" w:rsidRDefault="006A0614" w:rsidP="00093E83">
      <w:pPr>
        <w:pStyle w:val="BodyText"/>
      </w:pPr>
      <w:r w:rsidRPr="00F03917">
        <w:t xml:space="preserve">An </w:t>
      </w:r>
      <w:r w:rsidRPr="00F03917">
        <w:rPr>
          <w:b/>
          <w:bCs/>
        </w:rPr>
        <w:t>adaptation threshold</w:t>
      </w:r>
      <w:r w:rsidRPr="00F03917">
        <w:t xml:space="preserve"> is ‘what people do not want to happen’ (an unacceptable condition). Define these thresholds with communities, iwi/hapū and other stakeholders to reflect their physical, social, cultural or economic perspectives. Councils and infrastructure operators will also have to meet thresholds in the</w:t>
      </w:r>
      <w:r w:rsidR="003572D5" w:rsidRPr="00F03917">
        <w:t xml:space="preserve"> agreed</w:t>
      </w:r>
      <w:r w:rsidRPr="00F03917">
        <w:t xml:space="preserve"> levels of service</w:t>
      </w:r>
      <w:r w:rsidR="003D4B8F" w:rsidRPr="00F03917">
        <w:t xml:space="preserve"> </w:t>
      </w:r>
      <w:r w:rsidRPr="00F03917">
        <w:t xml:space="preserve">and </w:t>
      </w:r>
      <w:r w:rsidR="006F7FE7" w:rsidRPr="00F03917">
        <w:t xml:space="preserve">in </w:t>
      </w:r>
      <w:r w:rsidRPr="00F03917">
        <w:t>statutory objectives.</w:t>
      </w:r>
    </w:p>
    <w:p w14:paraId="2AF76857" w14:textId="149C10FA" w:rsidR="006A0614" w:rsidRPr="00F03917" w:rsidRDefault="3E8D4FED" w:rsidP="00237E7B">
      <w:pPr>
        <w:pStyle w:val="BodyText"/>
        <w:jc w:val="both"/>
      </w:pPr>
      <w:r w:rsidRPr="00F03917">
        <w:t xml:space="preserve">The values defined in </w:t>
      </w:r>
      <w:hyperlink w:anchor="_Step_3:_Establish" w:history="1">
        <w:r w:rsidR="730C3DC0" w:rsidRPr="00F03917">
          <w:rPr>
            <w:rStyle w:val="Hyperlink"/>
          </w:rPr>
          <w:t>s</w:t>
        </w:r>
        <w:r w:rsidRPr="00F03917">
          <w:rPr>
            <w:rStyle w:val="Hyperlink"/>
          </w:rPr>
          <w:t>tep 3</w:t>
        </w:r>
      </w:hyperlink>
      <w:r w:rsidRPr="00F03917">
        <w:t xml:space="preserve"> and translated into objectives will inform the adaptation thresholds. </w:t>
      </w:r>
    </w:p>
    <w:p w14:paraId="706A8D52" w14:textId="33D8CFEC" w:rsidR="006A0614" w:rsidRPr="00F03917" w:rsidRDefault="006A0614" w:rsidP="00093E83">
      <w:pPr>
        <w:pStyle w:val="BodyText"/>
        <w:keepNext/>
      </w:pPr>
      <w:r w:rsidRPr="00F03917">
        <w:lastRenderedPageBreak/>
        <w:t xml:space="preserve">Useful thresholds reflect what matters most. These could include: </w:t>
      </w:r>
    </w:p>
    <w:p w14:paraId="42BC7A13" w14:textId="69CF0463" w:rsidR="006A0614" w:rsidRPr="00F03917" w:rsidRDefault="145B77BD" w:rsidP="00174F6E">
      <w:pPr>
        <w:pStyle w:val="BulletFIX"/>
      </w:pPr>
      <w:r w:rsidRPr="00F03917">
        <w:t>health and safety indicators</w:t>
      </w:r>
      <w:r w:rsidR="7D67CBD5" w:rsidRPr="00F03917">
        <w:t>,</w:t>
      </w:r>
      <w:r w:rsidRPr="00F03917">
        <w:t xml:space="preserve"> such as number of casualties, water quality, or safe vehicle or</w:t>
      </w:r>
      <w:r w:rsidR="00237E7B" w:rsidRPr="00F03917">
        <w:t> </w:t>
      </w:r>
      <w:r w:rsidRPr="00F03917">
        <w:t>cycling limits</w:t>
      </w:r>
    </w:p>
    <w:p w14:paraId="53A40B56" w14:textId="77777777" w:rsidR="006A0614" w:rsidRPr="00F03917" w:rsidRDefault="145B77BD" w:rsidP="00174F6E">
      <w:pPr>
        <w:pStyle w:val="BulletFIX"/>
      </w:pPr>
      <w:r w:rsidRPr="00F03917">
        <w:t>frequency or severity of damaging or disruptive events</w:t>
      </w:r>
    </w:p>
    <w:p w14:paraId="5753B350" w14:textId="458EE294" w:rsidR="006A0614" w:rsidRPr="00F03917" w:rsidRDefault="145B77BD" w:rsidP="00174F6E">
      <w:pPr>
        <w:pStyle w:val="BulletFIX"/>
      </w:pPr>
      <w:r w:rsidRPr="00F03917">
        <w:t>withdrawal of maintenance</w:t>
      </w:r>
      <w:r w:rsidR="3AD95474" w:rsidRPr="00F03917">
        <w:t>,</w:t>
      </w:r>
      <w:r w:rsidRPr="00F03917">
        <w:t xml:space="preserve"> decline in levels of service and utilities </w:t>
      </w:r>
      <w:r w:rsidR="3AD95474" w:rsidRPr="00F03917">
        <w:t>and increasing cost of</w:t>
      </w:r>
      <w:r w:rsidR="00237E7B" w:rsidRPr="00F03917">
        <w:t> </w:t>
      </w:r>
      <w:r w:rsidR="3AD95474" w:rsidRPr="00F03917">
        <w:t>repairs</w:t>
      </w:r>
    </w:p>
    <w:p w14:paraId="4112F26F" w14:textId="77777777" w:rsidR="006A0614" w:rsidRPr="00F03917" w:rsidRDefault="145B77BD" w:rsidP="00174F6E">
      <w:pPr>
        <w:pStyle w:val="BulletFIX"/>
      </w:pPr>
      <w:r w:rsidRPr="00F03917">
        <w:t>unaffordable or high-excess insurance premiums or withdrawal of insurance and bank finance</w:t>
      </w:r>
    </w:p>
    <w:p w14:paraId="0EEB5528" w14:textId="77777777" w:rsidR="006A0614" w:rsidRPr="00F03917" w:rsidRDefault="145B77BD" w:rsidP="00174F6E">
      <w:pPr>
        <w:pStyle w:val="BulletFIX"/>
      </w:pPr>
      <w:r w:rsidRPr="00F03917">
        <w:t>loss of amenity and cultural values</w:t>
      </w:r>
    </w:p>
    <w:p w14:paraId="752EA849" w14:textId="2A29C32C" w:rsidR="006A0614" w:rsidRPr="00F03917" w:rsidRDefault="145B77BD" w:rsidP="00174F6E">
      <w:pPr>
        <w:pStyle w:val="BulletFIX"/>
      </w:pPr>
      <w:r w:rsidRPr="00F03917">
        <w:t>lengthy displacement of people following extreme events.</w:t>
      </w:r>
    </w:p>
    <w:p w14:paraId="441ADAE0" w14:textId="776DDC10" w:rsidR="27B74A2A" w:rsidRPr="00F03917" w:rsidRDefault="5DF7ED08" w:rsidP="769D06BC">
      <w:pPr>
        <w:pStyle w:val="BodyText"/>
        <w:rPr>
          <w:rFonts w:eastAsia="Calibri" w:cs="Calibri"/>
          <w:color w:val="000000" w:themeColor="text1"/>
        </w:rPr>
      </w:pPr>
      <w:r w:rsidRPr="00F03917">
        <w:t>Useful thresholds will need to be relevant and easily measured by those monitoring them. See</w:t>
      </w:r>
      <w:r w:rsidR="00237E7B" w:rsidRPr="00F03917">
        <w:t> </w:t>
      </w:r>
      <w:hyperlink w:anchor="_Step_9:_Monitor" w:history="1">
        <w:r w:rsidR="248FB524" w:rsidRPr="00F03917">
          <w:rPr>
            <w:rStyle w:val="Hyperlink"/>
          </w:rPr>
          <w:t>s</w:t>
        </w:r>
        <w:r w:rsidRPr="00F03917">
          <w:rPr>
            <w:rStyle w:val="Hyperlink"/>
          </w:rPr>
          <w:t>tep 9</w:t>
        </w:r>
      </w:hyperlink>
      <w:r w:rsidRPr="00F03917">
        <w:t xml:space="preserve"> regarding indicators and underlying data needs for monitoring.</w:t>
      </w:r>
      <w:r w:rsidR="00977ED4" w:rsidRPr="00F03917">
        <w:t xml:space="preserve"> </w:t>
      </w:r>
    </w:p>
    <w:p w14:paraId="43E34718" w14:textId="0866FBD4" w:rsidR="27B74A2A" w:rsidRPr="00F03917" w:rsidRDefault="5DF7ED08" w:rsidP="769D06BC">
      <w:pPr>
        <w:pStyle w:val="BodyText"/>
        <w:rPr>
          <w:rFonts w:eastAsia="Calibri" w:cs="Calibri"/>
          <w:color w:val="000000" w:themeColor="text1"/>
        </w:rPr>
      </w:pPr>
      <w:r w:rsidRPr="00F03917">
        <w:t>With community input, identify the adaptation thresholds for the coastal area of concern</w:t>
      </w:r>
      <w:r w:rsidR="001D03AB" w:rsidRPr="00F03917">
        <w:t>.</w:t>
      </w:r>
    </w:p>
    <w:p w14:paraId="4889EC8B" w14:textId="6C913CE5" w:rsidR="006A0614" w:rsidRPr="00F03917" w:rsidRDefault="006A0614" w:rsidP="000C4F40">
      <w:pPr>
        <w:pStyle w:val="BodyText"/>
      </w:pPr>
      <w:r w:rsidRPr="00F03917">
        <w:t xml:space="preserve">A </w:t>
      </w:r>
      <w:r w:rsidRPr="00F03917">
        <w:rPr>
          <w:b/>
          <w:bCs/>
        </w:rPr>
        <w:t>template</w:t>
      </w:r>
      <w:r w:rsidRPr="00F03917">
        <w:t xml:space="preserve"> for workshops to develop thresholds, triggers and signals is in </w:t>
      </w:r>
      <w:hyperlink w:anchor="_Supplements" w:history="1">
        <w:r w:rsidR="005E37D0" w:rsidRPr="00F03917">
          <w:rPr>
            <w:rStyle w:val="Hyperlink"/>
            <w:i/>
          </w:rPr>
          <w:t>Community engagement principles and approaches, and practice methods: Coastal hazards and climate change guidance – Supplement B</w:t>
        </w:r>
      </w:hyperlink>
      <w:r w:rsidRPr="00F03917">
        <w:t xml:space="preserve">. </w:t>
      </w:r>
    </w:p>
    <w:p w14:paraId="5342E4B8" w14:textId="2C7F6282" w:rsidR="00BC2E1F" w:rsidRPr="00F03917" w:rsidRDefault="77434DC2" w:rsidP="00B765D7">
      <w:pPr>
        <w:pStyle w:val="Heading3"/>
        <w:numPr>
          <w:ilvl w:val="0"/>
          <w:numId w:val="28"/>
        </w:numPr>
      </w:pPr>
      <w:r w:rsidRPr="00F03917">
        <w:t>Consider o</w:t>
      </w:r>
      <w:r w:rsidR="00BC2E1F" w:rsidRPr="00F03917">
        <w:t xml:space="preserve">ption </w:t>
      </w:r>
      <w:r w:rsidR="2099D41A" w:rsidRPr="00F03917">
        <w:t>life</w:t>
      </w:r>
      <w:r w:rsidR="00BC2E1F" w:rsidRPr="00F03917">
        <w:t>time</w:t>
      </w:r>
    </w:p>
    <w:p w14:paraId="09F5A753" w14:textId="7780969D" w:rsidR="006B2C14" w:rsidRPr="00F03917" w:rsidRDefault="00BC2E1F" w:rsidP="23F8B0E2">
      <w:pPr>
        <w:pStyle w:val="BodyText"/>
      </w:pPr>
      <w:r w:rsidRPr="00F03917">
        <w:t>Assessing the lifetime of options is critical, because it informs the trigger points that determine whether a shift in pathways is needed. Lifetime is a</w:t>
      </w:r>
      <w:r w:rsidR="38CF0087" w:rsidRPr="00F03917">
        <w:t>n</w:t>
      </w:r>
      <w:r w:rsidRPr="00F03917">
        <w:t xml:space="preserve"> </w:t>
      </w:r>
      <w:r w:rsidR="61555A36" w:rsidRPr="00F03917">
        <w:t>i</w:t>
      </w:r>
      <w:r w:rsidR="515BA8B2" w:rsidRPr="00F03917">
        <w:t>m</w:t>
      </w:r>
      <w:r w:rsidR="61555A36" w:rsidRPr="00F03917">
        <w:t>portant</w:t>
      </w:r>
      <w:r w:rsidRPr="00F03917">
        <w:t xml:space="preserve"> factor in the choice of early</w:t>
      </w:r>
      <w:r w:rsidR="00F61029" w:rsidRPr="00F03917">
        <w:t> </w:t>
      </w:r>
      <w:r w:rsidRPr="00F03917">
        <w:t>actions, along with whether the options lock</w:t>
      </w:r>
      <w:r w:rsidR="00EE1232" w:rsidRPr="00F03917">
        <w:t>-</w:t>
      </w:r>
      <w:r w:rsidRPr="00F03917">
        <w:t>in further development and thus increase risk over time.</w:t>
      </w:r>
      <w:r w:rsidR="287F0BBA" w:rsidRPr="00F03917">
        <w:t xml:space="preserve"> Figure</w:t>
      </w:r>
      <w:r w:rsidR="287F0BBA" w:rsidRPr="00F03917" w:rsidDel="008F3F44">
        <w:t xml:space="preserve"> </w:t>
      </w:r>
      <w:r w:rsidR="008F3F44" w:rsidRPr="00F03917">
        <w:t>20</w:t>
      </w:r>
      <w:r w:rsidR="287F0BBA" w:rsidRPr="00F03917">
        <w:t xml:space="preserve"> shows typical lifetimes for different adaptation options and how the</w:t>
      </w:r>
      <w:r w:rsidR="00F61029" w:rsidRPr="00F03917">
        <w:t> </w:t>
      </w:r>
      <w:r w:rsidR="287F0BBA" w:rsidRPr="00F03917">
        <w:t>available options diminish over time. This will depend on the different coastal types (see</w:t>
      </w:r>
      <w:r w:rsidR="00F61029" w:rsidRPr="00F03917">
        <w:t> </w:t>
      </w:r>
      <w:hyperlink w:anchor="_Step_2:_Assess" w:history="1">
        <w:r w:rsidR="5746A384" w:rsidRPr="00F03917">
          <w:rPr>
            <w:rStyle w:val="Hyperlink"/>
          </w:rPr>
          <w:t>s</w:t>
        </w:r>
        <w:r w:rsidR="287F0BBA" w:rsidRPr="00F03917">
          <w:rPr>
            <w:rStyle w:val="Hyperlink"/>
          </w:rPr>
          <w:t>tep</w:t>
        </w:r>
        <w:r w:rsidR="00697F37" w:rsidRPr="00F03917">
          <w:rPr>
            <w:rStyle w:val="Hyperlink"/>
          </w:rPr>
          <w:t> </w:t>
        </w:r>
        <w:r w:rsidR="287F0BBA" w:rsidRPr="00F03917">
          <w:rPr>
            <w:rStyle w:val="Hyperlink"/>
          </w:rPr>
          <w:t>2</w:t>
        </w:r>
      </w:hyperlink>
      <w:r w:rsidR="287F0BBA" w:rsidRPr="00F03917">
        <w:t>).</w:t>
      </w:r>
    </w:p>
    <w:p w14:paraId="52D6D4F4" w14:textId="6598E41B" w:rsidR="287F0BBA" w:rsidRPr="00F03917" w:rsidRDefault="287F0BBA" w:rsidP="00697F37">
      <w:pPr>
        <w:pStyle w:val="Figureheading"/>
      </w:pPr>
      <w:bookmarkStart w:id="153" w:name="_Toc160098435"/>
      <w:r w:rsidRPr="00F03917">
        <w:t xml:space="preserve">Figure </w:t>
      </w:r>
      <w:r w:rsidR="00ED0978" w:rsidRPr="00F03917">
        <w:t>2</w:t>
      </w:r>
      <w:r w:rsidR="001F6526" w:rsidRPr="00F03917">
        <w:t>0</w:t>
      </w:r>
      <w:r w:rsidR="00ED0978" w:rsidRPr="00F03917">
        <w:t>:</w:t>
      </w:r>
      <w:r w:rsidRPr="00F03917">
        <w:t xml:space="preserve"> </w:t>
      </w:r>
      <w:r w:rsidR="00913DDD" w:rsidRPr="00F03917">
        <w:tab/>
      </w:r>
      <w:r w:rsidRPr="00F03917">
        <w:t>Typical lifetimes of different options for avoiding lock</w:t>
      </w:r>
      <w:r w:rsidR="000B74B4" w:rsidRPr="00F03917">
        <w:t>-</w:t>
      </w:r>
      <w:r w:rsidRPr="00F03917">
        <w:t>in</w:t>
      </w:r>
      <w:bookmarkEnd w:id="153"/>
      <w:r w:rsidRPr="00F03917">
        <w:t xml:space="preserve"> </w:t>
      </w:r>
    </w:p>
    <w:p w14:paraId="5246825C" w14:textId="2283C438" w:rsidR="287F0BBA" w:rsidRPr="00F03917" w:rsidRDefault="287F0BBA" w:rsidP="00697F37">
      <w:pPr>
        <w:pStyle w:val="BodyText"/>
      </w:pPr>
      <w:r w:rsidRPr="00F03917">
        <w:rPr>
          <w:noProof/>
        </w:rPr>
        <w:drawing>
          <wp:inline distT="0" distB="0" distL="0" distR="0" wp14:anchorId="3DE79016" wp14:editId="0AF945CA">
            <wp:extent cx="5362896" cy="2514034"/>
            <wp:effectExtent l="0" t="0" r="9525" b="635"/>
            <wp:docPr id="1778643492" name="Picture 177864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643492" name="Picture 1778643492"/>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362896" cy="2514034"/>
                    </a:xfrm>
                    <a:prstGeom prst="rect">
                      <a:avLst/>
                    </a:prstGeom>
                  </pic:spPr>
                </pic:pic>
              </a:graphicData>
            </a:graphic>
          </wp:inline>
        </w:drawing>
      </w:r>
    </w:p>
    <w:p w14:paraId="2520974B" w14:textId="12344259" w:rsidR="23F8B0E2" w:rsidRPr="00F03917" w:rsidRDefault="287F0BBA" w:rsidP="00697F37">
      <w:pPr>
        <w:pStyle w:val="Source"/>
        <w:spacing w:before="0"/>
      </w:pPr>
      <w:r w:rsidRPr="00F03917">
        <w:t xml:space="preserve">Source: Panel a) Cross-chapter </w:t>
      </w:r>
      <w:r w:rsidR="00840739" w:rsidRPr="00F03917">
        <w:t>b</w:t>
      </w:r>
      <w:r w:rsidRPr="00F03917">
        <w:t>ox, Sea-level Rise</w:t>
      </w:r>
      <w:r w:rsidR="00EF4E47" w:rsidRPr="00F03917">
        <w:t>,</w:t>
      </w:r>
      <w:r w:rsidRPr="00F03917">
        <w:t xml:space="preserve"> Le Cozannet et al (2022)</w:t>
      </w:r>
      <w:r w:rsidR="00840739" w:rsidRPr="00F03917">
        <w:t>,</w:t>
      </w:r>
      <w:r w:rsidR="003721CF" w:rsidRPr="00F03917">
        <w:t xml:space="preserve"> i</w:t>
      </w:r>
      <w:r w:rsidRPr="00F03917">
        <w:t>n Cooley et al (2022)</w:t>
      </w:r>
    </w:p>
    <w:p w14:paraId="1B9F6327" w14:textId="5ADF3B18" w:rsidR="00BC2E1F" w:rsidRPr="00F03917" w:rsidRDefault="664CB3BD" w:rsidP="2704D6E6">
      <w:pPr>
        <w:pStyle w:val="Heading2"/>
      </w:pPr>
      <w:bookmarkStart w:id="154" w:name="Fact_sheet_-_Responding_to_Sea_Level_Ris"/>
      <w:bookmarkStart w:id="155" w:name="_9.3.3_Identify_pathways"/>
      <w:bookmarkStart w:id="156" w:name="_Ref460252712"/>
      <w:bookmarkStart w:id="157" w:name="_Toc160096250"/>
      <w:bookmarkEnd w:id="154"/>
      <w:bookmarkEnd w:id="155"/>
      <w:r w:rsidRPr="00F03917">
        <w:lastRenderedPageBreak/>
        <w:t xml:space="preserve">5.2 </w:t>
      </w:r>
      <w:r w:rsidR="00697F37" w:rsidRPr="00F03917">
        <w:tab/>
      </w:r>
      <w:r w:rsidR="0073713C" w:rsidRPr="00F03917">
        <w:t xml:space="preserve">Develop </w:t>
      </w:r>
      <w:r w:rsidR="453D998F" w:rsidRPr="00F03917">
        <w:t xml:space="preserve">dynamic </w:t>
      </w:r>
      <w:r w:rsidR="00BC2E1F" w:rsidRPr="00F03917" w:rsidDel="009A5CBD">
        <w:t>adapt</w:t>
      </w:r>
      <w:r w:rsidR="4759D6B1" w:rsidRPr="00F03917" w:rsidDel="009A5CBD">
        <w:t>ive</w:t>
      </w:r>
      <w:r w:rsidR="00D4590A" w:rsidRPr="00F03917" w:rsidDel="009A5CBD">
        <w:t xml:space="preserve"> </w:t>
      </w:r>
      <w:r w:rsidR="00BC2E1F" w:rsidRPr="00F03917">
        <w:t>pathways</w:t>
      </w:r>
      <w:bookmarkEnd w:id="156"/>
      <w:r w:rsidR="31E76139" w:rsidRPr="00F03917">
        <w:t xml:space="preserve"> planning</w:t>
      </w:r>
      <w:r w:rsidR="003A663E" w:rsidRPr="00F03917">
        <w:t xml:space="preserve"> approach</w:t>
      </w:r>
      <w:bookmarkEnd w:id="157"/>
    </w:p>
    <w:p w14:paraId="36D2A816" w14:textId="6B0C29B3" w:rsidR="7917A98C" w:rsidRPr="00F03917" w:rsidRDefault="00346CD5" w:rsidP="0070386C">
      <w:pPr>
        <w:pStyle w:val="BodyText"/>
        <w:spacing w:before="100" w:after="100"/>
      </w:pPr>
      <w:r w:rsidRPr="00F03917">
        <w:t>A</w:t>
      </w:r>
      <w:r w:rsidR="0008490C" w:rsidRPr="00F03917">
        <w:t>pproach</w:t>
      </w:r>
      <w:r w:rsidRPr="00F03917">
        <w:t>es</w:t>
      </w:r>
      <w:r w:rsidR="0008490C" w:rsidRPr="00F03917">
        <w:t xml:space="preserve"> </w:t>
      </w:r>
      <w:r w:rsidR="00A25C2D" w:rsidRPr="00F03917">
        <w:t xml:space="preserve">like </w:t>
      </w:r>
      <w:r w:rsidR="000E0463" w:rsidRPr="00F03917">
        <w:t xml:space="preserve">DAPP </w:t>
      </w:r>
      <w:r w:rsidR="0008490C" w:rsidRPr="00F03917">
        <w:t xml:space="preserve">do not prescribe a single solution that is embedded at the start. Future options are left for future decisions, provided they </w:t>
      </w:r>
      <w:r w:rsidR="00F12088" w:rsidRPr="00F03917">
        <w:t>continue to</w:t>
      </w:r>
      <w:r w:rsidR="0008490C" w:rsidRPr="00F03917">
        <w:t xml:space="preserve"> help achieve the stated </w:t>
      </w:r>
      <w:r w:rsidR="00194C3E" w:rsidRPr="00F03917">
        <w:t xml:space="preserve">or revised </w:t>
      </w:r>
      <w:r w:rsidR="0008490C" w:rsidRPr="00F03917">
        <w:t>objective</w:t>
      </w:r>
      <w:r w:rsidR="000C03B4" w:rsidRPr="00F03917">
        <w:t>s reviewed at decision trigger points</w:t>
      </w:r>
      <w:r w:rsidR="0008490C" w:rsidRPr="00F03917">
        <w:t xml:space="preserve">. This gives the community </w:t>
      </w:r>
      <w:r w:rsidR="005C3153" w:rsidRPr="00F03917">
        <w:t>guidance</w:t>
      </w:r>
      <w:r w:rsidR="0008490C" w:rsidRPr="00F03917">
        <w:t xml:space="preserve"> about what the future pathways</w:t>
      </w:r>
      <w:r w:rsidR="005C3153" w:rsidRPr="00F03917">
        <w:t xml:space="preserve"> may</w:t>
      </w:r>
      <w:r w:rsidR="0008490C" w:rsidRPr="00F03917">
        <w:t xml:space="preserve"> entail. Transparent trade-offs can be made where there are competing options and different values. Informed debate on the options can then take place, with an awareness of how they might affect future decisions (Kwakkel et al, 2016).</w:t>
      </w:r>
      <w:r w:rsidR="00FB7D30" w:rsidRPr="00F03917">
        <w:t xml:space="preserve"> </w:t>
      </w:r>
    </w:p>
    <w:p w14:paraId="62F1E9A0" w14:textId="10213F8B" w:rsidR="7917A98C" w:rsidRPr="00F03917" w:rsidRDefault="7917A98C" w:rsidP="0070386C">
      <w:pPr>
        <w:pStyle w:val="BodyText"/>
        <w:spacing w:before="100" w:after="100"/>
      </w:pPr>
      <w:r w:rsidRPr="00F03917">
        <w:t xml:space="preserve">Using </w:t>
      </w:r>
      <w:r w:rsidR="47DDC6DC" w:rsidRPr="00F03917">
        <w:t>DAPP</w:t>
      </w:r>
      <w:r w:rsidR="6053FE2F" w:rsidRPr="00F03917">
        <w:t xml:space="preserve"> </w:t>
      </w:r>
      <w:r w:rsidRPr="00F03917">
        <w:t>is particularly useful for making decisions in the coastal context, where dynamic characteristics lead to ever-changing risk profiles, and where the rates and magnitude of changes are uncertain, especially over the long</w:t>
      </w:r>
      <w:r w:rsidR="00AD2ABD" w:rsidRPr="00F03917">
        <w:t> </w:t>
      </w:r>
      <w:r w:rsidRPr="00F03917">
        <w:t xml:space="preserve">term. </w:t>
      </w:r>
      <w:r w:rsidR="44E95937" w:rsidRPr="00F03917">
        <w:t>Such a</w:t>
      </w:r>
      <w:r w:rsidRPr="00F03917">
        <w:t>dapt</w:t>
      </w:r>
      <w:r w:rsidR="20948221" w:rsidRPr="00F03917">
        <w:t>ation</w:t>
      </w:r>
      <w:r w:rsidRPr="00F03917">
        <w:t xml:space="preserve"> planning focuses on making the dependencies among </w:t>
      </w:r>
      <w:r w:rsidR="008418BA" w:rsidRPr="00F03917">
        <w:t xml:space="preserve">adaptation </w:t>
      </w:r>
      <w:r w:rsidRPr="00F03917">
        <w:t xml:space="preserve">actions transparent and showing whether options will result in lock-in of existing risk or create future exposure to risk. This helps reduce the risk of irreversible decisions </w:t>
      </w:r>
      <w:r w:rsidR="00BC070B" w:rsidRPr="00F03917">
        <w:t>and consequence costs and disruption</w:t>
      </w:r>
      <w:r w:rsidRPr="00F03917">
        <w:t xml:space="preserve"> (Kwakkel et al, 2016).</w:t>
      </w:r>
    </w:p>
    <w:p w14:paraId="49D82F1D" w14:textId="77777777" w:rsidR="00BC2E1F" w:rsidRPr="00F03917" w:rsidRDefault="00BC2E1F" w:rsidP="0070386C">
      <w:pPr>
        <w:pStyle w:val="BodyText"/>
        <w:spacing w:before="100" w:after="100"/>
      </w:pPr>
      <w:r w:rsidRPr="00F03917">
        <w:t>This approach enables decisions to be taken in stages over time to:</w:t>
      </w:r>
    </w:p>
    <w:p w14:paraId="05944D05" w14:textId="77777777" w:rsidR="00BC2E1F" w:rsidRPr="00F03917" w:rsidRDefault="19CDADC1" w:rsidP="00174F6E">
      <w:pPr>
        <w:pStyle w:val="BulletFIX"/>
        <w:rPr>
          <w:rFonts w:eastAsiaTheme="minorEastAsia"/>
        </w:rPr>
      </w:pPr>
      <w:r w:rsidRPr="00F03917">
        <w:rPr>
          <w:rFonts w:eastAsiaTheme="minorEastAsia"/>
        </w:rPr>
        <w:t>set objectives</w:t>
      </w:r>
    </w:p>
    <w:p w14:paraId="255B785C" w14:textId="77777777" w:rsidR="00BC2E1F" w:rsidRPr="00F03917" w:rsidRDefault="19CDADC1" w:rsidP="00174F6E">
      <w:pPr>
        <w:pStyle w:val="BulletFIX"/>
        <w:rPr>
          <w:rFonts w:eastAsiaTheme="minorEastAsia"/>
        </w:rPr>
      </w:pPr>
      <w:r w:rsidRPr="00F03917">
        <w:rPr>
          <w:rFonts w:eastAsiaTheme="minorEastAsia"/>
        </w:rPr>
        <w:t>decide adaptation thresholds based on predetermined conditions that are acceptable or tolerable to those affected by coastal hazards</w:t>
      </w:r>
    </w:p>
    <w:p w14:paraId="41251619" w14:textId="514B3D0E" w:rsidR="00BC2E1F" w:rsidRPr="00F03917" w:rsidRDefault="19CDADC1" w:rsidP="00174F6E">
      <w:pPr>
        <w:pStyle w:val="BulletFIX"/>
        <w:rPr>
          <w:rFonts w:eastAsiaTheme="minorEastAsia"/>
        </w:rPr>
      </w:pPr>
      <w:r w:rsidRPr="00F03917">
        <w:rPr>
          <w:rFonts w:eastAsiaTheme="minorEastAsia"/>
        </w:rPr>
        <w:t>identify triggers (</w:t>
      </w:r>
      <w:hyperlink w:anchor="_10_Adaptive_planning">
        <w:r w:rsidRPr="00F03917">
          <w:rPr>
            <w:rStyle w:val="Hyperlink"/>
            <w:rFonts w:eastAsiaTheme="minorEastAsia"/>
          </w:rPr>
          <w:t>step 7</w:t>
        </w:r>
      </w:hyperlink>
      <w:r w:rsidRPr="00F03917">
        <w:rPr>
          <w:rFonts w:eastAsiaTheme="minorEastAsia"/>
        </w:rPr>
        <w:t>)</w:t>
      </w:r>
      <w:r w:rsidR="00F60F3B" w:rsidRPr="00F03917">
        <w:rPr>
          <w:rFonts w:eastAsiaTheme="minorEastAsia"/>
        </w:rPr>
        <w:t>,</w:t>
      </w:r>
      <w:r w:rsidRPr="00F03917">
        <w:rPr>
          <w:rFonts w:eastAsiaTheme="minorEastAsia"/>
        </w:rPr>
        <w:t xml:space="preserve"> based on signals, which allow enough time to implement the response options b</w:t>
      </w:r>
      <w:r w:rsidR="6C0C89EC" w:rsidRPr="00F03917">
        <w:rPr>
          <w:rFonts w:eastAsiaTheme="minorEastAsia"/>
        </w:rPr>
        <w:t>efore</w:t>
      </w:r>
      <w:r w:rsidRPr="00F03917">
        <w:rPr>
          <w:rFonts w:eastAsiaTheme="minorEastAsia"/>
        </w:rPr>
        <w:t xml:space="preserve"> the adaptation threshold is reached. </w:t>
      </w:r>
    </w:p>
    <w:p w14:paraId="77ED7C09" w14:textId="482CF31D" w:rsidR="00BC2E1F" w:rsidRPr="00F03917" w:rsidRDefault="00BC2E1F" w:rsidP="0070386C">
      <w:pPr>
        <w:pStyle w:val="BodyText"/>
        <w:spacing w:after="100"/>
      </w:pPr>
      <w:r w:rsidRPr="00F03917">
        <w:t xml:space="preserve">By exploring different pathways using </w:t>
      </w:r>
      <w:r w:rsidR="00FA39D4" w:rsidRPr="00F03917">
        <w:t>RSLR</w:t>
      </w:r>
      <w:r w:rsidRPr="00F03917">
        <w:t xml:space="preserve"> increments </w:t>
      </w:r>
      <w:r w:rsidR="2525A968" w:rsidRPr="00F03917">
        <w:t>and range of</w:t>
      </w:r>
      <w:r w:rsidRPr="00F03917">
        <w:t xml:space="preserve"> </w:t>
      </w:r>
      <w:r w:rsidR="5DF78F7B" w:rsidRPr="00F03917">
        <w:t>projections to stress</w:t>
      </w:r>
      <w:r w:rsidR="00F60F3B" w:rsidRPr="00F03917">
        <w:t>-</w:t>
      </w:r>
      <w:r w:rsidR="5DF78F7B" w:rsidRPr="00F03917">
        <w:t>test them</w:t>
      </w:r>
      <w:r w:rsidRPr="00F03917">
        <w:t>, a</w:t>
      </w:r>
      <w:r w:rsidR="1BF810A6" w:rsidRPr="00F03917">
        <w:t xml:space="preserve"> </w:t>
      </w:r>
      <w:r w:rsidR="00A25C2D" w:rsidRPr="00F03917">
        <w:t>DAPP</w:t>
      </w:r>
      <w:r w:rsidR="00FA39D4" w:rsidRPr="00F03917">
        <w:t xml:space="preserve"> can be designed</w:t>
      </w:r>
      <w:r w:rsidRPr="00F03917">
        <w:t xml:space="preserve"> that includes a mix of short-term actions and long-term options. Criteria for the options should include:</w:t>
      </w:r>
    </w:p>
    <w:p w14:paraId="6CBC4B18" w14:textId="221589D7" w:rsidR="00BC2E1F" w:rsidRPr="00F03917" w:rsidRDefault="19CDADC1" w:rsidP="00174F6E">
      <w:pPr>
        <w:pStyle w:val="BulletFIX"/>
      </w:pPr>
      <w:r w:rsidRPr="00F03917">
        <w:t xml:space="preserve">flexibility (adjustable or transferable to another option with minimum cost) </w:t>
      </w:r>
    </w:p>
    <w:p w14:paraId="2895D956" w14:textId="3D15CDD3" w:rsidR="56102DD2" w:rsidRPr="00F03917" w:rsidRDefault="56102DD2" w:rsidP="00174F6E">
      <w:pPr>
        <w:pStyle w:val="BulletFIX"/>
      </w:pPr>
      <w:r w:rsidRPr="00F03917">
        <w:t>lifetime of the option</w:t>
      </w:r>
    </w:p>
    <w:p w14:paraId="0E99D23B" w14:textId="77777777" w:rsidR="00BC2E1F" w:rsidRPr="00F03917" w:rsidRDefault="19CDADC1" w:rsidP="00174F6E">
      <w:pPr>
        <w:pStyle w:val="BulletFIX"/>
      </w:pPr>
      <w:r w:rsidRPr="00F03917">
        <w:t xml:space="preserve">avoidance of lock-in and path dependency </w:t>
      </w:r>
    </w:p>
    <w:p w14:paraId="3E22D44F" w14:textId="05BD31CC" w:rsidR="00BC2E1F" w:rsidRPr="00F03917" w:rsidRDefault="19CDADC1" w:rsidP="00174F6E">
      <w:pPr>
        <w:pStyle w:val="BulletFIX"/>
      </w:pPr>
      <w:r w:rsidRPr="00F03917">
        <w:t xml:space="preserve">meeting stated objectives over at least 100 years </w:t>
      </w:r>
    </w:p>
    <w:p w14:paraId="5937C15A" w14:textId="10E26B19" w:rsidR="00BC2E1F" w:rsidRPr="00F03917" w:rsidRDefault="19CDADC1" w:rsidP="00174F6E">
      <w:pPr>
        <w:pStyle w:val="BulletFIX"/>
      </w:pPr>
      <w:r w:rsidRPr="00F03917">
        <w:t>performance of the options and pathways</w:t>
      </w:r>
      <w:r w:rsidR="7FE822DE" w:rsidRPr="00F03917">
        <w:t xml:space="preserve"> to meet </w:t>
      </w:r>
      <w:r w:rsidR="50B2796B" w:rsidRPr="00F03917">
        <w:t>the</w:t>
      </w:r>
      <w:r w:rsidR="7FE822DE" w:rsidRPr="00F03917">
        <w:t xml:space="preserve"> objectives</w:t>
      </w:r>
      <w:r w:rsidRPr="00F03917">
        <w:t xml:space="preserve">. </w:t>
      </w:r>
    </w:p>
    <w:p w14:paraId="72A62454" w14:textId="5275789C" w:rsidR="00BC2E1F" w:rsidRPr="00F03917" w:rsidRDefault="7960CDDA" w:rsidP="0070386C">
      <w:pPr>
        <w:pStyle w:val="BodyText"/>
        <w:spacing w:before="100" w:after="100"/>
      </w:pPr>
      <w:r w:rsidRPr="00F03917">
        <w:t>Develop the pathways from the present and out into the future using a pathways map (figure</w:t>
      </w:r>
      <w:r w:rsidR="0070386C" w:rsidRPr="00F03917">
        <w:t> </w:t>
      </w:r>
      <w:r w:rsidRPr="00F03917">
        <w:t>2</w:t>
      </w:r>
      <w:r w:rsidR="001420DE" w:rsidRPr="00F03917">
        <w:t>1</w:t>
      </w:r>
      <w:r w:rsidRPr="00F03917">
        <w:t>)</w:t>
      </w:r>
      <w:r w:rsidR="00560B7E" w:rsidRPr="00F03917">
        <w:t>,</w:t>
      </w:r>
      <w:r w:rsidRPr="00F03917">
        <w:t xml:space="preserve"> which can be visualised as a metro map showing alternative routes for getting to the same objective. All routes meet a specified minimum performance level, to a trigger point for decisions that are implemented before the threshold is reached, giving time for the particular action or option to be decided, to be put in place</w:t>
      </w:r>
      <w:r w:rsidR="7BA3B925" w:rsidRPr="00F03917">
        <w:t>,</w:t>
      </w:r>
      <w:r w:rsidRPr="00F03917">
        <w:t xml:space="preserve"> or in statutory plans. </w:t>
      </w:r>
    </w:p>
    <w:p w14:paraId="14221577" w14:textId="048B4EF6" w:rsidR="00BC2E1F" w:rsidRPr="00F03917" w:rsidRDefault="00BC2E1F" w:rsidP="0070386C">
      <w:pPr>
        <w:pStyle w:val="BodyText"/>
        <w:spacing w:before="100" w:after="100"/>
        <w:rPr>
          <w:rFonts w:cs="Calibri"/>
        </w:rPr>
      </w:pPr>
      <w:r w:rsidRPr="00F03917">
        <w:t xml:space="preserve">The </w:t>
      </w:r>
      <w:r w:rsidR="00A25C2D" w:rsidRPr="00F03917">
        <w:t>DAPP</w:t>
      </w:r>
      <w:r w:rsidR="44D58062" w:rsidRPr="00F03917">
        <w:t xml:space="preserve"> </w:t>
      </w:r>
      <w:r w:rsidRPr="00F03917">
        <w:t>map shows:</w:t>
      </w:r>
    </w:p>
    <w:p w14:paraId="129192CA" w14:textId="3EEC8CA9" w:rsidR="00BC2E1F" w:rsidRPr="00F03917" w:rsidRDefault="5AA9ED8A" w:rsidP="00174F6E">
      <w:pPr>
        <w:pStyle w:val="BulletFIX"/>
        <w:rPr>
          <w:rFonts w:eastAsiaTheme="minorEastAsia"/>
        </w:rPr>
      </w:pPr>
      <w:r w:rsidRPr="00F03917">
        <w:rPr>
          <w:rFonts w:eastAsiaTheme="minorEastAsia"/>
        </w:rPr>
        <w:t>a</w:t>
      </w:r>
      <w:r w:rsidR="19CDADC1" w:rsidRPr="00F03917">
        <w:rPr>
          <w:rFonts w:eastAsiaTheme="minorEastAsia"/>
        </w:rPr>
        <w:t xml:space="preserve">daptation </w:t>
      </w:r>
      <w:r w:rsidR="77E05EDC" w:rsidRPr="00F03917">
        <w:rPr>
          <w:rFonts w:eastAsiaTheme="minorEastAsia"/>
        </w:rPr>
        <w:t xml:space="preserve">actions or </w:t>
      </w:r>
      <w:r w:rsidR="28AD2397" w:rsidRPr="00F03917">
        <w:rPr>
          <w:rFonts w:eastAsiaTheme="minorEastAsia"/>
        </w:rPr>
        <w:t>options</w:t>
      </w:r>
    </w:p>
    <w:p w14:paraId="7A9E21C3" w14:textId="39CE526F" w:rsidR="00BC2E1F" w:rsidRPr="00F03917" w:rsidRDefault="28AD2397" w:rsidP="00174F6E">
      <w:pPr>
        <w:pStyle w:val="BulletFIX"/>
        <w:rPr>
          <w:rFonts w:eastAsiaTheme="minorEastAsia"/>
        </w:rPr>
      </w:pPr>
      <w:r w:rsidRPr="00F03917">
        <w:rPr>
          <w:rFonts w:eastAsiaTheme="minorEastAsia"/>
        </w:rPr>
        <w:t xml:space="preserve">adaptation </w:t>
      </w:r>
      <w:r w:rsidR="19CDADC1" w:rsidRPr="00F03917">
        <w:rPr>
          <w:rFonts w:eastAsiaTheme="minorEastAsia"/>
        </w:rPr>
        <w:t>thresholds (similar to terminal stations on the metro map)</w:t>
      </w:r>
    </w:p>
    <w:p w14:paraId="1F822423" w14:textId="198FB51E" w:rsidR="00BC2E1F" w:rsidRPr="00F03917" w:rsidRDefault="19CDADC1" w:rsidP="00174F6E">
      <w:pPr>
        <w:pStyle w:val="BulletFIX"/>
        <w:rPr>
          <w:rFonts w:eastAsiaTheme="minorEastAsia"/>
        </w:rPr>
      </w:pPr>
      <w:r w:rsidRPr="00F03917">
        <w:rPr>
          <w:rFonts w:eastAsiaTheme="minorEastAsia"/>
        </w:rPr>
        <w:t xml:space="preserve">the available actions after a </w:t>
      </w:r>
      <w:r w:rsidR="21135B24" w:rsidRPr="00F03917">
        <w:rPr>
          <w:rFonts w:eastAsiaTheme="minorEastAsia"/>
        </w:rPr>
        <w:t xml:space="preserve">trigger point </w:t>
      </w:r>
      <w:r w:rsidR="1F8E355B" w:rsidRPr="00F03917">
        <w:rPr>
          <w:rFonts w:eastAsiaTheme="minorEastAsia"/>
        </w:rPr>
        <w:t xml:space="preserve">and </w:t>
      </w:r>
      <w:r w:rsidR="21135B24" w:rsidRPr="00F03917">
        <w:rPr>
          <w:rFonts w:eastAsiaTheme="minorEastAsia"/>
        </w:rPr>
        <w:t xml:space="preserve">ahead of </w:t>
      </w:r>
      <w:r w:rsidR="33CE8DEA" w:rsidRPr="00F03917">
        <w:rPr>
          <w:rFonts w:eastAsiaTheme="minorEastAsia"/>
        </w:rPr>
        <w:t>the</w:t>
      </w:r>
      <w:r w:rsidR="21135B24" w:rsidRPr="00F03917">
        <w:rPr>
          <w:rFonts w:eastAsiaTheme="minorEastAsia"/>
        </w:rPr>
        <w:t xml:space="preserve"> </w:t>
      </w:r>
      <w:r w:rsidRPr="00F03917">
        <w:rPr>
          <w:rFonts w:eastAsiaTheme="minorEastAsia"/>
        </w:rPr>
        <w:t xml:space="preserve">threshold </w:t>
      </w:r>
      <w:r w:rsidR="3327755A" w:rsidRPr="00F03917">
        <w:rPr>
          <w:rFonts w:eastAsiaTheme="minorEastAsia"/>
        </w:rPr>
        <w:t>being</w:t>
      </w:r>
      <w:r w:rsidRPr="00F03917">
        <w:rPr>
          <w:rFonts w:eastAsiaTheme="minorEastAsia"/>
        </w:rPr>
        <w:t xml:space="preserve"> reached (via</w:t>
      </w:r>
      <w:r w:rsidR="0042188F" w:rsidRPr="00F03917">
        <w:rPr>
          <w:rFonts w:eastAsiaTheme="minorEastAsia"/>
        </w:rPr>
        <w:t> </w:t>
      </w:r>
      <w:r w:rsidRPr="00F03917">
        <w:rPr>
          <w:rFonts w:eastAsiaTheme="minorEastAsia"/>
        </w:rPr>
        <w:t>transfer to other stations</w:t>
      </w:r>
      <w:r w:rsidR="77C9FE47" w:rsidRPr="00F03917">
        <w:rPr>
          <w:rFonts w:eastAsiaTheme="minorEastAsia"/>
        </w:rPr>
        <w:t xml:space="preserve"> in another pathway</w:t>
      </w:r>
      <w:r w:rsidRPr="00F03917">
        <w:rPr>
          <w:rFonts w:eastAsiaTheme="minorEastAsia"/>
        </w:rPr>
        <w:t>)</w:t>
      </w:r>
    </w:p>
    <w:p w14:paraId="5EB11493" w14:textId="77777777" w:rsidR="00BC2E1F" w:rsidRPr="00F03917" w:rsidRDefault="19CDADC1" w:rsidP="00174F6E">
      <w:pPr>
        <w:pStyle w:val="BulletFIX"/>
        <w:rPr>
          <w:rFonts w:eastAsiaTheme="minorEastAsia"/>
        </w:rPr>
      </w:pPr>
      <w:r w:rsidRPr="00F03917">
        <w:rPr>
          <w:rFonts w:eastAsiaTheme="minorEastAsia"/>
        </w:rPr>
        <w:t>signals that a decision point is approaching</w:t>
      </w:r>
    </w:p>
    <w:p w14:paraId="4A6F3EA4" w14:textId="013CFF15" w:rsidR="00BC2E1F" w:rsidRPr="00F03917" w:rsidRDefault="19CDADC1" w:rsidP="00174F6E">
      <w:pPr>
        <w:pStyle w:val="BulletFIX"/>
        <w:rPr>
          <w:rFonts w:eastAsiaTheme="minorEastAsia"/>
        </w:rPr>
      </w:pPr>
      <w:r w:rsidRPr="00F03917">
        <w:rPr>
          <w:rFonts w:eastAsiaTheme="minorEastAsia"/>
        </w:rPr>
        <w:t xml:space="preserve">the trigger points where a decision is required </w:t>
      </w:r>
      <w:r w:rsidR="40B69E28" w:rsidRPr="00F03917">
        <w:rPr>
          <w:rFonts w:eastAsiaTheme="minorEastAsia"/>
        </w:rPr>
        <w:t xml:space="preserve">to review performance, objectives and whether a change of pathway is required </w:t>
      </w:r>
      <w:r w:rsidRPr="00F03917">
        <w:rPr>
          <w:rFonts w:eastAsiaTheme="minorEastAsia"/>
        </w:rPr>
        <w:t xml:space="preserve">(Haasnoot et al, 2013). </w:t>
      </w:r>
    </w:p>
    <w:p w14:paraId="7ACADA67" w14:textId="291F7818" w:rsidR="00BC2E1F" w:rsidRPr="00F03917" w:rsidRDefault="608A2BB5" w:rsidP="00C52920">
      <w:pPr>
        <w:pStyle w:val="Figureheading"/>
      </w:pPr>
      <w:bookmarkStart w:id="158" w:name="figure21"/>
      <w:bookmarkStart w:id="159" w:name="_Toc144147181"/>
      <w:bookmarkStart w:id="160" w:name="_Toc160098436"/>
      <w:r w:rsidRPr="00F03917">
        <w:lastRenderedPageBreak/>
        <w:t xml:space="preserve">Figure </w:t>
      </w:r>
      <w:r w:rsidR="00E5118E" w:rsidRPr="00F03917">
        <w:t>2</w:t>
      </w:r>
      <w:r w:rsidR="001F6526" w:rsidRPr="00F03917">
        <w:t>1</w:t>
      </w:r>
      <w:bookmarkEnd w:id="158"/>
      <w:r w:rsidRPr="00F03917">
        <w:t>:</w:t>
      </w:r>
      <w:r w:rsidR="00BC2E1F" w:rsidRPr="00F03917">
        <w:tab/>
      </w:r>
      <w:r w:rsidR="4E2A5F7F" w:rsidRPr="00F03917">
        <w:t>A</w:t>
      </w:r>
      <w:r w:rsidR="00BC2E1F" w:rsidRPr="00F03917">
        <w:t xml:space="preserve"> </w:t>
      </w:r>
      <w:r w:rsidR="55FBA552" w:rsidRPr="00F03917">
        <w:t xml:space="preserve">dynamic adaptive </w:t>
      </w:r>
      <w:r w:rsidR="00BC2E1F" w:rsidRPr="00F03917">
        <w:t xml:space="preserve">pathways </w:t>
      </w:r>
      <w:r w:rsidR="236ED809" w:rsidRPr="00F03917">
        <w:t>planning</w:t>
      </w:r>
      <w:r w:rsidR="00BC2E1F" w:rsidRPr="00F03917">
        <w:t xml:space="preserve"> map</w:t>
      </w:r>
      <w:bookmarkEnd w:id="159"/>
      <w:bookmarkEnd w:id="160"/>
      <w:r w:rsidR="00BC2E1F" w:rsidRPr="00F03917">
        <w:t xml:space="preserve"> </w:t>
      </w:r>
    </w:p>
    <w:p w14:paraId="532990B0" w14:textId="730750F3" w:rsidR="00BC2E1F" w:rsidRPr="00F03917" w:rsidRDefault="00BC2E1F" w:rsidP="000C4F40">
      <w:pPr>
        <w:pStyle w:val="BodyText"/>
        <w:jc w:val="center"/>
        <w:rPr>
          <w:szCs w:val="20"/>
        </w:rPr>
      </w:pPr>
      <w:r w:rsidRPr="00F03917">
        <w:rPr>
          <w:noProof/>
        </w:rPr>
        <w:drawing>
          <wp:inline distT="0" distB="0" distL="0" distR="0" wp14:anchorId="6CFF5778" wp14:editId="5A719322">
            <wp:extent cx="5343277" cy="363859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rotWithShape="1">
                    <a:blip r:embed="rId120" cstate="print">
                      <a:extLst>
                        <a:ext uri="{28A0092B-C50C-407E-A947-70E740481C1C}">
                          <a14:useLocalDpi xmlns:a14="http://schemas.microsoft.com/office/drawing/2010/main" val="0"/>
                        </a:ext>
                      </a:extLst>
                    </a:blip>
                    <a:srcRect l="-1" t="-1644" b="-2025"/>
                    <a:stretch/>
                  </pic:blipFill>
                  <pic:spPr bwMode="auto">
                    <a:xfrm>
                      <a:off x="0" y="0"/>
                      <a:ext cx="5353865" cy="3645805"/>
                    </a:xfrm>
                    <a:prstGeom prst="rect">
                      <a:avLst/>
                    </a:prstGeom>
                    <a:ln>
                      <a:noFill/>
                    </a:ln>
                    <a:extLst>
                      <a:ext uri="{53640926-AAD7-44D8-BBD7-CCE9431645EC}">
                        <a14:shadowObscured xmlns:a14="http://schemas.microsoft.com/office/drawing/2010/main"/>
                      </a:ext>
                    </a:extLst>
                  </pic:spPr>
                </pic:pic>
              </a:graphicData>
            </a:graphic>
          </wp:inline>
        </w:drawing>
      </w:r>
    </w:p>
    <w:p w14:paraId="7CA07FBC" w14:textId="60510158" w:rsidR="00BC2E1F" w:rsidRPr="00F03917" w:rsidRDefault="3F23835C" w:rsidP="000C4F40">
      <w:pPr>
        <w:pStyle w:val="Source"/>
      </w:pPr>
      <w:bookmarkStart w:id="161" w:name="_Toc144147182"/>
      <w:bookmarkStart w:id="162" w:name="_Toc465159110"/>
      <w:bookmarkStart w:id="163" w:name="_Toc465847582"/>
      <w:bookmarkStart w:id="164" w:name="_Toc466014441"/>
      <w:r w:rsidRPr="00F03917">
        <w:t xml:space="preserve">Source: </w:t>
      </w:r>
      <w:r w:rsidR="00BC2E1F" w:rsidRPr="00F03917">
        <w:t>Adapted from Haasnoot et al (2013); Hermans et al (2017)</w:t>
      </w:r>
      <w:bookmarkEnd w:id="161"/>
    </w:p>
    <w:p w14:paraId="4B591D47" w14:textId="78447D6F" w:rsidR="00FC6C0D" w:rsidRPr="00F03917" w:rsidRDefault="00FC6C0D" w:rsidP="00BC2E1F">
      <w:pPr>
        <w:tabs>
          <w:tab w:val="left" w:pos="397"/>
        </w:tabs>
        <w:spacing w:after="100" w:line="280" w:lineRule="exact"/>
        <w:rPr>
          <w:rFonts w:ascii="Calibri" w:eastAsia="Times New Roman" w:hAnsi="Calibri" w:cs="Times New Roman"/>
          <w:kern w:val="0"/>
          <w:sz w:val="22"/>
          <w:szCs w:val="20"/>
          <w:lang w:eastAsia="en-NZ"/>
          <w14:ligatures w14:val="none"/>
        </w:rPr>
      </w:pPr>
    </w:p>
    <w:p w14:paraId="688A00FF" w14:textId="77777777" w:rsidR="00656434" w:rsidRPr="00F03917" w:rsidRDefault="00656434" w:rsidP="00BC2E1F">
      <w:pPr>
        <w:tabs>
          <w:tab w:val="left" w:pos="397"/>
        </w:tabs>
        <w:spacing w:after="100" w:line="280" w:lineRule="exact"/>
        <w:rPr>
          <w:rFonts w:ascii="Calibri" w:eastAsia="Times New Roman" w:hAnsi="Calibri" w:cs="Times New Roman"/>
          <w:kern w:val="0"/>
          <w:sz w:val="22"/>
          <w:szCs w:val="20"/>
          <w:lang w:eastAsia="en-NZ"/>
          <w14:ligatures w14:val="none"/>
        </w:rPr>
      </w:pPr>
    </w:p>
    <w:p w14:paraId="32373AC9" w14:textId="77777777" w:rsidR="00656434" w:rsidRPr="00F03917" w:rsidRDefault="00656434" w:rsidP="00BC2E1F">
      <w:pPr>
        <w:tabs>
          <w:tab w:val="left" w:pos="397"/>
        </w:tabs>
        <w:spacing w:after="100" w:line="280" w:lineRule="exact"/>
        <w:rPr>
          <w:rFonts w:ascii="Calibri" w:eastAsia="Times New Roman" w:hAnsi="Calibri" w:cs="Times New Roman"/>
          <w:kern w:val="0"/>
          <w:sz w:val="22"/>
          <w:szCs w:val="20"/>
          <w:lang w:eastAsia="en-NZ"/>
          <w14:ligatures w14:val="none"/>
        </w:rPr>
      </w:pPr>
    </w:p>
    <w:p w14:paraId="5E906E90" w14:textId="10D5D98D" w:rsidR="001233AB" w:rsidRPr="00F03917" w:rsidRDefault="00E24436" w:rsidP="000C4F40">
      <w:pPr>
        <w:pStyle w:val="BodyText"/>
      </w:pPr>
      <w:r w:rsidRPr="00F03917">
        <w:rPr>
          <w:noProof/>
          <w:color w:val="1B5568"/>
        </w:rPr>
        <w:drawing>
          <wp:inline distT="0" distB="0" distL="0" distR="0" wp14:anchorId="216C75D4" wp14:editId="2CF8DE33">
            <wp:extent cx="5400040" cy="2794635"/>
            <wp:effectExtent l="0" t="0" r="48260" b="0"/>
            <wp:docPr id="1966713156" name="Diagram 19667131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1" r:lo="rId122" r:qs="rId123" r:cs="rId124"/>
              </a:graphicData>
            </a:graphic>
          </wp:inline>
        </w:drawing>
      </w:r>
    </w:p>
    <w:p w14:paraId="7A1421D5" w14:textId="77777777" w:rsidR="002E1DE2" w:rsidRPr="00F03917" w:rsidRDefault="002E1DE2" w:rsidP="000C4F40">
      <w:pPr>
        <w:pStyle w:val="BodyText"/>
      </w:pPr>
    </w:p>
    <w:p w14:paraId="6146E6FC" w14:textId="77777777" w:rsidR="002E1DE2" w:rsidRPr="00F03917" w:rsidRDefault="002E1DE2" w:rsidP="002E1DE2">
      <w:pPr>
        <w:rPr>
          <w:lang w:eastAsia="en-NZ"/>
        </w:rPr>
        <w:sectPr w:rsidR="002E1DE2" w:rsidRPr="00F03917" w:rsidSect="007E5AB2">
          <w:headerReference w:type="default" r:id="rId126"/>
          <w:footerReference w:type="first" r:id="rId127"/>
          <w:pgSz w:w="11907" w:h="16840" w:code="9"/>
          <w:pgMar w:top="1134" w:right="1701" w:bottom="1134" w:left="1701" w:header="567" w:footer="567" w:gutter="0"/>
          <w:cols w:space="720"/>
          <w:titlePg/>
          <w:docGrid w:linePitch="299"/>
        </w:sectPr>
      </w:pPr>
    </w:p>
    <w:p w14:paraId="43031FB8" w14:textId="5E354BF2" w:rsidR="00BC2E1F" w:rsidRPr="00F03917" w:rsidRDefault="000E29F9" w:rsidP="003A33BE">
      <w:pPr>
        <w:pStyle w:val="Heading1"/>
      </w:pPr>
      <w:bookmarkStart w:id="165" w:name="_Step_6:_Evaluate"/>
      <w:bookmarkStart w:id="166" w:name="_Toc160096251"/>
      <w:bookmarkEnd w:id="165"/>
      <w:r w:rsidRPr="00F03917">
        <w:lastRenderedPageBreak/>
        <w:t xml:space="preserve">Step 6: </w:t>
      </w:r>
      <w:r w:rsidR="00BC2E1F" w:rsidRPr="00F03917">
        <w:t>Evaluate options and pathways</w:t>
      </w:r>
      <w:bookmarkEnd w:id="166"/>
    </w:p>
    <w:bookmarkEnd w:id="162"/>
    <w:bookmarkEnd w:id="163"/>
    <w:bookmarkEnd w:id="164"/>
    <w:p w14:paraId="1930D29D" w14:textId="3AE7B6E2" w:rsidR="00BC2E1F" w:rsidRPr="00F03917" w:rsidRDefault="00BC2E1F" w:rsidP="000C4F40">
      <w:pPr>
        <w:pStyle w:val="BodyText"/>
        <w:jc w:val="center"/>
      </w:pPr>
      <w:r w:rsidRPr="00F03917">
        <w:rPr>
          <w:noProof/>
        </w:rPr>
        <w:drawing>
          <wp:inline distT="0" distB="0" distL="0" distR="0" wp14:anchorId="0F0EA5BD" wp14:editId="0EAC81B9">
            <wp:extent cx="4680000" cy="4556994"/>
            <wp:effectExtent l="0" t="0" r="0" b="0"/>
            <wp:docPr id="1709899122" name="Picture 1709899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899122" name="Picture 1709899122"/>
                    <pic:cNvPicPr/>
                  </pic:nvPicPr>
                  <pic:blipFill rotWithShape="1">
                    <a:blip r:embed="rId128" cstate="print">
                      <a:extLst>
                        <a:ext uri="{28A0092B-C50C-407E-A947-70E740481C1C}">
                          <a14:useLocalDpi xmlns:a14="http://schemas.microsoft.com/office/drawing/2010/main" val="0"/>
                        </a:ext>
                      </a:extLst>
                    </a:blip>
                    <a:srcRect l="-6521" t="-5036" r="-6521" b="-5036"/>
                    <a:stretch/>
                  </pic:blipFill>
                  <pic:spPr bwMode="auto">
                    <a:xfrm>
                      <a:off x="0" y="0"/>
                      <a:ext cx="4680000" cy="4556994"/>
                    </a:xfrm>
                    <a:prstGeom prst="rect">
                      <a:avLst/>
                    </a:prstGeom>
                    <a:ln>
                      <a:noFill/>
                    </a:ln>
                    <a:extLst>
                      <a:ext uri="{53640926-AAD7-44D8-BBD7-CCE9431645EC}">
                        <a14:shadowObscured xmlns:a14="http://schemas.microsoft.com/office/drawing/2010/main"/>
                      </a:ext>
                    </a:extLst>
                  </pic:spPr>
                </pic:pic>
              </a:graphicData>
            </a:graphic>
          </wp:inline>
        </w:drawing>
      </w:r>
    </w:p>
    <w:p w14:paraId="59277D0B" w14:textId="060E4D81" w:rsidR="00BC2E1F" w:rsidRPr="00F03917" w:rsidRDefault="001B2E62" w:rsidP="00FA1C4A">
      <w:pPr>
        <w:pStyle w:val="Heading2"/>
        <w:numPr>
          <w:ilvl w:val="0"/>
          <w:numId w:val="53"/>
        </w:numPr>
      </w:pPr>
      <w:bookmarkStart w:id="167" w:name="_Choose_evaluation_tools"/>
      <w:bookmarkEnd w:id="167"/>
      <w:r w:rsidRPr="00F03917">
        <w:tab/>
      </w:r>
      <w:bookmarkStart w:id="168" w:name="_Toc160096252"/>
      <w:r w:rsidR="00BC2E1F" w:rsidRPr="00F03917">
        <w:t>Choos</w:t>
      </w:r>
      <w:r w:rsidR="00411C87" w:rsidRPr="00F03917">
        <w:t>e</w:t>
      </w:r>
      <w:r w:rsidR="00BC2E1F" w:rsidRPr="00F03917">
        <w:t xml:space="preserve"> evaluation tools</w:t>
      </w:r>
      <w:bookmarkEnd w:id="168"/>
    </w:p>
    <w:p w14:paraId="280A2011" w14:textId="77777777" w:rsidR="0016524E" w:rsidRPr="00F03917" w:rsidRDefault="00735362" w:rsidP="001B2E62">
      <w:pPr>
        <w:pStyle w:val="BodyText"/>
      </w:pPr>
      <w:r w:rsidRPr="00F03917">
        <w:t xml:space="preserve">It is important to evaluate </w:t>
      </w:r>
      <w:r w:rsidR="005D72C3" w:rsidRPr="00F03917">
        <w:t xml:space="preserve">what is a good adaptation </w:t>
      </w:r>
      <w:r w:rsidR="00962A51" w:rsidRPr="00F03917">
        <w:t>option or pathway</w:t>
      </w:r>
      <w:r w:rsidR="00BE100A" w:rsidRPr="00F03917">
        <w:t xml:space="preserve">. </w:t>
      </w:r>
      <w:r w:rsidR="001674BD" w:rsidRPr="00F03917">
        <w:t>This can be used t</w:t>
      </w:r>
      <w:r w:rsidR="005144EA" w:rsidRPr="00F03917">
        <w:t xml:space="preserve">o improve or build an adaptation plan that can be adjusted in the future without creating path </w:t>
      </w:r>
      <w:r w:rsidR="00855FA9" w:rsidRPr="00F03917">
        <w:t xml:space="preserve">dependency and lock-in of land uses in areas exposed to coastal hazards and risks. </w:t>
      </w:r>
    </w:p>
    <w:p w14:paraId="1F6FF9E1" w14:textId="0D2A3A45" w:rsidR="007F6A74" w:rsidRPr="00F03917" w:rsidRDefault="001516E6" w:rsidP="001B2E62">
      <w:pPr>
        <w:pStyle w:val="BodyText"/>
      </w:pPr>
      <w:r w:rsidRPr="00F03917">
        <w:t>Several tools can be used to evaluate the options and pathways, depending on the objectives, and the</w:t>
      </w:r>
      <w:r w:rsidR="0082422F" w:rsidRPr="00F03917">
        <w:t> </w:t>
      </w:r>
      <w:r w:rsidRPr="00F03917">
        <w:t xml:space="preserve">level of evaluation effort. The evaluation tools can also be used in combination with each other. </w:t>
      </w:r>
      <w:r w:rsidR="00FC021E" w:rsidRPr="00F03917">
        <w:t>Th</w:t>
      </w:r>
      <w:r w:rsidR="00417516" w:rsidRPr="00F03917">
        <w:t>is</w:t>
      </w:r>
      <w:r w:rsidR="00911687" w:rsidRPr="00F03917">
        <w:t xml:space="preserve"> evaluation</w:t>
      </w:r>
      <w:r w:rsidR="00FC021E" w:rsidRPr="00F03917">
        <w:t xml:space="preserve"> can be done qualitatively or quantitatively</w:t>
      </w:r>
      <w:r w:rsidR="00987336" w:rsidRPr="00F03917">
        <w:t xml:space="preserve"> </w:t>
      </w:r>
      <w:r w:rsidR="006877F3" w:rsidRPr="00F03917">
        <w:t xml:space="preserve">and </w:t>
      </w:r>
      <w:r w:rsidR="00987336" w:rsidRPr="00F03917">
        <w:t xml:space="preserve">with </w:t>
      </w:r>
      <w:r w:rsidR="002B4A66" w:rsidRPr="00F03917">
        <w:t>different</w:t>
      </w:r>
      <w:r w:rsidR="002C3FD5" w:rsidRPr="00F03917">
        <w:t xml:space="preserve"> level</w:t>
      </w:r>
      <w:r w:rsidR="002B4A66" w:rsidRPr="00F03917">
        <w:t>s</w:t>
      </w:r>
      <w:r w:rsidR="002C3FD5" w:rsidRPr="00F03917">
        <w:t xml:space="preserve"> of effort</w:t>
      </w:r>
      <w:r w:rsidR="2F275CE7" w:rsidRPr="00F03917">
        <w:t>,</w:t>
      </w:r>
      <w:r w:rsidR="002C3FD5" w:rsidRPr="00F03917">
        <w:t xml:space="preserve"> </w:t>
      </w:r>
      <w:r w:rsidR="006877F3" w:rsidRPr="00F03917">
        <w:t>depending on the task</w:t>
      </w:r>
      <w:r w:rsidR="0017325F" w:rsidRPr="00F03917">
        <w:t xml:space="preserve"> and resources available</w:t>
      </w:r>
      <w:r w:rsidR="00FC021E" w:rsidRPr="00F03917">
        <w:t xml:space="preserve">. </w:t>
      </w:r>
      <w:r w:rsidR="00DD1225" w:rsidRPr="00F03917">
        <w:t xml:space="preserve">It can be as simple as considering criteria </w:t>
      </w:r>
      <w:r w:rsidR="000807E7" w:rsidRPr="00F03917">
        <w:t xml:space="preserve">at an adaptation workshop or </w:t>
      </w:r>
      <w:r w:rsidR="00574BB7" w:rsidRPr="00F03917">
        <w:t xml:space="preserve">using </w:t>
      </w:r>
      <w:r w:rsidR="000807E7" w:rsidRPr="00F03917">
        <w:t xml:space="preserve">a more complex </w:t>
      </w:r>
      <w:r w:rsidR="001006B0" w:rsidRPr="00F03917">
        <w:t>analysis approach</w:t>
      </w:r>
      <w:r w:rsidR="000807E7" w:rsidRPr="00F03917">
        <w:t>.</w:t>
      </w:r>
      <w:r w:rsidR="00DD1225" w:rsidRPr="00F03917">
        <w:t xml:space="preserve"> </w:t>
      </w:r>
    </w:p>
    <w:p w14:paraId="1AF0C52A" w14:textId="69CAC288" w:rsidR="00BC2E1F" w:rsidRPr="00F03917" w:rsidRDefault="00117C12" w:rsidP="00076E0C">
      <w:pPr>
        <w:pStyle w:val="BodyText"/>
      </w:pPr>
      <w:r w:rsidRPr="00F03917">
        <w:t>Criteria to assess in an evaluation include</w:t>
      </w:r>
      <w:r w:rsidR="00BC2E1F" w:rsidRPr="00F03917">
        <w:t>:</w:t>
      </w:r>
    </w:p>
    <w:p w14:paraId="3F66A72F" w14:textId="527E579A" w:rsidR="005E57AC" w:rsidRPr="00F03917" w:rsidRDefault="005E57AC" w:rsidP="00174F6E">
      <w:pPr>
        <w:pStyle w:val="BulletFIX"/>
      </w:pPr>
      <w:r w:rsidRPr="00F03917">
        <w:t>ability to meet objectives</w:t>
      </w:r>
    </w:p>
    <w:p w14:paraId="21C8A444" w14:textId="7547097B" w:rsidR="00BC2E1F" w:rsidRPr="00F03917" w:rsidRDefault="19CDADC1" w:rsidP="00174F6E">
      <w:pPr>
        <w:pStyle w:val="BulletFIX"/>
      </w:pPr>
      <w:r w:rsidRPr="00F03917">
        <w:t>flexibility</w:t>
      </w:r>
      <w:r w:rsidR="005E57AC" w:rsidRPr="00F03917">
        <w:t xml:space="preserve"> to change in the future</w:t>
      </w:r>
    </w:p>
    <w:p w14:paraId="29528D89" w14:textId="3956432E" w:rsidR="00BC2E1F" w:rsidRPr="00F03917" w:rsidRDefault="19CDADC1" w:rsidP="00174F6E">
      <w:pPr>
        <w:pStyle w:val="BulletFIX"/>
      </w:pPr>
      <w:r w:rsidRPr="00F03917">
        <w:t>path dependency</w:t>
      </w:r>
      <w:r w:rsidR="005E57AC" w:rsidRPr="00F03917">
        <w:t xml:space="preserve"> to avoid lock</w:t>
      </w:r>
      <w:r w:rsidR="00EE1232" w:rsidRPr="00F03917">
        <w:t>-</w:t>
      </w:r>
      <w:r w:rsidR="005E57AC" w:rsidRPr="00F03917">
        <w:t>in</w:t>
      </w:r>
    </w:p>
    <w:p w14:paraId="5F0C8986" w14:textId="77777777" w:rsidR="00BC2E1F" w:rsidRPr="00F03917" w:rsidRDefault="19CDADC1" w:rsidP="00174F6E">
      <w:pPr>
        <w:pStyle w:val="BulletFIX"/>
      </w:pPr>
      <w:r w:rsidRPr="00F03917">
        <w:t xml:space="preserve">feasibility of implementation </w:t>
      </w:r>
    </w:p>
    <w:p w14:paraId="7F04C1D4" w14:textId="77777777" w:rsidR="00BC2E1F" w:rsidRPr="00F03917" w:rsidRDefault="19CDADC1" w:rsidP="00174F6E">
      <w:pPr>
        <w:pStyle w:val="BulletFIX"/>
      </w:pPr>
      <w:r w:rsidRPr="00F03917">
        <w:lastRenderedPageBreak/>
        <w:t xml:space="preserve">ability to meet community values and provide co-benefits </w:t>
      </w:r>
    </w:p>
    <w:p w14:paraId="748CCE49" w14:textId="7AF010E7" w:rsidR="00BC2E1F" w:rsidRPr="00F03917" w:rsidRDefault="19CDADC1" w:rsidP="00174F6E">
      <w:pPr>
        <w:pStyle w:val="BulletFIX"/>
      </w:pPr>
      <w:r w:rsidRPr="00F03917">
        <w:t xml:space="preserve">sensitivity to compounding </w:t>
      </w:r>
      <w:r w:rsidR="46CD2D9A" w:rsidRPr="00F03917">
        <w:t xml:space="preserve">and cascading </w:t>
      </w:r>
      <w:r w:rsidRPr="00F03917">
        <w:t>impacts</w:t>
      </w:r>
    </w:p>
    <w:p w14:paraId="58D2B27D" w14:textId="77777777" w:rsidR="00BC2E1F" w:rsidRPr="00F03917" w:rsidRDefault="19CDADC1" w:rsidP="00174F6E">
      <w:pPr>
        <w:pStyle w:val="BulletFIX"/>
      </w:pPr>
      <w:r w:rsidRPr="00F03917">
        <w:t xml:space="preserve">sensitivity to discount rate </w:t>
      </w:r>
    </w:p>
    <w:p w14:paraId="26165BE0" w14:textId="77777777" w:rsidR="00BC2E1F" w:rsidRPr="00F03917" w:rsidRDefault="19CDADC1" w:rsidP="00174F6E">
      <w:pPr>
        <w:pStyle w:val="BulletFIX"/>
      </w:pPr>
      <w:r w:rsidRPr="00F03917">
        <w:t xml:space="preserve">sensitivity to review date </w:t>
      </w:r>
    </w:p>
    <w:p w14:paraId="42CF5A85" w14:textId="77777777" w:rsidR="00BC2E1F" w:rsidRPr="00F03917" w:rsidRDefault="19CDADC1" w:rsidP="00174F6E">
      <w:pPr>
        <w:pStyle w:val="BulletFIX"/>
      </w:pPr>
      <w:r w:rsidRPr="00F03917">
        <w:t xml:space="preserve">costs and losses, to assess value for money </w:t>
      </w:r>
    </w:p>
    <w:p w14:paraId="27D0785C" w14:textId="77777777" w:rsidR="00BC2E1F" w:rsidRPr="00F03917" w:rsidRDefault="19CDADC1" w:rsidP="00174F6E">
      <w:pPr>
        <w:pStyle w:val="BulletFIX"/>
      </w:pPr>
      <w:r w:rsidRPr="00F03917">
        <w:t xml:space="preserve">timing of options </w:t>
      </w:r>
    </w:p>
    <w:p w14:paraId="03A62550" w14:textId="5E0E98F5" w:rsidR="00BC2E1F" w:rsidRPr="00F03917" w:rsidRDefault="19CDADC1" w:rsidP="00174F6E">
      <w:pPr>
        <w:pStyle w:val="BulletFIX"/>
      </w:pPr>
      <w:r w:rsidRPr="00F03917">
        <w:t>environmental effects.</w:t>
      </w:r>
    </w:p>
    <w:p w14:paraId="7C6D1C5E" w14:textId="7E6F2B71" w:rsidR="00BC2E1F" w:rsidRPr="00F03917" w:rsidRDefault="00343B42" w:rsidP="00076E0C">
      <w:pPr>
        <w:pStyle w:val="BodyText"/>
      </w:pPr>
      <w:r w:rsidRPr="00F03917">
        <w:t>M</w:t>
      </w:r>
      <w:r w:rsidR="00AA6165" w:rsidRPr="00F03917">
        <w:t>any different</w:t>
      </w:r>
      <w:r w:rsidR="0028267A" w:rsidRPr="00F03917">
        <w:t xml:space="preserve"> decision support tools </w:t>
      </w:r>
      <w:r w:rsidRPr="00F03917">
        <w:t xml:space="preserve">are </w:t>
      </w:r>
      <w:r w:rsidR="00B22B1E" w:rsidRPr="00F03917">
        <w:t>available, but not all are useful for addressing deep uncertainty and progressive ongoing and increasing risk</w:t>
      </w:r>
      <w:r w:rsidR="0028267A" w:rsidRPr="00F03917">
        <w:t xml:space="preserve">. </w:t>
      </w:r>
      <w:r w:rsidR="00BC2E1F" w:rsidRPr="00F03917">
        <w:t xml:space="preserve">The choice of evaluation tools </w:t>
      </w:r>
      <w:r w:rsidR="00B22B1E" w:rsidRPr="00F03917">
        <w:t>a</w:t>
      </w:r>
      <w:r w:rsidR="00B40158" w:rsidRPr="00F03917">
        <w:t>ls</w:t>
      </w:r>
      <w:r w:rsidR="00B22B1E" w:rsidRPr="00F03917">
        <w:t>o</w:t>
      </w:r>
      <w:r w:rsidR="00BC2E1F" w:rsidRPr="00F03917">
        <w:t xml:space="preserve"> </w:t>
      </w:r>
      <w:r w:rsidR="006D2D6B" w:rsidRPr="00F03917">
        <w:t xml:space="preserve">should </w:t>
      </w:r>
      <w:r w:rsidR="00BC2E1F" w:rsidRPr="00F03917">
        <w:t xml:space="preserve">reflect the stage in the decision process, the nature and scale of the issue, the objectives and the options. </w:t>
      </w:r>
      <w:r w:rsidR="00475F81" w:rsidRPr="00F03917">
        <w:t>E</w:t>
      </w:r>
      <w:r w:rsidR="00BC2E1F" w:rsidRPr="00F03917">
        <w:t xml:space="preserve">nsure the tools can perform over a range of </w:t>
      </w:r>
      <w:r w:rsidR="00AE6D8E" w:rsidRPr="00F03917">
        <w:t xml:space="preserve">plausible </w:t>
      </w:r>
      <w:r w:rsidR="00BC2E1F" w:rsidRPr="00F03917">
        <w:t>climate futures</w:t>
      </w:r>
      <w:r w:rsidR="002738FF" w:rsidRPr="00F03917">
        <w:t xml:space="preserve"> and can readily assimilate either</w:t>
      </w:r>
      <w:r w:rsidR="00C36506" w:rsidRPr="00F03917">
        <w:t xml:space="preserve"> increments of </w:t>
      </w:r>
      <w:r w:rsidR="00484127" w:rsidRPr="00F03917">
        <w:t>relative sea-level rise (</w:t>
      </w:r>
      <w:r w:rsidR="00C36506" w:rsidRPr="00F03917">
        <w:t>RSLR</w:t>
      </w:r>
      <w:r w:rsidR="00484127" w:rsidRPr="00F03917">
        <w:t>)</w:t>
      </w:r>
      <w:r w:rsidR="00C36506" w:rsidRPr="00F03917">
        <w:t xml:space="preserve"> (and associated time brackets</w:t>
      </w:r>
      <w:r w:rsidR="5DB4624F" w:rsidRPr="00F03917">
        <w:t>,</w:t>
      </w:r>
      <w:r w:rsidR="00C36506" w:rsidRPr="00F03917">
        <w:t xml:space="preserve"> see </w:t>
      </w:r>
      <w:hyperlink w:anchor="table6" w:history="1">
        <w:r w:rsidR="5DB4624F" w:rsidRPr="00F03917">
          <w:rPr>
            <w:rStyle w:val="Hyperlink"/>
          </w:rPr>
          <w:t>table 6</w:t>
        </w:r>
      </w:hyperlink>
      <w:r w:rsidR="5DB4624F" w:rsidRPr="00F03917">
        <w:t>)</w:t>
      </w:r>
      <w:r w:rsidR="00C36506" w:rsidRPr="00F03917">
        <w:t xml:space="preserve"> or the range of recommended RSLR projections out to at least 2130</w:t>
      </w:r>
      <w:r w:rsidR="00475F81" w:rsidRPr="00F03917">
        <w:t>.</w:t>
      </w:r>
      <w:r w:rsidR="00C36506" w:rsidRPr="00F03917">
        <w:t xml:space="preserve"> </w:t>
      </w:r>
      <w:r w:rsidR="00475F81" w:rsidRPr="00F03917">
        <w:t xml:space="preserve">To do this, </w:t>
      </w:r>
      <w:r w:rsidR="00BC2E1F" w:rsidRPr="00F03917">
        <w:t>apply the</w:t>
      </w:r>
      <w:r w:rsidR="00E12D1D" w:rsidRPr="00F03917">
        <w:t xml:space="preserve"> tools</w:t>
      </w:r>
      <w:r w:rsidR="00BC2E1F" w:rsidRPr="00F03917">
        <w:t xml:space="preserve"> to </w:t>
      </w:r>
      <w:r w:rsidR="0028267A" w:rsidRPr="00F03917">
        <w:t xml:space="preserve">a range of </w:t>
      </w:r>
      <w:r w:rsidR="000E0D1A" w:rsidRPr="00F03917">
        <w:t>sea-level rise (</w:t>
      </w:r>
      <w:r w:rsidR="001F752B" w:rsidRPr="00F03917">
        <w:t>SLR</w:t>
      </w:r>
      <w:r w:rsidR="000E0D1A" w:rsidRPr="00F03917">
        <w:t>)</w:t>
      </w:r>
      <w:r w:rsidR="7C6A5117" w:rsidRPr="00F03917">
        <w:t xml:space="preserve"> </w:t>
      </w:r>
      <w:r w:rsidR="0028267A" w:rsidRPr="00F03917">
        <w:t>heights (at constant increments) or scenarios and projected changes in storms, waves and storm surge and groundwater rise</w:t>
      </w:r>
      <w:r w:rsidR="005D6E54" w:rsidRPr="00F03917">
        <w:t>.</w:t>
      </w:r>
    </w:p>
    <w:p w14:paraId="00E63AA3" w14:textId="407CA941" w:rsidR="00BC2E1F" w:rsidRPr="00F03917" w:rsidRDefault="00BC2E1F" w:rsidP="00076E0C">
      <w:pPr>
        <w:pStyle w:val="BodyText"/>
      </w:pPr>
      <w:r w:rsidRPr="00F03917">
        <w:t xml:space="preserve">Table </w:t>
      </w:r>
      <w:r w:rsidR="00560A61" w:rsidRPr="00F03917">
        <w:t>1</w:t>
      </w:r>
      <w:r w:rsidR="00A01440" w:rsidRPr="00F03917">
        <w:t>5</w:t>
      </w:r>
      <w:r w:rsidRPr="00F03917">
        <w:t xml:space="preserve"> describes </w:t>
      </w:r>
      <w:r w:rsidR="00596365" w:rsidRPr="00F03917">
        <w:t>the applicability, usefulness and limitations of different decision support tools and approaches and in what circumstances they should be used.</w:t>
      </w:r>
      <w:r w:rsidRPr="00F03917">
        <w:t xml:space="preserve"> </w:t>
      </w:r>
    </w:p>
    <w:p w14:paraId="1BA55D7B" w14:textId="5303FB5B" w:rsidR="00BC2E1F" w:rsidRPr="00F03917" w:rsidRDefault="00BC2E1F" w:rsidP="006258D2">
      <w:pPr>
        <w:pStyle w:val="Tableheading"/>
      </w:pPr>
      <w:bookmarkStart w:id="169" w:name="_Toc465159138"/>
      <w:bookmarkStart w:id="170" w:name="_Toc465847620"/>
      <w:bookmarkStart w:id="171" w:name="_Toc466014479"/>
      <w:bookmarkStart w:id="172" w:name="_Toc498523906"/>
      <w:bookmarkStart w:id="173" w:name="_Toc160098409"/>
      <w:r w:rsidRPr="00F03917">
        <w:t>Applicability of different decision support tools</w:t>
      </w:r>
      <w:bookmarkEnd w:id="169"/>
      <w:bookmarkEnd w:id="170"/>
      <w:bookmarkEnd w:id="171"/>
      <w:bookmarkEnd w:id="172"/>
      <w:bookmarkEnd w:id="173"/>
      <w:r w:rsidRPr="00F03917">
        <w:t xml:space="preserve"> </w:t>
      </w:r>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CellMar>
          <w:left w:w="85" w:type="dxa"/>
          <w:right w:w="57" w:type="dxa"/>
        </w:tblCellMar>
        <w:tblLook w:val="04A0" w:firstRow="1" w:lastRow="0" w:firstColumn="1" w:lastColumn="0" w:noHBand="0" w:noVBand="1"/>
      </w:tblPr>
      <w:tblGrid>
        <w:gridCol w:w="1560"/>
        <w:gridCol w:w="2126"/>
        <w:gridCol w:w="2551"/>
        <w:gridCol w:w="2268"/>
      </w:tblGrid>
      <w:tr w:rsidR="005644E6" w:rsidRPr="00F03917" w14:paraId="12407A64" w14:textId="77777777" w:rsidTr="00871641">
        <w:trPr>
          <w:tblHeader/>
        </w:trPr>
        <w:tc>
          <w:tcPr>
            <w:tcW w:w="1560" w:type="dxa"/>
            <w:shd w:val="clear" w:color="auto" w:fill="1B556B" w:themeFill="text2"/>
            <w:vAlign w:val="bottom"/>
          </w:tcPr>
          <w:p w14:paraId="320007A2" w14:textId="77777777" w:rsidR="00BC2E1F" w:rsidRPr="00F03917" w:rsidRDefault="00BC2E1F" w:rsidP="005644E6">
            <w:pPr>
              <w:pStyle w:val="TableTextbold"/>
              <w:rPr>
                <w:color w:val="FFFFFF" w:themeColor="background1"/>
              </w:rPr>
            </w:pPr>
            <w:r w:rsidRPr="00F03917">
              <w:rPr>
                <w:color w:val="FFFFFF" w:themeColor="background1"/>
              </w:rPr>
              <w:t>Tool</w:t>
            </w:r>
          </w:p>
        </w:tc>
        <w:tc>
          <w:tcPr>
            <w:tcW w:w="2126" w:type="dxa"/>
            <w:shd w:val="clear" w:color="auto" w:fill="1B556B" w:themeFill="text2"/>
            <w:vAlign w:val="bottom"/>
          </w:tcPr>
          <w:p w14:paraId="4631A46C" w14:textId="77777777" w:rsidR="00BC2E1F" w:rsidRPr="00F03917" w:rsidRDefault="00BC2E1F" w:rsidP="005644E6">
            <w:pPr>
              <w:pStyle w:val="TableTextbold"/>
              <w:rPr>
                <w:color w:val="FFFFFF" w:themeColor="background1"/>
              </w:rPr>
            </w:pPr>
            <w:r w:rsidRPr="00F03917">
              <w:rPr>
                <w:color w:val="FFFFFF" w:themeColor="background1"/>
              </w:rPr>
              <w:t>Applicability</w:t>
            </w:r>
          </w:p>
        </w:tc>
        <w:tc>
          <w:tcPr>
            <w:tcW w:w="2551" w:type="dxa"/>
            <w:shd w:val="clear" w:color="auto" w:fill="1B556B" w:themeFill="text2"/>
            <w:vAlign w:val="bottom"/>
          </w:tcPr>
          <w:p w14:paraId="797DA384" w14:textId="43AEF71A" w:rsidR="00BC2E1F" w:rsidRPr="00F03917" w:rsidRDefault="00BC2E1F" w:rsidP="005644E6">
            <w:pPr>
              <w:pStyle w:val="TableTextbold"/>
              <w:rPr>
                <w:color w:val="FFFFFF" w:themeColor="background1"/>
              </w:rPr>
            </w:pPr>
            <w:r w:rsidRPr="00F03917">
              <w:rPr>
                <w:color w:val="FFFFFF" w:themeColor="background1"/>
              </w:rPr>
              <w:t>Usefulness</w:t>
            </w:r>
            <w:r w:rsidR="0CC5A199" w:rsidRPr="00F03917">
              <w:rPr>
                <w:color w:val="FFFFFF" w:themeColor="background1"/>
              </w:rPr>
              <w:t xml:space="preserve"> and</w:t>
            </w:r>
            <w:r w:rsidR="20DFE212" w:rsidRPr="00F03917">
              <w:rPr>
                <w:color w:val="FFFFFF" w:themeColor="background1"/>
              </w:rPr>
              <w:t xml:space="preserve"> </w:t>
            </w:r>
            <w:r w:rsidRPr="00F03917">
              <w:rPr>
                <w:color w:val="FFFFFF" w:themeColor="background1"/>
              </w:rPr>
              <w:t xml:space="preserve">limitations </w:t>
            </w:r>
          </w:p>
        </w:tc>
        <w:tc>
          <w:tcPr>
            <w:tcW w:w="2268" w:type="dxa"/>
            <w:shd w:val="clear" w:color="auto" w:fill="1B556B" w:themeFill="text2"/>
            <w:vAlign w:val="bottom"/>
          </w:tcPr>
          <w:p w14:paraId="63F6E873" w14:textId="77777777" w:rsidR="00BC2E1F" w:rsidRPr="00F03917" w:rsidRDefault="00BC2E1F" w:rsidP="005644E6">
            <w:pPr>
              <w:pStyle w:val="TableTextbold"/>
              <w:rPr>
                <w:color w:val="FFFFFF" w:themeColor="background1"/>
              </w:rPr>
            </w:pPr>
            <w:r w:rsidRPr="00F03917">
              <w:rPr>
                <w:color w:val="FFFFFF" w:themeColor="background1"/>
              </w:rPr>
              <w:t xml:space="preserve">Potential uses </w:t>
            </w:r>
          </w:p>
        </w:tc>
      </w:tr>
      <w:tr w:rsidR="00BC2E1F" w:rsidRPr="00F03917" w14:paraId="607B046D" w14:textId="77777777" w:rsidTr="00871641">
        <w:tc>
          <w:tcPr>
            <w:tcW w:w="1560" w:type="dxa"/>
          </w:tcPr>
          <w:p w14:paraId="4EA41669" w14:textId="77777777" w:rsidR="00BC2E1F" w:rsidRPr="00F03917" w:rsidRDefault="00BC2E1F" w:rsidP="005644E6">
            <w:pPr>
              <w:pStyle w:val="TableText"/>
            </w:pPr>
            <w:r w:rsidRPr="00F03917">
              <w:t>Cost-benefit analysis (CBA)</w:t>
            </w:r>
          </w:p>
        </w:tc>
        <w:tc>
          <w:tcPr>
            <w:tcW w:w="2126" w:type="dxa"/>
          </w:tcPr>
          <w:p w14:paraId="07FC89F2" w14:textId="77777777" w:rsidR="00BC2E1F" w:rsidRPr="00F03917" w:rsidRDefault="00BC2E1F" w:rsidP="005644E6">
            <w:pPr>
              <w:pStyle w:val="TableText"/>
            </w:pPr>
            <w:r w:rsidRPr="00F03917">
              <w:t>Short-term assessment, particularly for market sectors.</w:t>
            </w:r>
          </w:p>
        </w:tc>
        <w:tc>
          <w:tcPr>
            <w:tcW w:w="2551" w:type="dxa"/>
          </w:tcPr>
          <w:p w14:paraId="7E44CD8B" w14:textId="59F6A462" w:rsidR="00BC2E1F" w:rsidRPr="00F03917" w:rsidRDefault="00BC2E1F" w:rsidP="005644E6">
            <w:pPr>
              <w:pStyle w:val="TableText"/>
            </w:pPr>
            <w:r w:rsidRPr="00F03917">
              <w:t xml:space="preserve">Most useful when climate risk probabilities </w:t>
            </w:r>
            <w:r w:rsidR="51FE7F89" w:rsidRPr="00F03917">
              <w:t xml:space="preserve">are </w:t>
            </w:r>
            <w:r w:rsidRPr="00F03917">
              <w:t>known. Climate sensitivity small compared with total costs and benefits. Good data is needed for major cost-benefit components.</w:t>
            </w:r>
          </w:p>
        </w:tc>
        <w:tc>
          <w:tcPr>
            <w:tcW w:w="2268" w:type="dxa"/>
          </w:tcPr>
          <w:p w14:paraId="308E5C63" w14:textId="06F8946C" w:rsidR="00BC2E1F" w:rsidRPr="00F03917" w:rsidRDefault="00BC2E1F" w:rsidP="005644E6">
            <w:pPr>
              <w:pStyle w:val="TableText"/>
            </w:pPr>
            <w:r w:rsidRPr="00F03917">
              <w:t>Low- and no-regret option appraisal (short term). Use in iterative risk management for relative costs and benefits among options.</w:t>
            </w:r>
          </w:p>
        </w:tc>
      </w:tr>
      <w:tr w:rsidR="00BC2E1F" w:rsidRPr="00F03917" w14:paraId="0F226FFC" w14:textId="77777777" w:rsidTr="00871641">
        <w:tc>
          <w:tcPr>
            <w:tcW w:w="1560" w:type="dxa"/>
          </w:tcPr>
          <w:p w14:paraId="6A65A7DB" w14:textId="7D3A30CA" w:rsidR="00BC2E1F" w:rsidRPr="00F03917" w:rsidRDefault="00BC2E1F" w:rsidP="005644E6">
            <w:pPr>
              <w:pStyle w:val="TableText"/>
            </w:pPr>
            <w:r w:rsidRPr="00F03917">
              <w:t xml:space="preserve">Cost-effectiveness analysis </w:t>
            </w:r>
          </w:p>
        </w:tc>
        <w:tc>
          <w:tcPr>
            <w:tcW w:w="2126" w:type="dxa"/>
          </w:tcPr>
          <w:p w14:paraId="58E569BA" w14:textId="77777777" w:rsidR="00BC2E1F" w:rsidRPr="00F03917" w:rsidRDefault="00BC2E1F" w:rsidP="005644E6">
            <w:pPr>
              <w:pStyle w:val="TableText"/>
            </w:pPr>
            <w:r w:rsidRPr="00F03917">
              <w:t>Short-term assessment for market and government sectors. Particularly relevant where there are clear environmental headline indicators and known dominant impacts. Less applicable for cross-sector and complex risks.</w:t>
            </w:r>
          </w:p>
        </w:tc>
        <w:tc>
          <w:tcPr>
            <w:tcW w:w="2551" w:type="dxa"/>
          </w:tcPr>
          <w:p w14:paraId="7415F75C" w14:textId="77777777" w:rsidR="00BC2E1F" w:rsidRPr="00F03917" w:rsidRDefault="00BC2E1F" w:rsidP="005644E6">
            <w:pPr>
              <w:pStyle w:val="TableText"/>
            </w:pPr>
            <w:r w:rsidRPr="00F03917">
              <w:t>Most useful for same situations as for CBA, but for non-monetary metrics (eg, ecosystems, health). Agreement on sectoral social objective (eg, acceptable risks of flooding).</w:t>
            </w:r>
          </w:p>
        </w:tc>
        <w:tc>
          <w:tcPr>
            <w:tcW w:w="2268" w:type="dxa"/>
          </w:tcPr>
          <w:p w14:paraId="09BF68C1" w14:textId="77777777" w:rsidR="00BC2E1F" w:rsidRPr="00F03917" w:rsidRDefault="00BC2E1F" w:rsidP="005644E6">
            <w:pPr>
              <w:pStyle w:val="TableText"/>
            </w:pPr>
            <w:r w:rsidRPr="00F03917">
              <w:t>Low- and no-regret option appraisal (short term). Use in iterative risk management.</w:t>
            </w:r>
          </w:p>
        </w:tc>
      </w:tr>
      <w:tr w:rsidR="00BC2E1F" w:rsidRPr="00F03917" w14:paraId="10A80552" w14:textId="77777777" w:rsidTr="00871641">
        <w:tc>
          <w:tcPr>
            <w:tcW w:w="1560" w:type="dxa"/>
          </w:tcPr>
          <w:p w14:paraId="372ECF0B" w14:textId="3C6EACAB" w:rsidR="00BC2E1F" w:rsidRPr="00F03917" w:rsidRDefault="00BC2E1F" w:rsidP="005644E6">
            <w:pPr>
              <w:pStyle w:val="TableText"/>
            </w:pPr>
            <w:r w:rsidRPr="00F03917">
              <w:t xml:space="preserve">Multi-criteria analysis </w:t>
            </w:r>
          </w:p>
        </w:tc>
        <w:tc>
          <w:tcPr>
            <w:tcW w:w="2126" w:type="dxa"/>
          </w:tcPr>
          <w:p w14:paraId="19C9B130" w14:textId="77777777" w:rsidR="00BC2E1F" w:rsidRPr="00F03917" w:rsidRDefault="00BC2E1F" w:rsidP="005644E6">
            <w:pPr>
              <w:pStyle w:val="TableText"/>
            </w:pPr>
            <w:r w:rsidRPr="00F03917">
              <w:t xml:space="preserve">Integrates quantitative and qualitative information (intangibles) when comparing options. </w:t>
            </w:r>
          </w:p>
        </w:tc>
        <w:tc>
          <w:tcPr>
            <w:tcW w:w="2551" w:type="dxa"/>
          </w:tcPr>
          <w:p w14:paraId="699F5042" w14:textId="7CE2FC8D" w:rsidR="00BC2E1F" w:rsidRPr="00F03917" w:rsidRDefault="00BC2E1F" w:rsidP="005644E6">
            <w:pPr>
              <w:pStyle w:val="TableText"/>
            </w:pPr>
            <w:r w:rsidRPr="00F03917">
              <w:t>Highly adaptable but requires careful use and documentation. Needs to be tailored to circumstances but can build in considerations, such as ability to adapt, interdependencies, future-proofing and cost.</w:t>
            </w:r>
          </w:p>
        </w:tc>
        <w:tc>
          <w:tcPr>
            <w:tcW w:w="2268" w:type="dxa"/>
          </w:tcPr>
          <w:p w14:paraId="1FD6DB4E" w14:textId="7F86B931" w:rsidR="00BC2E1F" w:rsidRPr="00F03917" w:rsidRDefault="00BC2E1F" w:rsidP="005644E6">
            <w:pPr>
              <w:pStyle w:val="TableText"/>
            </w:pPr>
            <w:r w:rsidRPr="00F03917">
              <w:t xml:space="preserve">Simple and effective general </w:t>
            </w:r>
            <w:r w:rsidR="00A5422C" w:rsidRPr="00F03917">
              <w:t>process</w:t>
            </w:r>
            <w:r w:rsidRPr="00F03917">
              <w:t xml:space="preserve"> for comparing options in the short, medium and long term, and can contribute to policy development. Relies on informed judgement. Identifies fatal flaws and degrees of difficulty. </w:t>
            </w:r>
          </w:p>
        </w:tc>
      </w:tr>
      <w:tr w:rsidR="00BC2E1F" w:rsidRPr="00F03917" w14:paraId="53330D75" w14:textId="77777777" w:rsidTr="00871641">
        <w:tc>
          <w:tcPr>
            <w:tcW w:w="1560" w:type="dxa"/>
          </w:tcPr>
          <w:p w14:paraId="18E0E74B" w14:textId="7966CCE3" w:rsidR="00BC2E1F" w:rsidRPr="00F03917" w:rsidRDefault="00B83C7D" w:rsidP="001B2E62">
            <w:pPr>
              <w:pStyle w:val="TableText"/>
              <w:keepNext/>
            </w:pPr>
            <w:r w:rsidRPr="00F03917">
              <w:lastRenderedPageBreak/>
              <w:t xml:space="preserve">Iterative </w:t>
            </w:r>
          </w:p>
        </w:tc>
        <w:tc>
          <w:tcPr>
            <w:tcW w:w="2126" w:type="dxa"/>
          </w:tcPr>
          <w:p w14:paraId="0715ED2F" w14:textId="00EEC7C8" w:rsidR="00BC2E1F" w:rsidRPr="00F03917" w:rsidRDefault="00BC2E1F" w:rsidP="005644E6">
            <w:pPr>
              <w:pStyle w:val="TableText"/>
            </w:pPr>
            <w:r w:rsidRPr="00F03917">
              <w:t xml:space="preserve">For assessment </w:t>
            </w:r>
            <w:r w:rsidR="00907BAD" w:rsidRPr="00F03917">
              <w:t xml:space="preserve">of quantitative change in risk or hazard for a preferred adaptation option </w:t>
            </w:r>
            <w:r w:rsidR="00193424" w:rsidRPr="00F03917">
              <w:t>to</w:t>
            </w:r>
            <w:r w:rsidR="00907BAD" w:rsidRPr="00F03917">
              <w:t xml:space="preserve"> compar</w:t>
            </w:r>
            <w:r w:rsidR="00193424" w:rsidRPr="00F03917">
              <w:t>e</w:t>
            </w:r>
            <w:r w:rsidR="008D0E8E" w:rsidRPr="00F03917">
              <w:t xml:space="preserve"> with the</w:t>
            </w:r>
            <w:r w:rsidR="00907BAD" w:rsidRPr="00F03917">
              <w:t xml:space="preserve"> existing situation. Informs viability </w:t>
            </w:r>
            <w:r w:rsidRPr="00F03917">
              <w:t xml:space="preserve">and </w:t>
            </w:r>
            <w:r w:rsidR="00907BAD" w:rsidRPr="00F03917">
              <w:t>lifetime of option and explores residual risk.</w:t>
            </w:r>
            <w:r w:rsidRPr="00F03917">
              <w:t xml:space="preserve"> Applicable at project and strategy level</w:t>
            </w:r>
            <w:r w:rsidR="00907BAD" w:rsidRPr="00F03917">
              <w:t xml:space="preserve"> (eg</w:t>
            </w:r>
            <w:r w:rsidR="00505DA4" w:rsidRPr="00F03917">
              <w:t>,</w:t>
            </w:r>
            <w:r w:rsidR="00907BAD" w:rsidRPr="00F03917">
              <w:t xml:space="preserve"> Beya and Asmat, 2021).</w:t>
            </w:r>
          </w:p>
        </w:tc>
        <w:tc>
          <w:tcPr>
            <w:tcW w:w="2551" w:type="dxa"/>
          </w:tcPr>
          <w:p w14:paraId="6F38DBBE" w14:textId="0A718336" w:rsidR="00BC2E1F" w:rsidRPr="00F03917" w:rsidRDefault="00CF2ED7" w:rsidP="005644E6">
            <w:pPr>
              <w:pStyle w:val="TableText"/>
            </w:pPr>
            <w:r w:rsidRPr="00F03917">
              <w:t>Useful for evaluating effectiveness of options to reduce risk (or increase residual risk) and over what lifetime</w:t>
            </w:r>
            <w:r w:rsidR="00FB0E2A" w:rsidRPr="00F03917">
              <w:t>. A</w:t>
            </w:r>
            <w:r w:rsidRPr="00F03917">
              <w:t>lso</w:t>
            </w:r>
            <w:r w:rsidR="003C565E" w:rsidRPr="00F03917">
              <w:t xml:space="preserve"> to</w:t>
            </w:r>
            <w:r w:rsidRPr="00F03917">
              <w:t xml:space="preserve"> assess unintended consequences or side effects in wider area (eg, estuary seawall could increase future flooding upstream).</w:t>
            </w:r>
          </w:p>
        </w:tc>
        <w:tc>
          <w:tcPr>
            <w:tcW w:w="2268" w:type="dxa"/>
          </w:tcPr>
          <w:p w14:paraId="735306A6" w14:textId="4E535757" w:rsidR="00BC2E1F" w:rsidRPr="00F03917" w:rsidRDefault="00AF509C" w:rsidP="005644E6">
            <w:pPr>
              <w:pStyle w:val="TableText"/>
            </w:pPr>
            <w:r w:rsidRPr="00F03917">
              <w:t xml:space="preserve">Can be used with </w:t>
            </w:r>
            <w:r w:rsidR="00CF2ED7" w:rsidRPr="00F03917">
              <w:t>quantitative risk platforms (eg, RiskScape) or hazard modelling comparing risk or hazard performance before and after option is in place.</w:t>
            </w:r>
          </w:p>
        </w:tc>
      </w:tr>
      <w:tr w:rsidR="0022205C" w:rsidRPr="00F03917" w14:paraId="4C758334" w14:textId="77777777" w:rsidTr="00871641">
        <w:tc>
          <w:tcPr>
            <w:tcW w:w="1560" w:type="dxa"/>
          </w:tcPr>
          <w:p w14:paraId="75114437" w14:textId="4A10BAFC" w:rsidR="0022205C" w:rsidRPr="00F03917" w:rsidRDefault="0076414F" w:rsidP="005644E6">
            <w:pPr>
              <w:pStyle w:val="TableText"/>
            </w:pPr>
            <w:r w:rsidRPr="00F03917">
              <w:t>Agent-based modelling</w:t>
            </w:r>
          </w:p>
        </w:tc>
        <w:tc>
          <w:tcPr>
            <w:tcW w:w="2126" w:type="dxa"/>
          </w:tcPr>
          <w:p w14:paraId="3272E0BA" w14:textId="187C9A77" w:rsidR="0022205C" w:rsidRPr="00F03917" w:rsidRDefault="008B6B23" w:rsidP="005644E6">
            <w:pPr>
              <w:pStyle w:val="TableText"/>
            </w:pPr>
            <w:r w:rsidRPr="00F03917">
              <w:rPr>
                <w:rFonts w:asciiTheme="minorHAnsi" w:hAnsiTheme="minorHAnsi" w:cstheme="minorHAnsi"/>
                <w:color w:val="222222"/>
                <w:szCs w:val="18"/>
                <w:shd w:val="clear" w:color="auto" w:fill="FFFFFF"/>
              </w:rPr>
              <w:t>For</w:t>
            </w:r>
            <w:r w:rsidR="0077714C" w:rsidRPr="00F03917">
              <w:rPr>
                <w:rFonts w:asciiTheme="minorHAnsi" w:hAnsiTheme="minorHAnsi" w:cstheme="minorHAnsi"/>
                <w:color w:val="222222"/>
                <w:szCs w:val="18"/>
                <w:shd w:val="clear" w:color="auto" w:fill="FFFFFF"/>
              </w:rPr>
              <w:t xml:space="preserve"> integrat</w:t>
            </w:r>
            <w:r w:rsidRPr="00F03917">
              <w:rPr>
                <w:rFonts w:asciiTheme="minorHAnsi" w:hAnsiTheme="minorHAnsi" w:cstheme="minorHAnsi"/>
                <w:color w:val="222222"/>
                <w:szCs w:val="18"/>
                <w:shd w:val="clear" w:color="auto" w:fill="FFFFFF"/>
              </w:rPr>
              <w:t>ing</w:t>
            </w:r>
            <w:r w:rsidR="0077714C" w:rsidRPr="00F03917">
              <w:rPr>
                <w:rFonts w:asciiTheme="minorHAnsi" w:hAnsiTheme="minorHAnsi" w:cstheme="minorHAnsi"/>
                <w:color w:val="222222"/>
                <w:szCs w:val="18"/>
                <w:shd w:val="clear" w:color="auto" w:fill="FFFFFF"/>
              </w:rPr>
              <w:t xml:space="preserve"> climate-related physical hazard drivers and socio-economic drivers under dynamic conditions to evaluate effectiveness and viability of options or actions</w:t>
            </w:r>
            <w:r w:rsidR="00771EDC" w:rsidRPr="00F03917">
              <w:rPr>
                <w:rFonts w:asciiTheme="minorHAnsi" w:hAnsiTheme="minorHAnsi" w:cstheme="minorHAnsi"/>
                <w:color w:val="222222"/>
                <w:szCs w:val="18"/>
                <w:shd w:val="clear" w:color="auto" w:fill="FFFFFF"/>
              </w:rPr>
              <w:t xml:space="preserve"> (</w:t>
            </w:r>
            <w:r w:rsidR="00771EDC" w:rsidRPr="00F03917">
              <w:rPr>
                <w:rFonts w:cs="Calibri"/>
                <w:color w:val="242424"/>
                <w:szCs w:val="18"/>
                <w:shd w:val="clear" w:color="auto" w:fill="FFFFFF"/>
              </w:rPr>
              <w:t>Allison et</w:t>
            </w:r>
            <w:r w:rsidR="005E5BA3" w:rsidRPr="00F03917">
              <w:rPr>
                <w:rFonts w:cs="Calibri"/>
                <w:color w:val="242424"/>
                <w:szCs w:val="18"/>
                <w:shd w:val="clear" w:color="auto" w:fill="FFFFFF"/>
              </w:rPr>
              <w:t> </w:t>
            </w:r>
            <w:r w:rsidR="00771EDC" w:rsidRPr="00F03917">
              <w:rPr>
                <w:rFonts w:cs="Calibri"/>
                <w:color w:val="242424"/>
                <w:szCs w:val="18"/>
                <w:shd w:val="clear" w:color="auto" w:fill="FFFFFF"/>
              </w:rPr>
              <w:t>al, 2023).</w:t>
            </w:r>
          </w:p>
        </w:tc>
        <w:tc>
          <w:tcPr>
            <w:tcW w:w="2551" w:type="dxa"/>
          </w:tcPr>
          <w:p w14:paraId="7C240507" w14:textId="687FFE52" w:rsidR="0022205C" w:rsidRPr="00F03917" w:rsidRDefault="00BB299D" w:rsidP="005644E6">
            <w:pPr>
              <w:pStyle w:val="TableText"/>
            </w:pPr>
            <w:r w:rsidRPr="00F03917">
              <w:rPr>
                <w:rFonts w:asciiTheme="minorHAnsi" w:hAnsiTheme="minorHAnsi" w:cstheme="minorHAnsi"/>
                <w:color w:val="222222"/>
                <w:szCs w:val="18"/>
                <w:shd w:val="clear" w:color="auto" w:fill="FFFFFF"/>
              </w:rPr>
              <w:t>Most useful for exploring how adaptive actions might be sequentially triggered, in response to various climate change and socio-economic scenarios. Spatially explicit and temporally dynamic. Inputs can be quantitative and qualitative.</w:t>
            </w:r>
          </w:p>
        </w:tc>
        <w:tc>
          <w:tcPr>
            <w:tcW w:w="2268" w:type="dxa"/>
          </w:tcPr>
          <w:p w14:paraId="0CE1C5FF" w14:textId="68A0A24D" w:rsidR="0022205C" w:rsidRPr="00F03917" w:rsidRDefault="00137161" w:rsidP="005644E6">
            <w:pPr>
              <w:pStyle w:val="TableText"/>
            </w:pPr>
            <w:r w:rsidRPr="00F03917">
              <w:t xml:space="preserve">Can be used as a tool in combination with </w:t>
            </w:r>
            <w:r w:rsidR="00B80826" w:rsidRPr="00F03917">
              <w:t>robust decision making (</w:t>
            </w:r>
            <w:r w:rsidRPr="00F03917">
              <w:t>RDM</w:t>
            </w:r>
            <w:r w:rsidR="00B80826" w:rsidRPr="00F03917">
              <w:t>)</w:t>
            </w:r>
            <w:r w:rsidRPr="00F03917">
              <w:t xml:space="preserve"> and systems mapping in a </w:t>
            </w:r>
            <w:r w:rsidR="001B448D" w:rsidRPr="00F03917">
              <w:t>dynamic adaptive pathways planning (</w:t>
            </w:r>
            <w:r w:rsidRPr="00F03917">
              <w:t>DAPP</w:t>
            </w:r>
            <w:r w:rsidR="001B448D" w:rsidRPr="00F03917">
              <w:t>)</w:t>
            </w:r>
            <w:r w:rsidRPr="00F03917">
              <w:t xml:space="preserve"> approach.</w:t>
            </w:r>
          </w:p>
        </w:tc>
      </w:tr>
      <w:tr w:rsidR="00BC2E1F" w:rsidRPr="00F03917" w14:paraId="043769EC" w14:textId="77777777" w:rsidTr="00871641">
        <w:tc>
          <w:tcPr>
            <w:tcW w:w="1560" w:type="dxa"/>
          </w:tcPr>
          <w:p w14:paraId="7666D3C2" w14:textId="1D7DA3CB" w:rsidR="00BC2E1F" w:rsidRPr="00F03917" w:rsidRDefault="00BC2E1F" w:rsidP="00B11156">
            <w:pPr>
              <w:pStyle w:val="TableText"/>
              <w:keepNext/>
            </w:pPr>
            <w:r w:rsidRPr="00F03917">
              <w:t xml:space="preserve">Real options analysis </w:t>
            </w:r>
          </w:p>
        </w:tc>
        <w:tc>
          <w:tcPr>
            <w:tcW w:w="2126" w:type="dxa"/>
          </w:tcPr>
          <w:p w14:paraId="61D6A72B" w14:textId="77777777" w:rsidR="00BC2E1F" w:rsidRPr="00F03917" w:rsidRDefault="00BC2E1F" w:rsidP="005644E6">
            <w:pPr>
              <w:pStyle w:val="TableText"/>
            </w:pPr>
            <w:r w:rsidRPr="00F03917">
              <w:t>Project-based analysis. Large irreversible capital investment, particularly where there is an existing adaptation deficit. Comparing flexible versus non-flexible options.</w:t>
            </w:r>
          </w:p>
        </w:tc>
        <w:tc>
          <w:tcPr>
            <w:tcW w:w="2551" w:type="dxa"/>
          </w:tcPr>
          <w:p w14:paraId="02D819D5" w14:textId="1B27E0BA" w:rsidR="00BC2E1F" w:rsidRPr="00F03917" w:rsidRDefault="00BC2E1F" w:rsidP="005644E6">
            <w:pPr>
              <w:pStyle w:val="TableText"/>
            </w:pPr>
            <w:r w:rsidRPr="00F03917">
              <w:t>Most useful for: large irreversible capital decisions; climate risk probabilities known or good information. Good quality data exists for major cost</w:t>
            </w:r>
            <w:r w:rsidR="006060CA" w:rsidRPr="00F03917">
              <w:t>-</w:t>
            </w:r>
            <w:r w:rsidRPr="00F03917">
              <w:t>benefit components.</w:t>
            </w:r>
          </w:p>
        </w:tc>
        <w:tc>
          <w:tcPr>
            <w:tcW w:w="2268" w:type="dxa"/>
          </w:tcPr>
          <w:p w14:paraId="3763A180" w14:textId="77777777" w:rsidR="00BC2E1F" w:rsidRPr="00F03917" w:rsidRDefault="00BC2E1F" w:rsidP="005644E6">
            <w:pPr>
              <w:pStyle w:val="TableText"/>
            </w:pPr>
            <w:r w:rsidRPr="00F03917">
              <w:t>Economic analysis of major investment decisions, notably major flood defences, water storage. Potential for justifying flexibility within major projects.</w:t>
            </w:r>
          </w:p>
        </w:tc>
      </w:tr>
      <w:tr w:rsidR="00BC2E1F" w:rsidRPr="00F03917" w14:paraId="26C0417D" w14:textId="77777777" w:rsidTr="00871641">
        <w:tc>
          <w:tcPr>
            <w:tcW w:w="1560" w:type="dxa"/>
          </w:tcPr>
          <w:p w14:paraId="5CE7329D" w14:textId="15998E26" w:rsidR="00BC2E1F" w:rsidRPr="00F03917" w:rsidRDefault="00BC2E1F" w:rsidP="005644E6">
            <w:pPr>
              <w:pStyle w:val="TableText"/>
            </w:pPr>
            <w:r w:rsidRPr="00F03917">
              <w:t>Robust decision making (MORDM</w:t>
            </w:r>
            <w:r w:rsidRPr="00F03917">
              <w:rPr>
                <w:vertAlign w:val="superscript"/>
              </w:rPr>
              <w:footnoteReference w:id="86"/>
            </w:r>
            <w:r w:rsidRPr="00F03917">
              <w:rPr>
                <w:szCs w:val="18"/>
              </w:rPr>
              <w:t>)</w:t>
            </w:r>
          </w:p>
        </w:tc>
        <w:tc>
          <w:tcPr>
            <w:tcW w:w="2126" w:type="dxa"/>
          </w:tcPr>
          <w:p w14:paraId="2C8D8D80" w14:textId="77777777" w:rsidR="00BC2E1F" w:rsidRPr="00F03917" w:rsidRDefault="00BC2E1F" w:rsidP="005644E6">
            <w:pPr>
              <w:pStyle w:val="TableText"/>
              <w:rPr>
                <w:szCs w:val="18"/>
              </w:rPr>
            </w:pPr>
            <w:r w:rsidRPr="00F03917">
              <w:rPr>
                <w:szCs w:val="18"/>
              </w:rPr>
              <w:t>Project and strategy analysis. Conditions of high uncertainty. Near-term investment with long lifetimes (eg, infrastructure).</w:t>
            </w:r>
          </w:p>
          <w:p w14:paraId="4D7A2085" w14:textId="77777777" w:rsidR="00BC2E1F" w:rsidRPr="00F03917" w:rsidRDefault="00BC2E1F" w:rsidP="005644E6">
            <w:pPr>
              <w:pStyle w:val="TableText"/>
              <w:rPr>
                <w:szCs w:val="18"/>
              </w:rPr>
            </w:pPr>
            <w:r w:rsidRPr="00F03917">
              <w:rPr>
                <w:szCs w:val="18"/>
              </w:rPr>
              <w:t>MORDM for designing adaptive plans</w:t>
            </w:r>
          </w:p>
        </w:tc>
        <w:tc>
          <w:tcPr>
            <w:tcW w:w="2551" w:type="dxa"/>
          </w:tcPr>
          <w:p w14:paraId="613E70EC" w14:textId="6E597CDB" w:rsidR="00BC2E1F" w:rsidRPr="00F03917" w:rsidRDefault="00BC2E1F" w:rsidP="005644E6">
            <w:pPr>
              <w:pStyle w:val="TableText"/>
              <w:rPr>
                <w:szCs w:val="18"/>
              </w:rPr>
            </w:pPr>
            <w:r w:rsidRPr="00F03917">
              <w:rPr>
                <w:szCs w:val="18"/>
              </w:rPr>
              <w:t>Most useful for high uncertainty in rate and magnitude of climate change signal. Mix of quantitative and qualitative information. Non-monetary areas (eg, ecosystems, health). For exploring the policy design space.</w:t>
            </w:r>
          </w:p>
        </w:tc>
        <w:tc>
          <w:tcPr>
            <w:tcW w:w="2268" w:type="dxa"/>
          </w:tcPr>
          <w:p w14:paraId="337EE913" w14:textId="77777777" w:rsidR="00BC2E1F" w:rsidRPr="00F03917" w:rsidRDefault="00BC2E1F" w:rsidP="005644E6">
            <w:pPr>
              <w:pStyle w:val="TableText"/>
              <w:rPr>
                <w:szCs w:val="18"/>
              </w:rPr>
            </w:pPr>
            <w:r w:rsidRPr="00F03917">
              <w:rPr>
                <w:szCs w:val="18"/>
              </w:rPr>
              <w:t xml:space="preserve">Identifying low- and no-regret options. Testing near-term options or strategies across number of futures or projections (robustness). Comparing technical and non-technical options. Can be used with DAPP. </w:t>
            </w:r>
          </w:p>
        </w:tc>
      </w:tr>
      <w:tr w:rsidR="000D59C2" w:rsidRPr="00F03917" w14:paraId="22AE3BBA" w14:textId="77777777" w:rsidTr="00871641">
        <w:tc>
          <w:tcPr>
            <w:tcW w:w="1560" w:type="dxa"/>
          </w:tcPr>
          <w:p w14:paraId="74534A43" w14:textId="4928AD97" w:rsidR="000D59C2" w:rsidRPr="00F03917" w:rsidRDefault="000D59C2" w:rsidP="000D59C2">
            <w:pPr>
              <w:pStyle w:val="TableText"/>
            </w:pPr>
            <w:r w:rsidRPr="00F03917">
              <w:t xml:space="preserve">Exploratory modelling </w:t>
            </w:r>
          </w:p>
        </w:tc>
        <w:tc>
          <w:tcPr>
            <w:tcW w:w="2126" w:type="dxa"/>
          </w:tcPr>
          <w:p w14:paraId="3A54D4B7" w14:textId="213FDE12" w:rsidR="000D59C2" w:rsidRPr="00F03917" w:rsidRDefault="000D59C2" w:rsidP="000D59C2">
            <w:pPr>
              <w:pStyle w:val="TableText"/>
              <w:rPr>
                <w:szCs w:val="18"/>
              </w:rPr>
            </w:pPr>
            <w:r w:rsidRPr="00F03917">
              <w:rPr>
                <w:szCs w:val="18"/>
              </w:rPr>
              <w:t xml:space="preserve">Computational scenario modelling to explore the characteristics of complex systems. </w:t>
            </w:r>
          </w:p>
        </w:tc>
        <w:tc>
          <w:tcPr>
            <w:tcW w:w="2551" w:type="dxa"/>
          </w:tcPr>
          <w:p w14:paraId="63714B5E" w14:textId="4A02E07A" w:rsidR="000D59C2" w:rsidRPr="00F03917" w:rsidRDefault="000D59C2" w:rsidP="000D59C2">
            <w:pPr>
              <w:pStyle w:val="TableText"/>
              <w:rPr>
                <w:szCs w:val="18"/>
              </w:rPr>
            </w:pPr>
            <w:r w:rsidRPr="00F03917">
              <w:rPr>
                <w:szCs w:val="18"/>
              </w:rPr>
              <w:t>Uses simple models of complex systems where there are irreducible uncertainties. Requires moderation by experts.</w:t>
            </w:r>
          </w:p>
        </w:tc>
        <w:tc>
          <w:tcPr>
            <w:tcW w:w="2268" w:type="dxa"/>
          </w:tcPr>
          <w:p w14:paraId="0C653BA7" w14:textId="6F66941C" w:rsidR="000D59C2" w:rsidRPr="00F03917" w:rsidRDefault="000D59C2" w:rsidP="000D59C2">
            <w:pPr>
              <w:pStyle w:val="TableText"/>
              <w:rPr>
                <w:szCs w:val="18"/>
              </w:rPr>
            </w:pPr>
            <w:r w:rsidRPr="00F03917">
              <w:rPr>
                <w:szCs w:val="18"/>
              </w:rPr>
              <w:t>For fast computation to understand the impacts of uncertain futures. Can be applied to a specific infrastructure level or for a larger system.</w:t>
            </w:r>
          </w:p>
        </w:tc>
      </w:tr>
      <w:tr w:rsidR="00BC2E1F" w:rsidRPr="00F03917" w14:paraId="605D2427" w14:textId="77777777" w:rsidTr="00871641">
        <w:tc>
          <w:tcPr>
            <w:tcW w:w="1560" w:type="dxa"/>
          </w:tcPr>
          <w:p w14:paraId="389D2C1B" w14:textId="28D618FE" w:rsidR="00BC2E1F" w:rsidRPr="00F03917" w:rsidRDefault="00BC2E1F" w:rsidP="005644E6">
            <w:pPr>
              <w:pStyle w:val="TableText"/>
            </w:pPr>
            <w:r w:rsidRPr="00F03917">
              <w:t xml:space="preserve">Portfolio analysis </w:t>
            </w:r>
          </w:p>
        </w:tc>
        <w:tc>
          <w:tcPr>
            <w:tcW w:w="2126" w:type="dxa"/>
          </w:tcPr>
          <w:p w14:paraId="00B1DD88" w14:textId="77777777" w:rsidR="00BC2E1F" w:rsidRPr="00F03917" w:rsidRDefault="00BC2E1F" w:rsidP="005644E6">
            <w:pPr>
              <w:pStyle w:val="TableText"/>
            </w:pPr>
            <w:r w:rsidRPr="00F03917">
              <w:t>Analysing combinations of options, including potential for project and strategy formulation.</w:t>
            </w:r>
          </w:p>
        </w:tc>
        <w:tc>
          <w:tcPr>
            <w:tcW w:w="2551" w:type="dxa"/>
          </w:tcPr>
          <w:p w14:paraId="428C5617" w14:textId="7E17A106" w:rsidR="00BC2E1F" w:rsidRPr="00F03917" w:rsidRDefault="00BC2E1F" w:rsidP="005644E6">
            <w:pPr>
              <w:pStyle w:val="TableText"/>
            </w:pPr>
            <w:r w:rsidRPr="00F03917">
              <w:t xml:space="preserve">Most useful for </w:t>
            </w:r>
            <w:r w:rsidR="78F7F9E3" w:rsidRPr="00F03917">
              <w:t xml:space="preserve">several </w:t>
            </w:r>
            <w:r w:rsidRPr="00F03917">
              <w:t>adaptation actions likely to be complementary in reducing climate risks. Climate risk possibilities known or good information.</w:t>
            </w:r>
          </w:p>
        </w:tc>
        <w:tc>
          <w:tcPr>
            <w:tcW w:w="2268" w:type="dxa"/>
          </w:tcPr>
          <w:p w14:paraId="1CCF863A" w14:textId="77777777" w:rsidR="00BC2E1F" w:rsidRPr="00F03917" w:rsidRDefault="00BC2E1F" w:rsidP="005644E6">
            <w:pPr>
              <w:pStyle w:val="TableText"/>
            </w:pPr>
            <w:r w:rsidRPr="00F03917">
              <w:t>Project-based analysis for combinations for future scenarios. Designing portfolio mixes as part of iterative pathways.</w:t>
            </w:r>
          </w:p>
        </w:tc>
      </w:tr>
    </w:tbl>
    <w:p w14:paraId="7040D823" w14:textId="01DC50B1" w:rsidR="00BC2E1F" w:rsidRPr="00F03917" w:rsidRDefault="64E64F4C" w:rsidP="005644E6">
      <w:pPr>
        <w:pStyle w:val="Source"/>
      </w:pPr>
      <w:r w:rsidRPr="00F03917">
        <w:t xml:space="preserve">Source: </w:t>
      </w:r>
      <w:r w:rsidR="00BC2E1F" w:rsidRPr="00F03917">
        <w:t xml:space="preserve">Adapted from Watkiss et al (2015); Kwakkel and Haasnoot </w:t>
      </w:r>
      <w:r w:rsidR="00B86D43" w:rsidRPr="00F03917">
        <w:t>(</w:t>
      </w:r>
      <w:r w:rsidR="00BC2E1F" w:rsidRPr="00F03917">
        <w:t>2019</w:t>
      </w:r>
      <w:r w:rsidR="00B86D43" w:rsidRPr="00F03917">
        <w:t>)</w:t>
      </w:r>
    </w:p>
    <w:p w14:paraId="02B0AD1B" w14:textId="60C38A48" w:rsidR="00BC2E1F" w:rsidRPr="00F03917" w:rsidRDefault="00BC2E1F" w:rsidP="001C2C66">
      <w:pPr>
        <w:pStyle w:val="BodyText"/>
        <w:keepLines/>
      </w:pPr>
      <w:r w:rsidRPr="00F03917">
        <w:lastRenderedPageBreak/>
        <w:t xml:space="preserve">For valuing options, multi-criteria analysis (MCA) is commonly used in </w:t>
      </w:r>
      <w:r w:rsidR="00DD1F3D" w:rsidRPr="00F03917">
        <w:t xml:space="preserve">Aotearoa </w:t>
      </w:r>
      <w:r w:rsidRPr="00F03917">
        <w:t xml:space="preserve">New Zealand. It is more subjective than other tools and requires clear criteria and systematic application to </w:t>
      </w:r>
      <w:r w:rsidR="00CD5BFA" w:rsidRPr="00F03917">
        <w:t xml:space="preserve">reduce </w:t>
      </w:r>
      <w:r w:rsidRPr="00F03917">
        <w:t>bias</w:t>
      </w:r>
      <w:r w:rsidR="00D31E20" w:rsidRPr="00F03917">
        <w:t>.</w:t>
      </w:r>
      <w:r w:rsidR="00791C38" w:rsidRPr="00F03917">
        <w:t xml:space="preserve"> </w:t>
      </w:r>
      <w:r w:rsidR="00D31E20" w:rsidRPr="00F03917">
        <w:t>I</w:t>
      </w:r>
      <w:r w:rsidR="00256F0A" w:rsidRPr="00F03917">
        <w:t>t is powerful as a tool to use</w:t>
      </w:r>
      <w:r w:rsidR="009A498D" w:rsidRPr="00F03917">
        <w:t xml:space="preserve"> collaboratively with communities and stakeholders because it is transparent</w:t>
      </w:r>
      <w:r w:rsidR="00621AC9" w:rsidRPr="00F03917">
        <w:t>, understandable, and allows community-specific values and interests to directly inform decision outcomes</w:t>
      </w:r>
      <w:r w:rsidR="005303F5" w:rsidRPr="00F03917">
        <w:t xml:space="preserve"> integrated with council statutory objectives</w:t>
      </w:r>
      <w:r w:rsidRPr="00F03917">
        <w:t>.</w:t>
      </w:r>
      <w:r w:rsidR="005644E6" w:rsidRPr="00F03917">
        <w:t> </w:t>
      </w:r>
      <w:r w:rsidRPr="00F03917">
        <w:t>Using MCA with other approaches</w:t>
      </w:r>
      <w:r w:rsidR="00A32F9A" w:rsidRPr="00F03917">
        <w:t>,</w:t>
      </w:r>
      <w:r w:rsidRPr="00F03917">
        <w:t xml:space="preserve"> such as real options analysis</w:t>
      </w:r>
      <w:r w:rsidR="5BDC77D2" w:rsidRPr="00F03917">
        <w:t>,</w:t>
      </w:r>
      <w:r w:rsidRPr="00F03917">
        <w:t xml:space="preserve"> can help validate results (Lawrence et al, 2019; Stroombergen and Lawrence, 2022). For example, </w:t>
      </w:r>
      <w:r w:rsidR="1182E674" w:rsidRPr="00F03917">
        <w:t>real options analysis</w:t>
      </w:r>
      <w:r w:rsidRPr="00F03917">
        <w:t xml:space="preserve"> </w:t>
      </w:r>
      <w:r w:rsidR="003B7F46" w:rsidRPr="00F03917">
        <w:t xml:space="preserve">can be used </w:t>
      </w:r>
      <w:r w:rsidRPr="00F03917">
        <w:t>to</w:t>
      </w:r>
      <w:r w:rsidR="0082422F" w:rsidRPr="00F03917">
        <w:t> </w:t>
      </w:r>
      <w:r w:rsidRPr="00F03917">
        <w:t>check the robustness of MCA results and to compare the incremental investment cost differences between the various flexible pathways. This enables meaningful comparisons of</w:t>
      </w:r>
      <w:r w:rsidR="005644E6" w:rsidRPr="00F03917">
        <w:t> </w:t>
      </w:r>
      <w:r w:rsidRPr="00F03917">
        <w:t>value for money</w:t>
      </w:r>
      <w:r w:rsidR="00D54A4F" w:rsidRPr="00F03917">
        <w:t xml:space="preserve"> to be made. Using</w:t>
      </w:r>
      <w:r w:rsidR="0040233D" w:rsidRPr="00F03917">
        <w:t xml:space="preserve"> robust decision making</w:t>
      </w:r>
      <w:r w:rsidR="00D54A4F" w:rsidRPr="00F03917">
        <w:t xml:space="preserve"> and agent-based modelling with the DAPP approach (Allison et al</w:t>
      </w:r>
      <w:r w:rsidR="593097B1" w:rsidRPr="00F03917">
        <w:t>,</w:t>
      </w:r>
      <w:r w:rsidR="00D54A4F" w:rsidRPr="00F03917">
        <w:t xml:space="preserve"> 2023) enables</w:t>
      </w:r>
      <w:r w:rsidRPr="00F03917">
        <w:t xml:space="preserve"> </w:t>
      </w:r>
      <w:r w:rsidR="00EF1995" w:rsidRPr="00F03917">
        <w:t>exploration of how adaptive actions might be sequentially triggered, in response to various climate change and socio-economic scenarios.</w:t>
      </w:r>
    </w:p>
    <w:p w14:paraId="2BD16148" w14:textId="07745207" w:rsidR="00BC2E1F" w:rsidRPr="00F03917" w:rsidRDefault="00470862" w:rsidP="00FA1C4A">
      <w:pPr>
        <w:pStyle w:val="Heading2"/>
        <w:numPr>
          <w:ilvl w:val="0"/>
          <w:numId w:val="53"/>
        </w:numPr>
      </w:pPr>
      <w:bookmarkStart w:id="174" w:name="_Toc144715791"/>
      <w:r w:rsidRPr="00F03917">
        <w:tab/>
      </w:r>
      <w:bookmarkStart w:id="175" w:name="_Toc160096253"/>
      <w:r w:rsidR="00BC2E1F" w:rsidRPr="00F03917">
        <w:t>Evaluat</w:t>
      </w:r>
      <w:r w:rsidR="00B356B3" w:rsidRPr="00F03917">
        <w:t>e</w:t>
      </w:r>
      <w:r w:rsidR="00BC2E1F" w:rsidRPr="00F03917">
        <w:t xml:space="preserve"> options and pathways</w:t>
      </w:r>
      <w:bookmarkEnd w:id="174"/>
      <w:bookmarkEnd w:id="175"/>
    </w:p>
    <w:p w14:paraId="1A8DE319" w14:textId="498BD1AC" w:rsidR="00BC2E1F" w:rsidRPr="00F03917" w:rsidRDefault="00BC2E1F" w:rsidP="00470862">
      <w:pPr>
        <w:pStyle w:val="BodyText"/>
      </w:pPr>
      <w:r w:rsidRPr="00F03917">
        <w:t xml:space="preserve">Assess and evaluate the effectiveness of the agreed options and actions. This addresses any side effects and shortfalls that thwart the outcomes, and </w:t>
      </w:r>
      <w:r w:rsidR="72E8B0FF" w:rsidRPr="00F03917">
        <w:t xml:space="preserve">it </w:t>
      </w:r>
      <w:r w:rsidRPr="00F03917">
        <w:t>test</w:t>
      </w:r>
      <w:r w:rsidR="340DD391" w:rsidRPr="00F03917">
        <w:t>s</w:t>
      </w:r>
      <w:r w:rsidRPr="00F03917">
        <w:t xml:space="preserve"> for their effectiveness in reducing risk, under what conditions, and their viability (</w:t>
      </w:r>
      <w:r w:rsidR="006E688B" w:rsidRPr="00F03917">
        <w:t>lifetime</w:t>
      </w:r>
      <w:r w:rsidRPr="00F03917">
        <w:t>).</w:t>
      </w:r>
      <w:r w:rsidR="00476E33" w:rsidRPr="00F03917">
        <w:t xml:space="preserve"> Use the most appropriate evaluation tools (</w:t>
      </w:r>
      <w:hyperlink w:anchor="_Choose_evaluation_tools" w:history="1">
        <w:r w:rsidR="00476E33" w:rsidRPr="00F03917">
          <w:rPr>
            <w:rStyle w:val="Hyperlink"/>
          </w:rPr>
          <w:t>section 6.1</w:t>
        </w:r>
      </w:hyperlink>
      <w:r w:rsidRPr="00F03917">
        <w:t>).</w:t>
      </w:r>
    </w:p>
    <w:p w14:paraId="574B0D07" w14:textId="2FC646E4" w:rsidR="00BC2E1F" w:rsidRPr="00F03917" w:rsidRDefault="00BC2E1F" w:rsidP="00FA1C4A">
      <w:pPr>
        <w:pStyle w:val="Heading3"/>
        <w:numPr>
          <w:ilvl w:val="0"/>
          <w:numId w:val="29"/>
        </w:numPr>
        <w:rPr>
          <w:rFonts w:ascii="Calibri" w:eastAsiaTheme="minorEastAsia" w:hAnsi="Calibri"/>
          <w:szCs w:val="28"/>
        </w:rPr>
      </w:pPr>
      <w:r w:rsidRPr="00F03917">
        <w:t>Effect of the adaptation response</w:t>
      </w:r>
    </w:p>
    <w:p w14:paraId="3B71D689" w14:textId="09052F46" w:rsidR="00BC2E1F" w:rsidRPr="00F03917" w:rsidRDefault="004124BE" w:rsidP="00317E11">
      <w:pPr>
        <w:pStyle w:val="BodyText"/>
      </w:pPr>
      <w:r w:rsidRPr="00F03917">
        <w:t xml:space="preserve">An adaptation response cannot mitigate all hazards or risk in place or over time. Human responses to climate change affect </w:t>
      </w:r>
      <w:r w:rsidRPr="00F03917">
        <w:rPr>
          <w:i/>
          <w:iCs/>
        </w:rPr>
        <w:t>exposure</w:t>
      </w:r>
      <w:r w:rsidRPr="00F03917">
        <w:t xml:space="preserve"> and </w:t>
      </w:r>
      <w:r w:rsidRPr="00F03917">
        <w:rPr>
          <w:i/>
          <w:iCs/>
        </w:rPr>
        <w:t>vulnerability</w:t>
      </w:r>
      <w:r w:rsidRPr="00F03917">
        <w:t xml:space="preserve"> which varies and changes over time. Depending on the local conditions, such as compounding and cascading effects, a greater or lesser residual risk will remain. </w:t>
      </w:r>
      <w:r w:rsidR="00BC2E1F" w:rsidRPr="00F03917">
        <w:t xml:space="preserve">In addition, an option applied </w:t>
      </w:r>
      <w:r w:rsidR="00D21B5D" w:rsidRPr="00F03917">
        <w:t xml:space="preserve">in one </w:t>
      </w:r>
      <w:r w:rsidR="00BC2E1F" w:rsidRPr="00F03917">
        <w:t>loca</w:t>
      </w:r>
      <w:r w:rsidR="00D21B5D" w:rsidRPr="00F03917">
        <w:t>tion</w:t>
      </w:r>
      <w:r w:rsidR="00BC2E1F" w:rsidRPr="00F03917">
        <w:t xml:space="preserve"> c</w:t>
      </w:r>
      <w:r w:rsidR="00D21B5D" w:rsidRPr="00F03917">
        <w:t>an</w:t>
      </w:r>
      <w:r w:rsidR="00BC2E1F" w:rsidRPr="00F03917">
        <w:t xml:space="preserve"> cause side effects elsewhere</w:t>
      </w:r>
      <w:r w:rsidR="000E20FD" w:rsidRPr="00F03917">
        <w:t xml:space="preserve"> and these can have a lasting effect on coastal shorelines and communities</w:t>
      </w:r>
      <w:r w:rsidR="00BC2E1F" w:rsidRPr="00F03917">
        <w:t xml:space="preserve">. </w:t>
      </w:r>
      <w:r w:rsidR="006661F4" w:rsidRPr="00F03917">
        <w:t>Such effects need to be considered when evaluating the options and pathways.</w:t>
      </w:r>
    </w:p>
    <w:p w14:paraId="6EA9D8AF" w14:textId="6F48BCC3" w:rsidR="008D16BE" w:rsidRPr="00F03917" w:rsidRDefault="008D16BE" w:rsidP="008D16BE">
      <w:pPr>
        <w:pStyle w:val="BodyText"/>
      </w:pPr>
      <w:r w:rsidRPr="00F03917">
        <w:t xml:space="preserve">The following questions can be used when evaluating the effect of changing coastal risk on the options and pathways identified in </w:t>
      </w:r>
      <w:hyperlink w:anchor="_Step_5:_Identify" w:history="1">
        <w:r w:rsidR="000D304A" w:rsidRPr="00F03917">
          <w:rPr>
            <w:rStyle w:val="Hyperlink"/>
          </w:rPr>
          <w:t>s</w:t>
        </w:r>
        <w:r w:rsidRPr="00F03917">
          <w:rPr>
            <w:rStyle w:val="Hyperlink"/>
          </w:rPr>
          <w:t>tep 5</w:t>
        </w:r>
      </w:hyperlink>
      <w:r w:rsidRPr="00F03917">
        <w:t>.</w:t>
      </w:r>
    </w:p>
    <w:p w14:paraId="04EAA57E" w14:textId="22CEBFB1" w:rsidR="008D16BE" w:rsidRPr="00F03917" w:rsidRDefault="008D16BE" w:rsidP="00174F6E">
      <w:pPr>
        <w:pStyle w:val="BulletFIX"/>
      </w:pPr>
      <w:r w:rsidRPr="00F03917">
        <w:t xml:space="preserve">What are the first impacts in coastal areas </w:t>
      </w:r>
      <w:r w:rsidR="00EF6E80" w:rsidRPr="00F03917">
        <w:t>because of</w:t>
      </w:r>
      <w:r w:rsidRPr="00F03917">
        <w:t xml:space="preserve"> climate change and RSLR and how do the risks evolve over time?</w:t>
      </w:r>
    </w:p>
    <w:p w14:paraId="38DB8640" w14:textId="6BBEB355" w:rsidR="008D16BE" w:rsidRPr="00F03917" w:rsidRDefault="008D16BE" w:rsidP="00174F6E">
      <w:pPr>
        <w:pStyle w:val="BulletFIX"/>
      </w:pPr>
      <w:r w:rsidRPr="00F03917">
        <w:t xml:space="preserve">Under what conditions will current strategies become ineffective in meeting objectives? </w:t>
      </w:r>
    </w:p>
    <w:p w14:paraId="58BA16EC" w14:textId="0DF2A72A" w:rsidR="008D16BE" w:rsidRPr="00F03917" w:rsidRDefault="008D16BE" w:rsidP="00174F6E">
      <w:pPr>
        <w:pStyle w:val="BulletFIX"/>
      </w:pPr>
      <w:r w:rsidRPr="00F03917">
        <w:t xml:space="preserve">When will alternative strategies be needed given that implementation has a lead time? </w:t>
      </w:r>
    </w:p>
    <w:p w14:paraId="760E351F" w14:textId="31039D4C" w:rsidR="008D16BE" w:rsidRPr="00F03917" w:rsidRDefault="008D16BE" w:rsidP="00174F6E">
      <w:pPr>
        <w:pStyle w:val="BulletFIX"/>
      </w:pPr>
      <w:r w:rsidRPr="00F03917">
        <w:t xml:space="preserve">What alternative decision pathways can be taken to achieve the same objectives? </w:t>
      </w:r>
    </w:p>
    <w:p w14:paraId="1A18DADA" w14:textId="72B6386F" w:rsidR="008D16BE" w:rsidRPr="00F03917" w:rsidRDefault="008D16BE" w:rsidP="00174F6E">
      <w:pPr>
        <w:pStyle w:val="BulletFIX"/>
      </w:pPr>
      <w:r w:rsidRPr="00F03917">
        <w:t xml:space="preserve">How robust are the options over a range of </w:t>
      </w:r>
      <w:r w:rsidR="4E84A2EF" w:rsidRPr="00F03917">
        <w:t>climate futures?</w:t>
      </w:r>
    </w:p>
    <w:p w14:paraId="4690A8F3" w14:textId="539FF3A2" w:rsidR="008D16BE" w:rsidRPr="00F03917" w:rsidRDefault="008D16BE" w:rsidP="00174F6E">
      <w:pPr>
        <w:pStyle w:val="BulletFIX"/>
      </w:pPr>
      <w:r w:rsidRPr="00F03917">
        <w:t>Can options and pathways be changed with minimum disruption and cost?</w:t>
      </w:r>
    </w:p>
    <w:p w14:paraId="36AE3E41" w14:textId="7536FD7A" w:rsidR="008D16BE" w:rsidRPr="00F03917" w:rsidRDefault="008D16BE" w:rsidP="00174F6E">
      <w:pPr>
        <w:pStyle w:val="BulletFIX"/>
      </w:pPr>
      <w:r w:rsidRPr="00F03917">
        <w:t>Do the options and pathways have side effects beyond the area of concern?</w:t>
      </w:r>
    </w:p>
    <w:p w14:paraId="1AB60952" w14:textId="19CCA3CE" w:rsidR="00BC2E1F" w:rsidRPr="00F03917" w:rsidRDefault="00BC2E1F" w:rsidP="00FA1C4A">
      <w:pPr>
        <w:pStyle w:val="Heading3"/>
        <w:numPr>
          <w:ilvl w:val="0"/>
          <w:numId w:val="29"/>
        </w:numPr>
      </w:pPr>
      <w:bookmarkStart w:id="176" w:name="figure22"/>
      <w:bookmarkEnd w:id="176"/>
      <w:r w:rsidRPr="00F03917">
        <w:t xml:space="preserve">Stress-testing </w:t>
      </w:r>
      <w:r w:rsidR="00722279" w:rsidRPr="00F03917">
        <w:t xml:space="preserve">options and </w:t>
      </w:r>
      <w:r w:rsidRPr="00F03917">
        <w:t xml:space="preserve">pathways </w:t>
      </w:r>
    </w:p>
    <w:p w14:paraId="54905EBD" w14:textId="35045190" w:rsidR="00BC2E1F" w:rsidRPr="00F03917" w:rsidRDefault="00BC2E1F" w:rsidP="00317E11">
      <w:pPr>
        <w:pStyle w:val="BodyText"/>
      </w:pPr>
      <w:r w:rsidRPr="00F03917">
        <w:t>Stress-testing is used to anticipate the potential impact of surprises and unknowns, especially elements o</w:t>
      </w:r>
      <w:r w:rsidR="002502E6" w:rsidRPr="00F03917">
        <w:t>f</w:t>
      </w:r>
      <w:r w:rsidRPr="00F03917">
        <w:t xml:space="preserve"> place-based risks with high uncertainty from </w:t>
      </w:r>
      <w:r w:rsidR="00CF2FF5" w:rsidRPr="00F03917">
        <w:t xml:space="preserve">compound and </w:t>
      </w:r>
      <w:r w:rsidRPr="00F03917">
        <w:t>cascading impacts (Logan et al, 2023). By increasingly stressing a system</w:t>
      </w:r>
      <w:r w:rsidR="00CF2FF5" w:rsidRPr="00F03917">
        <w:t xml:space="preserve"> (option or pathway)</w:t>
      </w:r>
      <w:r w:rsidRPr="00F03917">
        <w:t xml:space="preserve">, </w:t>
      </w:r>
      <w:r w:rsidR="009E1E7E" w:rsidRPr="00F03917">
        <w:t>it is possible to</w:t>
      </w:r>
      <w:r w:rsidRPr="00F03917">
        <w:t xml:space="preserve"> determine its breaking point and better understand how and why the system or design may fail (Lempert, 2019).</w:t>
      </w:r>
    </w:p>
    <w:p w14:paraId="6416B3FA" w14:textId="2D31F4EA" w:rsidR="00BC2E1F" w:rsidRPr="00F03917" w:rsidRDefault="00BC2E1F" w:rsidP="00317E11">
      <w:pPr>
        <w:pStyle w:val="BodyText"/>
        <w:rPr>
          <w:rFonts w:eastAsia="Times New Roman" w:cs="Calibri"/>
          <w:color w:val="222222"/>
        </w:rPr>
      </w:pPr>
      <w:r w:rsidRPr="00F03917">
        <w:lastRenderedPageBreak/>
        <w:t xml:space="preserve">Previously in </w:t>
      </w:r>
      <w:hyperlink w:anchor="_Step_2:_" w:history="1">
        <w:r w:rsidR="00DA72B2" w:rsidRPr="00F03917">
          <w:rPr>
            <w:rStyle w:val="Hyperlink"/>
          </w:rPr>
          <w:t>s</w:t>
        </w:r>
        <w:r w:rsidR="008F014A" w:rsidRPr="00F03917">
          <w:rPr>
            <w:rStyle w:val="Hyperlink"/>
          </w:rPr>
          <w:t>tep 2</w:t>
        </w:r>
      </w:hyperlink>
      <w:r w:rsidR="008F014A" w:rsidRPr="00F03917">
        <w:t xml:space="preserve"> and </w:t>
      </w:r>
      <w:hyperlink w:anchor="_Step_4:_Assess" w:history="1">
        <w:r w:rsidR="00DA72B2" w:rsidRPr="00F03917">
          <w:rPr>
            <w:rStyle w:val="Hyperlink"/>
          </w:rPr>
          <w:t>s</w:t>
        </w:r>
        <w:r w:rsidRPr="00F03917">
          <w:rPr>
            <w:rStyle w:val="Hyperlink"/>
          </w:rPr>
          <w:t>tep 4</w:t>
        </w:r>
      </w:hyperlink>
      <w:r w:rsidRPr="00F03917">
        <w:t xml:space="preserve">, </w:t>
      </w:r>
      <w:r w:rsidR="50F9A617" w:rsidRPr="00F03917">
        <w:t xml:space="preserve">it was recommended a range </w:t>
      </w:r>
      <w:r w:rsidRPr="00F03917">
        <w:t>of</w:t>
      </w:r>
      <w:r w:rsidRPr="00F03917">
        <w:rPr>
          <w:rFonts w:eastAsia="Times New Roman" w:cs="Calibri"/>
          <w:color w:val="222222"/>
        </w:rPr>
        <w:t xml:space="preserve"> </w:t>
      </w:r>
      <w:r w:rsidR="00B06219" w:rsidRPr="00F03917">
        <w:rPr>
          <w:rFonts w:eastAsia="Times New Roman" w:cs="Calibri"/>
          <w:color w:val="222222"/>
        </w:rPr>
        <w:t xml:space="preserve">RSLR </w:t>
      </w:r>
      <w:r w:rsidRPr="00F03917">
        <w:rPr>
          <w:rFonts w:eastAsia="Times New Roman" w:cs="Calibri"/>
          <w:color w:val="222222"/>
        </w:rPr>
        <w:t>increments</w:t>
      </w:r>
      <w:r w:rsidR="49336AF8" w:rsidRPr="00F03917">
        <w:rPr>
          <w:rFonts w:eastAsia="Times New Roman" w:cs="Calibri"/>
          <w:color w:val="222222"/>
        </w:rPr>
        <w:t xml:space="preserve"> and </w:t>
      </w:r>
      <w:r w:rsidR="00B06219" w:rsidRPr="00F03917">
        <w:rPr>
          <w:rFonts w:eastAsia="Times New Roman" w:cs="Calibri"/>
          <w:color w:val="222222"/>
        </w:rPr>
        <w:t xml:space="preserve">climate </w:t>
      </w:r>
      <w:r w:rsidRPr="00F03917">
        <w:rPr>
          <w:rFonts w:eastAsia="Times New Roman" w:cs="Calibri"/>
          <w:color w:val="222222"/>
        </w:rPr>
        <w:t xml:space="preserve">scenarios in </w:t>
      </w:r>
      <w:r w:rsidR="00B06219" w:rsidRPr="00F03917">
        <w:rPr>
          <w:rFonts w:eastAsia="Times New Roman" w:cs="Calibri"/>
          <w:color w:val="222222"/>
        </w:rPr>
        <w:t>hazard and</w:t>
      </w:r>
      <w:r w:rsidRPr="00F03917">
        <w:rPr>
          <w:rFonts w:eastAsia="Times New Roman" w:cs="Calibri"/>
          <w:color w:val="222222"/>
        </w:rPr>
        <w:t xml:space="preserve"> risk assessments</w:t>
      </w:r>
      <w:r w:rsidR="7521F21F" w:rsidRPr="00F03917">
        <w:rPr>
          <w:rFonts w:eastAsia="Times New Roman" w:cs="Calibri"/>
          <w:color w:val="222222"/>
        </w:rPr>
        <w:t xml:space="preserve"> </w:t>
      </w:r>
      <w:r w:rsidR="00B06219" w:rsidRPr="00F03917">
        <w:rPr>
          <w:rFonts w:eastAsia="Times New Roman" w:cs="Calibri"/>
          <w:color w:val="222222"/>
        </w:rPr>
        <w:t xml:space="preserve">and mapping </w:t>
      </w:r>
      <w:r w:rsidR="7521F21F" w:rsidRPr="00F03917">
        <w:rPr>
          <w:rFonts w:eastAsia="Times New Roman" w:cs="Calibri"/>
          <w:color w:val="222222"/>
        </w:rPr>
        <w:t xml:space="preserve">were </w:t>
      </w:r>
      <w:r w:rsidR="00B06219" w:rsidRPr="00F03917">
        <w:rPr>
          <w:rFonts w:eastAsia="Times New Roman" w:cs="Calibri"/>
          <w:color w:val="222222"/>
        </w:rPr>
        <w:t>worked with</w:t>
      </w:r>
      <w:r w:rsidRPr="00F03917">
        <w:rPr>
          <w:rFonts w:eastAsia="Times New Roman" w:cs="Calibri"/>
          <w:color w:val="222222"/>
        </w:rPr>
        <w:t xml:space="preserve"> to </w:t>
      </w:r>
      <w:r w:rsidR="00E46DC3" w:rsidRPr="00F03917">
        <w:rPr>
          <w:rFonts w:eastAsia="Times New Roman" w:cs="Calibri"/>
          <w:color w:val="222222"/>
        </w:rPr>
        <w:t>cover th</w:t>
      </w:r>
      <w:r w:rsidR="0055440B" w:rsidRPr="00F03917">
        <w:rPr>
          <w:rFonts w:eastAsia="Times New Roman" w:cs="Calibri"/>
          <w:color w:val="222222"/>
        </w:rPr>
        <w:t>e</w:t>
      </w:r>
      <w:r w:rsidR="00E46DC3" w:rsidRPr="00F03917">
        <w:rPr>
          <w:rFonts w:eastAsia="Times New Roman" w:cs="Calibri"/>
          <w:color w:val="222222"/>
        </w:rPr>
        <w:t xml:space="preserve"> range of conditions for identifying and developing</w:t>
      </w:r>
      <w:r w:rsidRPr="00F03917">
        <w:rPr>
          <w:rFonts w:eastAsia="Times New Roman" w:cs="Calibri"/>
          <w:color w:val="222222"/>
        </w:rPr>
        <w:t xml:space="preserve"> options </w:t>
      </w:r>
      <w:r w:rsidR="00E46DC3" w:rsidRPr="00F03917">
        <w:rPr>
          <w:rFonts w:eastAsia="Times New Roman" w:cs="Calibri"/>
          <w:color w:val="222222"/>
        </w:rPr>
        <w:t>and</w:t>
      </w:r>
      <w:r w:rsidRPr="00F03917">
        <w:rPr>
          <w:rFonts w:eastAsia="Times New Roman" w:cs="Calibri"/>
          <w:color w:val="222222"/>
        </w:rPr>
        <w:t xml:space="preserve"> pathways. Now</w:t>
      </w:r>
      <w:r w:rsidR="436A7264" w:rsidRPr="00F03917">
        <w:rPr>
          <w:rFonts w:eastAsia="Times New Roman" w:cs="Calibri"/>
          <w:color w:val="222222"/>
        </w:rPr>
        <w:t>,</w:t>
      </w:r>
      <w:r w:rsidRPr="00F03917">
        <w:rPr>
          <w:rFonts w:eastAsia="Times New Roman" w:cs="Calibri"/>
          <w:color w:val="222222"/>
        </w:rPr>
        <w:t xml:space="preserve"> preferred actions and options </w:t>
      </w:r>
      <w:r w:rsidR="0055440B" w:rsidRPr="00F03917">
        <w:rPr>
          <w:rFonts w:eastAsia="Times New Roman" w:cs="Calibri"/>
          <w:color w:val="222222"/>
        </w:rPr>
        <w:t>under that</w:t>
      </w:r>
      <w:r w:rsidRPr="00F03917">
        <w:rPr>
          <w:rFonts w:eastAsia="Times New Roman" w:cs="Calibri"/>
          <w:color w:val="222222"/>
        </w:rPr>
        <w:t xml:space="preserve"> range of conditions</w:t>
      </w:r>
      <w:r w:rsidR="789FF981" w:rsidRPr="00F03917">
        <w:rPr>
          <w:rFonts w:eastAsia="Times New Roman" w:cs="Calibri"/>
          <w:color w:val="222222"/>
        </w:rPr>
        <w:t xml:space="preserve"> will be stress-tested</w:t>
      </w:r>
      <w:r w:rsidR="000F48F0" w:rsidRPr="00F03917">
        <w:rPr>
          <w:rFonts w:eastAsia="Times New Roman" w:cs="Calibri"/>
          <w:color w:val="222222"/>
        </w:rPr>
        <w:t>, and</w:t>
      </w:r>
      <w:r w:rsidRPr="00F03917">
        <w:rPr>
          <w:rFonts w:eastAsia="Times New Roman" w:cs="Calibri"/>
          <w:color w:val="222222"/>
        </w:rPr>
        <w:t xml:space="preserve"> their effectiveness and viability</w:t>
      </w:r>
      <w:r w:rsidR="00D90CB3" w:rsidRPr="00F03917">
        <w:rPr>
          <w:rFonts w:eastAsia="Times New Roman" w:cs="Calibri"/>
          <w:color w:val="222222"/>
        </w:rPr>
        <w:t xml:space="preserve"> will be determined</w:t>
      </w:r>
      <w:r w:rsidRPr="00F03917">
        <w:rPr>
          <w:rFonts w:eastAsia="Times New Roman" w:cs="Calibri"/>
          <w:color w:val="222222"/>
        </w:rPr>
        <w:t>.</w:t>
      </w:r>
      <w:r w:rsidR="005821E1" w:rsidRPr="00F03917">
        <w:rPr>
          <w:rFonts w:eastAsia="Times New Roman" w:cs="Calibri"/>
          <w:color w:val="222222"/>
        </w:rPr>
        <w:t xml:space="preserve"> For example, in a Tauranga pilot study, Allison et al (2023), </w:t>
      </w:r>
      <w:r w:rsidR="005821E1" w:rsidRPr="00F03917">
        <w:rPr>
          <w:rFonts w:eastAsiaTheme="majorEastAsia"/>
        </w:rPr>
        <w:t>the timing of actions within each pathway was found to be dictated mainly by the rate of RSLR and the timing and severity of storm</w:t>
      </w:r>
      <w:r w:rsidR="00967E0E" w:rsidRPr="00F03917">
        <w:rPr>
          <w:rFonts w:eastAsiaTheme="majorEastAsia"/>
        </w:rPr>
        <w:t xml:space="preserve"> and </w:t>
      </w:r>
      <w:r w:rsidR="005821E1" w:rsidRPr="00F03917">
        <w:rPr>
          <w:rFonts w:eastAsiaTheme="majorEastAsia"/>
        </w:rPr>
        <w:t>flood events</w:t>
      </w:r>
      <w:r w:rsidRPr="00F03917">
        <w:rPr>
          <w:rFonts w:eastAsiaTheme="majorEastAsia"/>
        </w:rPr>
        <w:t>.</w:t>
      </w:r>
    </w:p>
    <w:p w14:paraId="73E1FB94" w14:textId="5BF1DDCD" w:rsidR="00BC2E1F" w:rsidRPr="00F03917" w:rsidRDefault="00BC2E1F" w:rsidP="00317E11">
      <w:pPr>
        <w:pStyle w:val="BodyText"/>
      </w:pPr>
      <w:r w:rsidRPr="00F03917">
        <w:t xml:space="preserve">Stress-testing should use a </w:t>
      </w:r>
      <w:r w:rsidR="0E6A2A0F" w:rsidRPr="00F03917">
        <w:t>variety</w:t>
      </w:r>
      <w:r w:rsidRPr="00F03917">
        <w:t xml:space="preserve"> of scenarios, including those with significant cascading impacts. An example is more frequent coastal flooding causing local damage, which may also affect road access </w:t>
      </w:r>
      <w:r w:rsidR="00431363" w:rsidRPr="00F03917">
        <w:t>by</w:t>
      </w:r>
      <w:r w:rsidRPr="00F03917">
        <w:t xml:space="preserve"> </w:t>
      </w:r>
      <w:r w:rsidR="00363E7B" w:rsidRPr="00F03917">
        <w:t>regularly isolating an otherwise</w:t>
      </w:r>
      <w:r w:rsidRPr="00F03917">
        <w:t xml:space="preserve"> unaffected communit</w:t>
      </w:r>
      <w:r w:rsidR="00363E7B" w:rsidRPr="00F03917">
        <w:t>y</w:t>
      </w:r>
      <w:r w:rsidR="000711A3" w:rsidRPr="00F03917">
        <w:t xml:space="preserve"> elsewhere</w:t>
      </w:r>
      <w:r w:rsidRPr="00F03917">
        <w:t xml:space="preserve"> (Logan et al, 2023). The complexity of the system interactions and cascading impacts </w:t>
      </w:r>
      <w:r w:rsidR="00CE1942" w:rsidRPr="00F03917">
        <w:t xml:space="preserve">(eg, </w:t>
      </w:r>
      <w:hyperlink w:anchor="figure16" w:history="1">
        <w:r w:rsidR="00CE1942" w:rsidRPr="00F03917">
          <w:rPr>
            <w:rStyle w:val="Hyperlink"/>
          </w:rPr>
          <w:t xml:space="preserve">figure </w:t>
        </w:r>
        <w:r w:rsidR="00634A79" w:rsidRPr="00F03917">
          <w:rPr>
            <w:rStyle w:val="Hyperlink"/>
          </w:rPr>
          <w:t>1</w:t>
        </w:r>
        <w:r w:rsidR="001E44C5" w:rsidRPr="00F03917">
          <w:rPr>
            <w:rStyle w:val="Hyperlink"/>
          </w:rPr>
          <w:t>6</w:t>
        </w:r>
      </w:hyperlink>
      <w:r w:rsidR="00CE1942" w:rsidRPr="00F03917">
        <w:t xml:space="preserve">) </w:t>
      </w:r>
      <w:r w:rsidRPr="00F03917">
        <w:t xml:space="preserve">will affect how the testing is </w:t>
      </w:r>
      <w:r w:rsidR="00C84E0C" w:rsidRPr="00F03917">
        <w:t>done.</w:t>
      </w:r>
    </w:p>
    <w:p w14:paraId="6206A72D" w14:textId="09E7B756" w:rsidR="00EC71DD" w:rsidRPr="00F03917" w:rsidRDefault="00EC71DD" w:rsidP="00EC71DD">
      <w:pPr>
        <w:pStyle w:val="BodyText"/>
      </w:pPr>
      <w:r w:rsidRPr="00F03917">
        <w:t>Examples, where stress</w:t>
      </w:r>
      <w:r w:rsidR="007B503D" w:rsidRPr="00F03917">
        <w:t>-</w:t>
      </w:r>
      <w:r w:rsidRPr="00F03917">
        <w:t>testing</w:t>
      </w:r>
      <w:r w:rsidR="000A5AB7" w:rsidRPr="00F03917">
        <w:t>,</w:t>
      </w:r>
      <w:r w:rsidRPr="00F03917">
        <w:t xml:space="preserve"> as </w:t>
      </w:r>
      <w:r w:rsidR="006F4231" w:rsidRPr="00F03917">
        <w:t>described</w:t>
      </w:r>
      <w:r w:rsidRPr="00F03917">
        <w:t xml:space="preserve"> above, has been used in Aotearoa include</w:t>
      </w:r>
      <w:r w:rsidR="000A5AB7" w:rsidRPr="00F03917">
        <w:t xml:space="preserve"> the following.</w:t>
      </w:r>
    </w:p>
    <w:p w14:paraId="34486342" w14:textId="20A6EFF6" w:rsidR="00EC71DD" w:rsidRPr="00F03917" w:rsidRDefault="00EC71DD" w:rsidP="00174F6E">
      <w:pPr>
        <w:pStyle w:val="BulletFIX"/>
      </w:pPr>
      <w:r w:rsidRPr="00F03917">
        <w:rPr>
          <w:rFonts w:eastAsiaTheme="majorEastAsia"/>
        </w:rPr>
        <w:t xml:space="preserve">Allison et al (2023) piloted an agent-based modelling approach </w:t>
      </w:r>
      <w:r w:rsidR="0016551B" w:rsidRPr="00F03917">
        <w:rPr>
          <w:rFonts w:eastAsiaTheme="majorEastAsia"/>
        </w:rPr>
        <w:t xml:space="preserve">in </w:t>
      </w:r>
      <w:r w:rsidRPr="00F03917" w:rsidDel="0016551B">
        <w:rPr>
          <w:rFonts w:eastAsiaTheme="majorEastAsia"/>
        </w:rPr>
        <w:t>Tauranga</w:t>
      </w:r>
      <w:r w:rsidRPr="00F03917">
        <w:rPr>
          <w:rFonts w:eastAsiaTheme="majorEastAsia"/>
        </w:rPr>
        <w:t xml:space="preserve">. </w:t>
      </w:r>
      <w:r w:rsidR="00631FEE" w:rsidRPr="00F03917">
        <w:rPr>
          <w:rFonts w:eastAsiaTheme="majorEastAsia"/>
        </w:rPr>
        <w:t xml:space="preserve">The </w:t>
      </w:r>
      <w:r w:rsidRPr="00F03917">
        <w:rPr>
          <w:rFonts w:eastAsiaTheme="majorEastAsia"/>
        </w:rPr>
        <w:t xml:space="preserve">limits for soft and hard protection </w:t>
      </w:r>
      <w:r w:rsidR="00631FEE" w:rsidRPr="00F03917">
        <w:rPr>
          <w:rFonts w:eastAsiaTheme="majorEastAsia"/>
        </w:rPr>
        <w:t>were</w:t>
      </w:r>
      <w:r w:rsidRPr="00F03917">
        <w:rPr>
          <w:rFonts w:eastAsiaTheme="majorEastAsia"/>
        </w:rPr>
        <w:t xml:space="preserve"> around 0.3 m</w:t>
      </w:r>
      <w:r w:rsidR="00B35CD6" w:rsidRPr="00F03917">
        <w:rPr>
          <w:rFonts w:eastAsiaTheme="majorEastAsia"/>
        </w:rPr>
        <w:t>etre</w:t>
      </w:r>
      <w:r w:rsidRPr="00F03917">
        <w:rPr>
          <w:rFonts w:eastAsiaTheme="majorEastAsia"/>
        </w:rPr>
        <w:t xml:space="preserve"> RSLR, infrastructure upgrades and policy mechanisms </w:t>
      </w:r>
      <w:r w:rsidR="00631FEE" w:rsidRPr="00F03917">
        <w:rPr>
          <w:rFonts w:eastAsiaTheme="majorEastAsia"/>
        </w:rPr>
        <w:t>performed</w:t>
      </w:r>
      <w:r w:rsidRPr="00F03917">
        <w:rPr>
          <w:rFonts w:eastAsiaTheme="majorEastAsia"/>
        </w:rPr>
        <w:t xml:space="preserve"> between 0.40 m</w:t>
      </w:r>
      <w:r w:rsidR="00B35CD6" w:rsidRPr="00F03917">
        <w:rPr>
          <w:rFonts w:eastAsiaTheme="majorEastAsia"/>
        </w:rPr>
        <w:t>etre</w:t>
      </w:r>
      <w:r w:rsidRPr="00F03917">
        <w:rPr>
          <w:rFonts w:eastAsiaTheme="majorEastAsia"/>
        </w:rPr>
        <w:t xml:space="preserve"> and 0.75 m</w:t>
      </w:r>
      <w:r w:rsidR="00B35CD6" w:rsidRPr="00F03917">
        <w:rPr>
          <w:rFonts w:eastAsiaTheme="majorEastAsia"/>
        </w:rPr>
        <w:t>etre</w:t>
      </w:r>
      <w:r w:rsidRPr="00F03917">
        <w:rPr>
          <w:rFonts w:eastAsiaTheme="majorEastAsia"/>
        </w:rPr>
        <w:t xml:space="preserve"> RSLR</w:t>
      </w:r>
      <w:r w:rsidR="00631FEE" w:rsidRPr="00F03917">
        <w:rPr>
          <w:rFonts w:eastAsiaTheme="majorEastAsia"/>
        </w:rPr>
        <w:t>,</w:t>
      </w:r>
      <w:r w:rsidRPr="00F03917">
        <w:rPr>
          <w:rFonts w:eastAsiaTheme="majorEastAsia"/>
        </w:rPr>
        <w:t xml:space="preserve"> </w:t>
      </w:r>
      <w:r w:rsidR="00631FEE" w:rsidRPr="00F03917">
        <w:rPr>
          <w:rFonts w:eastAsiaTheme="majorEastAsia"/>
        </w:rPr>
        <w:t>a</w:t>
      </w:r>
      <w:r w:rsidRPr="00F03917">
        <w:rPr>
          <w:rFonts w:eastAsiaTheme="majorEastAsia"/>
        </w:rPr>
        <w:t>fter</w:t>
      </w:r>
      <w:r w:rsidR="00BC32B1" w:rsidRPr="00F03917">
        <w:rPr>
          <w:rFonts w:eastAsiaTheme="majorEastAsia"/>
        </w:rPr>
        <w:t xml:space="preserve"> which</w:t>
      </w:r>
      <w:r w:rsidRPr="00F03917" w:rsidDel="007261B9">
        <w:rPr>
          <w:rFonts w:eastAsiaTheme="majorEastAsia"/>
        </w:rPr>
        <w:t xml:space="preserve"> </w:t>
      </w:r>
      <w:r w:rsidRPr="00F03917">
        <w:rPr>
          <w:rFonts w:eastAsiaTheme="majorEastAsia"/>
        </w:rPr>
        <w:t xml:space="preserve">active retreat </w:t>
      </w:r>
      <w:r w:rsidR="007261B9" w:rsidRPr="00F03917">
        <w:rPr>
          <w:rFonts w:eastAsiaTheme="majorEastAsia"/>
        </w:rPr>
        <w:t>wa</w:t>
      </w:r>
      <w:r w:rsidRPr="00F03917">
        <w:rPr>
          <w:rFonts w:eastAsiaTheme="majorEastAsia"/>
        </w:rPr>
        <w:t>s the only viable adaptation pathway.</w:t>
      </w:r>
    </w:p>
    <w:p w14:paraId="5814A2C2" w14:textId="7D75C03F" w:rsidR="00EC71DD" w:rsidRPr="00F03917" w:rsidRDefault="00EC71DD" w:rsidP="00174F6E">
      <w:pPr>
        <w:pStyle w:val="BulletFIX"/>
        <w:rPr>
          <w:rFonts w:eastAsiaTheme="majorEastAsia"/>
        </w:rPr>
      </w:pPr>
      <w:r w:rsidRPr="00F03917">
        <w:rPr>
          <w:rFonts w:eastAsiaTheme="majorEastAsia"/>
        </w:rPr>
        <w:t xml:space="preserve">Beya and Asmat (2021) developed detailed hazard models to design, cost and evaluate coastal adaptation options to meet risk thresholds within the DAPP strategies for each coastal cell in the </w:t>
      </w:r>
      <w:r w:rsidR="009408C9" w:rsidRPr="00F03917">
        <w:rPr>
          <w:rFonts w:eastAsiaTheme="majorEastAsia"/>
        </w:rPr>
        <w:t>Hawke’s Bay</w:t>
      </w:r>
      <w:r w:rsidRPr="00F03917">
        <w:rPr>
          <w:rFonts w:eastAsiaTheme="majorEastAsia"/>
        </w:rPr>
        <w:t xml:space="preserve"> Tangoio to Clifton Coastal Hazards Strategy 2120</w:t>
      </w:r>
      <w:r w:rsidR="49666DCE" w:rsidRPr="00F03917">
        <w:rPr>
          <w:rFonts w:eastAsiaTheme="majorEastAsia"/>
        </w:rPr>
        <w:t>.</w:t>
      </w:r>
    </w:p>
    <w:p w14:paraId="2AB4C6C4" w14:textId="65C2019D" w:rsidR="00EC71DD" w:rsidRPr="00F03917" w:rsidRDefault="00EC71DD" w:rsidP="00174F6E">
      <w:pPr>
        <w:pStyle w:val="BulletFIX"/>
      </w:pPr>
      <w:r w:rsidRPr="00F03917">
        <w:rPr>
          <w:rFonts w:eastAsiaTheme="majorEastAsia"/>
        </w:rPr>
        <w:t xml:space="preserve">Kool (2020) used stress-testing for comparing different spatial pathways for stormwater and wastewater in the </w:t>
      </w:r>
      <w:r w:rsidR="00610B65" w:rsidRPr="00F03917">
        <w:rPr>
          <w:rFonts w:eastAsiaTheme="majorEastAsia"/>
        </w:rPr>
        <w:t xml:space="preserve">coastal zone of </w:t>
      </w:r>
      <w:r w:rsidRPr="00F03917">
        <w:rPr>
          <w:rFonts w:eastAsiaTheme="majorEastAsia"/>
        </w:rPr>
        <w:t>Petone</w:t>
      </w:r>
      <w:r w:rsidR="009408C9" w:rsidRPr="00F03917">
        <w:rPr>
          <w:rFonts w:eastAsiaTheme="majorEastAsia"/>
        </w:rPr>
        <w:t>, Wellington</w:t>
      </w:r>
      <w:r w:rsidRPr="00F03917">
        <w:rPr>
          <w:rFonts w:eastAsiaTheme="majorEastAsia"/>
        </w:rPr>
        <w:t xml:space="preserve">. </w:t>
      </w:r>
    </w:p>
    <w:p w14:paraId="456E790B" w14:textId="52321BBA" w:rsidR="007722B6" w:rsidRPr="00F03917" w:rsidRDefault="00EC71DD" w:rsidP="00174F6E">
      <w:pPr>
        <w:pStyle w:val="BulletFIX"/>
      </w:pPr>
      <w:r w:rsidRPr="00F03917">
        <w:rPr>
          <w:rFonts w:eastAsiaTheme="majorEastAsia"/>
        </w:rPr>
        <w:t>Bell et al (2022) and Allis and Bell (2019) used both H+ and SLR increments when considering compound stream and coastal flood levels for a causeway on Auckland’s north-western motorway</w:t>
      </w:r>
      <w:r w:rsidR="008F2FE3" w:rsidRPr="00F03917">
        <w:rPr>
          <w:rFonts w:eastAsiaTheme="majorEastAsia"/>
        </w:rPr>
        <w:t>,</w:t>
      </w:r>
      <w:r w:rsidRPr="00F03917">
        <w:rPr>
          <w:rFonts w:eastAsiaTheme="majorEastAsia"/>
        </w:rPr>
        <w:t xml:space="preserve"> and for the Petone to Ngauranga cycleway and resilience project</w:t>
      </w:r>
      <w:r w:rsidR="000344E1" w:rsidRPr="00F03917">
        <w:rPr>
          <w:rFonts w:eastAsiaTheme="majorEastAsia"/>
        </w:rPr>
        <w:t xml:space="preserve"> in Wellington</w:t>
      </w:r>
      <w:r w:rsidRPr="00F03917">
        <w:rPr>
          <w:rFonts w:eastAsiaTheme="majorEastAsia"/>
        </w:rPr>
        <w:t>, respectively.</w:t>
      </w:r>
      <w:bookmarkStart w:id="177" w:name="_9.5_Community_engagement"/>
      <w:bookmarkEnd w:id="177"/>
    </w:p>
    <w:p w14:paraId="52897499" w14:textId="77777777" w:rsidR="00A22ED1" w:rsidRPr="00F03917" w:rsidRDefault="00A22ED1" w:rsidP="00470862">
      <w:pPr>
        <w:pStyle w:val="BodyText"/>
      </w:pPr>
    </w:p>
    <w:p w14:paraId="764EF624" w14:textId="77777777" w:rsidR="00656434" w:rsidRPr="00F03917" w:rsidRDefault="00656434" w:rsidP="00470862">
      <w:pPr>
        <w:pStyle w:val="BodyText"/>
      </w:pPr>
    </w:p>
    <w:p w14:paraId="044E59D4" w14:textId="77777777" w:rsidR="00656434" w:rsidRPr="00F03917" w:rsidRDefault="00656434" w:rsidP="00470862">
      <w:pPr>
        <w:pStyle w:val="BodyText"/>
      </w:pPr>
    </w:p>
    <w:p w14:paraId="7C343773" w14:textId="69278B97" w:rsidR="06BEC399" w:rsidRPr="00F03917" w:rsidRDefault="007722B6" w:rsidP="00317E11">
      <w:pPr>
        <w:pStyle w:val="BodyText"/>
      </w:pPr>
      <w:r w:rsidRPr="00F03917">
        <w:rPr>
          <w:noProof/>
        </w:rPr>
        <w:drawing>
          <wp:inline distT="0" distB="0" distL="0" distR="0" wp14:anchorId="2D230F80" wp14:editId="7C22DEAD">
            <wp:extent cx="5400040" cy="1674253"/>
            <wp:effectExtent l="0" t="0" r="48260" b="2540"/>
            <wp:docPr id="1054172285" name="Diagram 10541722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9" r:lo="rId130" r:qs="rId131" r:cs="rId132"/>
              </a:graphicData>
            </a:graphic>
          </wp:inline>
        </w:drawing>
      </w:r>
    </w:p>
    <w:p w14:paraId="30B89274" w14:textId="77777777" w:rsidR="00317E11" w:rsidRPr="00F03917" w:rsidRDefault="00317E11" w:rsidP="00317E11">
      <w:pPr>
        <w:pStyle w:val="BodyText"/>
      </w:pPr>
    </w:p>
    <w:p w14:paraId="73C04E7A" w14:textId="77777777" w:rsidR="007722B6" w:rsidRPr="00F03917" w:rsidRDefault="007722B6" w:rsidP="00317E11">
      <w:pPr>
        <w:pStyle w:val="BodyText"/>
        <w:sectPr w:rsidR="007722B6" w:rsidRPr="00F03917" w:rsidSect="007E5AB2">
          <w:headerReference w:type="default" r:id="rId134"/>
          <w:pgSz w:w="11907" w:h="16840" w:code="9"/>
          <w:pgMar w:top="1134" w:right="1701" w:bottom="1134" w:left="1701" w:header="567" w:footer="567" w:gutter="0"/>
          <w:cols w:space="720"/>
          <w:docGrid w:linePitch="299"/>
        </w:sectPr>
      </w:pPr>
    </w:p>
    <w:p w14:paraId="63808275" w14:textId="75696E3E" w:rsidR="00BC2E1F" w:rsidRPr="00F03917" w:rsidRDefault="00BC2E1F" w:rsidP="000A1A25">
      <w:pPr>
        <w:pStyle w:val="PARTHEADING"/>
      </w:pPr>
      <w:bookmarkStart w:id="178" w:name="_Toc465847584"/>
      <w:bookmarkStart w:id="179" w:name="_Toc466014443"/>
      <w:bookmarkStart w:id="180" w:name="_Toc160096254"/>
      <w:r w:rsidRPr="00F03917">
        <w:lastRenderedPageBreak/>
        <w:t>Part D: How can we implement the strategy?</w:t>
      </w:r>
      <w:bookmarkEnd w:id="178"/>
      <w:bookmarkEnd w:id="179"/>
      <w:bookmarkEnd w:id="180"/>
    </w:p>
    <w:p w14:paraId="4BE2C054" w14:textId="56E9F2DE" w:rsidR="00BC2E1F" w:rsidRPr="00F03917" w:rsidRDefault="000E29F9" w:rsidP="007F2DAE">
      <w:pPr>
        <w:pStyle w:val="Heading1"/>
        <w:spacing w:after="120"/>
      </w:pPr>
      <w:bookmarkStart w:id="181" w:name="_10_Adaptive_planning"/>
      <w:bookmarkStart w:id="182" w:name="_Step_7:_D"/>
      <w:bookmarkStart w:id="183" w:name="_Toc160096255"/>
      <w:bookmarkStart w:id="184" w:name="_Toc465847585"/>
      <w:bookmarkStart w:id="185" w:name="_Toc466014444"/>
      <w:bookmarkEnd w:id="181"/>
      <w:bookmarkEnd w:id="182"/>
      <w:r w:rsidRPr="00F03917">
        <w:t xml:space="preserve">Step 7: </w:t>
      </w:r>
      <w:r w:rsidR="00CC0E09" w:rsidRPr="00F03917">
        <w:t>Develop</w:t>
      </w:r>
      <w:r w:rsidR="008E7648" w:rsidRPr="00F03917">
        <w:t xml:space="preserve"> the adaptive planning</w:t>
      </w:r>
      <w:r w:rsidR="00BC2E1F" w:rsidRPr="00F03917">
        <w:t xml:space="preserve"> </w:t>
      </w:r>
      <w:r w:rsidR="000E006B" w:rsidRPr="00F03917">
        <w:t>strategy</w:t>
      </w:r>
      <w:bookmarkEnd w:id="183"/>
      <w:r w:rsidR="000E006B" w:rsidRPr="00F03917">
        <w:t xml:space="preserve"> </w:t>
      </w:r>
      <w:bookmarkEnd w:id="184"/>
      <w:bookmarkEnd w:id="185"/>
    </w:p>
    <w:p w14:paraId="6EF96841" w14:textId="0CAE8A6A" w:rsidR="00B610B8" w:rsidRPr="00F03917" w:rsidRDefault="00B610B8" w:rsidP="00B610B8">
      <w:pPr>
        <w:pStyle w:val="BodyText"/>
      </w:pPr>
      <w:r w:rsidRPr="00F03917">
        <w:t>The adaptive planning</w:t>
      </w:r>
      <w:r w:rsidR="0070336F" w:rsidRPr="00F03917">
        <w:t xml:space="preserve"> </w:t>
      </w:r>
      <w:r w:rsidRPr="00F03917">
        <w:t>strategy</w:t>
      </w:r>
      <w:r w:rsidR="002310F0" w:rsidRPr="00F03917">
        <w:t xml:space="preserve"> (step 7)</w:t>
      </w:r>
      <w:r w:rsidRPr="00F03917">
        <w:t xml:space="preserve"> for the coastal area of concern comprises the initial actions and alternative pathways that have been developed in </w:t>
      </w:r>
      <w:hyperlink w:anchor="_Step_6:_Evaluate" w:history="1">
        <w:r w:rsidR="6195C3DC" w:rsidRPr="00F03917">
          <w:rPr>
            <w:rStyle w:val="Hyperlink"/>
          </w:rPr>
          <w:t>s</w:t>
        </w:r>
        <w:r w:rsidRPr="00F03917">
          <w:rPr>
            <w:rStyle w:val="Hyperlink"/>
          </w:rPr>
          <w:t>tep 6</w:t>
        </w:r>
      </w:hyperlink>
      <w:r w:rsidR="468E0703" w:rsidRPr="00F03917">
        <w:t>.</w:t>
      </w:r>
      <w:r w:rsidRPr="00F03917">
        <w:t xml:space="preserve"> </w:t>
      </w:r>
      <w:r w:rsidR="28B906C1" w:rsidRPr="00F03917">
        <w:t>It also includes</w:t>
      </w:r>
      <w:r w:rsidRPr="00F03917">
        <w:t xml:space="preserve"> the underlying supporting actions necessary for implementing the preferred adaptive actions and pathways (eg</w:t>
      </w:r>
      <w:r w:rsidR="11B2EE85" w:rsidRPr="00F03917">
        <w:t>,</w:t>
      </w:r>
      <w:r w:rsidRPr="00F03917">
        <w:t xml:space="preserve"> </w:t>
      </w:r>
      <w:r w:rsidR="00061927" w:rsidRPr="00F03917">
        <w:t xml:space="preserve">Implementing the plan </w:t>
      </w:r>
      <w:r w:rsidR="007F4586" w:rsidRPr="00F03917">
        <w:t>–</w:t>
      </w:r>
      <w:r w:rsidRPr="00F03917">
        <w:t xml:space="preserve"> </w:t>
      </w:r>
      <w:hyperlink w:anchor="_Step_8:_Implement" w:history="1">
        <w:r w:rsidR="19A9BA27" w:rsidRPr="00F03917">
          <w:rPr>
            <w:rStyle w:val="Hyperlink"/>
          </w:rPr>
          <w:t>s</w:t>
        </w:r>
        <w:r w:rsidRPr="00F03917">
          <w:rPr>
            <w:rStyle w:val="Hyperlink"/>
          </w:rPr>
          <w:t>tep 8</w:t>
        </w:r>
      </w:hyperlink>
      <w:r w:rsidR="236F9A43" w:rsidRPr="00F03917">
        <w:t>,</w:t>
      </w:r>
      <w:r w:rsidRPr="00F03917">
        <w:t xml:space="preserve"> and setting up the monitoring regime within councils </w:t>
      </w:r>
      <w:r w:rsidR="2E7A3AB4" w:rsidRPr="00F03917">
        <w:t xml:space="preserve">– </w:t>
      </w:r>
      <w:hyperlink w:anchor="_Step_9:_Monitor" w:history="1">
        <w:r w:rsidR="2E7A3AB4" w:rsidRPr="00F03917">
          <w:rPr>
            <w:rStyle w:val="Hyperlink"/>
          </w:rPr>
          <w:t>s</w:t>
        </w:r>
        <w:r w:rsidRPr="00F03917">
          <w:rPr>
            <w:rStyle w:val="Hyperlink"/>
          </w:rPr>
          <w:t>tep 9</w:t>
        </w:r>
      </w:hyperlink>
      <w:r w:rsidRPr="00F03917">
        <w:t xml:space="preserve">). </w:t>
      </w:r>
      <w:r w:rsidR="001739AD" w:rsidRPr="00F03917">
        <w:t>Setting</w:t>
      </w:r>
      <w:r w:rsidR="008A17B9" w:rsidRPr="00F03917">
        <w:t xml:space="preserve"> up </w:t>
      </w:r>
      <w:r w:rsidR="00F503E4" w:rsidRPr="00F03917">
        <w:t>signals and triggers</w:t>
      </w:r>
      <w:r w:rsidR="008A17B9" w:rsidRPr="00F03917">
        <w:t xml:space="preserve"> is a critical step in implementing the strategy</w:t>
      </w:r>
      <w:r w:rsidR="00B270FB" w:rsidRPr="00F03917">
        <w:t>,</w:t>
      </w:r>
      <w:r w:rsidR="008A17B9" w:rsidRPr="00F03917">
        <w:t xml:space="preserve"> </w:t>
      </w:r>
      <w:r w:rsidR="005C0DB8" w:rsidRPr="00F03917">
        <w:t>because</w:t>
      </w:r>
      <w:r w:rsidR="008A17B9" w:rsidRPr="00F03917">
        <w:t xml:space="preserve"> an essential element of the</w:t>
      </w:r>
      <w:r w:rsidR="005635B9" w:rsidRPr="00F03917">
        <w:t xml:space="preserve"> dynamic adaptive pathways planning</w:t>
      </w:r>
      <w:r w:rsidR="008A17B9" w:rsidRPr="00F03917">
        <w:t xml:space="preserve"> </w:t>
      </w:r>
      <w:r w:rsidR="00196C59" w:rsidRPr="00F03917">
        <w:t>(</w:t>
      </w:r>
      <w:r w:rsidR="008A17B9" w:rsidRPr="00F03917">
        <w:t>DAPP</w:t>
      </w:r>
      <w:r w:rsidR="00196C59" w:rsidRPr="00F03917">
        <w:t>)</w:t>
      </w:r>
      <w:r w:rsidR="008A17B9" w:rsidRPr="00F03917">
        <w:t xml:space="preserve"> approach is monitoring progress to the next switch in the pathway or other option.</w:t>
      </w:r>
    </w:p>
    <w:p w14:paraId="18C99207" w14:textId="27F2BCBD" w:rsidR="00B610B8" w:rsidRPr="00F03917" w:rsidRDefault="00B610B8" w:rsidP="00B270FB">
      <w:pPr>
        <w:pStyle w:val="BodyText"/>
      </w:pPr>
      <w:r w:rsidRPr="00F03917">
        <w:t>This section outlines how to design effective coastal signals (warning</w:t>
      </w:r>
      <w:r w:rsidR="00D109F2" w:rsidRPr="00F03917">
        <w:t>s</w:t>
      </w:r>
      <w:r w:rsidRPr="00F03917">
        <w:t xml:space="preserve">) and triggers (decision points) for the </w:t>
      </w:r>
      <w:r w:rsidR="00D71C56" w:rsidRPr="00F03917">
        <w:t>adaptive planning strategy</w:t>
      </w:r>
      <w:r w:rsidRPr="00F03917">
        <w:t xml:space="preserve"> (see </w:t>
      </w:r>
      <w:r w:rsidR="06FE22B9" w:rsidRPr="00F03917">
        <w:t>f</w:t>
      </w:r>
      <w:r w:rsidRPr="00F03917">
        <w:t>igure 2</w:t>
      </w:r>
      <w:r w:rsidR="005F7371" w:rsidRPr="00F03917">
        <w:t>2</w:t>
      </w:r>
      <w:r w:rsidRPr="00F03917">
        <w:t xml:space="preserve">) that can be implemented and monitored for review of signals and triggers for changing course before objectives fail to be met (threshold). At this step, engage with the relevant communities in developing meaningful signals and triggers that can be implemented and </w:t>
      </w:r>
      <w:r w:rsidR="00B745C6" w:rsidRPr="00F03917">
        <w:t xml:space="preserve">that </w:t>
      </w:r>
      <w:r w:rsidRPr="00F03917">
        <w:t xml:space="preserve">align with community and council objectives identified at </w:t>
      </w:r>
      <w:hyperlink w:anchor="_Step_3:_Establish" w:history="1">
        <w:r w:rsidR="499EBE90" w:rsidRPr="00F03917">
          <w:rPr>
            <w:rStyle w:val="Hyperlink"/>
          </w:rPr>
          <w:t>s</w:t>
        </w:r>
        <w:r w:rsidR="462226DF" w:rsidRPr="00F03917">
          <w:rPr>
            <w:rStyle w:val="Hyperlink"/>
          </w:rPr>
          <w:t>tep</w:t>
        </w:r>
        <w:r w:rsidRPr="00F03917">
          <w:rPr>
            <w:rStyle w:val="Hyperlink"/>
          </w:rPr>
          <w:t xml:space="preserve"> 3</w:t>
        </w:r>
      </w:hyperlink>
      <w:r w:rsidRPr="00F03917">
        <w:t xml:space="preserve">. </w:t>
      </w:r>
    </w:p>
    <w:p w14:paraId="5C7CB08F" w14:textId="6003A562" w:rsidR="00E92741" w:rsidRPr="00F03917" w:rsidRDefault="00E92741" w:rsidP="007F2DAE">
      <w:pPr>
        <w:pStyle w:val="BodyText"/>
        <w:jc w:val="center"/>
      </w:pPr>
      <w:r w:rsidRPr="00F03917">
        <w:rPr>
          <w:noProof/>
        </w:rPr>
        <w:drawing>
          <wp:inline distT="0" distB="0" distL="0" distR="0" wp14:anchorId="06EC99FD" wp14:editId="4FD08C8B">
            <wp:extent cx="4680000" cy="4573900"/>
            <wp:effectExtent l="0" t="0" r="0" b="0"/>
            <wp:docPr id="2093840477" name="Picture 2093840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rotWithShape="1">
                    <a:blip r:embed="rId135" cstate="print">
                      <a:extLst>
                        <a:ext uri="{28A0092B-C50C-407E-A947-70E740481C1C}">
                          <a14:useLocalDpi xmlns:a14="http://schemas.microsoft.com/office/drawing/2010/main" val="0"/>
                        </a:ext>
                      </a:extLst>
                    </a:blip>
                    <a:srcRect l="-6521" t="-5240" r="-6521" b="-5240"/>
                    <a:stretch/>
                  </pic:blipFill>
                  <pic:spPr bwMode="auto">
                    <a:xfrm>
                      <a:off x="0" y="0"/>
                      <a:ext cx="4680000" cy="4573900"/>
                    </a:xfrm>
                    <a:prstGeom prst="rect">
                      <a:avLst/>
                    </a:prstGeom>
                    <a:ln>
                      <a:noFill/>
                    </a:ln>
                    <a:extLst>
                      <a:ext uri="{53640926-AAD7-44D8-BBD7-CCE9431645EC}">
                        <a14:shadowObscured xmlns:a14="http://schemas.microsoft.com/office/drawing/2010/main"/>
                      </a:ext>
                    </a:extLst>
                  </pic:spPr>
                </pic:pic>
              </a:graphicData>
            </a:graphic>
          </wp:inline>
        </w:drawing>
      </w:r>
    </w:p>
    <w:p w14:paraId="1368CAED" w14:textId="537C0A18" w:rsidR="00BC2E1F" w:rsidRPr="00F03917" w:rsidRDefault="00AB416F" w:rsidP="00FA1C4A">
      <w:pPr>
        <w:pStyle w:val="Heading2"/>
        <w:numPr>
          <w:ilvl w:val="0"/>
          <w:numId w:val="30"/>
        </w:numPr>
      </w:pPr>
      <w:bookmarkStart w:id="186" w:name="_Toc160096256"/>
      <w:r w:rsidRPr="00F03917">
        <w:lastRenderedPageBreak/>
        <w:t>Identify</w:t>
      </w:r>
      <w:r w:rsidR="00BC2E1F" w:rsidRPr="00F03917">
        <w:t xml:space="preserve"> signals</w:t>
      </w:r>
      <w:bookmarkEnd w:id="186"/>
      <w:r w:rsidR="00BC2E1F" w:rsidRPr="00F03917">
        <w:t xml:space="preserve"> </w:t>
      </w:r>
    </w:p>
    <w:p w14:paraId="74B228A4" w14:textId="4BFEB70C" w:rsidR="00BC2E1F" w:rsidRPr="00F03917" w:rsidRDefault="009D1F8B" w:rsidP="00CB3390">
      <w:pPr>
        <w:pStyle w:val="BodyText"/>
        <w:spacing w:before="100" w:after="100"/>
      </w:pPr>
      <w:r w:rsidRPr="00F03917">
        <w:t xml:space="preserve">Implementation of the adaptive planning strategy requires signals and triggers for monitoring its effectiveness in reaching objectives. </w:t>
      </w:r>
      <w:r w:rsidR="00BC2E1F" w:rsidRPr="00F03917">
        <w:t xml:space="preserve">To monitor </w:t>
      </w:r>
      <w:r w:rsidR="00F65811" w:rsidRPr="00F03917">
        <w:t xml:space="preserve">the </w:t>
      </w:r>
      <w:r w:rsidR="00BC2E1F" w:rsidRPr="00F03917">
        <w:t xml:space="preserve">plan as conditions change over time, </w:t>
      </w:r>
      <w:r w:rsidR="00660D1D" w:rsidRPr="00F03917">
        <w:t>a</w:t>
      </w:r>
      <w:r w:rsidR="0082422F" w:rsidRPr="00F03917">
        <w:t> </w:t>
      </w:r>
      <w:r w:rsidR="00660D1D" w:rsidRPr="00F03917">
        <w:t>method</w:t>
      </w:r>
      <w:r w:rsidR="00BC2E1F" w:rsidRPr="00F03917">
        <w:t xml:space="preserve"> </w:t>
      </w:r>
      <w:r w:rsidR="007E41C9" w:rsidRPr="00F03917">
        <w:t xml:space="preserve">is needed </w:t>
      </w:r>
      <w:r w:rsidR="00BC2E1F" w:rsidRPr="00F03917">
        <w:t xml:space="preserve">to measure when an option or pathway cannot meet its objectives and </w:t>
      </w:r>
      <w:r w:rsidR="00414A63" w:rsidRPr="00F03917">
        <w:t xml:space="preserve">should </w:t>
      </w:r>
      <w:r w:rsidR="00BC2E1F" w:rsidRPr="00F03917">
        <w:t>be adjusted</w:t>
      </w:r>
      <w:r w:rsidR="0037247F" w:rsidRPr="00F03917">
        <w:t xml:space="preserve">. This method should ensure </w:t>
      </w:r>
      <w:r w:rsidR="00A91211" w:rsidRPr="00F03917">
        <w:t>sufficient warning of change to enable actions to be taken</w:t>
      </w:r>
      <w:r w:rsidR="00BC2E1F" w:rsidRPr="00F03917">
        <w:t xml:space="preserve">. This requires an advanced signal or warning </w:t>
      </w:r>
      <w:r w:rsidR="007229DC" w:rsidRPr="00F03917">
        <w:t>to avoid an adaptation threshold being reached</w:t>
      </w:r>
      <w:r w:rsidR="001144FE" w:rsidRPr="00F03917">
        <w:t xml:space="preserve"> and being unprepared, and decisions being made that are maladaptive without recourse to a</w:t>
      </w:r>
      <w:r w:rsidR="002F27AB" w:rsidRPr="00F03917">
        <w:t>n</w:t>
      </w:r>
      <w:r w:rsidR="001144FE" w:rsidRPr="00F03917">
        <w:t xml:space="preserve"> </w:t>
      </w:r>
      <w:r w:rsidR="1EE452B9" w:rsidRPr="00F03917">
        <w:t>adaptive planning</w:t>
      </w:r>
      <w:r w:rsidR="001144FE" w:rsidRPr="00F03917">
        <w:t xml:space="preserve"> strategy to guide decision</w:t>
      </w:r>
      <w:r w:rsidR="7AEE6439" w:rsidRPr="00F03917">
        <w:t>-</w:t>
      </w:r>
      <w:r w:rsidR="001144FE" w:rsidRPr="00F03917">
        <w:t>making</w:t>
      </w:r>
      <w:r w:rsidR="00BC2E1F" w:rsidRPr="00F03917">
        <w:t>.</w:t>
      </w:r>
      <w:r w:rsidR="002B0389" w:rsidRPr="00F03917">
        <w:t xml:space="preserve"> However,</w:t>
      </w:r>
      <w:r w:rsidR="002B5EE7" w:rsidRPr="00F03917">
        <w:t xml:space="preserve"> unexpected or surprise situations </w:t>
      </w:r>
      <w:r w:rsidR="00F85EFF" w:rsidRPr="00F03917">
        <w:t>can occur, so</w:t>
      </w:r>
      <w:r w:rsidR="000070E4" w:rsidRPr="00F03917">
        <w:t xml:space="preserve"> it is worth</w:t>
      </w:r>
      <w:r w:rsidR="00F85EFF" w:rsidRPr="00F03917">
        <w:t xml:space="preserve"> not</w:t>
      </w:r>
      <w:r w:rsidR="000070E4" w:rsidRPr="00F03917">
        <w:t>ing</w:t>
      </w:r>
      <w:r w:rsidR="00F85EFF" w:rsidRPr="00F03917">
        <w:t xml:space="preserve"> that</w:t>
      </w:r>
      <w:r w:rsidR="002B0389" w:rsidRPr="00F03917">
        <w:t xml:space="preserve"> </w:t>
      </w:r>
      <w:r w:rsidR="004265DF" w:rsidRPr="00F03917">
        <w:t xml:space="preserve">setting a signal is not a </w:t>
      </w:r>
      <w:r w:rsidR="00B4690E" w:rsidRPr="00F03917">
        <w:t>guarantee that an adaptation threshold will be avoid</w:t>
      </w:r>
      <w:r w:rsidR="00877181" w:rsidRPr="00F03917">
        <w:t>ed</w:t>
      </w:r>
      <w:r w:rsidR="00F85EFF" w:rsidRPr="00F03917">
        <w:t>.</w:t>
      </w:r>
      <w:r w:rsidR="007D3EEB" w:rsidRPr="00F03917">
        <w:t xml:space="preserve"> </w:t>
      </w:r>
    </w:p>
    <w:p w14:paraId="71CE07B2" w14:textId="2EE1D2CE" w:rsidR="00BC2E1F" w:rsidRPr="00F03917" w:rsidRDefault="00FE72CA" w:rsidP="00CB3390">
      <w:pPr>
        <w:pStyle w:val="BodyText"/>
        <w:spacing w:before="100" w:after="100"/>
      </w:pPr>
      <w:r w:rsidRPr="00F03917">
        <w:t>Figure 2</w:t>
      </w:r>
      <w:r w:rsidR="00812040" w:rsidRPr="00F03917">
        <w:t>2</w:t>
      </w:r>
      <w:r w:rsidR="00BC2E1F" w:rsidRPr="00F03917">
        <w:t xml:space="preserve"> shows how </w:t>
      </w:r>
      <w:r w:rsidR="007941FB" w:rsidRPr="00F03917">
        <w:t xml:space="preserve">the performance of adaptation actions </w:t>
      </w:r>
      <w:r w:rsidR="2987EE59" w:rsidRPr="00F03917">
        <w:t>decrease</w:t>
      </w:r>
      <w:r w:rsidR="49225B03" w:rsidRPr="00F03917">
        <w:t>s</w:t>
      </w:r>
      <w:r w:rsidR="007941FB" w:rsidRPr="00F03917">
        <w:t xml:space="preserve"> over time as conditions change and how </w:t>
      </w:r>
      <w:r w:rsidR="00BC2E1F" w:rsidRPr="00F03917">
        <w:t xml:space="preserve">signals and triggers </w:t>
      </w:r>
      <w:r w:rsidR="00C13BE7" w:rsidRPr="00F03917">
        <w:t xml:space="preserve">are located with sufficient lead time for </w:t>
      </w:r>
      <w:r w:rsidR="00176CD5" w:rsidRPr="00F03917">
        <w:t>implementation before the adaptation threshold is reached. Signals and triggers thus help</w:t>
      </w:r>
      <w:r w:rsidR="00BC2E1F" w:rsidRPr="00F03917">
        <w:t xml:space="preserve"> decision</w:t>
      </w:r>
      <w:r w:rsidR="492B685E" w:rsidRPr="00F03917">
        <w:t>-</w:t>
      </w:r>
      <w:r w:rsidR="008234A2" w:rsidRPr="00F03917">
        <w:t>making</w:t>
      </w:r>
      <w:r w:rsidR="00BC2E1F" w:rsidRPr="00F03917">
        <w:t xml:space="preserve"> about whether and when to change pathways. </w:t>
      </w:r>
    </w:p>
    <w:p w14:paraId="4656D336" w14:textId="271A0AF0" w:rsidR="0054575F" w:rsidRPr="00F03917" w:rsidRDefault="0054575F" w:rsidP="00CB3390">
      <w:pPr>
        <w:pStyle w:val="BodyText"/>
        <w:spacing w:before="100" w:after="100"/>
      </w:pPr>
      <w:r w:rsidRPr="00F03917">
        <w:t>Examples in the coastal context could be indicators of increasing coastal hazard and sea-level rise impacts on a drainage or stormwater system or an existing seawall; frequency of coastal flooding or erosion; or social or cultural indicators of value to communities; or combinations that provide more robust validation of the change being signalled.</w:t>
      </w:r>
    </w:p>
    <w:p w14:paraId="0BAF0A28" w14:textId="3B88084F" w:rsidR="00BC2E1F" w:rsidRPr="00F03917" w:rsidRDefault="00114183" w:rsidP="00C52920">
      <w:pPr>
        <w:pStyle w:val="Figureheading"/>
      </w:pPr>
      <w:bookmarkStart w:id="187" w:name="figure23"/>
      <w:bookmarkStart w:id="188" w:name="_Toc160098437"/>
      <w:bookmarkEnd w:id="187"/>
      <w:r w:rsidRPr="00F03917">
        <w:t>Figure 2</w:t>
      </w:r>
      <w:r w:rsidR="001F6526" w:rsidRPr="00F03917">
        <w:t>2</w:t>
      </w:r>
      <w:r w:rsidRPr="00F03917">
        <w:t xml:space="preserve">: </w:t>
      </w:r>
      <w:r w:rsidR="00C7236C" w:rsidRPr="00F03917">
        <w:tab/>
      </w:r>
      <w:r w:rsidR="00BC2E1F" w:rsidRPr="00F03917">
        <w:t>Signals and triggers linked to the adaptation threshold</w:t>
      </w:r>
      <w:bookmarkEnd w:id="188"/>
    </w:p>
    <w:p w14:paraId="552559ED" w14:textId="77777777" w:rsidR="00BC2E1F" w:rsidRPr="00F03917" w:rsidRDefault="00BC2E1F" w:rsidP="001B4693">
      <w:pPr>
        <w:pStyle w:val="BodyText"/>
        <w:spacing w:before="80" w:after="80"/>
      </w:pPr>
      <w:r w:rsidRPr="00F03917">
        <w:rPr>
          <w:noProof/>
        </w:rPr>
        <w:drawing>
          <wp:inline distT="0" distB="0" distL="0" distR="0" wp14:anchorId="240F5017" wp14:editId="3FA9D98E">
            <wp:extent cx="5391509" cy="3243312"/>
            <wp:effectExtent l="0" t="0" r="0" b="0"/>
            <wp:docPr id="1654547336" name="Picture 1654547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547336" name="Picture 1654547336"/>
                    <pic:cNvPicPr/>
                  </pic:nvPicPr>
                  <pic:blipFill rotWithShape="1">
                    <a:blip r:embed="rId136" cstate="print">
                      <a:extLst>
                        <a:ext uri="{28A0092B-C50C-407E-A947-70E740481C1C}">
                          <a14:useLocalDpi xmlns:a14="http://schemas.microsoft.com/office/drawing/2010/main" val="0"/>
                        </a:ext>
                      </a:extLst>
                    </a:blip>
                    <a:srcRect/>
                    <a:stretch/>
                  </pic:blipFill>
                  <pic:spPr bwMode="auto">
                    <a:xfrm>
                      <a:off x="0" y="0"/>
                      <a:ext cx="5413536" cy="3256562"/>
                    </a:xfrm>
                    <a:prstGeom prst="rect">
                      <a:avLst/>
                    </a:prstGeom>
                    <a:ln>
                      <a:noFill/>
                    </a:ln>
                    <a:extLst>
                      <a:ext uri="{53640926-AAD7-44D8-BBD7-CCE9431645EC}">
                        <a14:shadowObscured xmlns:a14="http://schemas.microsoft.com/office/drawing/2010/main"/>
                      </a:ext>
                    </a:extLst>
                  </pic:spPr>
                </pic:pic>
              </a:graphicData>
            </a:graphic>
          </wp:inline>
        </w:drawing>
      </w:r>
    </w:p>
    <w:p w14:paraId="717B0A62" w14:textId="12D3FD85" w:rsidR="00BC2E1F" w:rsidRPr="00F03917" w:rsidRDefault="006B0B14" w:rsidP="0082422F">
      <w:pPr>
        <w:pStyle w:val="Source"/>
        <w:spacing w:after="0"/>
      </w:pPr>
      <w:r w:rsidRPr="00F03917">
        <w:t>Note:</w:t>
      </w:r>
      <w:r w:rsidR="00F83832" w:rsidRPr="00F03917">
        <w:t xml:space="preserve"> Reduction of service level over time, illustrating an adaptation threshold, signals and triggers.</w:t>
      </w:r>
      <w:r w:rsidRPr="00F03917">
        <w:t xml:space="preserve"> </w:t>
      </w:r>
      <w:r w:rsidR="6AFE5FA4" w:rsidRPr="00F03917">
        <w:t>Concept of using monitored indicators, set up as defensible signals (triangle) and triggers (square) to awaken and prompt implementation of the next pathway option or action.</w:t>
      </w:r>
      <w:r w:rsidR="07E4BD49" w:rsidRPr="00F03917">
        <w:t xml:space="preserve"> In this example, option A requires a longer lead time </w:t>
      </w:r>
      <w:r w:rsidR="64B16E72" w:rsidRPr="00F03917">
        <w:t xml:space="preserve">than options C and D to implement. </w:t>
      </w:r>
      <w:r w:rsidR="1FDEDB7C" w:rsidRPr="00F03917">
        <w:t>O</w:t>
      </w:r>
      <w:r w:rsidR="64B16E72" w:rsidRPr="00F03917">
        <w:t xml:space="preserve">nly two future </w:t>
      </w:r>
      <w:r w:rsidR="00F64AB0" w:rsidRPr="00F03917">
        <w:t>pathways</w:t>
      </w:r>
      <w:r w:rsidR="64B16E72" w:rsidRPr="00F03917">
        <w:t xml:space="preserve"> are shown here for clarity, focusing the graphic on the bold blue line as an example.</w:t>
      </w:r>
      <w:r w:rsidR="0082422F" w:rsidRPr="00F03917">
        <w:t xml:space="preserve"> </w:t>
      </w:r>
      <w:r w:rsidR="00BC2E1F" w:rsidRPr="00F03917">
        <w:t>A, C and D refer to generic pathways</w:t>
      </w:r>
      <w:r w:rsidR="10A03991" w:rsidRPr="00F03917">
        <w:t>,</w:t>
      </w:r>
      <w:r w:rsidR="00BC2E1F" w:rsidRPr="00F03917">
        <w:t xml:space="preserve"> with different lead times</w:t>
      </w:r>
      <w:r w:rsidR="17AFCE90" w:rsidRPr="00F03917">
        <w:t>,</w:t>
      </w:r>
      <w:r w:rsidR="26703517" w:rsidRPr="00F03917">
        <w:t xml:space="preserve"> from </w:t>
      </w:r>
      <w:hyperlink w:anchor="figure21" w:history="1">
        <w:r w:rsidR="3F82FEFC" w:rsidRPr="00F03917">
          <w:rPr>
            <w:rStyle w:val="Hyperlink"/>
          </w:rPr>
          <w:t>f</w:t>
        </w:r>
        <w:r w:rsidR="51A5F744" w:rsidRPr="00F03917">
          <w:rPr>
            <w:rStyle w:val="Hyperlink"/>
          </w:rPr>
          <w:t>i</w:t>
        </w:r>
        <w:r w:rsidR="26703517" w:rsidRPr="00F03917">
          <w:rPr>
            <w:rStyle w:val="Hyperlink"/>
          </w:rPr>
          <w:t xml:space="preserve">gure </w:t>
        </w:r>
        <w:r w:rsidR="00B15CDF" w:rsidRPr="00F03917">
          <w:rPr>
            <w:rStyle w:val="Hyperlink"/>
          </w:rPr>
          <w:t>2</w:t>
        </w:r>
        <w:r w:rsidR="006314C8" w:rsidRPr="00F03917">
          <w:rPr>
            <w:rStyle w:val="Hyperlink"/>
          </w:rPr>
          <w:t>1</w:t>
        </w:r>
      </w:hyperlink>
      <w:r w:rsidR="00592700" w:rsidRPr="00F03917">
        <w:t>.</w:t>
      </w:r>
    </w:p>
    <w:p w14:paraId="39531A43" w14:textId="7061210E" w:rsidR="00F83832" w:rsidRPr="00F03917" w:rsidRDefault="00F83832" w:rsidP="00592700">
      <w:pPr>
        <w:pStyle w:val="Source"/>
      </w:pPr>
      <w:r w:rsidRPr="00F03917">
        <w:t xml:space="preserve">Source: MfE </w:t>
      </w:r>
      <w:r w:rsidR="00613493" w:rsidRPr="00F03917">
        <w:t>(</w:t>
      </w:r>
      <w:r w:rsidRPr="00F03917">
        <w:t>2017</w:t>
      </w:r>
      <w:r w:rsidR="00613493" w:rsidRPr="00F03917">
        <w:t>)</w:t>
      </w:r>
      <w:r w:rsidRPr="00F03917">
        <w:t xml:space="preserve"> as adapted from graphic by Marjolijn Haasnoot, Deltares and the University of Utrecht, the Netherlands.</w:t>
      </w:r>
    </w:p>
    <w:p w14:paraId="03BC2FA9" w14:textId="5EB03AFB" w:rsidR="00BC2E1F" w:rsidRPr="00F03917" w:rsidRDefault="00BC2E1F" w:rsidP="00774644">
      <w:pPr>
        <w:pStyle w:val="BodyText"/>
        <w:spacing w:before="100" w:after="100"/>
      </w:pPr>
      <w:r w:rsidRPr="00F03917">
        <w:t>Signals will form part of</w:t>
      </w:r>
      <w:r w:rsidRPr="00F03917" w:rsidDel="00AE7898">
        <w:t xml:space="preserve"> </w:t>
      </w:r>
      <w:r w:rsidR="00AE7898" w:rsidRPr="00F03917">
        <w:t xml:space="preserve">the </w:t>
      </w:r>
      <w:r w:rsidRPr="00F03917">
        <w:t xml:space="preserve">monitoring system to </w:t>
      </w:r>
      <w:r w:rsidR="00114174" w:rsidRPr="00F03917">
        <w:t>warn of impending change that may be heading to a trigger or decision point on</w:t>
      </w:r>
      <w:r w:rsidRPr="00F03917">
        <w:t xml:space="preserve"> whether the objectives are still being met. </w:t>
      </w:r>
      <w:r w:rsidR="00B77B6E" w:rsidRPr="00F03917">
        <w:t xml:space="preserve">Signals that appear early in the ‘impacts chain’ are preferable </w:t>
      </w:r>
      <w:r w:rsidR="55B8428F" w:rsidRPr="00F03917">
        <w:t>because</w:t>
      </w:r>
      <w:r w:rsidR="00B77B6E" w:rsidRPr="00F03917">
        <w:t xml:space="preserve"> they give more time to prepare for </w:t>
      </w:r>
      <w:r w:rsidR="00B77B6E" w:rsidRPr="00F03917">
        <w:lastRenderedPageBreak/>
        <w:t>decisions to be made at the trigger point. However, they may be</w:t>
      </w:r>
      <w:r w:rsidR="002A711E" w:rsidRPr="00F03917">
        <w:t xml:space="preserve"> less visible, and information can be less ‘convincing’ for decision-makers (Kwakkel et al, 2016)</w:t>
      </w:r>
      <w:r w:rsidR="00BB6DF2" w:rsidRPr="00F03917">
        <w:t>, unless there are several different signals to validate their significance</w:t>
      </w:r>
      <w:r w:rsidR="002A711E" w:rsidRPr="00F03917">
        <w:t>.</w:t>
      </w:r>
    </w:p>
    <w:p w14:paraId="1ACDDD4D" w14:textId="0EBC016D" w:rsidR="00BC2E1F" w:rsidRPr="00F03917" w:rsidRDefault="00C04260" w:rsidP="00774644">
      <w:pPr>
        <w:pStyle w:val="BodyText"/>
        <w:spacing w:before="100" w:after="100"/>
      </w:pPr>
      <w:r w:rsidRPr="00F03917">
        <w:t>Warning</w:t>
      </w:r>
      <w:r w:rsidR="00654B53" w:rsidRPr="00F03917">
        <w:t>s</w:t>
      </w:r>
      <w:r w:rsidR="00BF4EE4" w:rsidRPr="00F03917">
        <w:t xml:space="preserve"> </w:t>
      </w:r>
      <w:r w:rsidR="004251A2" w:rsidRPr="00F03917">
        <w:t>t</w:t>
      </w:r>
      <w:r w:rsidR="00BC2E1F" w:rsidRPr="00F03917">
        <w:t>raditionally</w:t>
      </w:r>
      <w:r w:rsidR="009D1C58" w:rsidRPr="00F03917">
        <w:t xml:space="preserve"> operate</w:t>
      </w:r>
      <w:r w:rsidR="00BC2E1F" w:rsidRPr="00F03917">
        <w:t xml:space="preserve"> close to an imminent threat</w:t>
      </w:r>
      <w:r w:rsidR="4CC947C8" w:rsidRPr="00F03917">
        <w:t>,</w:t>
      </w:r>
      <w:r w:rsidR="00BC2E1F" w:rsidRPr="00F03917">
        <w:t xml:space="preserve"> for example, </w:t>
      </w:r>
      <w:r w:rsidR="00A92B69" w:rsidRPr="00F03917">
        <w:t xml:space="preserve">a </w:t>
      </w:r>
      <w:r w:rsidR="00BC2E1F" w:rsidRPr="00F03917">
        <w:t>heavy rainfall or coastal storm</w:t>
      </w:r>
      <w:r w:rsidR="008E6286" w:rsidRPr="00F03917">
        <w:t xml:space="preserve"> alert</w:t>
      </w:r>
      <w:r w:rsidR="00BC2E1F" w:rsidRPr="00F03917">
        <w:t xml:space="preserve">. Such </w:t>
      </w:r>
      <w:r w:rsidR="004A37D2" w:rsidRPr="00F03917">
        <w:t>warning</w:t>
      </w:r>
      <w:r w:rsidR="00BC2E1F" w:rsidRPr="00F03917">
        <w:t>s are problematic for climate effects because</w:t>
      </w:r>
      <w:r w:rsidR="00F01F3C" w:rsidRPr="00F03917">
        <w:t xml:space="preserve"> </w:t>
      </w:r>
      <w:r w:rsidR="00BC2E1F" w:rsidRPr="00F03917">
        <w:t xml:space="preserve">they </w:t>
      </w:r>
      <w:r w:rsidR="00065ADD" w:rsidRPr="00F03917">
        <w:t xml:space="preserve">do not give the lead time </w:t>
      </w:r>
      <w:r w:rsidR="004A37D2" w:rsidRPr="00F03917">
        <w:t>needed</w:t>
      </w:r>
      <w:r w:rsidR="00065ADD" w:rsidRPr="00F03917">
        <w:t xml:space="preserve"> for considered analysis of the change. They also</w:t>
      </w:r>
      <w:r w:rsidR="00BC2E1F" w:rsidRPr="00F03917">
        <w:t xml:space="preserve"> depend on extreme events</w:t>
      </w:r>
      <w:r w:rsidR="05C070A9" w:rsidRPr="00F03917">
        <w:t>,</w:t>
      </w:r>
      <w:r w:rsidR="00367CAE" w:rsidRPr="00F03917">
        <w:t xml:space="preserve"> </w:t>
      </w:r>
      <w:r w:rsidR="00E05879" w:rsidRPr="00F03917">
        <w:t xml:space="preserve">which obscure the change, and the signal </w:t>
      </w:r>
      <w:r w:rsidR="00BC2E1F" w:rsidRPr="00F03917">
        <w:t>can be missed because of natural variability</w:t>
      </w:r>
      <w:r w:rsidR="00367CAE" w:rsidRPr="00F03917">
        <w:t>.</w:t>
      </w:r>
      <w:r w:rsidR="00786D9E" w:rsidRPr="00F03917">
        <w:t xml:space="preserve"> </w:t>
      </w:r>
      <w:r w:rsidR="004F70A1" w:rsidRPr="00F03917">
        <w:t>Useful</w:t>
      </w:r>
      <w:r w:rsidR="00786D9E" w:rsidRPr="00F03917">
        <w:t xml:space="preserve"> signals are those that are visible above the ‘noise’</w:t>
      </w:r>
      <w:r w:rsidR="00B344A1" w:rsidRPr="00F03917">
        <w:t>, can be tracked easily</w:t>
      </w:r>
      <w:r w:rsidR="00CE4E74" w:rsidRPr="00F03917">
        <w:t>, are relevant to the hazard and local coastal conditions,</w:t>
      </w:r>
      <w:r w:rsidR="00B344A1" w:rsidRPr="00F03917">
        <w:t xml:space="preserve"> and are transparent.</w:t>
      </w:r>
    </w:p>
    <w:p w14:paraId="21343EC3" w14:textId="512A4069" w:rsidR="00BC2E1F" w:rsidRPr="00F03917" w:rsidRDefault="00754CFD" w:rsidP="00FA1C4A">
      <w:pPr>
        <w:pStyle w:val="Heading2"/>
        <w:numPr>
          <w:ilvl w:val="0"/>
          <w:numId w:val="30"/>
        </w:numPr>
      </w:pPr>
      <w:bookmarkStart w:id="189" w:name="_Toc160096257"/>
      <w:r w:rsidRPr="00F03917">
        <w:t>Design and s</w:t>
      </w:r>
      <w:r w:rsidR="00321AFF" w:rsidRPr="00F03917">
        <w:t>et</w:t>
      </w:r>
      <w:r w:rsidR="00BC2E1F" w:rsidRPr="00F03917">
        <w:t xml:space="preserve"> triggers</w:t>
      </w:r>
      <w:bookmarkEnd w:id="189"/>
      <w:r w:rsidR="00BC2E1F" w:rsidRPr="00F03917">
        <w:t xml:space="preserve"> </w:t>
      </w:r>
    </w:p>
    <w:p w14:paraId="5907BFAA" w14:textId="0B4DF407" w:rsidR="00367CAE" w:rsidRPr="00F03917" w:rsidRDefault="00321AFF" w:rsidP="00FA1C4A">
      <w:pPr>
        <w:pStyle w:val="Heading3"/>
        <w:numPr>
          <w:ilvl w:val="0"/>
          <w:numId w:val="31"/>
        </w:numPr>
        <w:spacing w:before="240"/>
      </w:pPr>
      <w:r w:rsidRPr="00F03917">
        <w:t>Designing effective triggers</w:t>
      </w:r>
    </w:p>
    <w:p w14:paraId="73FE47F7" w14:textId="5DFC7EFB" w:rsidR="00BC2E1F" w:rsidRPr="00F03917" w:rsidRDefault="000E3B05" w:rsidP="00774644">
      <w:pPr>
        <w:pStyle w:val="BodyText"/>
        <w:spacing w:after="100"/>
      </w:pPr>
      <w:r w:rsidRPr="00F03917">
        <w:t>T</w:t>
      </w:r>
      <w:r w:rsidR="00BC2E1F" w:rsidRPr="00F03917">
        <w:t xml:space="preserve">riggers </w:t>
      </w:r>
      <w:r w:rsidRPr="00F03917">
        <w:t xml:space="preserve">denote decision points ahead </w:t>
      </w:r>
      <w:r w:rsidR="00406B46" w:rsidRPr="00F03917">
        <w:t>of a</w:t>
      </w:r>
      <w:r w:rsidR="00DD4898" w:rsidRPr="00F03917">
        <w:t>n adaptation</w:t>
      </w:r>
      <w:r w:rsidR="00406B46" w:rsidRPr="00F03917">
        <w:t xml:space="preserve"> threshold when a review and decisions are made as to whether to change</w:t>
      </w:r>
      <w:r w:rsidR="00CD1739" w:rsidRPr="00F03917">
        <w:t xml:space="preserve"> options or pathways. </w:t>
      </w:r>
      <w:r w:rsidR="00BC2E1F" w:rsidRPr="00F03917">
        <w:t>Triggers should be designed to be:</w:t>
      </w:r>
    </w:p>
    <w:p w14:paraId="7D1BCC4F" w14:textId="610446E8" w:rsidR="00BC2E1F" w:rsidRPr="00F03917" w:rsidRDefault="19CDADC1" w:rsidP="00174F6E">
      <w:pPr>
        <w:pStyle w:val="BulletFIX"/>
        <w:rPr>
          <w:rFonts w:eastAsiaTheme="minorEastAsia"/>
        </w:rPr>
      </w:pPr>
      <w:r w:rsidRPr="00F03917">
        <w:rPr>
          <w:b/>
        </w:rPr>
        <w:t>relevant</w:t>
      </w:r>
      <w:r w:rsidRPr="00F03917">
        <w:rPr>
          <w:rFonts w:eastAsiaTheme="minorEastAsia"/>
        </w:rPr>
        <w:t xml:space="preserve"> – they signify changes in coastal risk and are meaningful to </w:t>
      </w:r>
      <w:r w:rsidR="00F70638" w:rsidRPr="00F03917">
        <w:rPr>
          <w:rFonts w:eastAsiaTheme="minorEastAsia"/>
        </w:rPr>
        <w:t>councils and communities</w:t>
      </w:r>
    </w:p>
    <w:p w14:paraId="2E79DD06" w14:textId="14C81FE4" w:rsidR="00BC2E1F" w:rsidRPr="00F03917" w:rsidRDefault="19CDADC1" w:rsidP="00174F6E">
      <w:pPr>
        <w:pStyle w:val="BulletFIX"/>
        <w:rPr>
          <w:rFonts w:eastAsiaTheme="minorEastAsia"/>
        </w:rPr>
      </w:pPr>
      <w:r w:rsidRPr="00F03917">
        <w:rPr>
          <w:b/>
        </w:rPr>
        <w:t>measurable</w:t>
      </w:r>
      <w:r w:rsidRPr="00F03917">
        <w:rPr>
          <w:rFonts w:eastAsiaTheme="minorEastAsia"/>
        </w:rPr>
        <w:t xml:space="preserve"> – they can be measured or described, recognised and monitored</w:t>
      </w:r>
    </w:p>
    <w:p w14:paraId="1420FF6E" w14:textId="77777777" w:rsidR="00BC2E1F" w:rsidRPr="00F03917" w:rsidRDefault="19CDADC1" w:rsidP="00174F6E">
      <w:pPr>
        <w:pStyle w:val="BulletFIX"/>
        <w:rPr>
          <w:rFonts w:eastAsiaTheme="minorEastAsia"/>
        </w:rPr>
      </w:pPr>
      <w:r w:rsidRPr="00F03917">
        <w:rPr>
          <w:b/>
        </w:rPr>
        <w:t>timely</w:t>
      </w:r>
      <w:r w:rsidRPr="00F03917">
        <w:rPr>
          <w:rFonts w:eastAsiaTheme="minorEastAsia"/>
        </w:rPr>
        <w:t xml:space="preserve"> – they can be applied with enough lead time for adaptation </w:t>
      </w:r>
    </w:p>
    <w:p w14:paraId="50F3E70B" w14:textId="77777777" w:rsidR="00BC2E1F" w:rsidRPr="00F03917" w:rsidRDefault="19CDADC1" w:rsidP="00174F6E">
      <w:pPr>
        <w:pStyle w:val="BulletFIX"/>
        <w:rPr>
          <w:rFonts w:eastAsiaTheme="minorEastAsia"/>
        </w:rPr>
      </w:pPr>
      <w:r w:rsidRPr="00F03917">
        <w:rPr>
          <w:b/>
        </w:rPr>
        <w:t>reliable</w:t>
      </w:r>
      <w:r w:rsidRPr="00F03917">
        <w:rPr>
          <w:rFonts w:eastAsiaTheme="minorEastAsia"/>
        </w:rPr>
        <w:t xml:space="preserve"> – they can be replicated</w:t>
      </w:r>
    </w:p>
    <w:p w14:paraId="37F360CC" w14:textId="23A67D17" w:rsidR="00BC2E1F" w:rsidRPr="00F03917" w:rsidRDefault="19CDADC1" w:rsidP="00174F6E">
      <w:pPr>
        <w:pStyle w:val="BulletFIX"/>
        <w:rPr>
          <w:rFonts w:eastAsiaTheme="minorEastAsia"/>
        </w:rPr>
      </w:pPr>
      <w:r w:rsidRPr="00F03917">
        <w:rPr>
          <w:b/>
        </w:rPr>
        <w:t>convincing</w:t>
      </w:r>
      <w:r w:rsidRPr="00F03917">
        <w:rPr>
          <w:rFonts w:eastAsiaTheme="minorEastAsia"/>
        </w:rPr>
        <w:t xml:space="preserve"> – they enable decision-makers to agree on adaptation actions</w:t>
      </w:r>
      <w:r w:rsidR="2EEBD25F" w:rsidRPr="00F03917">
        <w:rPr>
          <w:rFonts w:eastAsiaTheme="minorEastAsia"/>
        </w:rPr>
        <w:t xml:space="preserve"> (Kavale, 2022)</w:t>
      </w:r>
      <w:r w:rsidRPr="00F03917">
        <w:rPr>
          <w:rFonts w:eastAsiaTheme="minorEastAsia"/>
        </w:rPr>
        <w:t xml:space="preserve"> </w:t>
      </w:r>
    </w:p>
    <w:p w14:paraId="1F8C6F65" w14:textId="6833458B" w:rsidR="00B0338A" w:rsidRPr="00F03917" w:rsidRDefault="38360198" w:rsidP="00174F6E">
      <w:pPr>
        <w:pStyle w:val="BulletFIX"/>
        <w:rPr>
          <w:rFonts w:eastAsiaTheme="minorEastAsia"/>
        </w:rPr>
      </w:pPr>
      <w:r w:rsidRPr="00F03917">
        <w:rPr>
          <w:b/>
        </w:rPr>
        <w:t>p</w:t>
      </w:r>
      <w:r w:rsidR="17CA9EB4" w:rsidRPr="00F03917">
        <w:rPr>
          <w:b/>
        </w:rPr>
        <w:t>ragmatic</w:t>
      </w:r>
      <w:r w:rsidRPr="00F03917">
        <w:rPr>
          <w:rFonts w:eastAsiaTheme="minorEastAsia"/>
        </w:rPr>
        <w:t xml:space="preserve"> – data is available or can be readily collected and analysed in an affordable and repeatable manner</w:t>
      </w:r>
      <w:r w:rsidR="71B85D20" w:rsidRPr="00F03917">
        <w:rPr>
          <w:rFonts w:eastAsiaTheme="minorEastAsia"/>
        </w:rPr>
        <w:t>.</w:t>
      </w:r>
    </w:p>
    <w:p w14:paraId="096F9488" w14:textId="4F55FBE3" w:rsidR="005D5265" w:rsidRPr="00F03917" w:rsidRDefault="005D5265" w:rsidP="00CB3390">
      <w:pPr>
        <w:pStyle w:val="BodyText"/>
      </w:pPr>
      <w:r w:rsidRPr="00F03917">
        <w:t xml:space="preserve">Triggers need to be designed with enough lead time to define the conditions under which the current option or pathway will no longer meet the </w:t>
      </w:r>
      <w:r w:rsidR="2A30AD44" w:rsidRPr="00F03917">
        <w:t>DAPP</w:t>
      </w:r>
      <w:r w:rsidRPr="00F03917">
        <w:t xml:space="preserve"> objectives at the adaptation threshold. This will enable the adaptive </w:t>
      </w:r>
      <w:r w:rsidR="11C76C0E" w:rsidRPr="00F03917">
        <w:t>planning strategy</w:t>
      </w:r>
      <w:r w:rsidRPr="00F03917">
        <w:t xml:space="preserve"> to operate over long timeframes and to address uncertainty about the future</w:t>
      </w:r>
      <w:r w:rsidR="2882D756" w:rsidRPr="00F03917">
        <w:t xml:space="preserve">, </w:t>
      </w:r>
      <w:r w:rsidR="00CA5602" w:rsidRPr="00F03917">
        <w:t xml:space="preserve">making it a dynamic </w:t>
      </w:r>
      <w:r w:rsidR="55A0A562" w:rsidRPr="00F03917">
        <w:t>approach</w:t>
      </w:r>
      <w:r w:rsidRPr="00F03917">
        <w:t>.</w:t>
      </w:r>
    </w:p>
    <w:p w14:paraId="77D4BB35" w14:textId="5B69A6F0" w:rsidR="00B22F2C" w:rsidRPr="00F03917" w:rsidRDefault="00B22F2C" w:rsidP="00CB3390">
      <w:pPr>
        <w:pStyle w:val="BodyText"/>
      </w:pPr>
      <w:r w:rsidRPr="00F03917">
        <w:t>Tri</w:t>
      </w:r>
      <w:r w:rsidR="006C14A7" w:rsidRPr="00F03917">
        <w:t>ggers need to be cognisant of the next likely action</w:t>
      </w:r>
      <w:r w:rsidR="00D14EB9" w:rsidRPr="00F03917">
        <w:t xml:space="preserve"> in the pathway</w:t>
      </w:r>
      <w:r w:rsidR="00416E12" w:rsidRPr="00F03917">
        <w:t>,</w:t>
      </w:r>
      <w:r w:rsidR="00DF5CC3" w:rsidRPr="00F03917">
        <w:t xml:space="preserve"> because different actions require different lead times. The commencement of a beach nourishment programme</w:t>
      </w:r>
      <w:r w:rsidR="00C127FA" w:rsidRPr="00F03917">
        <w:t>, for example,</w:t>
      </w:r>
      <w:r w:rsidR="00DF5CC3" w:rsidRPr="00F03917">
        <w:t xml:space="preserve"> will have a much shorter lead time to initiate than a managed retreat response or </w:t>
      </w:r>
      <w:r w:rsidR="00852C5C" w:rsidRPr="00F03917">
        <w:t xml:space="preserve">a </w:t>
      </w:r>
      <w:r w:rsidR="00DF5CC3" w:rsidRPr="00F03917">
        <w:t>significant physical structure.</w:t>
      </w:r>
    </w:p>
    <w:p w14:paraId="738D0A9A" w14:textId="25B4F69B" w:rsidR="00BC2E1F" w:rsidRPr="00F03917" w:rsidRDefault="00BC2E1F" w:rsidP="00CB3390">
      <w:pPr>
        <w:pStyle w:val="BodyText"/>
      </w:pPr>
      <w:r w:rsidRPr="00F03917">
        <w:t xml:space="preserve">It is more robust to have several types of triggers, because they can validate the change that is occurring. Table </w:t>
      </w:r>
      <w:r w:rsidR="00F15B24" w:rsidRPr="00F03917">
        <w:t>1</w:t>
      </w:r>
      <w:r w:rsidR="00D70CB9" w:rsidRPr="00F03917">
        <w:t>6</w:t>
      </w:r>
      <w:r w:rsidRPr="00F03917">
        <w:t xml:space="preserve"> describes a range of </w:t>
      </w:r>
      <w:r w:rsidR="0086381D" w:rsidRPr="00F03917">
        <w:t>signals</w:t>
      </w:r>
      <w:r w:rsidR="52C8C1BC" w:rsidRPr="00F03917">
        <w:t xml:space="preserve"> and </w:t>
      </w:r>
      <w:r w:rsidRPr="00F03917">
        <w:t xml:space="preserve">triggers that could be used, </w:t>
      </w:r>
      <w:r w:rsidR="00D233C0" w:rsidRPr="00F03917">
        <w:t xml:space="preserve">based on </w:t>
      </w:r>
      <w:r w:rsidR="00C21746" w:rsidRPr="00F03917">
        <w:t>co</w:t>
      </w:r>
      <w:r w:rsidR="0003289C" w:rsidRPr="00F03917">
        <w:t>astal flooding and groundwater ponding</w:t>
      </w:r>
      <w:r w:rsidRPr="00F03917">
        <w:t>.</w:t>
      </w:r>
    </w:p>
    <w:p w14:paraId="1E67CE0B" w14:textId="35EAB23C" w:rsidR="00BC2E1F" w:rsidRPr="00F03917" w:rsidRDefault="00BC2E1F" w:rsidP="006258D2">
      <w:pPr>
        <w:pStyle w:val="Tableheading"/>
      </w:pPr>
      <w:bookmarkStart w:id="190" w:name="Table16"/>
      <w:bookmarkStart w:id="191" w:name="_Toc144147192"/>
      <w:bookmarkStart w:id="192" w:name="_Hlk133341209"/>
      <w:bookmarkStart w:id="193" w:name="_Toc160098410"/>
      <w:bookmarkEnd w:id="190"/>
      <w:r w:rsidRPr="00F03917">
        <w:lastRenderedPageBreak/>
        <w:t>Example</w:t>
      </w:r>
      <w:r w:rsidR="00592D02" w:rsidRPr="00F03917">
        <w:t>s of indicators for</w:t>
      </w:r>
      <w:r w:rsidR="005F3B29" w:rsidRPr="00F03917">
        <w:t xml:space="preserve"> </w:t>
      </w:r>
      <w:r w:rsidRPr="00F03917">
        <w:t xml:space="preserve">different types of </w:t>
      </w:r>
      <w:r w:rsidR="00E54A8F" w:rsidRPr="00F03917">
        <w:t xml:space="preserve">signals and </w:t>
      </w:r>
      <w:r w:rsidRPr="00F03917">
        <w:t>triggers</w:t>
      </w:r>
      <w:bookmarkEnd w:id="191"/>
      <w:r w:rsidRPr="00F03917">
        <w:t xml:space="preserve"> </w:t>
      </w:r>
      <w:bookmarkEnd w:id="192"/>
      <w:r w:rsidR="00066D45" w:rsidRPr="00F03917">
        <w:t xml:space="preserve">for coastal </w:t>
      </w:r>
      <w:r w:rsidR="00E54A8F" w:rsidRPr="00F03917">
        <w:t>hazards and</w:t>
      </w:r>
      <w:r w:rsidR="00CB3390" w:rsidRPr="00F03917">
        <w:t> </w:t>
      </w:r>
      <w:r w:rsidR="00E54A8F" w:rsidRPr="00F03917">
        <w:t>climate change</w:t>
      </w:r>
      <w:bookmarkEnd w:id="193"/>
      <w:r w:rsidR="00066D45" w:rsidRPr="00F03917">
        <w:t xml:space="preserve"> </w:t>
      </w:r>
    </w:p>
    <w:tbl>
      <w:tblPr>
        <w:tblStyle w:val="TableGrid"/>
        <w:tblW w:w="8505" w:type="dxa"/>
        <w:tblInd w:w="-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2271"/>
        <w:gridCol w:w="6234"/>
      </w:tblGrid>
      <w:tr w:rsidR="00FA034F" w:rsidRPr="00F03917" w14:paraId="00867BB7" w14:textId="77777777" w:rsidTr="00CB3390">
        <w:trPr>
          <w:tblHeader/>
        </w:trPr>
        <w:tc>
          <w:tcPr>
            <w:tcW w:w="2271" w:type="dxa"/>
            <w:shd w:val="clear" w:color="auto" w:fill="1B556B" w:themeFill="text2"/>
          </w:tcPr>
          <w:p w14:paraId="7FBC2A47" w14:textId="74246CE8" w:rsidR="00EE7881" w:rsidRPr="00F03917" w:rsidRDefault="00EE7881" w:rsidP="00677CAF">
            <w:pPr>
              <w:pStyle w:val="TableTextbold"/>
              <w:keepNext/>
              <w:rPr>
                <w:color w:val="FFFFFF" w:themeColor="background1"/>
              </w:rPr>
            </w:pPr>
            <w:r w:rsidRPr="00F03917">
              <w:rPr>
                <w:color w:val="FFFFFF" w:themeColor="background1"/>
              </w:rPr>
              <w:t xml:space="preserve">Type of signal </w:t>
            </w:r>
            <w:r w:rsidR="0F234751" w:rsidRPr="00F03917">
              <w:rPr>
                <w:color w:val="FFFFFF" w:themeColor="background1"/>
              </w:rPr>
              <w:t>or</w:t>
            </w:r>
            <w:r w:rsidRPr="00F03917">
              <w:rPr>
                <w:color w:val="FFFFFF" w:themeColor="background1"/>
              </w:rPr>
              <w:t xml:space="preserve"> trigger</w:t>
            </w:r>
          </w:p>
        </w:tc>
        <w:tc>
          <w:tcPr>
            <w:tcW w:w="6234" w:type="dxa"/>
            <w:shd w:val="clear" w:color="auto" w:fill="1B556B" w:themeFill="text2"/>
          </w:tcPr>
          <w:p w14:paraId="70AEE4A5" w14:textId="428C1728" w:rsidR="00EE7881" w:rsidRPr="00F03917" w:rsidRDefault="00EE7881" w:rsidP="00677CAF">
            <w:pPr>
              <w:pStyle w:val="TableTextbold"/>
              <w:keepNext/>
              <w:rPr>
                <w:color w:val="FFFFFF" w:themeColor="background1"/>
              </w:rPr>
            </w:pPr>
            <w:r w:rsidRPr="00F03917">
              <w:rPr>
                <w:color w:val="FFFFFF" w:themeColor="background1"/>
              </w:rPr>
              <w:t>Description</w:t>
            </w:r>
          </w:p>
        </w:tc>
      </w:tr>
      <w:tr w:rsidR="00302BD2" w:rsidRPr="00F03917" w14:paraId="132FE3E1" w14:textId="77777777" w:rsidTr="157DD2F7">
        <w:tc>
          <w:tcPr>
            <w:tcW w:w="2271" w:type="dxa"/>
          </w:tcPr>
          <w:p w14:paraId="1342A194" w14:textId="00A912A5" w:rsidR="00EB5B47" w:rsidRPr="00F03917" w:rsidRDefault="00A30E63" w:rsidP="00677CAF">
            <w:pPr>
              <w:pStyle w:val="TableText"/>
              <w:keepNext/>
              <w:spacing w:before="40"/>
            </w:pPr>
            <w:r w:rsidRPr="00F03917">
              <w:t>Coastal flooding</w:t>
            </w:r>
          </w:p>
        </w:tc>
        <w:tc>
          <w:tcPr>
            <w:tcW w:w="6234" w:type="dxa"/>
          </w:tcPr>
          <w:p w14:paraId="1FC2CE71" w14:textId="2B60C5F9" w:rsidR="00B16AD6" w:rsidRPr="00F03917" w:rsidRDefault="6A0023F0" w:rsidP="00677CAF">
            <w:pPr>
              <w:pStyle w:val="TableText"/>
              <w:keepNext/>
              <w:spacing w:before="40" w:after="0"/>
            </w:pPr>
            <w:r w:rsidRPr="00F03917">
              <w:t xml:space="preserve">Relative sea-level rise </w:t>
            </w:r>
            <w:r w:rsidR="00B16AD6" w:rsidRPr="00F03917">
              <w:t>height threshold reached</w:t>
            </w:r>
          </w:p>
          <w:p w14:paraId="7E3D5D44" w14:textId="4FBD9FAF" w:rsidR="00EB5B47" w:rsidRPr="00F03917" w:rsidRDefault="00473922" w:rsidP="00677CAF">
            <w:pPr>
              <w:pStyle w:val="TableText"/>
              <w:keepNext/>
              <w:spacing w:before="40"/>
            </w:pPr>
            <w:r w:rsidRPr="00F03917">
              <w:t>Frequency or number of coastal flooding events reaching nuisance levels</w:t>
            </w:r>
          </w:p>
        </w:tc>
      </w:tr>
      <w:tr w:rsidR="00302BD2" w:rsidRPr="00F03917" w14:paraId="0B1E834B" w14:textId="77777777" w:rsidTr="157DD2F7">
        <w:tc>
          <w:tcPr>
            <w:tcW w:w="2271" w:type="dxa"/>
          </w:tcPr>
          <w:p w14:paraId="7E221277" w14:textId="314775EC" w:rsidR="003E678F" w:rsidRPr="00F03917" w:rsidRDefault="003E678F" w:rsidP="00677CAF">
            <w:pPr>
              <w:pStyle w:val="TableText"/>
              <w:keepNext/>
              <w:spacing w:before="40"/>
            </w:pPr>
            <w:r w:rsidRPr="00F03917">
              <w:t>Coastal erosion</w:t>
            </w:r>
          </w:p>
        </w:tc>
        <w:tc>
          <w:tcPr>
            <w:tcW w:w="6234" w:type="dxa"/>
          </w:tcPr>
          <w:p w14:paraId="7C2B47FA" w14:textId="21D904C9" w:rsidR="003E678F" w:rsidRPr="00F03917" w:rsidRDefault="003E678F" w:rsidP="00677CAF">
            <w:pPr>
              <w:pStyle w:val="TableText"/>
              <w:keepNext/>
              <w:spacing w:before="40"/>
            </w:pPr>
            <w:r w:rsidRPr="00F03917">
              <w:t>Coastal erosion causing the dune-line to reach a certain distance from a house</w:t>
            </w:r>
          </w:p>
        </w:tc>
      </w:tr>
      <w:tr w:rsidR="00302BD2" w:rsidRPr="00F03917" w14:paraId="1A4B664B" w14:textId="77777777" w:rsidTr="157DD2F7">
        <w:tc>
          <w:tcPr>
            <w:tcW w:w="2271" w:type="dxa"/>
          </w:tcPr>
          <w:p w14:paraId="4231A91C" w14:textId="407D36A2" w:rsidR="003E678F" w:rsidRPr="00F03917" w:rsidRDefault="005454EF" w:rsidP="00677CAF">
            <w:pPr>
              <w:pStyle w:val="TableText"/>
              <w:keepNext/>
              <w:spacing w:before="40"/>
            </w:pPr>
            <w:r w:rsidRPr="00F03917">
              <w:t>Groundwater rise</w:t>
            </w:r>
          </w:p>
        </w:tc>
        <w:tc>
          <w:tcPr>
            <w:tcW w:w="6234" w:type="dxa"/>
          </w:tcPr>
          <w:p w14:paraId="4522949F" w14:textId="77777777" w:rsidR="00AC654F" w:rsidRPr="00F03917" w:rsidRDefault="00AC654F" w:rsidP="00BE0F4F">
            <w:pPr>
              <w:pStyle w:val="TableText"/>
              <w:keepNext/>
              <w:spacing w:before="40" w:after="0"/>
            </w:pPr>
            <w:r w:rsidRPr="00F03917">
              <w:t>Salinisation of coastal ground water</w:t>
            </w:r>
          </w:p>
          <w:p w14:paraId="063168FF" w14:textId="5AAC6204" w:rsidR="003E678F" w:rsidRPr="00F03917" w:rsidRDefault="00AC654F" w:rsidP="00677CAF">
            <w:pPr>
              <w:pStyle w:val="TableText"/>
              <w:keepNext/>
              <w:spacing w:before="40"/>
            </w:pPr>
            <w:r w:rsidRPr="00F03917">
              <w:t>Increase in time of standing water in low-lying coastal areas</w:t>
            </w:r>
          </w:p>
        </w:tc>
      </w:tr>
      <w:tr w:rsidR="00302BD2" w:rsidRPr="00F03917" w14:paraId="4ADAB956" w14:textId="77777777" w:rsidTr="157DD2F7">
        <w:tc>
          <w:tcPr>
            <w:tcW w:w="2271" w:type="dxa"/>
          </w:tcPr>
          <w:p w14:paraId="1E154E13" w14:textId="70E9BA9B" w:rsidR="00EB5B47" w:rsidRPr="00F03917" w:rsidRDefault="00D720AE" w:rsidP="00677CAF">
            <w:pPr>
              <w:pStyle w:val="TableText"/>
              <w:spacing w:before="40"/>
            </w:pPr>
            <w:r w:rsidRPr="00F03917">
              <w:t xml:space="preserve">Social-psychological </w:t>
            </w:r>
          </w:p>
        </w:tc>
        <w:tc>
          <w:tcPr>
            <w:tcW w:w="6234" w:type="dxa"/>
          </w:tcPr>
          <w:p w14:paraId="3260E916" w14:textId="7CA34EB1" w:rsidR="00EB5B47" w:rsidRPr="00F03917" w:rsidRDefault="003E678F" w:rsidP="00677CAF">
            <w:pPr>
              <w:pStyle w:val="TableText"/>
              <w:spacing w:before="40"/>
            </w:pPr>
            <w:r w:rsidRPr="00F03917">
              <w:t>Measure of concern</w:t>
            </w:r>
            <w:r w:rsidR="14D62A5E" w:rsidRPr="00F03917">
              <w:t xml:space="preserve">, </w:t>
            </w:r>
            <w:r w:rsidRPr="00F03917">
              <w:t>anxiety</w:t>
            </w:r>
            <w:r w:rsidR="0BEC0DD9" w:rsidRPr="00F03917">
              <w:t xml:space="preserve">, </w:t>
            </w:r>
            <w:r w:rsidR="005B0E37" w:rsidRPr="00F03917">
              <w:t>tolerance (eg, increased communications with the council about concerns</w:t>
            </w:r>
            <w:r w:rsidR="0A737B67" w:rsidRPr="00F03917">
              <w:t>,</w:t>
            </w:r>
            <w:r w:rsidR="005B0E37" w:rsidRPr="00F03917">
              <w:t xml:space="preserve"> </w:t>
            </w:r>
            <w:r w:rsidR="005B0E37" w:rsidRPr="00F03917">
              <w:rPr>
                <w:rFonts w:eastAsia="CIDFont+F1"/>
              </w:rPr>
              <w:t>people start moving out of a community, increased demand for protection)</w:t>
            </w:r>
          </w:p>
        </w:tc>
      </w:tr>
      <w:tr w:rsidR="00302BD2" w:rsidRPr="00F03917" w14:paraId="225EE25A" w14:textId="77777777" w:rsidTr="157DD2F7">
        <w:tc>
          <w:tcPr>
            <w:tcW w:w="2271" w:type="dxa"/>
          </w:tcPr>
          <w:p w14:paraId="4404ED40" w14:textId="200EDC95" w:rsidR="00EB5B47" w:rsidRPr="00F03917" w:rsidRDefault="00D720AE" w:rsidP="00677CAF">
            <w:pPr>
              <w:pStyle w:val="TableText"/>
              <w:spacing w:before="40"/>
            </w:pPr>
            <w:r w:rsidRPr="00F03917">
              <w:t>Financial</w:t>
            </w:r>
            <w:r w:rsidR="13662DCE" w:rsidRPr="00F03917">
              <w:t xml:space="preserve"> and </w:t>
            </w:r>
            <w:r w:rsidRPr="00F03917">
              <w:t xml:space="preserve">economic </w:t>
            </w:r>
          </w:p>
        </w:tc>
        <w:tc>
          <w:tcPr>
            <w:tcW w:w="6234" w:type="dxa"/>
          </w:tcPr>
          <w:p w14:paraId="027C90B5" w14:textId="77777777" w:rsidR="008C70E7" w:rsidRPr="00F03917" w:rsidRDefault="008C70E7" w:rsidP="00677CAF">
            <w:pPr>
              <w:pStyle w:val="TableText"/>
              <w:spacing w:before="40" w:after="0"/>
            </w:pPr>
            <w:r w:rsidRPr="00F03917">
              <w:t>Maintenance costs exceed an amount per year</w:t>
            </w:r>
          </w:p>
          <w:p w14:paraId="7FC81883" w14:textId="7B23BEA2" w:rsidR="008C70E7" w:rsidRPr="00F03917" w:rsidRDefault="008C70E7" w:rsidP="00677CAF">
            <w:pPr>
              <w:pStyle w:val="TableText"/>
              <w:spacing w:before="40" w:after="0"/>
              <w:rPr>
                <w:rFonts w:eastAsia="CIDFont+F1"/>
              </w:rPr>
            </w:pPr>
            <w:r w:rsidRPr="00F03917">
              <w:rPr>
                <w:rFonts w:eastAsia="CIDFont+F1"/>
              </w:rPr>
              <w:t xml:space="preserve">Insurance </w:t>
            </w:r>
            <w:r w:rsidR="0040354F" w:rsidRPr="00F03917">
              <w:rPr>
                <w:rFonts w:eastAsia="CIDFont+F1"/>
              </w:rPr>
              <w:t xml:space="preserve">premium </w:t>
            </w:r>
            <w:r w:rsidRPr="00F03917">
              <w:rPr>
                <w:rFonts w:eastAsia="CIDFont+F1"/>
              </w:rPr>
              <w:t>excess</w:t>
            </w:r>
            <w:r w:rsidR="45534FAF" w:rsidRPr="00F03917">
              <w:rPr>
                <w:rFonts w:eastAsia="CIDFont+F1"/>
              </w:rPr>
              <w:t>es</w:t>
            </w:r>
            <w:r w:rsidRPr="00F03917">
              <w:rPr>
                <w:rFonts w:eastAsia="CIDFont+F1"/>
              </w:rPr>
              <w:t xml:space="preserve"> increase, or </w:t>
            </w:r>
            <w:r w:rsidR="00BD66D6" w:rsidRPr="00F03917">
              <w:rPr>
                <w:rFonts w:eastAsia="CIDFont+F1"/>
              </w:rPr>
              <w:t>insurance retreat</w:t>
            </w:r>
            <w:r w:rsidRPr="00F03917">
              <w:rPr>
                <w:rFonts w:eastAsia="CIDFont+F1"/>
              </w:rPr>
              <w:t xml:space="preserve"> </w:t>
            </w:r>
            <w:r w:rsidR="005B0E37" w:rsidRPr="00F03917">
              <w:rPr>
                <w:rFonts w:eastAsia="CIDFont+F1"/>
              </w:rPr>
              <w:t>for</w:t>
            </w:r>
            <w:r w:rsidRPr="00F03917">
              <w:rPr>
                <w:rFonts w:eastAsia="CIDFont+F1"/>
              </w:rPr>
              <w:t xml:space="preserve"> a community</w:t>
            </w:r>
          </w:p>
          <w:p w14:paraId="0C0E79AF" w14:textId="13F299CE" w:rsidR="00EB5B47" w:rsidRPr="00F03917" w:rsidRDefault="008C70E7" w:rsidP="00677CAF">
            <w:pPr>
              <w:pStyle w:val="TableText"/>
              <w:spacing w:before="40"/>
            </w:pPr>
            <w:r w:rsidRPr="00F03917">
              <w:rPr>
                <w:rFonts w:eastAsia="CIDFont+F1"/>
              </w:rPr>
              <w:t xml:space="preserve">Higher cost of maintaining groundwater </w:t>
            </w:r>
            <w:r w:rsidR="00B47C84" w:rsidRPr="00F03917">
              <w:rPr>
                <w:rFonts w:eastAsia="CIDFont+F1"/>
              </w:rPr>
              <w:t>or stormwater</w:t>
            </w:r>
            <w:r w:rsidR="003E678F" w:rsidRPr="00F03917">
              <w:rPr>
                <w:rFonts w:eastAsia="CIDFont+F1"/>
              </w:rPr>
              <w:t xml:space="preserve"> </w:t>
            </w:r>
            <w:r w:rsidRPr="00F03917">
              <w:rPr>
                <w:rFonts w:eastAsia="CIDFont+F1"/>
              </w:rPr>
              <w:t>pumping systems</w:t>
            </w:r>
          </w:p>
        </w:tc>
      </w:tr>
      <w:tr w:rsidR="00302BD2" w:rsidRPr="00F03917" w14:paraId="1C8A0EAB" w14:textId="77777777" w:rsidTr="157DD2F7">
        <w:tc>
          <w:tcPr>
            <w:tcW w:w="2271" w:type="dxa"/>
          </w:tcPr>
          <w:p w14:paraId="2D1E5DE1" w14:textId="6EE65B3F" w:rsidR="00EB5B47" w:rsidRPr="00F03917" w:rsidRDefault="00D720AE" w:rsidP="00677CAF">
            <w:pPr>
              <w:pStyle w:val="TableText"/>
              <w:spacing w:before="40"/>
            </w:pPr>
            <w:r w:rsidRPr="00F03917">
              <w:t xml:space="preserve">Cultural </w:t>
            </w:r>
          </w:p>
        </w:tc>
        <w:tc>
          <w:tcPr>
            <w:tcW w:w="6234" w:type="dxa"/>
          </w:tcPr>
          <w:p w14:paraId="010449A6" w14:textId="7530F267" w:rsidR="00EB5B47" w:rsidRPr="00F03917" w:rsidRDefault="008C70E7" w:rsidP="00677CAF">
            <w:pPr>
              <w:pStyle w:val="TableText"/>
              <w:spacing w:before="40"/>
              <w:rPr>
                <w:rFonts w:eastAsia="CIDFont+F1"/>
              </w:rPr>
            </w:pPr>
            <w:r w:rsidRPr="00F03917">
              <w:rPr>
                <w:rFonts w:eastAsia="CIDFont+F1"/>
              </w:rPr>
              <w:t xml:space="preserve">Inundation begins or occurs regularly around taonga or culturally significant sites (eg, </w:t>
            </w:r>
            <w:r w:rsidR="456DFFF3" w:rsidRPr="00F03917">
              <w:rPr>
                <w:rFonts w:eastAsia="CIDFont+F1"/>
              </w:rPr>
              <w:t>urup</w:t>
            </w:r>
            <w:r w:rsidR="2CBD2993" w:rsidRPr="00F03917">
              <w:rPr>
                <w:rFonts w:eastAsia="CIDFont+F1"/>
              </w:rPr>
              <w:t>ā</w:t>
            </w:r>
            <w:r w:rsidRPr="00F03917">
              <w:rPr>
                <w:rFonts w:eastAsia="CIDFont+F1"/>
              </w:rPr>
              <w:t>)</w:t>
            </w:r>
          </w:p>
        </w:tc>
      </w:tr>
      <w:tr w:rsidR="00302BD2" w:rsidRPr="00F03917" w14:paraId="598EE851" w14:textId="77777777" w:rsidTr="157DD2F7">
        <w:tc>
          <w:tcPr>
            <w:tcW w:w="2271" w:type="dxa"/>
          </w:tcPr>
          <w:p w14:paraId="776173C9" w14:textId="0C3D38B1" w:rsidR="00EB5B47" w:rsidRPr="00F03917" w:rsidRDefault="00D720AE" w:rsidP="00677CAF">
            <w:pPr>
              <w:pStyle w:val="TableText"/>
              <w:spacing w:before="40"/>
            </w:pPr>
            <w:r w:rsidRPr="00F03917">
              <w:t xml:space="preserve">Environmental </w:t>
            </w:r>
          </w:p>
        </w:tc>
        <w:tc>
          <w:tcPr>
            <w:tcW w:w="6234" w:type="dxa"/>
          </w:tcPr>
          <w:p w14:paraId="102E24A7" w14:textId="77777777" w:rsidR="008C70E7" w:rsidRPr="00F03917" w:rsidRDefault="008C70E7" w:rsidP="00677CAF">
            <w:pPr>
              <w:pStyle w:val="TableText"/>
              <w:spacing w:before="40" w:after="0"/>
              <w:rPr>
                <w:rFonts w:eastAsia="CIDFont+F1"/>
              </w:rPr>
            </w:pPr>
            <w:r w:rsidRPr="00F03917">
              <w:rPr>
                <w:rFonts w:eastAsia="CIDFont+F1"/>
              </w:rPr>
              <w:t>Percentage loss of wetlands or bird numbers</w:t>
            </w:r>
          </w:p>
          <w:p w14:paraId="70A3DE2A" w14:textId="7A9DBDDC" w:rsidR="00EB5B47" w:rsidRPr="00F03917" w:rsidRDefault="008C70E7" w:rsidP="00677CAF">
            <w:pPr>
              <w:pStyle w:val="TableText"/>
              <w:spacing w:before="40"/>
            </w:pPr>
            <w:r w:rsidRPr="00F03917">
              <w:rPr>
                <w:rFonts w:eastAsia="CIDFont+F1"/>
              </w:rPr>
              <w:t xml:space="preserve">Rising </w:t>
            </w:r>
            <w:r w:rsidR="003E678F" w:rsidRPr="00F03917">
              <w:rPr>
                <w:rFonts w:eastAsia="CIDFont+F1"/>
              </w:rPr>
              <w:t>sal</w:t>
            </w:r>
            <w:r w:rsidR="00B47C84" w:rsidRPr="00F03917">
              <w:rPr>
                <w:rFonts w:eastAsia="CIDFont+F1"/>
              </w:rPr>
              <w:t>inity</w:t>
            </w:r>
            <w:r w:rsidRPr="00F03917">
              <w:rPr>
                <w:rFonts w:eastAsia="CIDFont+F1"/>
              </w:rPr>
              <w:t xml:space="preserve"> in groundwater systems</w:t>
            </w:r>
          </w:p>
        </w:tc>
      </w:tr>
      <w:tr w:rsidR="00302BD2" w:rsidRPr="00F03917" w14:paraId="2AC6540F" w14:textId="77777777" w:rsidTr="157DD2F7">
        <w:tc>
          <w:tcPr>
            <w:tcW w:w="2271" w:type="dxa"/>
          </w:tcPr>
          <w:p w14:paraId="5A735D64" w14:textId="71D0550C" w:rsidR="00EB5B47" w:rsidRPr="00F03917" w:rsidRDefault="00D720AE" w:rsidP="00677CAF">
            <w:pPr>
              <w:pStyle w:val="TableText"/>
              <w:spacing w:before="40"/>
            </w:pPr>
            <w:r w:rsidRPr="00F03917">
              <w:t>Governance</w:t>
            </w:r>
            <w:r w:rsidR="714DF0F7" w:rsidRPr="00F03917">
              <w:t xml:space="preserve"> and</w:t>
            </w:r>
            <w:r w:rsidRPr="00F03917">
              <w:t xml:space="preserve"> institutional </w:t>
            </w:r>
          </w:p>
        </w:tc>
        <w:tc>
          <w:tcPr>
            <w:tcW w:w="6234" w:type="dxa"/>
          </w:tcPr>
          <w:p w14:paraId="3CFB1053" w14:textId="2EC2FFF6" w:rsidR="008C70E7" w:rsidRPr="00F03917" w:rsidRDefault="008C70E7" w:rsidP="00677CAF">
            <w:pPr>
              <w:pStyle w:val="TableText"/>
              <w:spacing w:before="40" w:after="0"/>
              <w:rPr>
                <w:rFonts w:eastAsia="CIDFont+F1"/>
              </w:rPr>
            </w:pPr>
            <w:r w:rsidRPr="00F03917">
              <w:rPr>
                <w:rFonts w:eastAsia="CIDFont+F1"/>
              </w:rPr>
              <w:t>Lower level of service (eg, flood control, wastewater, water supply)</w:t>
            </w:r>
          </w:p>
          <w:p w14:paraId="06AE223D" w14:textId="605BA278" w:rsidR="008C70E7" w:rsidRPr="00F03917" w:rsidRDefault="008C70E7" w:rsidP="00677CAF">
            <w:pPr>
              <w:pStyle w:val="TableText"/>
              <w:spacing w:before="40" w:after="0"/>
              <w:rPr>
                <w:rFonts w:eastAsia="CIDFont+F1"/>
              </w:rPr>
            </w:pPr>
            <w:r w:rsidRPr="00F03917">
              <w:t>More frequent clearance of stormwater drains</w:t>
            </w:r>
            <w:r w:rsidR="00071060" w:rsidRPr="00F03917">
              <w:t xml:space="preserve"> due to </w:t>
            </w:r>
            <w:r w:rsidR="415A6563" w:rsidRPr="00F03917">
              <w:t>relative sea-level rise</w:t>
            </w:r>
          </w:p>
          <w:p w14:paraId="616428B8" w14:textId="2FF62DDC" w:rsidR="008C70E7" w:rsidRPr="00F03917" w:rsidRDefault="008C70E7" w:rsidP="00677CAF">
            <w:pPr>
              <w:pStyle w:val="TableText"/>
              <w:spacing w:before="40" w:after="0"/>
              <w:rPr>
                <w:rFonts w:eastAsia="CIDFont+F1"/>
              </w:rPr>
            </w:pPr>
            <w:r w:rsidRPr="00F03917">
              <w:rPr>
                <w:rFonts w:eastAsia="CIDFont+F1"/>
              </w:rPr>
              <w:t>Managed retreat strategy begins</w:t>
            </w:r>
            <w:r w:rsidR="00D117DE" w:rsidRPr="00F03917">
              <w:rPr>
                <w:rFonts w:eastAsia="CIDFont+F1"/>
              </w:rPr>
              <w:t xml:space="preserve"> to be developed</w:t>
            </w:r>
          </w:p>
          <w:p w14:paraId="16D2A9BC" w14:textId="5A7AFB46" w:rsidR="00EB5B47" w:rsidRPr="00F03917" w:rsidRDefault="008C70E7" w:rsidP="00677CAF">
            <w:pPr>
              <w:pStyle w:val="TableText"/>
              <w:spacing w:before="40"/>
            </w:pPr>
            <w:r w:rsidRPr="00F03917">
              <w:rPr>
                <w:rFonts w:eastAsia="CIDFont+F1"/>
              </w:rPr>
              <w:t>Central government roading support withdrawn</w:t>
            </w:r>
          </w:p>
        </w:tc>
      </w:tr>
    </w:tbl>
    <w:p w14:paraId="1202B734" w14:textId="7D84447F" w:rsidR="00BC2E1F" w:rsidRPr="00F03917" w:rsidRDefault="1A46BC46" w:rsidP="00BC2E1F">
      <w:pPr>
        <w:spacing w:before="120" w:after="120" w:line="280" w:lineRule="atLeast"/>
        <w:rPr>
          <w:rFonts w:ascii="Calibri" w:eastAsiaTheme="minorEastAsia" w:hAnsi="Calibri"/>
          <w:bCs/>
          <w:kern w:val="0"/>
          <w:sz w:val="22"/>
          <w:szCs w:val="22"/>
          <w:lang w:eastAsia="en-NZ"/>
          <w14:ligatures w14:val="none"/>
        </w:rPr>
      </w:pPr>
      <w:r w:rsidRPr="00F03917">
        <w:rPr>
          <w:rFonts w:ascii="Calibri" w:eastAsiaTheme="minorEastAsia" w:hAnsi="Calibri"/>
          <w:sz w:val="19"/>
          <w:szCs w:val="19"/>
          <w:lang w:eastAsia="en-NZ"/>
        </w:rPr>
        <w:t xml:space="preserve">Source: </w:t>
      </w:r>
      <w:r w:rsidR="00CD78F2" w:rsidRPr="00F03917">
        <w:rPr>
          <w:rFonts w:ascii="Calibri" w:eastAsiaTheme="minorEastAsia" w:hAnsi="Calibri"/>
          <w:sz w:val="19"/>
          <w:szCs w:val="19"/>
          <w:lang w:eastAsia="en-NZ"/>
        </w:rPr>
        <w:t>Adapted from</w:t>
      </w:r>
      <w:r w:rsidR="00BC2E1F" w:rsidRPr="00F03917">
        <w:rPr>
          <w:rFonts w:ascii="Calibri" w:eastAsiaTheme="minorEastAsia" w:hAnsi="Calibri"/>
          <w:sz w:val="19"/>
          <w:szCs w:val="19"/>
          <w:lang w:eastAsia="en-NZ"/>
        </w:rPr>
        <w:t xml:space="preserve"> </w:t>
      </w:r>
      <w:r w:rsidR="00BC2E1F" w:rsidRPr="00F03917">
        <w:rPr>
          <w:rFonts w:ascii="Calibri" w:eastAsiaTheme="minorEastAsia" w:hAnsi="Calibri"/>
          <w:kern w:val="0"/>
          <w:sz w:val="19"/>
          <w:szCs w:val="19"/>
          <w:lang w:eastAsia="en-NZ"/>
          <w14:ligatures w14:val="none"/>
        </w:rPr>
        <w:t>Lawrence et al</w:t>
      </w:r>
      <w:r w:rsidR="00BC2E1F" w:rsidRPr="00F03917">
        <w:rPr>
          <w:rFonts w:ascii="Calibri" w:eastAsiaTheme="minorEastAsia" w:hAnsi="Calibri"/>
          <w:bCs/>
          <w:kern w:val="0"/>
          <w:sz w:val="19"/>
          <w:szCs w:val="19"/>
          <w:lang w:eastAsia="en-NZ"/>
          <w14:ligatures w14:val="none"/>
        </w:rPr>
        <w:t xml:space="preserve"> (</w:t>
      </w:r>
      <w:r w:rsidR="00BC2E1F" w:rsidRPr="00F03917">
        <w:rPr>
          <w:rFonts w:ascii="Calibri" w:eastAsiaTheme="minorEastAsia" w:hAnsi="Calibri"/>
          <w:kern w:val="0"/>
          <w:sz w:val="19"/>
          <w:szCs w:val="19"/>
          <w:lang w:eastAsia="en-NZ"/>
          <w14:ligatures w14:val="none"/>
        </w:rPr>
        <w:t>2020</w:t>
      </w:r>
      <w:r w:rsidR="35DBC838" w:rsidRPr="00F03917">
        <w:rPr>
          <w:rFonts w:ascii="Calibri" w:eastAsiaTheme="minorEastAsia" w:hAnsi="Calibri"/>
          <w:sz w:val="19"/>
          <w:szCs w:val="19"/>
          <w:lang w:eastAsia="en-NZ"/>
        </w:rPr>
        <w:t>b</w:t>
      </w:r>
      <w:r w:rsidR="00BC2E1F" w:rsidRPr="00F03917">
        <w:rPr>
          <w:rFonts w:ascii="Calibri" w:eastAsiaTheme="minorEastAsia" w:hAnsi="Calibri"/>
          <w:bCs/>
          <w:kern w:val="0"/>
          <w:sz w:val="19"/>
          <w:szCs w:val="19"/>
          <w:lang w:eastAsia="en-NZ"/>
          <w14:ligatures w14:val="none"/>
        </w:rPr>
        <w:t>)</w:t>
      </w:r>
    </w:p>
    <w:p w14:paraId="0D3B0236" w14:textId="3353123D" w:rsidR="00BC2E1F" w:rsidRPr="00F03917" w:rsidRDefault="00BC2E1F" w:rsidP="00FA1C4A">
      <w:pPr>
        <w:pStyle w:val="Heading3"/>
        <w:numPr>
          <w:ilvl w:val="0"/>
          <w:numId w:val="31"/>
        </w:numPr>
        <w:spacing w:before="240"/>
      </w:pPr>
      <w:r w:rsidRPr="00F03917">
        <w:t xml:space="preserve">Setting triggers before </w:t>
      </w:r>
      <w:r w:rsidR="00CD78F2" w:rsidRPr="00F03917">
        <w:t>the threshold is reached</w:t>
      </w:r>
    </w:p>
    <w:p w14:paraId="35ADAFAD" w14:textId="2A7F6774" w:rsidR="00B37EAB" w:rsidRPr="00F03917" w:rsidRDefault="00BC2E1F" w:rsidP="00B1601A">
      <w:pPr>
        <w:pStyle w:val="BodyText"/>
      </w:pPr>
      <w:r w:rsidRPr="00F03917">
        <w:t xml:space="preserve">The </w:t>
      </w:r>
      <w:r w:rsidR="00CD78F2" w:rsidRPr="00F03917">
        <w:t xml:space="preserve">examples of </w:t>
      </w:r>
      <w:r w:rsidRPr="00F03917">
        <w:t xml:space="preserve">triggers in </w:t>
      </w:r>
      <w:r w:rsidR="28E87E86" w:rsidRPr="00F03917">
        <w:t>t</w:t>
      </w:r>
      <w:r w:rsidRPr="00F03917">
        <w:t xml:space="preserve">able </w:t>
      </w:r>
      <w:r w:rsidR="00F15B24" w:rsidRPr="00F03917">
        <w:t>1</w:t>
      </w:r>
      <w:r w:rsidR="003E718E" w:rsidRPr="00F03917">
        <w:t>6</w:t>
      </w:r>
      <w:r w:rsidRPr="00F03917">
        <w:t xml:space="preserve"> all imply that a level of damage </w:t>
      </w:r>
      <w:r w:rsidR="00467A84" w:rsidRPr="00F03917">
        <w:t>or declining level of service will have occurred</w:t>
      </w:r>
      <w:r w:rsidRPr="00F03917">
        <w:t xml:space="preserve"> before adaptation starts. </w:t>
      </w:r>
      <w:r w:rsidR="004B3068" w:rsidRPr="00F03917">
        <w:t>This reflects current experience of climate</w:t>
      </w:r>
      <w:r w:rsidR="002F3189" w:rsidRPr="00F03917">
        <w:t>-</w:t>
      </w:r>
      <w:r w:rsidR="004B3068" w:rsidRPr="00F03917">
        <w:t>driven impact. However, the severity of the impacts at the coast are progressive, ongoing</w:t>
      </w:r>
      <w:r w:rsidR="287D7A81" w:rsidRPr="00F03917">
        <w:t>,</w:t>
      </w:r>
      <w:r w:rsidR="004B3068" w:rsidRPr="00F03917">
        <w:t xml:space="preserve"> and </w:t>
      </w:r>
      <w:r w:rsidR="00F066F8" w:rsidRPr="00F03917">
        <w:t>RSLR</w:t>
      </w:r>
      <w:r w:rsidR="004B3068" w:rsidRPr="00F03917">
        <w:t xml:space="preserve"> will become the dominant impact as time advances. This means the triggers in </w:t>
      </w:r>
      <w:r w:rsidR="1C2949FE" w:rsidRPr="00F03917">
        <w:t>t</w:t>
      </w:r>
      <w:r w:rsidR="004B3068" w:rsidRPr="00F03917">
        <w:t>able 1</w:t>
      </w:r>
      <w:r w:rsidR="00FE44C9" w:rsidRPr="00F03917">
        <w:t>6</w:t>
      </w:r>
      <w:r w:rsidR="004B3068" w:rsidRPr="00F03917">
        <w:t xml:space="preserve"> will have a lifetime for their relevance and will need to be reviewed and redesigned before thresholds are </w:t>
      </w:r>
      <w:r w:rsidR="008A5144" w:rsidRPr="00F03917">
        <w:t>reached</w:t>
      </w:r>
      <w:r w:rsidR="004B3068" w:rsidRPr="00F03917">
        <w:t xml:space="preserve">. </w:t>
      </w:r>
    </w:p>
    <w:p w14:paraId="5AD427BF" w14:textId="60592830" w:rsidR="00BC2E1F" w:rsidRPr="00F03917" w:rsidRDefault="00BC2E1F" w:rsidP="00B1601A">
      <w:pPr>
        <w:pStyle w:val="BodyText"/>
        <w:spacing w:after="240"/>
      </w:pPr>
      <w:r w:rsidRPr="00F03917">
        <w:t xml:space="preserve">Triggers </w:t>
      </w:r>
      <w:r w:rsidR="00B37EAB" w:rsidRPr="00F03917">
        <w:t>should be designed to</w:t>
      </w:r>
      <w:r w:rsidRPr="00F03917">
        <w:t xml:space="preserve"> include a buffer that gives lead</w:t>
      </w:r>
      <w:r w:rsidR="00B1601A" w:rsidRPr="00F03917">
        <w:t> </w:t>
      </w:r>
      <w:r w:rsidRPr="00F03917">
        <w:t xml:space="preserve">time to </w:t>
      </w:r>
      <w:r w:rsidR="00832F3B" w:rsidRPr="00F03917">
        <w:t>change</w:t>
      </w:r>
      <w:r w:rsidRPr="00F03917">
        <w:t xml:space="preserve"> the </w:t>
      </w:r>
      <w:r w:rsidR="00832F3B" w:rsidRPr="00F03917">
        <w:t>option or pathway</w:t>
      </w:r>
      <w:r w:rsidRPr="00F03917">
        <w:t xml:space="preserve"> before </w:t>
      </w:r>
      <w:r w:rsidR="003C2BF0" w:rsidRPr="00F03917">
        <w:t xml:space="preserve">the threshold is </w:t>
      </w:r>
      <w:r w:rsidR="00BF169C" w:rsidRPr="00F03917">
        <w:t>reached.</w:t>
      </w:r>
      <w:r w:rsidRPr="00F03917">
        <w:t xml:space="preserve"> </w:t>
      </w:r>
      <w:r w:rsidR="003C2BF0" w:rsidRPr="00F03917">
        <w:t>For</w:t>
      </w:r>
      <w:r w:rsidRPr="00F03917">
        <w:t xml:space="preserve"> infrastructure projects (eg,</w:t>
      </w:r>
      <w:r w:rsidR="00B1601A" w:rsidRPr="00F03917">
        <w:t> </w:t>
      </w:r>
      <w:r w:rsidRPr="00F03917">
        <w:t xml:space="preserve">stormwater, water supply, sewage, </w:t>
      </w:r>
      <w:r w:rsidR="00142BF5" w:rsidRPr="00F03917">
        <w:t xml:space="preserve">re-routing roads </w:t>
      </w:r>
      <w:r w:rsidRPr="00F03917">
        <w:t xml:space="preserve">and electrical utilities) </w:t>
      </w:r>
      <w:r w:rsidR="00142BF5" w:rsidRPr="00F03917">
        <w:t xml:space="preserve">that </w:t>
      </w:r>
      <w:r w:rsidRPr="00F03917">
        <w:t xml:space="preserve">have long </w:t>
      </w:r>
      <w:r w:rsidR="001515CB" w:rsidRPr="00F03917">
        <w:t>implementation</w:t>
      </w:r>
      <w:r w:rsidRPr="00F03917">
        <w:t xml:space="preserve"> lead times</w:t>
      </w:r>
      <w:r w:rsidR="00107D88" w:rsidRPr="00F03917">
        <w:t xml:space="preserve">, </w:t>
      </w:r>
      <w:r w:rsidR="00FB5216" w:rsidRPr="00F03917">
        <w:t>thresholds</w:t>
      </w:r>
      <w:r w:rsidR="00B63915" w:rsidRPr="00F03917">
        <w:t xml:space="preserve"> should be anticipated</w:t>
      </w:r>
      <w:r w:rsidR="00107D88" w:rsidRPr="00F03917">
        <w:t xml:space="preserve"> by </w:t>
      </w:r>
      <w:r w:rsidR="00FB5216" w:rsidRPr="00F03917">
        <w:t>using</w:t>
      </w:r>
      <w:r w:rsidRPr="00F03917">
        <w:t xml:space="preserve"> earlier triggers, to make sure the community</w:t>
      </w:r>
      <w:r w:rsidR="4B96E02C" w:rsidRPr="00F03917">
        <w:t xml:space="preserve">, local authorities </w:t>
      </w:r>
      <w:r w:rsidRPr="00F03917">
        <w:t xml:space="preserve">and government have time to adjust in the least disruptive manner possible. </w:t>
      </w:r>
    </w:p>
    <w:p w14:paraId="005638D9" w14:textId="77777777" w:rsidR="00656434" w:rsidRPr="00F03917" w:rsidRDefault="00656434" w:rsidP="00B1601A">
      <w:pPr>
        <w:pStyle w:val="BodyText"/>
        <w:spacing w:after="240"/>
      </w:pPr>
    </w:p>
    <w:p w14:paraId="3CAD15AD" w14:textId="701C41F4" w:rsidR="00617924" w:rsidRPr="00F03917" w:rsidRDefault="000019EE" w:rsidP="007F2DAE">
      <w:pPr>
        <w:pStyle w:val="BodyText"/>
        <w:rPr>
          <w:rFonts w:eastAsiaTheme="majorEastAsia" w:cstheme="majorBidi"/>
          <w:b/>
          <w:bCs/>
          <w:color w:val="2C997B"/>
          <w:sz w:val="48"/>
          <w:szCs w:val="28"/>
        </w:rPr>
        <w:sectPr w:rsidR="00617924" w:rsidRPr="00F03917" w:rsidSect="007E5AB2">
          <w:headerReference w:type="default" r:id="rId137"/>
          <w:footerReference w:type="first" r:id="rId138"/>
          <w:pgSz w:w="11907" w:h="16840" w:code="9"/>
          <w:pgMar w:top="1134" w:right="1701" w:bottom="1134" w:left="1701" w:header="567" w:footer="567" w:gutter="0"/>
          <w:cols w:space="720"/>
          <w:titlePg/>
          <w:docGrid w:linePitch="299"/>
        </w:sectPr>
      </w:pPr>
      <w:r w:rsidRPr="00F03917">
        <w:rPr>
          <w:noProof/>
        </w:rPr>
        <w:drawing>
          <wp:inline distT="0" distB="0" distL="0" distR="0" wp14:anchorId="23B1EE95" wp14:editId="6356878D">
            <wp:extent cx="5400040" cy="1344295"/>
            <wp:effectExtent l="0" t="0" r="48260" b="8255"/>
            <wp:docPr id="1273425204" name="Diagram 12734252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9" r:lo="rId140" r:qs="rId141" r:cs="rId142"/>
              </a:graphicData>
            </a:graphic>
          </wp:inline>
        </w:drawing>
      </w:r>
      <w:bookmarkStart w:id="194" w:name="_Hlk124603850"/>
    </w:p>
    <w:p w14:paraId="300873BE" w14:textId="773F1F8C" w:rsidR="00BC2E1F" w:rsidRPr="00F03917" w:rsidRDefault="000E29F9" w:rsidP="00CE7103">
      <w:pPr>
        <w:pStyle w:val="Heading1"/>
        <w:spacing w:after="120"/>
      </w:pPr>
      <w:bookmarkStart w:id="195" w:name="_Step_8:_Implement"/>
      <w:bookmarkStart w:id="196" w:name="_Toc160096258"/>
      <w:bookmarkEnd w:id="195"/>
      <w:r w:rsidRPr="00F03917">
        <w:lastRenderedPageBreak/>
        <w:t xml:space="preserve">Step 8: </w:t>
      </w:r>
      <w:r w:rsidR="00AE1B80" w:rsidRPr="00F03917">
        <w:t>I</w:t>
      </w:r>
      <w:r w:rsidR="00BC2E1F" w:rsidRPr="00F03917">
        <w:t>mplement</w:t>
      </w:r>
      <w:r w:rsidR="00AE1B80" w:rsidRPr="00F03917">
        <w:t xml:space="preserve"> the</w:t>
      </w:r>
      <w:r w:rsidR="00BC2E1F" w:rsidRPr="00F03917">
        <w:t xml:space="preserve"> </w:t>
      </w:r>
      <w:r w:rsidR="00123B37" w:rsidRPr="00F03917">
        <w:t>adaptive planning strategy</w:t>
      </w:r>
      <w:bookmarkEnd w:id="196"/>
    </w:p>
    <w:p w14:paraId="36CCFF85" w14:textId="77777777" w:rsidR="00016A8D" w:rsidRPr="00F03917" w:rsidRDefault="00016A8D" w:rsidP="00016A8D">
      <w:pPr>
        <w:pStyle w:val="BodyText"/>
        <w:spacing w:before="100" w:after="100"/>
      </w:pPr>
      <w:r w:rsidRPr="00F03917">
        <w:t xml:space="preserve">This section outlines how to implement the adaptive planning strategy, including the supporting actions necessary to implement the preferred adaptive actions and pathways. This involves using Resource Management Act 1991 (RMA) planning measures (to avoid or reduce (where appropriate) exposure to coastal hazards and risk), items for integration into the Long-Term Plan for scheduling and funding purposes and how adaptation will be funded. </w:t>
      </w:r>
    </w:p>
    <w:p w14:paraId="711D3327" w14:textId="47E9B670" w:rsidR="00016A8D" w:rsidRPr="00F03917" w:rsidRDefault="00016A8D" w:rsidP="007F2DAE">
      <w:pPr>
        <w:pStyle w:val="BodyText"/>
        <w:spacing w:before="100" w:after="100"/>
      </w:pPr>
      <w:r w:rsidRPr="00F03917">
        <w:t>At this step, engage with the relevant agencies and communities, and address potential new areas of development through RMA planning and non-statutory measures, to avoid or reduce any new exposure to coastal hazard and risk.</w:t>
      </w:r>
    </w:p>
    <w:p w14:paraId="11CFE3C1" w14:textId="5F8641C3" w:rsidR="00BC2E1F" w:rsidRPr="00F03917" w:rsidRDefault="00BC2E1F" w:rsidP="00B3371A">
      <w:pPr>
        <w:pStyle w:val="BodyText"/>
        <w:jc w:val="center"/>
      </w:pPr>
      <w:r w:rsidRPr="00F03917">
        <w:rPr>
          <w:noProof/>
        </w:rPr>
        <w:drawing>
          <wp:inline distT="0" distB="0" distL="0" distR="0" wp14:anchorId="755123D1" wp14:editId="09C7C4AB">
            <wp:extent cx="4679355" cy="4740910"/>
            <wp:effectExtent l="0" t="0" r="0" b="0"/>
            <wp:docPr id="1417453692" name="Picture 1417453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453692" name="Picture 1417453692"/>
                    <pic:cNvPicPr/>
                  </pic:nvPicPr>
                  <pic:blipFill rotWithShape="1">
                    <a:blip r:embed="rId144" cstate="print">
                      <a:extLst>
                        <a:ext uri="{28A0092B-C50C-407E-A947-70E740481C1C}">
                          <a14:useLocalDpi xmlns:a14="http://schemas.microsoft.com/office/drawing/2010/main" val="0"/>
                        </a:ext>
                      </a:extLst>
                    </a:blip>
                    <a:srcRect l="-6582" t="-9228" r="-6460" b="-5302"/>
                    <a:stretch/>
                  </pic:blipFill>
                  <pic:spPr bwMode="auto">
                    <a:xfrm>
                      <a:off x="0" y="0"/>
                      <a:ext cx="4680000" cy="4741563"/>
                    </a:xfrm>
                    <a:prstGeom prst="rect">
                      <a:avLst/>
                    </a:prstGeom>
                    <a:ln>
                      <a:noFill/>
                    </a:ln>
                    <a:extLst>
                      <a:ext uri="{53640926-AAD7-44D8-BBD7-CCE9431645EC}">
                        <a14:shadowObscured xmlns:a14="http://schemas.microsoft.com/office/drawing/2010/main"/>
                      </a:ext>
                    </a:extLst>
                  </pic:spPr>
                </pic:pic>
              </a:graphicData>
            </a:graphic>
          </wp:inline>
        </w:drawing>
      </w:r>
    </w:p>
    <w:p w14:paraId="3C95C7BB" w14:textId="77777777" w:rsidR="0027606F" w:rsidRPr="00F03917" w:rsidRDefault="0027606F">
      <w:pPr>
        <w:rPr>
          <w:rFonts w:ascii="Calibri" w:eastAsiaTheme="minorEastAsia" w:hAnsi="Calibri"/>
          <w:kern w:val="0"/>
          <w:sz w:val="22"/>
          <w:szCs w:val="22"/>
          <w:lang w:eastAsia="en-NZ"/>
          <w14:ligatures w14:val="none"/>
        </w:rPr>
      </w:pPr>
      <w:r w:rsidRPr="00F03917">
        <w:br w:type="page"/>
      </w:r>
    </w:p>
    <w:p w14:paraId="3DB4E371" w14:textId="77777777" w:rsidR="00BC2E1F" w:rsidRPr="00F03917" w:rsidRDefault="00BC2E1F" w:rsidP="00B3371A">
      <w:pPr>
        <w:pStyle w:val="BodyText"/>
        <w:jc w:val="center"/>
      </w:pPr>
    </w:p>
    <w:p w14:paraId="0110DFE3" w14:textId="24A13721" w:rsidR="00BC2E1F" w:rsidRPr="00F03917" w:rsidRDefault="00D43CE1" w:rsidP="007F2DAE">
      <w:pPr>
        <w:pStyle w:val="Heading2"/>
        <w:numPr>
          <w:ilvl w:val="0"/>
          <w:numId w:val="32"/>
        </w:numPr>
        <w:spacing w:before="0"/>
        <w:rPr>
          <w:sz w:val="35"/>
          <w:szCs w:val="35"/>
        </w:rPr>
      </w:pPr>
      <w:bookmarkStart w:id="197" w:name="_Toc160030657"/>
      <w:bookmarkStart w:id="198" w:name="_Toc160081764"/>
      <w:bookmarkStart w:id="199" w:name="_Toc160096259"/>
      <w:bookmarkStart w:id="200" w:name="_Toc160030658"/>
      <w:bookmarkStart w:id="201" w:name="_Toc160081765"/>
      <w:bookmarkStart w:id="202" w:name="_Toc160096260"/>
      <w:bookmarkStart w:id="203" w:name="_Toc465097412"/>
      <w:bookmarkStart w:id="204" w:name="_Toc465847587"/>
      <w:bookmarkStart w:id="205" w:name="_Toc466014446"/>
      <w:bookmarkStart w:id="206" w:name="_Toc160096261"/>
      <w:bookmarkEnd w:id="194"/>
      <w:bookmarkEnd w:id="197"/>
      <w:bookmarkEnd w:id="198"/>
      <w:bookmarkEnd w:id="199"/>
      <w:bookmarkEnd w:id="200"/>
      <w:bookmarkEnd w:id="201"/>
      <w:bookmarkEnd w:id="202"/>
      <w:r w:rsidRPr="00F03917">
        <w:rPr>
          <w:sz w:val="35"/>
          <w:szCs w:val="35"/>
        </w:rPr>
        <w:t>Measures and p</w:t>
      </w:r>
      <w:r w:rsidR="00AF614C" w:rsidRPr="00F03917">
        <w:rPr>
          <w:sz w:val="35"/>
          <w:szCs w:val="35"/>
        </w:rPr>
        <w:t>rocesses for i</w:t>
      </w:r>
      <w:r w:rsidR="009424D5" w:rsidRPr="00F03917">
        <w:rPr>
          <w:sz w:val="35"/>
          <w:szCs w:val="35"/>
        </w:rPr>
        <w:t>mplement</w:t>
      </w:r>
      <w:r w:rsidR="00AF614C" w:rsidRPr="00F03917">
        <w:rPr>
          <w:sz w:val="35"/>
          <w:szCs w:val="35"/>
        </w:rPr>
        <w:t>ing</w:t>
      </w:r>
      <w:r w:rsidR="003E1BE9" w:rsidRPr="00F03917">
        <w:rPr>
          <w:sz w:val="35"/>
          <w:szCs w:val="35"/>
        </w:rPr>
        <w:t xml:space="preserve"> the </w:t>
      </w:r>
      <w:bookmarkEnd w:id="203"/>
      <w:bookmarkEnd w:id="204"/>
      <w:bookmarkEnd w:id="205"/>
      <w:r w:rsidR="00840C7D" w:rsidRPr="00F03917">
        <w:rPr>
          <w:sz w:val="35"/>
          <w:szCs w:val="35"/>
        </w:rPr>
        <w:t>adaptive planning strategy</w:t>
      </w:r>
      <w:bookmarkEnd w:id="206"/>
    </w:p>
    <w:p w14:paraId="7F69AB0D" w14:textId="4E850E25" w:rsidR="00BC2E1F" w:rsidRPr="00F03917" w:rsidRDefault="00BC2E1F" w:rsidP="00CE7103">
      <w:pPr>
        <w:pStyle w:val="BodyText"/>
      </w:pPr>
      <w:r w:rsidRPr="00F03917">
        <w:t xml:space="preserve">Managing </w:t>
      </w:r>
      <w:r w:rsidR="003968BB" w:rsidRPr="00F03917">
        <w:t xml:space="preserve">ongoing </w:t>
      </w:r>
      <w:r w:rsidRPr="00F03917">
        <w:t xml:space="preserve">change and uncertainty in different </w:t>
      </w:r>
      <w:r w:rsidR="003968BB" w:rsidRPr="00F03917">
        <w:t xml:space="preserve">decision-making </w:t>
      </w:r>
      <w:r w:rsidRPr="00F03917">
        <w:t>contexts</w:t>
      </w:r>
      <w:r w:rsidR="00A33000" w:rsidRPr="00F03917">
        <w:t xml:space="preserve"> requires both</w:t>
      </w:r>
      <w:r w:rsidR="00677CAF" w:rsidRPr="00F03917">
        <w:t> </w:t>
      </w:r>
      <w:r w:rsidR="00A33000" w:rsidRPr="00F03917">
        <w:t>statutory and non-statutory measures and processes</w:t>
      </w:r>
      <w:r w:rsidR="00F22A26" w:rsidRPr="00F03917">
        <w:t>. These are needed</w:t>
      </w:r>
      <w:r w:rsidR="00A33000" w:rsidRPr="00F03917">
        <w:t xml:space="preserve"> across several </w:t>
      </w:r>
      <w:r w:rsidR="003968BB" w:rsidRPr="00F03917">
        <w:t>areas of council operations</w:t>
      </w:r>
      <w:r w:rsidR="13799DF7" w:rsidRPr="00F03917">
        <w:t>,</w:t>
      </w:r>
      <w:r w:rsidR="003968BB" w:rsidRPr="00F03917">
        <w:t xml:space="preserve"> such as asset management, RMA policy or consents, building consents, and at different governance levels.</w:t>
      </w:r>
      <w:r w:rsidRPr="00F03917">
        <w:t xml:space="preserve"> Although</w:t>
      </w:r>
      <w:r w:rsidR="00F27D2A" w:rsidRPr="00F03917">
        <w:t>,</w:t>
      </w:r>
      <w:r w:rsidRPr="00F03917">
        <w:t xml:space="preserve"> communities and property owners value certainty they also expect the hazards and risks to be </w:t>
      </w:r>
      <w:r w:rsidR="00BB679C" w:rsidRPr="00F03917">
        <w:t>managed</w:t>
      </w:r>
      <w:r w:rsidRPr="00F03917">
        <w:t xml:space="preserve"> </w:t>
      </w:r>
      <w:r w:rsidR="00EA7C02" w:rsidRPr="00F03917">
        <w:t>through council planning</w:t>
      </w:r>
      <w:r w:rsidRPr="00F03917">
        <w:t xml:space="preserve">. </w:t>
      </w:r>
    </w:p>
    <w:p w14:paraId="13D41CA5" w14:textId="4B00A809" w:rsidR="00BC2E1F" w:rsidRPr="00F03917" w:rsidRDefault="0093686D" w:rsidP="00CE7103">
      <w:pPr>
        <w:pStyle w:val="BodyText"/>
      </w:pPr>
      <w:r w:rsidRPr="00F03917">
        <w:t>Current p</w:t>
      </w:r>
      <w:r w:rsidR="00BC2E1F" w:rsidRPr="00F03917">
        <w:t>lanning relie</w:t>
      </w:r>
      <w:r w:rsidRPr="00F03917">
        <w:t>s</w:t>
      </w:r>
      <w:r w:rsidR="00BC2E1F" w:rsidRPr="00F03917">
        <w:t xml:space="preserve"> on static representations of the future in space and time (</w:t>
      </w:r>
      <w:r w:rsidR="6A9C860B" w:rsidRPr="00F03917">
        <w:t>eg</w:t>
      </w:r>
      <w:r w:rsidR="00BC2E1F" w:rsidRPr="00F03917">
        <w:t xml:space="preserve">, </w:t>
      </w:r>
      <w:r w:rsidR="00A939A6" w:rsidRPr="00F03917">
        <w:t xml:space="preserve">the </w:t>
      </w:r>
      <w:r w:rsidRPr="00F03917">
        <w:t xml:space="preserve">use of </w:t>
      </w:r>
      <w:r w:rsidR="00BC2E1F" w:rsidRPr="00F03917">
        <w:t>one scenario, a hazard zone or</w:t>
      </w:r>
      <w:r w:rsidRPr="00F03917">
        <w:t xml:space="preserve"> a</w:t>
      </w:r>
      <w:r w:rsidR="00BC2E1F" w:rsidRPr="00F03917">
        <w:t xml:space="preserve"> line on a map, or a fixed seawall). </w:t>
      </w:r>
      <w:r w:rsidR="00B92BD1" w:rsidRPr="00F03917">
        <w:t>These static representations can be difficult to adjust</w:t>
      </w:r>
      <w:r w:rsidR="007E0B81" w:rsidRPr="00F03917">
        <w:t xml:space="preserve"> readily</w:t>
      </w:r>
      <w:r w:rsidR="00B92BD1" w:rsidRPr="00F03917">
        <w:t xml:space="preserve"> to </w:t>
      </w:r>
      <w:r w:rsidR="007E0B81" w:rsidRPr="00F03917">
        <w:t xml:space="preserve">the progressive and ongoing coastal hazards. </w:t>
      </w:r>
      <w:r w:rsidR="005D62CE" w:rsidRPr="00F03917">
        <w:t>This can result in lock-in of development and maladaptation.</w:t>
      </w:r>
      <w:r w:rsidR="00B54827" w:rsidRPr="00F03917">
        <w:t xml:space="preserve"> Such static measures may instil a false sense of security</w:t>
      </w:r>
      <w:r w:rsidR="00BE4384" w:rsidRPr="00F03917">
        <w:t>, where</w:t>
      </w:r>
      <w:r w:rsidR="00B92BD1" w:rsidRPr="00F03917">
        <w:t xml:space="preserve">, once protected, a community </w:t>
      </w:r>
      <w:r w:rsidR="000B0776" w:rsidRPr="00F03917">
        <w:t>will</w:t>
      </w:r>
      <w:r w:rsidR="00B92BD1" w:rsidRPr="00F03917">
        <w:t xml:space="preserve"> expect that protection will continue to be provided</w:t>
      </w:r>
      <w:r w:rsidR="00E869E2" w:rsidRPr="00F03917">
        <w:t xml:space="preserve"> as the coastal hazards worsen and the </w:t>
      </w:r>
      <w:r w:rsidR="00E8128B" w:rsidRPr="00F03917">
        <w:t>relative sea-level rise (</w:t>
      </w:r>
      <w:r w:rsidR="00E869E2" w:rsidRPr="00F03917">
        <w:t>RSLR</w:t>
      </w:r>
      <w:r w:rsidR="00E8128B" w:rsidRPr="00F03917">
        <w:t>)</w:t>
      </w:r>
      <w:r w:rsidR="00E869E2" w:rsidRPr="00F03917">
        <w:t xml:space="preserve"> advances. This will require</w:t>
      </w:r>
      <w:r w:rsidR="00B92BD1" w:rsidRPr="00F03917">
        <w:t xml:space="preserve"> increasing</w:t>
      </w:r>
      <w:r w:rsidR="001F684D" w:rsidRPr="00F03917">
        <w:t xml:space="preserve"> and ongoing</w:t>
      </w:r>
      <w:r w:rsidR="00B92BD1" w:rsidRPr="00F03917">
        <w:t xml:space="preserve"> investment</w:t>
      </w:r>
      <w:r w:rsidR="001F684D" w:rsidRPr="00F03917">
        <w:t xml:space="preserve"> as</w:t>
      </w:r>
      <w:r w:rsidR="00B92BD1" w:rsidRPr="00F03917">
        <w:t xml:space="preserve"> exposure to risk</w:t>
      </w:r>
      <w:r w:rsidR="00BA14B2" w:rsidRPr="00F03917">
        <w:t xml:space="preserve"> increases</w:t>
      </w:r>
      <w:r w:rsidR="00B92BD1" w:rsidRPr="00F03917">
        <w:t xml:space="preserve"> over time</w:t>
      </w:r>
      <w:r w:rsidR="00336810" w:rsidRPr="00F03917">
        <w:t>. This raises issues</w:t>
      </w:r>
      <w:r w:rsidR="00122DB0" w:rsidRPr="00F03917">
        <w:t xml:space="preserve"> around the type of adaptation options</w:t>
      </w:r>
      <w:r w:rsidR="005E2871" w:rsidRPr="00F03917">
        <w:t xml:space="preserve"> being implemented (</w:t>
      </w:r>
      <w:hyperlink w:anchor="figure5" w:history="1">
        <w:r w:rsidR="6228B8A5" w:rsidRPr="00F03917">
          <w:rPr>
            <w:rStyle w:val="Hyperlink"/>
          </w:rPr>
          <w:t>f</w:t>
        </w:r>
        <w:r w:rsidR="005E2871" w:rsidRPr="00F03917">
          <w:rPr>
            <w:rStyle w:val="Hyperlink"/>
          </w:rPr>
          <w:t xml:space="preserve">igure </w:t>
        </w:r>
        <w:r w:rsidR="00087E42" w:rsidRPr="00F03917">
          <w:rPr>
            <w:rStyle w:val="Hyperlink"/>
          </w:rPr>
          <w:t>5</w:t>
        </w:r>
      </w:hyperlink>
      <w:r w:rsidR="005E2871" w:rsidRPr="00F03917">
        <w:t>)</w:t>
      </w:r>
      <w:r w:rsidR="00B92BD1" w:rsidRPr="00F03917">
        <w:t xml:space="preserve"> and who pays</w:t>
      </w:r>
      <w:r w:rsidR="005E2871" w:rsidRPr="00F03917">
        <w:t xml:space="preserve"> for them</w:t>
      </w:r>
      <w:r w:rsidR="00B92BD1" w:rsidRPr="00F03917">
        <w:t>.</w:t>
      </w:r>
      <w:r w:rsidR="005E2871" w:rsidRPr="00F03917">
        <w:t xml:space="preserve"> Councils and communities alik</w:t>
      </w:r>
      <w:r w:rsidR="00063B47" w:rsidRPr="00F03917">
        <w:t>e need to understand</w:t>
      </w:r>
      <w:r w:rsidR="00B92BD1" w:rsidRPr="00F03917">
        <w:t xml:space="preserve"> the</w:t>
      </w:r>
      <w:r w:rsidR="00063B47" w:rsidRPr="00F03917">
        <w:t>se</w:t>
      </w:r>
      <w:r w:rsidR="00B92BD1" w:rsidRPr="00F03917">
        <w:t xml:space="preserve"> limitations of static measures</w:t>
      </w:r>
      <w:r w:rsidR="00063B47" w:rsidRPr="00F03917">
        <w:t xml:space="preserve"> when implementing coastal adaptation actions in the dynamic coastal environment.</w:t>
      </w:r>
    </w:p>
    <w:p w14:paraId="280EB0F0" w14:textId="6BF00A9F" w:rsidR="00FA2753" w:rsidRPr="00F03917" w:rsidRDefault="00BA14B2" w:rsidP="00CE7103">
      <w:pPr>
        <w:pStyle w:val="BodyText"/>
      </w:pPr>
      <w:r w:rsidRPr="00F03917">
        <w:t>Coastal</w:t>
      </w:r>
      <w:r w:rsidR="00C755CD" w:rsidRPr="00F03917">
        <w:t xml:space="preserve"> </w:t>
      </w:r>
      <w:r w:rsidR="00C72039" w:rsidRPr="00F03917">
        <w:t xml:space="preserve">adaptation actions </w:t>
      </w:r>
      <w:r w:rsidR="004C797E" w:rsidRPr="00F03917">
        <w:t>may need to be prioritised in</w:t>
      </w:r>
      <w:r w:rsidR="00C72039" w:rsidRPr="00F03917">
        <w:t xml:space="preserve"> some locations over others</w:t>
      </w:r>
      <w:r w:rsidR="004C797E" w:rsidRPr="00F03917">
        <w:t>, especially where resources are constrained.</w:t>
      </w:r>
      <w:r w:rsidR="00154774" w:rsidRPr="00F03917">
        <w:t xml:space="preserve"> </w:t>
      </w:r>
      <w:r w:rsidR="00BD4B71" w:rsidRPr="00F03917">
        <w:t>When doing so, the principles underlying dynamic adaptive pathways planning (</w:t>
      </w:r>
      <w:hyperlink w:anchor="_Step_5:_Identify" w:history="1">
        <w:r w:rsidR="0EDD844D" w:rsidRPr="00F03917">
          <w:rPr>
            <w:rStyle w:val="Hyperlink"/>
          </w:rPr>
          <w:t>s</w:t>
        </w:r>
        <w:r w:rsidR="00BD4B71" w:rsidRPr="00F03917">
          <w:rPr>
            <w:rStyle w:val="Hyperlink"/>
          </w:rPr>
          <w:t>tep 5</w:t>
        </w:r>
      </w:hyperlink>
      <w:r w:rsidR="005F2949" w:rsidRPr="00F03917">
        <w:t xml:space="preserve"> and</w:t>
      </w:r>
      <w:r w:rsidR="00BD4B71" w:rsidRPr="00F03917">
        <w:t xml:space="preserve"> </w:t>
      </w:r>
      <w:hyperlink w:anchor="box11" w:history="1">
        <w:r w:rsidR="009B6669" w:rsidRPr="00F03917">
          <w:rPr>
            <w:rStyle w:val="Hyperlink"/>
          </w:rPr>
          <w:t>box 11</w:t>
        </w:r>
      </w:hyperlink>
      <w:r w:rsidR="00BD4B71" w:rsidRPr="00F03917">
        <w:t xml:space="preserve">) </w:t>
      </w:r>
      <w:r w:rsidR="00666711" w:rsidRPr="00F03917">
        <w:t>should</w:t>
      </w:r>
      <w:r w:rsidR="00BD4B71" w:rsidRPr="00F03917">
        <w:t xml:space="preserve"> </w:t>
      </w:r>
      <w:r w:rsidR="008B75AE" w:rsidRPr="00F03917">
        <w:t>be applied to avoid lock</w:t>
      </w:r>
      <w:r w:rsidR="19ACDD14" w:rsidRPr="00F03917">
        <w:t>-</w:t>
      </w:r>
      <w:r w:rsidR="008B75AE" w:rsidRPr="00F03917">
        <w:t>in of investments and to</w:t>
      </w:r>
      <w:r w:rsidR="00CE1968" w:rsidRPr="00F03917">
        <w:t> </w:t>
      </w:r>
      <w:r w:rsidR="008B75AE" w:rsidRPr="00F03917">
        <w:t xml:space="preserve">guide decisions that lead to both short- and long-term benefits. Otherwise, the damage costs </w:t>
      </w:r>
      <w:r w:rsidR="009F195E" w:rsidRPr="00F03917">
        <w:t xml:space="preserve">of the ongoing and rising risk at the coast </w:t>
      </w:r>
      <w:r w:rsidR="4E861CA6" w:rsidRPr="00F03917">
        <w:t>are likely to</w:t>
      </w:r>
      <w:r w:rsidR="009F195E" w:rsidRPr="00F03917">
        <w:t xml:space="preserve"> </w:t>
      </w:r>
      <w:r w:rsidR="003A68CB" w:rsidRPr="00F03917">
        <w:t>increase and</w:t>
      </w:r>
      <w:r w:rsidR="009F195E" w:rsidRPr="00F03917">
        <w:t xml:space="preserve"> </w:t>
      </w:r>
      <w:r w:rsidR="4E3A354B" w:rsidRPr="00F03917">
        <w:t>may</w:t>
      </w:r>
      <w:r w:rsidR="009F195E" w:rsidRPr="00F03917">
        <w:t xml:space="preserve"> be transferred to</w:t>
      </w:r>
      <w:r w:rsidR="00CE1968" w:rsidRPr="00F03917">
        <w:t> </w:t>
      </w:r>
      <w:r w:rsidR="009F195E" w:rsidRPr="00F03917">
        <w:t>future generations and those least able to pay</w:t>
      </w:r>
      <w:r w:rsidR="003A68CB" w:rsidRPr="00F03917">
        <w:t xml:space="preserve"> </w:t>
      </w:r>
      <w:r w:rsidR="009F195E" w:rsidRPr="00F03917">
        <w:t>or afford insurance. The</w:t>
      </w:r>
      <w:r w:rsidR="00154774" w:rsidRPr="00F03917">
        <w:t xml:space="preserve"> approach to prioritis</w:t>
      </w:r>
      <w:r w:rsidR="009F195E" w:rsidRPr="00F03917">
        <w:t>ation</w:t>
      </w:r>
      <w:r w:rsidR="005112D7" w:rsidRPr="00F03917">
        <w:t xml:space="preserve"> of adaptation actions</w:t>
      </w:r>
      <w:r w:rsidR="00154774" w:rsidRPr="00F03917">
        <w:t xml:space="preserve"> will need to be </w:t>
      </w:r>
      <w:r w:rsidR="003713CA" w:rsidRPr="00F03917">
        <w:t>developed</w:t>
      </w:r>
      <w:r w:rsidR="00720E88" w:rsidRPr="00F03917">
        <w:t xml:space="preserve"> </w:t>
      </w:r>
      <w:r w:rsidR="003713CA" w:rsidRPr="00F03917">
        <w:t>and applied in a fair way across responsibilities (eg</w:t>
      </w:r>
      <w:r w:rsidR="4C7ADF6C" w:rsidRPr="00F03917">
        <w:t>,</w:t>
      </w:r>
      <w:r w:rsidR="003713CA" w:rsidRPr="00F03917">
        <w:t xml:space="preserve"> </w:t>
      </w:r>
      <w:r w:rsidR="00DF7450" w:rsidRPr="00F03917">
        <w:t>local</w:t>
      </w:r>
      <w:r w:rsidR="003713CA" w:rsidRPr="00F03917">
        <w:t xml:space="preserve"> gove</w:t>
      </w:r>
      <w:r w:rsidR="00720E88" w:rsidRPr="00F03917">
        <w:t>rnment services).</w:t>
      </w:r>
    </w:p>
    <w:p w14:paraId="2663434C" w14:textId="1CA2AE8A" w:rsidR="00637C25" w:rsidRPr="00F03917" w:rsidRDefault="00B34E59" w:rsidP="00CE7103">
      <w:pPr>
        <w:pStyle w:val="BodyText"/>
      </w:pPr>
      <w:r w:rsidRPr="00F03917">
        <w:t xml:space="preserve"> </w:t>
      </w:r>
    </w:p>
    <w:p w14:paraId="4B5B9BD1" w14:textId="307FFB38" w:rsidR="00BC2E1F" w:rsidRPr="00F03917" w:rsidRDefault="00BC2E1F" w:rsidP="00FA1C4A">
      <w:pPr>
        <w:pStyle w:val="Heading3"/>
        <w:numPr>
          <w:ilvl w:val="0"/>
          <w:numId w:val="33"/>
        </w:numPr>
        <w:rPr>
          <w:szCs w:val="28"/>
        </w:rPr>
      </w:pPr>
      <w:r w:rsidRPr="00F03917">
        <w:rPr>
          <w:szCs w:val="28"/>
        </w:rPr>
        <w:lastRenderedPageBreak/>
        <w:t>Planning framework</w:t>
      </w:r>
    </w:p>
    <w:p w14:paraId="14756B68" w14:textId="5BCEEF4D" w:rsidR="00BC2E1F" w:rsidRPr="00F03917" w:rsidRDefault="00AC7B9D" w:rsidP="00CE1968">
      <w:pPr>
        <w:pStyle w:val="BodyText"/>
        <w:keepNext/>
      </w:pPr>
      <w:r w:rsidRPr="00F03917">
        <w:t>Figure 2</w:t>
      </w:r>
      <w:r w:rsidR="001F6526" w:rsidRPr="00F03917">
        <w:t>3</w:t>
      </w:r>
      <w:r w:rsidR="00BC2E1F" w:rsidRPr="00F03917">
        <w:t xml:space="preserve"> shows the planning framework </w:t>
      </w:r>
      <w:r w:rsidR="00313D55" w:rsidRPr="00F03917">
        <w:t>that enables hazard and risk reduction</w:t>
      </w:r>
      <w:r w:rsidR="1674942F" w:rsidRPr="00F03917">
        <w:t>.</w:t>
      </w:r>
      <w:r w:rsidR="00BC2E1F" w:rsidRPr="00F03917">
        <w:t xml:space="preserve"> </w:t>
      </w:r>
    </w:p>
    <w:p w14:paraId="77A63D62" w14:textId="7B959D8E" w:rsidR="00BC2E1F" w:rsidRPr="00F03917" w:rsidRDefault="00FC638F" w:rsidP="00C52920">
      <w:pPr>
        <w:pStyle w:val="Figureheading"/>
      </w:pPr>
      <w:bookmarkStart w:id="207" w:name="figure24"/>
      <w:bookmarkStart w:id="208" w:name="_Toc144147193"/>
      <w:bookmarkStart w:id="209" w:name="_Toc160098438"/>
      <w:bookmarkEnd w:id="207"/>
      <w:r w:rsidRPr="00F03917">
        <w:t>Figure 2</w:t>
      </w:r>
      <w:r w:rsidR="001F6526" w:rsidRPr="00F03917">
        <w:t>3</w:t>
      </w:r>
      <w:r w:rsidRPr="00F03917">
        <w:t xml:space="preserve">: </w:t>
      </w:r>
      <w:r w:rsidR="00C7236C" w:rsidRPr="00F03917">
        <w:tab/>
      </w:r>
      <w:r w:rsidR="00BC2E1F" w:rsidRPr="00F03917">
        <w:t>Coastal hazard management under R</w:t>
      </w:r>
      <w:r w:rsidR="2F4BF0BD" w:rsidRPr="00F03917">
        <w:t xml:space="preserve">esource </w:t>
      </w:r>
      <w:r w:rsidR="00BC2E1F" w:rsidRPr="00F03917">
        <w:t>M</w:t>
      </w:r>
      <w:r w:rsidR="2F5571DA" w:rsidRPr="00F03917">
        <w:t xml:space="preserve">anagement </w:t>
      </w:r>
      <w:r w:rsidR="00BC2E1F" w:rsidRPr="00F03917">
        <w:t>A</w:t>
      </w:r>
      <w:r w:rsidR="2AE89719" w:rsidRPr="00F03917">
        <w:t>ct 1991</w:t>
      </w:r>
      <w:r w:rsidR="00BC2E1F" w:rsidRPr="00F03917">
        <w:t xml:space="preserve"> policy</w:t>
      </w:r>
      <w:r w:rsidR="00A12B83" w:rsidRPr="00F03917">
        <w:t> </w:t>
      </w:r>
      <w:r w:rsidR="00BC2E1F" w:rsidRPr="00F03917">
        <w:t>and plans</w:t>
      </w:r>
      <w:bookmarkEnd w:id="208"/>
      <w:bookmarkEnd w:id="209"/>
    </w:p>
    <w:p w14:paraId="3F8DD92E" w14:textId="77777777" w:rsidR="00BC2E1F" w:rsidRPr="00F03917" w:rsidRDefault="00BC2E1F" w:rsidP="00CE7103">
      <w:pPr>
        <w:pStyle w:val="BodyText"/>
      </w:pPr>
      <w:r w:rsidRPr="00F03917">
        <w:rPr>
          <w:noProof/>
        </w:rPr>
        <w:drawing>
          <wp:inline distT="0" distB="0" distL="0" distR="0" wp14:anchorId="2EE8C87A" wp14:editId="2BB9964D">
            <wp:extent cx="5288936" cy="7747003"/>
            <wp:effectExtent l="0" t="0" r="6985"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145" cstate="print">
                      <a:extLst>
                        <a:ext uri="{28A0092B-C50C-407E-A947-70E740481C1C}">
                          <a14:useLocalDpi xmlns:a14="http://schemas.microsoft.com/office/drawing/2010/main" val="0"/>
                        </a:ext>
                      </a:extLst>
                    </a:blip>
                    <a:srcRect l="693" r="693"/>
                    <a:stretch>
                      <a:fillRect/>
                    </a:stretch>
                  </pic:blipFill>
                  <pic:spPr bwMode="auto">
                    <a:xfrm>
                      <a:off x="0" y="0"/>
                      <a:ext cx="5288936" cy="7747003"/>
                    </a:xfrm>
                    <a:prstGeom prst="rect">
                      <a:avLst/>
                    </a:prstGeom>
                    <a:ln>
                      <a:noFill/>
                    </a:ln>
                    <a:extLst>
                      <a:ext uri="{53640926-AAD7-44D8-BBD7-CCE9431645EC}">
                        <a14:shadowObscured xmlns:a14="http://schemas.microsoft.com/office/drawing/2010/main"/>
                      </a:ext>
                    </a:extLst>
                  </pic:spPr>
                </pic:pic>
              </a:graphicData>
            </a:graphic>
          </wp:inline>
        </w:drawing>
      </w:r>
    </w:p>
    <w:p w14:paraId="074165BA" w14:textId="6C68CC60" w:rsidR="00BC2E1F" w:rsidRPr="00F03917" w:rsidRDefault="00BC2E1F" w:rsidP="00CE7103">
      <w:pPr>
        <w:pStyle w:val="BodyText"/>
        <w:keepLines/>
        <w:spacing w:before="100" w:after="100"/>
      </w:pPr>
      <w:r w:rsidRPr="00F03917">
        <w:lastRenderedPageBreak/>
        <w:t>To help local government agencies carry out their statutory functions, and to involve the community in informal ways, local government now undertakes planning outside the RMA</w:t>
      </w:r>
      <w:r w:rsidR="00703695" w:rsidRPr="00F03917">
        <w:t xml:space="preserve"> </w:t>
      </w:r>
      <w:r w:rsidRPr="00F03917">
        <w:t>framework. Some are statutory requirements,</w:t>
      </w:r>
      <w:r w:rsidR="00D0395B" w:rsidRPr="00F03917">
        <w:t xml:space="preserve"> such as </w:t>
      </w:r>
      <w:r w:rsidR="1E27446F" w:rsidRPr="00F03917">
        <w:t>L</w:t>
      </w:r>
      <w:r w:rsidR="00D0395B" w:rsidRPr="00F03917">
        <w:t>ong-</w:t>
      </w:r>
      <w:r w:rsidR="1CD7F2E1" w:rsidRPr="00F03917">
        <w:t>T</w:t>
      </w:r>
      <w:r w:rsidR="00D0395B" w:rsidRPr="00F03917">
        <w:t xml:space="preserve">erm </w:t>
      </w:r>
      <w:r w:rsidR="2BB4937B" w:rsidRPr="00F03917">
        <w:t>P</w:t>
      </w:r>
      <w:r w:rsidR="00D0395B" w:rsidRPr="00F03917">
        <w:t>lans</w:t>
      </w:r>
      <w:r w:rsidRPr="00F03917">
        <w:t xml:space="preserve"> </w:t>
      </w:r>
      <w:r w:rsidR="00FE2388" w:rsidRPr="00F03917">
        <w:t xml:space="preserve">under s93 of the </w:t>
      </w:r>
      <w:r w:rsidR="6FCEEDB1" w:rsidRPr="00F03917">
        <w:rPr>
          <w:rFonts w:asciiTheme="minorHAnsi" w:hAnsiTheme="minorHAnsi"/>
        </w:rPr>
        <w:t>Local</w:t>
      </w:r>
      <w:r w:rsidR="00703695" w:rsidRPr="00F03917">
        <w:rPr>
          <w:rFonts w:asciiTheme="minorHAnsi" w:hAnsiTheme="minorHAnsi"/>
        </w:rPr>
        <w:t> </w:t>
      </w:r>
      <w:r w:rsidR="6FCEEDB1" w:rsidRPr="00F03917">
        <w:rPr>
          <w:rFonts w:asciiTheme="minorHAnsi" w:hAnsiTheme="minorHAnsi"/>
        </w:rPr>
        <w:t>Government Act 2002</w:t>
      </w:r>
      <w:r w:rsidR="00FE2388" w:rsidRPr="00F03917">
        <w:t>,</w:t>
      </w:r>
      <w:r w:rsidRPr="00F03917">
        <w:t xml:space="preserve"> while others are less formal and contribute to statutory plans and</w:t>
      </w:r>
      <w:r w:rsidR="00703695" w:rsidRPr="00F03917">
        <w:t> </w:t>
      </w:r>
      <w:r w:rsidRPr="00F03917">
        <w:t>integrated management of natural and physical resources (eg, coastal hazard plans). Non</w:t>
      </w:r>
      <w:r w:rsidR="00703695" w:rsidRPr="00F03917">
        <w:noBreakHyphen/>
      </w:r>
      <w:r w:rsidRPr="00F03917">
        <w:t xml:space="preserve">statutory plans are usually where community aspirations are best identified and developed. </w:t>
      </w:r>
      <w:r w:rsidR="365EDF1F" w:rsidRPr="00F03917">
        <w:t>Any</w:t>
      </w:r>
      <w:r w:rsidRPr="00F03917">
        <w:t xml:space="preserve"> elements of the non-statutory plans, however, will need to be carried through</w:t>
      </w:r>
      <w:r w:rsidR="00703695" w:rsidRPr="00F03917">
        <w:t> </w:t>
      </w:r>
      <w:r w:rsidRPr="00F03917">
        <w:t>into a statutory framework to be effective or</w:t>
      </w:r>
      <w:r w:rsidR="00CE7103" w:rsidRPr="00F03917">
        <w:t> </w:t>
      </w:r>
      <w:r w:rsidRPr="00F03917">
        <w:t>enforceable.</w:t>
      </w:r>
    </w:p>
    <w:p w14:paraId="72E8423F" w14:textId="52C0006A" w:rsidR="00BC2E1F" w:rsidRPr="00F03917" w:rsidRDefault="00BC2E1F" w:rsidP="00CE7103">
      <w:pPr>
        <w:pStyle w:val="BodyText"/>
        <w:spacing w:before="100" w:after="100"/>
      </w:pPr>
      <w:r w:rsidRPr="00F03917">
        <w:t>The wider community’s objectives for hazard </w:t>
      </w:r>
      <w:r w:rsidR="006B2496" w:rsidRPr="00F03917">
        <w:t xml:space="preserve">and risk </w:t>
      </w:r>
      <w:r w:rsidRPr="00F03917">
        <w:t xml:space="preserve">management will be set at a regional level. The regional policy statement will </w:t>
      </w:r>
      <w:r w:rsidR="3D74EB26" w:rsidRPr="00F03917">
        <w:t xml:space="preserve">likely </w:t>
      </w:r>
      <w:r w:rsidRPr="00F03917">
        <w:t>include the regional representation of the response to national level policy and the allocation of hazard management responsibilities between the regional and district councils</w:t>
      </w:r>
      <w:r w:rsidR="006B2496" w:rsidRPr="00F03917">
        <w:t xml:space="preserve"> (s62 of the RMA)</w:t>
      </w:r>
      <w:r w:rsidRPr="00F03917">
        <w:t>.</w:t>
      </w:r>
      <w:r w:rsidR="006B2496" w:rsidRPr="00F03917">
        <w:t xml:space="preserve"> </w:t>
      </w:r>
      <w:r w:rsidRPr="00F03917">
        <w:t xml:space="preserve">The </w:t>
      </w:r>
      <w:r w:rsidR="145958DD" w:rsidRPr="00F03917">
        <w:t>regional policy statement</w:t>
      </w:r>
      <w:r w:rsidRPr="00F03917">
        <w:t xml:space="preserve"> may identify exclusion areas for new urban development and areas unsuitable for growth and intensification.</w:t>
      </w:r>
      <w:r w:rsidR="136EB9A2" w:rsidRPr="00F03917">
        <w:t xml:space="preserve"> The identification of these areas may occur through growth planning exercises at a district and regional level, such as those presently required for </w:t>
      </w:r>
      <w:r w:rsidR="000B451E" w:rsidRPr="00F03917">
        <w:t>larger urban</w:t>
      </w:r>
      <w:r w:rsidR="136EB9A2" w:rsidRPr="00F03917">
        <w:t xml:space="preserve"> councils </w:t>
      </w:r>
      <w:r w:rsidR="004D35C9" w:rsidRPr="00F03917">
        <w:t xml:space="preserve">to provide ‘sufficient development capacity’ for housing and business land through a </w:t>
      </w:r>
      <w:r w:rsidR="0029207E" w:rsidRPr="00F03917">
        <w:t>F</w:t>
      </w:r>
      <w:r w:rsidR="004D35C9" w:rsidRPr="00F03917">
        <w:t xml:space="preserve">uture </w:t>
      </w:r>
      <w:r w:rsidR="0029207E" w:rsidRPr="00F03917">
        <w:t>D</w:t>
      </w:r>
      <w:r w:rsidR="004D35C9" w:rsidRPr="00F03917">
        <w:t xml:space="preserve">evelopment </w:t>
      </w:r>
      <w:r w:rsidR="0029207E" w:rsidRPr="00F03917" w:rsidDel="0018291F">
        <w:t>S</w:t>
      </w:r>
      <w:r w:rsidR="004D35C9" w:rsidRPr="00F03917">
        <w:t>trategy</w:t>
      </w:r>
      <w:r w:rsidR="136EB9A2" w:rsidRPr="00F03917">
        <w:t xml:space="preserve"> under the </w:t>
      </w:r>
      <w:r w:rsidR="23FE846C" w:rsidRPr="00F03917">
        <w:rPr>
          <w:rFonts w:eastAsia="Calibri" w:cs="Calibri"/>
        </w:rPr>
        <w:t>National Policy Statement on Urban Development 2020</w:t>
      </w:r>
      <w:r w:rsidR="23FE846C" w:rsidRPr="00F03917">
        <w:t xml:space="preserve"> </w:t>
      </w:r>
      <w:r w:rsidR="008D363B" w:rsidRPr="00F03917">
        <w:t xml:space="preserve">– </w:t>
      </w:r>
      <w:r w:rsidR="004D35C9" w:rsidRPr="00F03917">
        <w:t xml:space="preserve">subject to </w:t>
      </w:r>
      <w:r w:rsidR="5E84344D" w:rsidRPr="00F03917">
        <w:t>q</w:t>
      </w:r>
      <w:r w:rsidR="004D35C9" w:rsidRPr="00F03917">
        <w:t xml:space="preserve">ualifying </w:t>
      </w:r>
      <w:r w:rsidR="10A310DE" w:rsidRPr="00F03917">
        <w:t>m</w:t>
      </w:r>
      <w:r w:rsidR="004D35C9" w:rsidRPr="00F03917">
        <w:t>atters</w:t>
      </w:r>
      <w:r w:rsidR="793207F8" w:rsidRPr="00F03917">
        <w:t>.</w:t>
      </w:r>
      <w:r w:rsidR="004D35C9" w:rsidRPr="00F03917">
        <w:rPr>
          <w:rStyle w:val="FootnoteReference"/>
        </w:rPr>
        <w:footnoteReference w:id="87"/>
      </w:r>
      <w:r w:rsidR="00977ED4" w:rsidRPr="00F03917">
        <w:t xml:space="preserve"> </w:t>
      </w:r>
    </w:p>
    <w:p w14:paraId="6EB7E1AA" w14:textId="56C9CD47" w:rsidR="00BC2E1F" w:rsidRPr="00F03917" w:rsidRDefault="00DB1ADE" w:rsidP="00CE7103">
      <w:pPr>
        <w:pStyle w:val="BodyText"/>
        <w:spacing w:before="100" w:after="100"/>
      </w:pPr>
      <w:r w:rsidRPr="00F03917">
        <w:t>G</w:t>
      </w:r>
      <w:r w:rsidR="00BC2E1F" w:rsidRPr="00F03917">
        <w:t>iven that</w:t>
      </w:r>
      <w:r w:rsidR="00E367B7" w:rsidRPr="00F03917">
        <w:t xml:space="preserve"> a</w:t>
      </w:r>
      <w:r w:rsidR="00BC2E1F" w:rsidRPr="00F03917">
        <w:t xml:space="preserve"> coastal hazards management policy</w:t>
      </w:r>
      <w:r w:rsidR="0017268B" w:rsidRPr="00F03917">
        <w:t xml:space="preserve"> in a regional plan must</w:t>
      </w:r>
      <w:r w:rsidR="009C0300" w:rsidRPr="00F03917">
        <w:t xml:space="preserve"> give effect to the </w:t>
      </w:r>
      <w:r w:rsidR="5D568E60" w:rsidRPr="00F03917">
        <w:t>New</w:t>
      </w:r>
      <w:r w:rsidR="00703695" w:rsidRPr="00F03917">
        <w:t> </w:t>
      </w:r>
      <w:r w:rsidR="5D568E60" w:rsidRPr="00F03917">
        <w:t>Zealand Coastal Policy Statement 2010 (</w:t>
      </w:r>
      <w:r w:rsidR="009C0300" w:rsidRPr="00F03917">
        <w:t>NZCPS</w:t>
      </w:r>
      <w:r w:rsidR="006912F1" w:rsidRPr="00F03917">
        <w:t>, DOC, 2010</w:t>
      </w:r>
      <w:r w:rsidR="294D2893" w:rsidRPr="00F03917">
        <w:t>)</w:t>
      </w:r>
      <w:r w:rsidR="000F4A2D" w:rsidRPr="00F03917">
        <w:t xml:space="preserve"> over a timeframe of at least 100 years</w:t>
      </w:r>
      <w:r w:rsidR="007E18AC" w:rsidRPr="00F03917">
        <w:t xml:space="preserve">, </w:t>
      </w:r>
      <w:r w:rsidR="00FF655A" w:rsidRPr="00F03917">
        <w:t>the adaptive pathways process</w:t>
      </w:r>
      <w:r w:rsidR="009C0300" w:rsidRPr="00F03917">
        <w:t xml:space="preserve"> </w:t>
      </w:r>
      <w:r w:rsidR="00BC2E1F" w:rsidRPr="00F03917">
        <w:t xml:space="preserve">will need to be embedded in the statutory planning framework in a way that provides sufficient certainty over </w:t>
      </w:r>
      <w:r w:rsidR="009C0300" w:rsidRPr="00F03917">
        <w:t xml:space="preserve">that </w:t>
      </w:r>
      <w:r w:rsidR="00BC2E1F" w:rsidRPr="00F03917">
        <w:t>time</w:t>
      </w:r>
      <w:r w:rsidR="006E4B2F" w:rsidRPr="00F03917">
        <w:t xml:space="preserve"> </w:t>
      </w:r>
      <w:r w:rsidR="009C0300" w:rsidRPr="00F03917">
        <w:t>horizon</w:t>
      </w:r>
      <w:r w:rsidR="00BC2E1F" w:rsidRPr="00F03917">
        <w:t xml:space="preserve">. A statutory plan </w:t>
      </w:r>
      <w:r w:rsidR="006E4B2F" w:rsidRPr="00F03917">
        <w:t xml:space="preserve">under the RMA </w:t>
      </w:r>
      <w:r w:rsidR="00BC2E1F" w:rsidRPr="00F03917">
        <w:t>therefore needs to contain sufficient information about the adaptation plan</w:t>
      </w:r>
      <w:r w:rsidR="000604D4" w:rsidRPr="00F03917">
        <w:t>ning</w:t>
      </w:r>
      <w:r w:rsidR="002D59C9" w:rsidRPr="00F03917">
        <w:t xml:space="preserve"> strategy</w:t>
      </w:r>
      <w:r w:rsidR="00BC2E1F" w:rsidRPr="00F03917">
        <w:t>,</w:t>
      </w:r>
      <w:r w:rsidR="00703695" w:rsidRPr="00F03917">
        <w:t> </w:t>
      </w:r>
      <w:r w:rsidR="00BC2E1F" w:rsidRPr="00F03917">
        <w:t xml:space="preserve">including a description of the issue, an outline of the process </w:t>
      </w:r>
      <w:r w:rsidR="00D25988" w:rsidRPr="00F03917">
        <w:t xml:space="preserve">and engagement </w:t>
      </w:r>
      <w:r w:rsidR="00BC2E1F" w:rsidRPr="00F03917">
        <w:t xml:space="preserve">that led to the specific provisions, and the policy provisions that underpin the approach taken. </w:t>
      </w:r>
      <w:r w:rsidR="009427FC" w:rsidRPr="00F03917">
        <w:t>F</w:t>
      </w:r>
      <w:r w:rsidR="00BC2E1F" w:rsidRPr="00F03917">
        <w:t>oreshadow</w:t>
      </w:r>
      <w:r w:rsidR="009427FC" w:rsidRPr="00F03917">
        <w:t>ing a potential future</w:t>
      </w:r>
      <w:r w:rsidR="00BC2E1F" w:rsidRPr="00F03917" w:rsidDel="00CB4E4F">
        <w:t xml:space="preserve"> </w:t>
      </w:r>
      <w:r w:rsidR="00BC2E1F" w:rsidRPr="00F03917">
        <w:t>shift to an alternative</w:t>
      </w:r>
      <w:r w:rsidR="00B218BE" w:rsidRPr="00F03917">
        <w:t xml:space="preserve"> DAPP</w:t>
      </w:r>
      <w:r w:rsidR="00BC2E1F" w:rsidRPr="00F03917">
        <w:t xml:space="preserve"> </w:t>
      </w:r>
      <w:r w:rsidR="00BC2E1F" w:rsidRPr="00F03917" w:rsidDel="00930214">
        <w:t>pathway</w:t>
      </w:r>
      <w:r w:rsidR="009B5D06" w:rsidRPr="00F03917">
        <w:t xml:space="preserve"> could also be included</w:t>
      </w:r>
      <w:r w:rsidR="0057211E" w:rsidRPr="00F03917">
        <w:t>,</w:t>
      </w:r>
      <w:r w:rsidR="009B5D06" w:rsidRPr="00F03917">
        <w:t xml:space="preserve"> which is consistent with the NZCPS precautionary approach</w:t>
      </w:r>
      <w:r w:rsidR="00BC2E1F" w:rsidRPr="00F03917">
        <w:t>.</w:t>
      </w:r>
    </w:p>
    <w:p w14:paraId="602F8FAC" w14:textId="1608A4D7" w:rsidR="001E0CDE" w:rsidRPr="00F03917" w:rsidRDefault="001E0CDE" w:rsidP="001E0CDE">
      <w:pPr>
        <w:pStyle w:val="BodyText"/>
        <w:spacing w:before="100" w:after="100"/>
      </w:pPr>
      <w:r w:rsidRPr="00F03917">
        <w:t xml:space="preserve">Examples </w:t>
      </w:r>
      <w:r w:rsidR="00461003" w:rsidRPr="00F03917">
        <w:t>of regional plans</w:t>
      </w:r>
      <w:r w:rsidR="0085347B" w:rsidRPr="00F03917">
        <w:t xml:space="preserve"> that embed </w:t>
      </w:r>
      <w:r w:rsidR="009A4C25" w:rsidRPr="00F03917">
        <w:t>an adaptation pathways</w:t>
      </w:r>
      <w:r w:rsidR="008F6FCD" w:rsidRPr="00F03917">
        <w:t xml:space="preserve"> </w:t>
      </w:r>
      <w:r w:rsidR="009A4C25" w:rsidRPr="00F03917">
        <w:t>process</w:t>
      </w:r>
      <w:r w:rsidR="00A22313" w:rsidRPr="00F03917">
        <w:t>.</w:t>
      </w:r>
    </w:p>
    <w:p w14:paraId="1768CC24" w14:textId="4177313C" w:rsidR="001E0CDE" w:rsidRPr="00F03917" w:rsidRDefault="001E0CDE" w:rsidP="00703695">
      <w:pPr>
        <w:pStyle w:val="BodyText"/>
        <w:spacing w:before="0"/>
        <w:ind w:left="397" w:hanging="397"/>
      </w:pPr>
      <w:r w:rsidRPr="00F03917">
        <w:t xml:space="preserve">1) </w:t>
      </w:r>
      <w:r w:rsidR="00703695" w:rsidRPr="00F03917">
        <w:tab/>
      </w:r>
      <w:r w:rsidRPr="00F03917">
        <w:t xml:space="preserve">The </w:t>
      </w:r>
      <w:r w:rsidR="001B5841" w:rsidRPr="00F03917">
        <w:t xml:space="preserve">Proposed </w:t>
      </w:r>
      <w:r w:rsidRPr="00F03917">
        <w:t xml:space="preserve">Marlborough </w:t>
      </w:r>
      <w:r w:rsidR="001B5841" w:rsidRPr="00F03917">
        <w:t>Environment</w:t>
      </w:r>
      <w:r w:rsidRPr="00F03917">
        <w:t> Plan</w:t>
      </w:r>
      <w:r w:rsidR="008C5740" w:rsidRPr="00F03917">
        <w:t>. S</w:t>
      </w:r>
      <w:r w:rsidRPr="00F03917">
        <w:t>ee</w:t>
      </w:r>
      <w:r w:rsidR="001B5841" w:rsidRPr="00F03917">
        <w:t xml:space="preserve"> case study A.7</w:t>
      </w:r>
      <w:r w:rsidRPr="00F03917">
        <w:t xml:space="preserve"> </w:t>
      </w:r>
      <w:r w:rsidR="00256CF3" w:rsidRPr="00F03917">
        <w:t>in</w:t>
      </w:r>
      <w:r w:rsidRPr="00F03917">
        <w:t xml:space="preserve"> </w:t>
      </w:r>
      <w:hyperlink w:anchor="_Appendix_A:_Coastal" w:history="1">
        <w:r w:rsidR="00A22313" w:rsidRPr="00F03917">
          <w:rPr>
            <w:rStyle w:val="Hyperlink"/>
          </w:rPr>
          <w:t>a</w:t>
        </w:r>
        <w:r w:rsidRPr="00F03917">
          <w:rPr>
            <w:rStyle w:val="Hyperlink"/>
          </w:rPr>
          <w:t>ppendix A</w:t>
        </w:r>
      </w:hyperlink>
      <w:r w:rsidRPr="00F03917">
        <w:t xml:space="preserve"> of this guidance.</w:t>
      </w:r>
    </w:p>
    <w:p w14:paraId="6DAE8FAA" w14:textId="7EFCAC6F" w:rsidR="00E5226C" w:rsidRPr="00F03917" w:rsidRDefault="001E0CDE" w:rsidP="00703695">
      <w:pPr>
        <w:pStyle w:val="BodyText"/>
        <w:spacing w:before="0"/>
        <w:ind w:left="397" w:hanging="397"/>
      </w:pPr>
      <w:r w:rsidRPr="00F03917">
        <w:t xml:space="preserve">2) </w:t>
      </w:r>
      <w:r w:rsidR="00703695" w:rsidRPr="00F03917">
        <w:tab/>
      </w:r>
      <w:r w:rsidRPr="00F03917">
        <w:t xml:space="preserve">Whakatane District Council has a Coastal Hazard Erosion Policy </w:t>
      </w:r>
      <w:r w:rsidRPr="00F03917" w:rsidDel="002346CF">
        <w:t>A</w:t>
      </w:r>
      <w:r w:rsidRPr="00F03917">
        <w:t>rea (CHEPA) in its plan based on the 2100 assessed erosion area (plus a buffer) comprising three zones</w:t>
      </w:r>
      <w:r w:rsidR="003030A9" w:rsidRPr="00F03917">
        <w:t>:</w:t>
      </w:r>
      <w:r w:rsidRPr="00F03917" w:rsidDel="003030A9">
        <w:t xml:space="preserve"> </w:t>
      </w:r>
      <w:r w:rsidRPr="00F03917">
        <w:t>the Current Erosion Risk Zone (CERZ), the 2060 Erosion Risk Zone (2060 ERZ) and the 2100 Erosion Risk Zone (2100 ERZ). There is targeted policy and increased limitations on use and</w:t>
      </w:r>
      <w:r w:rsidR="00703695" w:rsidRPr="00F03917">
        <w:t> </w:t>
      </w:r>
      <w:r w:rsidRPr="00F03917">
        <w:t>development across the three zones. For example, within the CHEPA, existing buildings can be maintained but new buildings and other structures face increasing consent difficulty, depending on the zone. Easier consenting paths are provided for new</w:t>
      </w:r>
      <w:r w:rsidR="00703695" w:rsidRPr="00F03917">
        <w:t xml:space="preserve"> </w:t>
      </w:r>
      <w:r w:rsidRPr="00F03917">
        <w:t>dwellings if an alternative building site for future relocation is provided. Such sites must be</w:t>
      </w:r>
      <w:r w:rsidR="00703695" w:rsidRPr="00F03917">
        <w:t> </w:t>
      </w:r>
      <w:r w:rsidRPr="00F03917">
        <w:t>held available (within the same legal ownership title) for eventual building relocation. Relocation is triggered when the line of mean high water springs is at 20 m</w:t>
      </w:r>
      <w:r w:rsidR="00217E48" w:rsidRPr="00F03917">
        <w:t>etres</w:t>
      </w:r>
      <w:r w:rsidRPr="00F03917">
        <w:t xml:space="preserve"> from the closest point of the building.</w:t>
      </w:r>
    </w:p>
    <w:p w14:paraId="1F592A13" w14:textId="5BD690F6" w:rsidR="00BC2E1F" w:rsidRPr="00F03917" w:rsidRDefault="00BC2E1F" w:rsidP="00703695">
      <w:pPr>
        <w:pStyle w:val="BodyText"/>
      </w:pPr>
      <w:r w:rsidRPr="00F03917">
        <w:t>Given the 10-year plan review requirement</w:t>
      </w:r>
      <w:r w:rsidR="00B36F45" w:rsidRPr="00F03917">
        <w:t xml:space="preserve"> for district plans, regional plans and regional policy</w:t>
      </w:r>
      <w:r w:rsidR="00345AF2" w:rsidRPr="00F03917">
        <w:t> </w:t>
      </w:r>
      <w:r w:rsidR="00B36F45" w:rsidRPr="00F03917">
        <w:t>statements</w:t>
      </w:r>
      <w:r w:rsidRPr="00F03917">
        <w:t>, it is likely that</w:t>
      </w:r>
      <w:r w:rsidR="5B7991E9" w:rsidRPr="00F03917">
        <w:t>,</w:t>
      </w:r>
      <w:r w:rsidRPr="00F03917">
        <w:t xml:space="preserve"> if a transition to a new pathway involves policy adjustment</w:t>
      </w:r>
      <w:r w:rsidR="00D25988" w:rsidRPr="00F03917">
        <w:t>, plan changes,</w:t>
      </w:r>
      <w:r w:rsidRPr="00F03917">
        <w:t xml:space="preserve"> or new rules, it would be subject to formal evaluation through the normal RMA </w:t>
      </w:r>
      <w:r w:rsidRPr="00F03917">
        <w:lastRenderedPageBreak/>
        <w:t>plan review process or a plan change. However, if triggers are reached earlier, the</w:t>
      </w:r>
      <w:r w:rsidR="00703695" w:rsidRPr="00F03917">
        <w:t xml:space="preserve"> </w:t>
      </w:r>
      <w:r w:rsidR="00E87A29" w:rsidRPr="00F03917">
        <w:t xml:space="preserve">adaptive planning </w:t>
      </w:r>
      <w:r w:rsidR="00BF72E7" w:rsidRPr="00F03917">
        <w:t>strategy</w:t>
      </w:r>
      <w:r w:rsidRPr="00F03917">
        <w:t xml:space="preserve"> </w:t>
      </w:r>
      <w:r w:rsidR="7FF00D04" w:rsidRPr="00F03917">
        <w:t>c</w:t>
      </w:r>
      <w:r w:rsidRPr="00F03917">
        <w:t xml:space="preserve">ould indicate that possibility and </w:t>
      </w:r>
      <w:r w:rsidR="4DF6D0E3" w:rsidRPr="00F03917">
        <w:t xml:space="preserve">recommend </w:t>
      </w:r>
      <w:r w:rsidRPr="00F03917">
        <w:t xml:space="preserve">how the shift to another option or pathway </w:t>
      </w:r>
      <w:r w:rsidR="00E71174" w:rsidRPr="00F03917">
        <w:t xml:space="preserve">may occur </w:t>
      </w:r>
      <w:r w:rsidRPr="00F03917">
        <w:t>(eg, by</w:t>
      </w:r>
      <w:r w:rsidR="00CE7103" w:rsidRPr="00F03917">
        <w:t> </w:t>
      </w:r>
      <w:r w:rsidRPr="00F03917">
        <w:t>a plan change, activity land</w:t>
      </w:r>
      <w:r w:rsidR="7E079952" w:rsidRPr="00F03917">
        <w:t>-</w:t>
      </w:r>
      <w:r w:rsidRPr="00F03917">
        <w:t xml:space="preserve">use classes, or limited consents). In cases where the signal, trigger and threshold are surpassed, having an adaptive </w:t>
      </w:r>
      <w:r w:rsidR="00D03ED0" w:rsidRPr="00F03917">
        <w:t>planning</w:t>
      </w:r>
      <w:r w:rsidR="000E5826" w:rsidRPr="00F03917">
        <w:t xml:space="preserve"> strategy</w:t>
      </w:r>
      <w:r w:rsidRPr="00F03917">
        <w:t xml:space="preserve"> makes it easier to evaluate the objectives and move to the next pathway. Where an </w:t>
      </w:r>
      <w:r w:rsidR="00895A54" w:rsidRPr="00F03917">
        <w:t>adaptive planning strategy</w:t>
      </w:r>
      <w:r w:rsidRPr="00F03917">
        <w:t xml:space="preserve"> has not been prepared, taking a long-term view of</w:t>
      </w:r>
      <w:r w:rsidR="00345AF2" w:rsidRPr="00F03917">
        <w:t> </w:t>
      </w:r>
      <w:r w:rsidRPr="00F03917">
        <w:t>responses will be essential to avoid maladaptive actions</w:t>
      </w:r>
      <w:r w:rsidR="00CB5BBD" w:rsidRPr="00F03917">
        <w:t>, including intensification in coastal</w:t>
      </w:r>
      <w:r w:rsidR="00345AF2" w:rsidRPr="00F03917">
        <w:t> </w:t>
      </w:r>
      <w:r w:rsidR="00CB5BBD" w:rsidRPr="00F03917">
        <w:t>areas</w:t>
      </w:r>
      <w:r w:rsidRPr="00F03917">
        <w:t xml:space="preserve">. </w:t>
      </w:r>
    </w:p>
    <w:p w14:paraId="08B20CB4" w14:textId="3433B5C4" w:rsidR="00BC2E1F" w:rsidRPr="00F03917" w:rsidRDefault="00BC2E1F" w:rsidP="00CE7103">
      <w:pPr>
        <w:pStyle w:val="BodyText"/>
        <w:spacing w:before="100" w:after="100"/>
      </w:pPr>
      <w:r w:rsidRPr="00F03917">
        <w:t>Details of the adaptive planning strategy may be incorporated in a district or regional plan</w:t>
      </w:r>
      <w:r w:rsidR="00345AF2" w:rsidRPr="00F03917">
        <w:t> </w:t>
      </w:r>
      <w:r w:rsidRPr="00F03917">
        <w:t>through an appendix or schedule. It can provide context and guidance for planners and</w:t>
      </w:r>
      <w:r w:rsidR="00345AF2" w:rsidRPr="00F03917">
        <w:t> </w:t>
      </w:r>
      <w:r w:rsidRPr="00F03917">
        <w:t>decision-makers and be reviewed during normal plan reviews or when the triggers are</w:t>
      </w:r>
      <w:r w:rsidR="00345AF2" w:rsidRPr="00F03917">
        <w:t> </w:t>
      </w:r>
      <w:r w:rsidRPr="00F03917">
        <w:t>reached.</w:t>
      </w:r>
    </w:p>
    <w:p w14:paraId="482D2B64" w14:textId="552C54C7" w:rsidR="00BC2E1F" w:rsidRPr="00F03917" w:rsidRDefault="00BC2E1F" w:rsidP="00CE7103">
      <w:pPr>
        <w:pStyle w:val="BodyText"/>
        <w:spacing w:before="100" w:after="90"/>
      </w:pPr>
      <w:r w:rsidRPr="00F03917">
        <w:t xml:space="preserve">The </w:t>
      </w:r>
      <w:r w:rsidRPr="00F03917">
        <w:rPr>
          <w:b/>
          <w:bCs/>
        </w:rPr>
        <w:t>types of planning</w:t>
      </w:r>
      <w:r w:rsidRPr="00F03917">
        <w:t xml:space="preserve"> that can be used to manage coastal hazard</w:t>
      </w:r>
      <w:r w:rsidR="00DE6920" w:rsidRPr="00F03917">
        <w:t>s</w:t>
      </w:r>
      <w:r w:rsidRPr="00F03917">
        <w:t xml:space="preserve"> </w:t>
      </w:r>
      <w:r w:rsidR="00ED3ECE" w:rsidRPr="00F03917">
        <w:t>and</w:t>
      </w:r>
      <w:r w:rsidRPr="00F03917">
        <w:t xml:space="preserve"> risk include:</w:t>
      </w:r>
    </w:p>
    <w:p w14:paraId="07E66968" w14:textId="77777777" w:rsidR="00BC2E1F" w:rsidRPr="00F03917" w:rsidRDefault="19CDADC1" w:rsidP="00595560">
      <w:pPr>
        <w:pStyle w:val="BulletFIX"/>
        <w:rPr>
          <w:rFonts w:eastAsiaTheme="minorEastAsia"/>
        </w:rPr>
      </w:pPr>
      <w:r w:rsidRPr="00F03917">
        <w:rPr>
          <w:rFonts w:eastAsiaTheme="minorEastAsia"/>
        </w:rPr>
        <w:t>spatial planning and growth planning</w:t>
      </w:r>
    </w:p>
    <w:p w14:paraId="2D667899" w14:textId="7521D57B" w:rsidR="00BC2E1F" w:rsidRPr="00F03917" w:rsidRDefault="00BC2E1F" w:rsidP="00595560">
      <w:pPr>
        <w:pStyle w:val="BulletFIX"/>
        <w:rPr>
          <w:rFonts w:eastAsiaTheme="minorEastAsia"/>
        </w:rPr>
      </w:pPr>
      <w:r w:rsidRPr="00F03917">
        <w:rPr>
          <w:rFonts w:eastAsiaTheme="minorEastAsia"/>
        </w:rPr>
        <w:t>regional strategies (eg, natural hazard strategies</w:t>
      </w:r>
      <w:r w:rsidR="22DA21D8" w:rsidRPr="00F03917">
        <w:rPr>
          <w:rFonts w:eastAsiaTheme="minorEastAsia"/>
        </w:rPr>
        <w:t>,</w:t>
      </w:r>
      <w:r w:rsidRPr="00F03917">
        <w:rPr>
          <w:rFonts w:eastAsiaTheme="minorEastAsia"/>
        </w:rPr>
        <w:t xml:space="preserve"> regional policy statements</w:t>
      </w:r>
      <w:r w:rsidR="6A4E527B" w:rsidRPr="00F03917">
        <w:rPr>
          <w:rFonts w:eastAsiaTheme="minorEastAsia"/>
        </w:rPr>
        <w:t>,</w:t>
      </w:r>
      <w:r w:rsidRPr="00F03917">
        <w:rPr>
          <w:rFonts w:eastAsiaTheme="minorEastAsia"/>
        </w:rPr>
        <w:t xml:space="preserve"> coastal or natural hazard polic</w:t>
      </w:r>
      <w:r w:rsidR="5CF51705" w:rsidRPr="00F03917">
        <w:rPr>
          <w:rFonts w:eastAsiaTheme="minorEastAsia"/>
        </w:rPr>
        <w:t>ies</w:t>
      </w:r>
      <w:r w:rsidRPr="00F03917">
        <w:rPr>
          <w:rFonts w:eastAsiaTheme="minorEastAsia"/>
        </w:rPr>
        <w:t>)</w:t>
      </w:r>
    </w:p>
    <w:p w14:paraId="4F2D59CD" w14:textId="78E78113" w:rsidR="00BC2E1F" w:rsidRPr="00F03917" w:rsidRDefault="19CDADC1" w:rsidP="00595560">
      <w:pPr>
        <w:pStyle w:val="BulletFIX"/>
        <w:rPr>
          <w:rFonts w:eastAsiaTheme="minorEastAsia"/>
        </w:rPr>
      </w:pPr>
      <w:r w:rsidRPr="00F03917">
        <w:rPr>
          <w:rFonts w:eastAsiaTheme="minorEastAsia"/>
        </w:rPr>
        <w:t xml:space="preserve">regional plans </w:t>
      </w:r>
      <w:r w:rsidR="5A0A4EAF" w:rsidRPr="00F03917">
        <w:rPr>
          <w:rFonts w:eastAsiaTheme="minorEastAsia"/>
        </w:rPr>
        <w:t>(</w:t>
      </w:r>
      <w:r w:rsidRPr="00F03917">
        <w:rPr>
          <w:rFonts w:eastAsiaTheme="minorEastAsia"/>
        </w:rPr>
        <w:t>regional coastal environmental plan or the coastal or natural hazards section of a regional plan</w:t>
      </w:r>
      <w:r w:rsidR="399CC466" w:rsidRPr="00F03917">
        <w:rPr>
          <w:rFonts w:eastAsiaTheme="minorEastAsia"/>
        </w:rPr>
        <w:t>)</w:t>
      </w:r>
    </w:p>
    <w:p w14:paraId="19DAED9C" w14:textId="77777777" w:rsidR="00BC2E1F" w:rsidRPr="00F03917" w:rsidRDefault="19CDADC1" w:rsidP="00595560">
      <w:pPr>
        <w:pStyle w:val="BulletFIX"/>
        <w:rPr>
          <w:rFonts w:eastAsiaTheme="minorEastAsia"/>
        </w:rPr>
      </w:pPr>
      <w:r w:rsidRPr="00F03917">
        <w:rPr>
          <w:rFonts w:eastAsiaTheme="minorEastAsia"/>
        </w:rPr>
        <w:t>district plans</w:t>
      </w:r>
    </w:p>
    <w:p w14:paraId="7EDA2EDE" w14:textId="77777777" w:rsidR="00BC2E1F" w:rsidRPr="00F03917" w:rsidRDefault="19CDADC1" w:rsidP="00595560">
      <w:pPr>
        <w:pStyle w:val="BulletFIX"/>
        <w:rPr>
          <w:rFonts w:eastAsiaTheme="minorEastAsia"/>
        </w:rPr>
      </w:pPr>
      <w:r w:rsidRPr="00F03917">
        <w:rPr>
          <w:rFonts w:eastAsiaTheme="minorEastAsia"/>
        </w:rPr>
        <w:t>precinct, area or structure plans</w:t>
      </w:r>
    </w:p>
    <w:p w14:paraId="1344F981" w14:textId="77777777" w:rsidR="00BC2E1F" w:rsidRPr="00F03917" w:rsidRDefault="19CDADC1" w:rsidP="00595560">
      <w:pPr>
        <w:pStyle w:val="BulletFIX"/>
        <w:rPr>
          <w:rFonts w:eastAsiaTheme="minorEastAsia"/>
        </w:rPr>
      </w:pPr>
      <w:r w:rsidRPr="00F03917">
        <w:rPr>
          <w:rFonts w:eastAsiaTheme="minorEastAsia"/>
        </w:rPr>
        <w:t>special purpose area plans</w:t>
      </w:r>
    </w:p>
    <w:p w14:paraId="757E24A6" w14:textId="01325798" w:rsidR="00854800" w:rsidRPr="00F03917" w:rsidRDefault="00854800" w:rsidP="00595560">
      <w:pPr>
        <w:pStyle w:val="BulletFIX"/>
        <w:rPr>
          <w:rFonts w:eastAsiaTheme="minorEastAsia"/>
        </w:rPr>
      </w:pPr>
      <w:r w:rsidRPr="00F03917">
        <w:rPr>
          <w:rFonts w:eastAsiaTheme="minorEastAsia"/>
        </w:rPr>
        <w:t>future development strategy (N</w:t>
      </w:r>
      <w:r w:rsidR="74739D3A" w:rsidRPr="00F03917">
        <w:rPr>
          <w:rFonts w:eastAsiaTheme="minorEastAsia"/>
        </w:rPr>
        <w:t xml:space="preserve">ational </w:t>
      </w:r>
      <w:r w:rsidRPr="00F03917">
        <w:rPr>
          <w:rFonts w:eastAsiaTheme="minorEastAsia"/>
        </w:rPr>
        <w:t>P</w:t>
      </w:r>
      <w:r w:rsidR="75994782" w:rsidRPr="00F03917">
        <w:rPr>
          <w:rFonts w:eastAsiaTheme="minorEastAsia"/>
        </w:rPr>
        <w:t xml:space="preserve">olicy </w:t>
      </w:r>
      <w:r w:rsidRPr="00F03917">
        <w:rPr>
          <w:rFonts w:eastAsiaTheme="minorEastAsia"/>
        </w:rPr>
        <w:t>S</w:t>
      </w:r>
      <w:r w:rsidR="03B4FE25" w:rsidRPr="00F03917">
        <w:rPr>
          <w:rFonts w:eastAsiaTheme="minorEastAsia"/>
        </w:rPr>
        <w:t>tatement on</w:t>
      </w:r>
      <w:r w:rsidR="19550435" w:rsidRPr="00F03917">
        <w:rPr>
          <w:rFonts w:eastAsiaTheme="minorEastAsia"/>
        </w:rPr>
        <w:t xml:space="preserve"> </w:t>
      </w:r>
      <w:r w:rsidRPr="00F03917">
        <w:rPr>
          <w:rFonts w:eastAsiaTheme="minorEastAsia"/>
        </w:rPr>
        <w:t>U</w:t>
      </w:r>
      <w:r w:rsidR="76B52325" w:rsidRPr="00F03917">
        <w:rPr>
          <w:rFonts w:eastAsiaTheme="minorEastAsia"/>
        </w:rPr>
        <w:t xml:space="preserve">rban </w:t>
      </w:r>
      <w:r w:rsidRPr="00F03917">
        <w:rPr>
          <w:rFonts w:eastAsiaTheme="minorEastAsia"/>
        </w:rPr>
        <w:t>D</w:t>
      </w:r>
      <w:r w:rsidR="1EED162F" w:rsidRPr="00F03917">
        <w:rPr>
          <w:rFonts w:eastAsiaTheme="minorEastAsia"/>
        </w:rPr>
        <w:t>evelopment</w:t>
      </w:r>
      <w:r w:rsidRPr="00F03917">
        <w:rPr>
          <w:rFonts w:eastAsiaTheme="minorEastAsia"/>
        </w:rPr>
        <w:t>)</w:t>
      </w:r>
    </w:p>
    <w:p w14:paraId="58249145" w14:textId="77777777" w:rsidR="00BC2E1F" w:rsidRPr="00F03917" w:rsidRDefault="19CDADC1" w:rsidP="00595560">
      <w:pPr>
        <w:pStyle w:val="BulletFIX"/>
        <w:rPr>
          <w:rFonts w:eastAsiaTheme="minorEastAsia"/>
        </w:rPr>
      </w:pPr>
      <w:r w:rsidRPr="00F03917">
        <w:rPr>
          <w:rFonts w:eastAsiaTheme="minorEastAsia"/>
        </w:rPr>
        <w:t>asset management planning</w:t>
      </w:r>
    </w:p>
    <w:p w14:paraId="0DE5E1E1" w14:textId="301A3A0B" w:rsidR="00BC2E1F" w:rsidRPr="00F03917" w:rsidRDefault="7D415183" w:rsidP="00595560">
      <w:pPr>
        <w:pStyle w:val="BulletFIX"/>
        <w:rPr>
          <w:rFonts w:eastAsiaTheme="minorEastAsia"/>
        </w:rPr>
      </w:pPr>
      <w:r w:rsidRPr="00F03917">
        <w:rPr>
          <w:rFonts w:eastAsiaTheme="minorEastAsia"/>
        </w:rPr>
        <w:t>‘</w:t>
      </w:r>
      <w:r w:rsidR="19CDADC1" w:rsidRPr="00F03917">
        <w:rPr>
          <w:rFonts w:eastAsiaTheme="minorEastAsia"/>
        </w:rPr>
        <w:t>community futures’ or ‘community vision’ planning</w:t>
      </w:r>
    </w:p>
    <w:p w14:paraId="47173819" w14:textId="77777777" w:rsidR="00BC2E1F" w:rsidRPr="00F03917" w:rsidRDefault="19CDADC1" w:rsidP="00595560">
      <w:pPr>
        <w:pStyle w:val="BulletFIX"/>
        <w:rPr>
          <w:rFonts w:eastAsiaTheme="minorEastAsia"/>
        </w:rPr>
      </w:pPr>
      <w:r w:rsidRPr="00F03917">
        <w:rPr>
          <w:rFonts w:eastAsiaTheme="minorEastAsia"/>
        </w:rPr>
        <w:t>collaborative planning</w:t>
      </w:r>
    </w:p>
    <w:p w14:paraId="60CFFC3C" w14:textId="77777777" w:rsidR="00BC2E1F" w:rsidRPr="00F03917" w:rsidRDefault="19CDADC1" w:rsidP="00595560">
      <w:pPr>
        <w:pStyle w:val="BulletFIX"/>
        <w:rPr>
          <w:rFonts w:eastAsiaTheme="minorEastAsia"/>
        </w:rPr>
      </w:pPr>
      <w:r w:rsidRPr="00F03917">
        <w:rPr>
          <w:rFonts w:eastAsiaTheme="minorEastAsia"/>
        </w:rPr>
        <w:t>reserves management planning.</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902031" w:rsidRPr="00F03917" w14:paraId="47DCEAD8" w14:textId="77777777" w:rsidTr="0036266A">
        <w:tc>
          <w:tcPr>
            <w:tcW w:w="8505" w:type="dxa"/>
            <w:shd w:val="clear" w:color="auto" w:fill="D5EBE8" w:themeFill="accent3"/>
          </w:tcPr>
          <w:p w14:paraId="0C031FB8" w14:textId="27C0762B" w:rsidR="00902031" w:rsidRPr="00F03917" w:rsidRDefault="00902031" w:rsidP="00345AF2">
            <w:pPr>
              <w:pStyle w:val="Boxheading"/>
              <w:keepNext w:val="0"/>
            </w:pPr>
            <w:r w:rsidRPr="00F03917">
              <w:t xml:space="preserve">Guiding practice: A regional approach to </w:t>
            </w:r>
            <w:r w:rsidR="009C2F3B" w:rsidRPr="00F03917">
              <w:t xml:space="preserve">dynamic </w:t>
            </w:r>
            <w:r w:rsidRPr="00F03917">
              <w:t xml:space="preserve">adaptive </w:t>
            </w:r>
            <w:r w:rsidR="009C2F3B" w:rsidRPr="00F03917">
              <w:t xml:space="preserve">pathways </w:t>
            </w:r>
            <w:r w:rsidRPr="00F03917">
              <w:t>planning for</w:t>
            </w:r>
            <w:r w:rsidR="00661585" w:rsidRPr="00F03917">
              <w:t> </w:t>
            </w:r>
            <w:r w:rsidRPr="00F03917">
              <w:t>coastal hazards</w:t>
            </w:r>
          </w:p>
          <w:p w14:paraId="6EE480ED" w14:textId="17AFE252" w:rsidR="00902031" w:rsidRPr="00F03917" w:rsidRDefault="00902031" w:rsidP="0072465F">
            <w:pPr>
              <w:pStyle w:val="Boxtext"/>
              <w:spacing w:after="60"/>
            </w:pPr>
            <w:r w:rsidRPr="00F03917">
              <w:t>The regional strategic approach to coastal hazard</w:t>
            </w:r>
            <w:r w:rsidR="00854800" w:rsidRPr="00F03917">
              <w:t>s</w:t>
            </w:r>
            <w:r w:rsidRPr="00F03917">
              <w:t xml:space="preserve"> </w:t>
            </w:r>
            <w:r w:rsidR="0027055D" w:rsidRPr="00F03917">
              <w:t xml:space="preserve">and </w:t>
            </w:r>
            <w:r w:rsidRPr="00F03917">
              <w:t xml:space="preserve">risk management is to reduce risk by </w:t>
            </w:r>
            <w:r w:rsidR="006E1597" w:rsidRPr="00F03917">
              <w:t xml:space="preserve">protecting </w:t>
            </w:r>
            <w:r w:rsidRPr="00F03917">
              <w:t>inappropriate development (DOC, 2010</w:t>
            </w:r>
            <w:r w:rsidR="2A3F427E" w:rsidRPr="00F03917">
              <w:t>,</w:t>
            </w:r>
            <w:r w:rsidRPr="00F03917">
              <w:t xml:space="preserve"> 2017). This includes a structured approach that avoids increasing the risk of social, environmental and economic harm over at least the next 100 years. </w:t>
            </w:r>
          </w:p>
          <w:p w14:paraId="4F32EEF2" w14:textId="71E90A65" w:rsidR="00902031" w:rsidRPr="00F03917" w:rsidRDefault="00902031" w:rsidP="0072465F">
            <w:pPr>
              <w:pStyle w:val="Boxtext"/>
              <w:spacing w:after="60"/>
            </w:pPr>
            <w:r w:rsidRPr="00F03917">
              <w:t xml:space="preserve">The </w:t>
            </w:r>
            <w:r w:rsidR="2BA4D97F" w:rsidRPr="00F03917">
              <w:t>regional policy statement (</w:t>
            </w:r>
            <w:r w:rsidRPr="00F03917">
              <w:t>RPS</w:t>
            </w:r>
            <w:r w:rsidR="5CCF3B1F" w:rsidRPr="00F03917">
              <w:t>)</w:t>
            </w:r>
            <w:r w:rsidRPr="00F03917">
              <w:t xml:space="preserve"> is the appropriate level to set out the objectives, policies and methods to apply at the </w:t>
            </w:r>
            <w:r w:rsidR="003547CF" w:rsidRPr="00F03917">
              <w:t xml:space="preserve">regional </w:t>
            </w:r>
            <w:r w:rsidRPr="00F03917">
              <w:t>level</w:t>
            </w:r>
            <w:r w:rsidR="000D354D" w:rsidRPr="00F03917">
              <w:t>,</w:t>
            </w:r>
            <w:r w:rsidRPr="00F03917">
              <w:t xml:space="preserve"> </w:t>
            </w:r>
            <w:r w:rsidR="000D354D" w:rsidRPr="00F03917">
              <w:t>i</w:t>
            </w:r>
            <w:r w:rsidRPr="00F03917">
              <w:t>dentify areas where new greenfield urban development should not be allowed and implement policy to prevent development in such</w:t>
            </w:r>
            <w:r w:rsidR="00661585" w:rsidRPr="00F03917">
              <w:t> </w:t>
            </w:r>
            <w:r w:rsidRPr="00F03917">
              <w:t>areas.</w:t>
            </w:r>
          </w:p>
          <w:p w14:paraId="700594A6" w14:textId="009BB486" w:rsidR="00902031" w:rsidRPr="00F03917" w:rsidRDefault="00902031" w:rsidP="0072465F">
            <w:pPr>
              <w:pStyle w:val="Boxtext"/>
              <w:spacing w:after="60"/>
            </w:pPr>
            <w:r w:rsidRPr="00F03917">
              <w:t>A combined strategic approach among territorial authorities may be needed to achieve RPS</w:t>
            </w:r>
            <w:r w:rsidR="0056079F" w:rsidRPr="00F03917">
              <w:t> </w:t>
            </w:r>
            <w:r w:rsidRPr="00F03917">
              <w:t>objectives.</w:t>
            </w:r>
          </w:p>
          <w:p w14:paraId="4286C914" w14:textId="07EEF202" w:rsidR="00902031" w:rsidRPr="00F03917" w:rsidRDefault="001C6501" w:rsidP="00902031">
            <w:pPr>
              <w:pStyle w:val="Boxtext"/>
              <w:spacing w:after="240"/>
            </w:pPr>
            <w:r w:rsidRPr="00F03917">
              <w:t>Unless the RPS specifies otherwise</w:t>
            </w:r>
            <w:r w:rsidR="00E978B3" w:rsidRPr="00F03917">
              <w:t>,</w:t>
            </w:r>
            <w:r w:rsidRPr="00F03917">
              <w:t xml:space="preserve"> t</w:t>
            </w:r>
            <w:r w:rsidR="00902031" w:rsidRPr="00F03917">
              <w:t xml:space="preserve">he default provision for control of the use of land to avoid </w:t>
            </w:r>
            <w:r w:rsidR="00F73375" w:rsidRPr="00F03917">
              <w:t xml:space="preserve">or mitigate </w:t>
            </w:r>
            <w:r w:rsidR="00902031" w:rsidRPr="00F03917">
              <w:t>natural hazards</w:t>
            </w:r>
            <w:r w:rsidR="00902031" w:rsidRPr="00F03917" w:rsidDel="001C6501">
              <w:t xml:space="preserve"> </w:t>
            </w:r>
            <w:r w:rsidR="00902031" w:rsidRPr="00F03917">
              <w:t xml:space="preserve">lies with regional councils under the </w:t>
            </w:r>
            <w:r w:rsidR="0FBA62A0" w:rsidRPr="00F03917">
              <w:t>R</w:t>
            </w:r>
            <w:r w:rsidR="42E076FA" w:rsidRPr="00F03917">
              <w:t xml:space="preserve">esource </w:t>
            </w:r>
            <w:r w:rsidR="0FBA62A0" w:rsidRPr="00F03917">
              <w:t>M</w:t>
            </w:r>
            <w:r w:rsidR="7813E1AA" w:rsidRPr="00F03917">
              <w:t xml:space="preserve">anagement </w:t>
            </w:r>
            <w:r w:rsidR="0FBA62A0" w:rsidRPr="00F03917">
              <w:t>A</w:t>
            </w:r>
            <w:r w:rsidR="669907D2" w:rsidRPr="00F03917">
              <w:t>ct 1991,</w:t>
            </w:r>
            <w:r w:rsidR="00902031" w:rsidRPr="00F03917">
              <w:t xml:space="preserve"> section 62(2).</w:t>
            </w:r>
          </w:p>
        </w:tc>
      </w:tr>
    </w:tbl>
    <w:p w14:paraId="1ED4FE77" w14:textId="77777777" w:rsidR="003050FE" w:rsidRPr="00F03917" w:rsidRDefault="003050FE" w:rsidP="00FA1C4A">
      <w:pPr>
        <w:pStyle w:val="Heading3"/>
        <w:numPr>
          <w:ilvl w:val="0"/>
          <w:numId w:val="33"/>
        </w:numPr>
        <w:spacing w:before="480"/>
      </w:pPr>
      <w:r w:rsidRPr="00F03917">
        <w:lastRenderedPageBreak/>
        <w:t>Choosing planning methods and techniques</w:t>
      </w:r>
    </w:p>
    <w:p w14:paraId="4B23FFC5" w14:textId="72D465A0" w:rsidR="00BC2E1F" w:rsidRPr="00F03917" w:rsidRDefault="00000000" w:rsidP="007277DC">
      <w:pPr>
        <w:pStyle w:val="BodyText"/>
      </w:pPr>
      <w:hyperlink w:anchor="_Supplements" w:history="1">
        <w:r w:rsidR="005E37D0" w:rsidRPr="00F03917">
          <w:rPr>
            <w:rStyle w:val="Hyperlink"/>
            <w:i/>
          </w:rPr>
          <w:t>Community engagement principles and approaches, and practice methods: Coastal hazards and climate change guidance – Supplement B</w:t>
        </w:r>
      </w:hyperlink>
      <w:r w:rsidR="003050FE" w:rsidRPr="00F03917">
        <w:t xml:space="preserve"> (</w:t>
      </w:r>
      <w:r w:rsidR="004D4E22" w:rsidRPr="00F03917">
        <w:t xml:space="preserve">also see </w:t>
      </w:r>
      <w:r w:rsidR="003050FE" w:rsidRPr="00F03917">
        <w:t>table 25 and table 26 of the 2017</w:t>
      </w:r>
      <w:r w:rsidR="00BB2B04" w:rsidRPr="00F03917">
        <w:t xml:space="preserve"> </w:t>
      </w:r>
      <w:r w:rsidR="00BB2B04" w:rsidRPr="00F03917">
        <w:rPr>
          <w:i/>
        </w:rPr>
        <w:t xml:space="preserve">Coastal </w:t>
      </w:r>
      <w:r w:rsidR="00BB2B04" w:rsidRPr="00F03917">
        <w:rPr>
          <w:i/>
          <w:iCs/>
        </w:rPr>
        <w:t>hazards</w:t>
      </w:r>
      <w:r w:rsidR="00BB2B04" w:rsidRPr="00F03917">
        <w:rPr>
          <w:i/>
        </w:rPr>
        <w:t xml:space="preserve"> and </w:t>
      </w:r>
      <w:r w:rsidR="00BB2B04" w:rsidRPr="00F03917">
        <w:rPr>
          <w:i/>
          <w:iCs/>
        </w:rPr>
        <w:t>climate change: Guidance for local government</w:t>
      </w:r>
      <w:r w:rsidR="003050FE" w:rsidRPr="00F03917">
        <w:t xml:space="preserve">, MfE, 2017) sets out the planning methods and techniques that can be used in the lead up to and in statutory planning. These methods are all directed at managing development through enforceable processes or through education, monitoring and active management of coastal risk. </w:t>
      </w:r>
      <w:r w:rsidR="00E03CD4" w:rsidRPr="00F03917">
        <w:t xml:space="preserve">Both appendix A </w:t>
      </w:r>
      <w:r w:rsidR="00A1089A" w:rsidRPr="00F03917">
        <w:t>case studies</w:t>
      </w:r>
      <w:r w:rsidR="00E03CD4" w:rsidRPr="00F03917">
        <w:t xml:space="preserve"> and </w:t>
      </w:r>
      <w:hyperlink w:anchor="_Appendix_B:_Relevant" w:history="1">
        <w:r w:rsidR="00E03CD4" w:rsidRPr="00F03917">
          <w:rPr>
            <w:rStyle w:val="Hyperlink"/>
          </w:rPr>
          <w:t>appendix B</w:t>
        </w:r>
      </w:hyperlink>
      <w:r w:rsidR="00E03CD4" w:rsidRPr="00F03917">
        <w:rPr>
          <w:rStyle w:val="Hyperlink"/>
        </w:rPr>
        <w:t xml:space="preserve"> </w:t>
      </w:r>
      <w:r w:rsidR="003408D0" w:rsidRPr="00F03917">
        <w:rPr>
          <w:rStyle w:val="Hyperlink"/>
        </w:rPr>
        <w:t>c</w:t>
      </w:r>
      <w:r w:rsidR="00E03CD4" w:rsidRPr="00F03917">
        <w:rPr>
          <w:rStyle w:val="Hyperlink"/>
        </w:rPr>
        <w:t xml:space="preserve">ase </w:t>
      </w:r>
      <w:r w:rsidR="003408D0" w:rsidRPr="00F03917">
        <w:rPr>
          <w:rStyle w:val="Hyperlink"/>
        </w:rPr>
        <w:t>l</w:t>
      </w:r>
      <w:r w:rsidR="00E03CD4" w:rsidRPr="00F03917">
        <w:rPr>
          <w:rStyle w:val="Hyperlink"/>
        </w:rPr>
        <w:t xml:space="preserve">aw </w:t>
      </w:r>
      <w:r w:rsidR="00E03CD4" w:rsidRPr="00F03917">
        <w:t>provide</w:t>
      </w:r>
      <w:r w:rsidR="00E03CD4" w:rsidRPr="00F03917" w:rsidDel="00E03CD4">
        <w:t xml:space="preserve"> </w:t>
      </w:r>
      <w:r w:rsidR="003050FE" w:rsidRPr="00F03917">
        <w:t xml:space="preserve">further examples on </w:t>
      </w:r>
      <w:r w:rsidR="00AB141A" w:rsidRPr="00F03917">
        <w:t xml:space="preserve">how different planning </w:t>
      </w:r>
      <w:r w:rsidR="003050FE" w:rsidRPr="00F03917">
        <w:t xml:space="preserve">methods and techniques </w:t>
      </w:r>
      <w:r w:rsidR="00B24940" w:rsidRPr="00F03917">
        <w:t>can be used.</w:t>
      </w:r>
      <w:r w:rsidR="003050FE" w:rsidRPr="00F03917">
        <w:t xml:space="preserve"> These will depend on the situation, the scale of the area and its current development, the objectives and policies, and the community’s input. </w:t>
      </w:r>
    </w:p>
    <w:p w14:paraId="749459DC" w14:textId="197807EF" w:rsidR="00443ECE" w:rsidRPr="00F03917" w:rsidRDefault="00443ECE" w:rsidP="0072465F">
      <w:pPr>
        <w:pStyle w:val="BodyText"/>
        <w:spacing w:after="240"/>
      </w:pPr>
      <w:r w:rsidRPr="00F03917">
        <w:t xml:space="preserve">The NZCPS </w:t>
      </w:r>
      <w:r w:rsidR="00330260" w:rsidRPr="00F03917">
        <w:t>states objectives and policies to achieve the purpose of the RMA in relation to New</w:t>
      </w:r>
      <w:r w:rsidR="00661585" w:rsidRPr="00F03917">
        <w:t> </w:t>
      </w:r>
      <w:r w:rsidR="00330260" w:rsidRPr="00F03917">
        <w:t xml:space="preserve">Zealand’s coastal environment (s56 of the RMA). </w:t>
      </w:r>
      <w:r w:rsidR="00264045" w:rsidRPr="00F03917">
        <w:t>A purpose</w:t>
      </w:r>
      <w:r w:rsidR="006E4D4C" w:rsidRPr="00F03917">
        <w:t xml:space="preserve"> of the RMA </w:t>
      </w:r>
      <w:r w:rsidR="00264045" w:rsidRPr="00F03917">
        <w:t xml:space="preserve">is </w:t>
      </w:r>
      <w:r w:rsidR="006E4D4C" w:rsidRPr="00F03917">
        <w:t>to promote sustainable management by avoiding, remedying or mitigating adverse effects of activities on the environment</w:t>
      </w:r>
      <w:r w:rsidR="00264045" w:rsidRPr="00F03917">
        <w:t xml:space="preserve"> (s5(2)(c))</w:t>
      </w:r>
      <w:r w:rsidR="006E4D4C" w:rsidRPr="00F03917">
        <w:t xml:space="preserve">. </w:t>
      </w:r>
      <w:r w:rsidRPr="00F03917">
        <w:t>Figure</w:t>
      </w:r>
      <w:r w:rsidRPr="00F03917" w:rsidDel="00A22ED1">
        <w:t xml:space="preserve"> </w:t>
      </w:r>
      <w:r w:rsidR="00A22ED1" w:rsidRPr="00F03917">
        <w:t>24</w:t>
      </w:r>
      <w:r w:rsidRPr="00F03917" w:rsidDel="00750DB8">
        <w:t xml:space="preserve"> </w:t>
      </w:r>
      <w:r w:rsidR="00750DB8" w:rsidRPr="00F03917">
        <w:t xml:space="preserve">shows </w:t>
      </w:r>
      <w:r w:rsidRPr="00F03917">
        <w:t xml:space="preserve">how the NZCPS provides the decision context for coastal areas exposed to coastal hazards and climate change in </w:t>
      </w:r>
      <w:r w:rsidR="005F72D3" w:rsidRPr="00F03917">
        <w:t>relation to</w:t>
      </w:r>
      <w:r w:rsidRPr="00F03917">
        <w:t xml:space="preserve"> the type of development being considered under the RMA.</w:t>
      </w:r>
    </w:p>
    <w:p w14:paraId="298E3794" w14:textId="02D7F1C6" w:rsidR="00C13966" w:rsidRPr="00F03917" w:rsidRDefault="00B77921" w:rsidP="00C52920">
      <w:pPr>
        <w:pStyle w:val="Figureheading"/>
        <w:rPr>
          <w:shd w:val="clear" w:color="auto" w:fill="FFFFFF"/>
        </w:rPr>
      </w:pPr>
      <w:bookmarkStart w:id="210" w:name="_Toc160098439"/>
      <w:r w:rsidRPr="00F03917">
        <w:rPr>
          <w:shd w:val="clear" w:color="auto" w:fill="FFFFFF"/>
        </w:rPr>
        <w:t xml:space="preserve">Figure </w:t>
      </w:r>
      <w:r w:rsidR="0014399C" w:rsidRPr="00F03917">
        <w:rPr>
          <w:shd w:val="clear" w:color="auto" w:fill="FFFFFF"/>
        </w:rPr>
        <w:t>2</w:t>
      </w:r>
      <w:r w:rsidR="001F6526" w:rsidRPr="00F03917">
        <w:rPr>
          <w:shd w:val="clear" w:color="auto" w:fill="FFFFFF"/>
        </w:rPr>
        <w:t>4</w:t>
      </w:r>
      <w:r w:rsidRPr="00F03917">
        <w:rPr>
          <w:shd w:val="clear" w:color="auto" w:fill="FFFFFF"/>
        </w:rPr>
        <w:t xml:space="preserve">: </w:t>
      </w:r>
      <w:r w:rsidR="00C7236C" w:rsidRPr="00F03917">
        <w:rPr>
          <w:shd w:val="clear" w:color="auto" w:fill="FFFFFF"/>
        </w:rPr>
        <w:tab/>
      </w:r>
      <w:r w:rsidRPr="00F03917">
        <w:rPr>
          <w:shd w:val="clear" w:color="auto" w:fill="FFFFFF"/>
        </w:rPr>
        <w:t>Broad New Zealand Coastal Policy Statement 2010 decision context for coastal areas exposed to coastal hazards and climate change</w:t>
      </w:r>
      <w:bookmarkEnd w:id="210"/>
    </w:p>
    <w:p w14:paraId="11EB6109" w14:textId="6BD488A7" w:rsidR="005065E9" w:rsidRPr="00F03917" w:rsidRDefault="00C13966" w:rsidP="00661585">
      <w:pPr>
        <w:pStyle w:val="BodyText"/>
      </w:pPr>
      <w:r w:rsidRPr="00F03917">
        <w:rPr>
          <w:noProof/>
          <w:shd w:val="clear" w:color="auto" w:fill="FFFFFF"/>
        </w:rPr>
        <w:drawing>
          <wp:inline distT="0" distB="0" distL="0" distR="0" wp14:anchorId="1DA862E1" wp14:editId="71FB5131">
            <wp:extent cx="5420563" cy="2077341"/>
            <wp:effectExtent l="0" t="0" r="8890" b="0"/>
            <wp:docPr id="172254470" name="Picture 172254470" descr="A diagram of a risk management proc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4470" name="Picture 2" descr="A diagram of a risk management process&#10;&#10;Description automatically generated with medium confidence"/>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47075" cy="2087501"/>
                    </a:xfrm>
                    <a:prstGeom prst="rect">
                      <a:avLst/>
                    </a:prstGeom>
                    <a:noFill/>
                    <a:ln>
                      <a:noFill/>
                    </a:ln>
                  </pic:spPr>
                </pic:pic>
              </a:graphicData>
            </a:graphic>
          </wp:inline>
        </w:drawing>
      </w:r>
    </w:p>
    <w:p w14:paraId="631C49F2" w14:textId="6232E2FA" w:rsidR="00FF3D84" w:rsidRPr="00F03917" w:rsidRDefault="00FF3D84" w:rsidP="00661585">
      <w:pPr>
        <w:pStyle w:val="Source"/>
        <w:spacing w:after="0"/>
        <w:rPr>
          <w:szCs w:val="18"/>
        </w:rPr>
      </w:pPr>
      <w:r w:rsidRPr="00F03917">
        <w:t xml:space="preserve">Note: </w:t>
      </w:r>
      <w:r w:rsidR="0025430D" w:rsidRPr="00F03917">
        <w:t>T</w:t>
      </w:r>
      <w:r w:rsidRPr="00F03917">
        <w:t>he terminology ref</w:t>
      </w:r>
      <w:r w:rsidRPr="00F03917">
        <w:rPr>
          <w:szCs w:val="18"/>
        </w:rPr>
        <w:t xml:space="preserve">ers to section 5(2)(c) </w:t>
      </w:r>
      <w:r w:rsidR="00426EA3" w:rsidRPr="00F03917">
        <w:rPr>
          <w:szCs w:val="18"/>
        </w:rPr>
        <w:t>of the R</w:t>
      </w:r>
      <w:r w:rsidR="0025430D" w:rsidRPr="00F03917">
        <w:rPr>
          <w:szCs w:val="18"/>
        </w:rPr>
        <w:t xml:space="preserve">esource </w:t>
      </w:r>
      <w:r w:rsidR="00426EA3" w:rsidRPr="00F03917">
        <w:rPr>
          <w:szCs w:val="18"/>
        </w:rPr>
        <w:t>M</w:t>
      </w:r>
      <w:r w:rsidR="0025430D" w:rsidRPr="00F03917">
        <w:rPr>
          <w:szCs w:val="18"/>
        </w:rPr>
        <w:t xml:space="preserve">anagement </w:t>
      </w:r>
      <w:r w:rsidR="00426EA3" w:rsidRPr="00F03917">
        <w:rPr>
          <w:szCs w:val="18"/>
        </w:rPr>
        <w:t>A</w:t>
      </w:r>
      <w:r w:rsidR="0025430D" w:rsidRPr="00F03917">
        <w:rPr>
          <w:szCs w:val="18"/>
        </w:rPr>
        <w:t>ct 1991</w:t>
      </w:r>
      <w:r w:rsidR="002D1E25" w:rsidRPr="00F03917">
        <w:rPr>
          <w:szCs w:val="18"/>
        </w:rPr>
        <w:t xml:space="preserve"> to promote sustainable management b</w:t>
      </w:r>
      <w:r w:rsidR="0083331F" w:rsidRPr="00F03917">
        <w:rPr>
          <w:szCs w:val="18"/>
        </w:rPr>
        <w:t>y</w:t>
      </w:r>
      <w:r w:rsidR="005F72D3" w:rsidRPr="00F03917">
        <w:rPr>
          <w:szCs w:val="18"/>
        </w:rPr>
        <w:t>, among other things,</w:t>
      </w:r>
      <w:r w:rsidR="002D1E25" w:rsidRPr="00F03917">
        <w:rPr>
          <w:szCs w:val="18"/>
        </w:rPr>
        <w:t xml:space="preserve"> avoiding, remedying or mitigating </w:t>
      </w:r>
      <w:r w:rsidR="0083331F" w:rsidRPr="00F03917">
        <w:rPr>
          <w:szCs w:val="18"/>
        </w:rPr>
        <w:t xml:space="preserve">adverse effects of activities on the environment. </w:t>
      </w:r>
    </w:p>
    <w:p w14:paraId="3500101B" w14:textId="319F3024" w:rsidR="00065BB3" w:rsidRPr="00F03917" w:rsidRDefault="00810B20" w:rsidP="00387677">
      <w:pPr>
        <w:pStyle w:val="Source"/>
      </w:pPr>
      <w:r w:rsidRPr="00F03917">
        <w:t xml:space="preserve">Source: MfE, </w:t>
      </w:r>
      <w:r w:rsidR="00065BB3" w:rsidRPr="00F03917">
        <w:t>2017</w:t>
      </w:r>
    </w:p>
    <w:p w14:paraId="3F181164" w14:textId="11D99F90" w:rsidR="00393A8A" w:rsidRPr="00F03917" w:rsidRDefault="00044B8F" w:rsidP="0072465F">
      <w:pPr>
        <w:pStyle w:val="BodyText"/>
        <w:spacing w:after="240"/>
      </w:pPr>
      <w:r w:rsidRPr="00F03917">
        <w:t>Councils will need to make decisions about the effectiveness and long-term future of existing</w:t>
      </w:r>
      <w:r w:rsidR="00661585" w:rsidRPr="00F03917">
        <w:t> </w:t>
      </w:r>
      <w:r w:rsidRPr="00F03917">
        <w:t>hard protection structures</w:t>
      </w:r>
      <w:r w:rsidR="00DC42C9" w:rsidRPr="00F03917">
        <w:t xml:space="preserve"> and similar engineering interventions, which are generally discouraged</w:t>
      </w:r>
      <w:r w:rsidR="00DC42C9" w:rsidRPr="00F03917">
        <w:rPr>
          <w:rStyle w:val="FootnoteReference"/>
        </w:rPr>
        <w:footnoteReference w:id="88"/>
      </w:r>
      <w:r w:rsidR="00914929" w:rsidRPr="00F03917">
        <w:t xml:space="preserve"> (Policy 25 and </w:t>
      </w:r>
      <w:r w:rsidR="3AF1B1F3" w:rsidRPr="00F03917">
        <w:t xml:space="preserve">Policy </w:t>
      </w:r>
      <w:r w:rsidR="00914929" w:rsidRPr="00F03917">
        <w:t>27 of the NZCPS</w:t>
      </w:r>
      <w:r w:rsidR="0083792C" w:rsidRPr="00F03917">
        <w:t>, DOC, 2010</w:t>
      </w:r>
      <w:r w:rsidR="00914929" w:rsidRPr="00F03917">
        <w:t>)</w:t>
      </w:r>
      <w:r w:rsidRPr="00F03917">
        <w:t xml:space="preserve">. If appropriate, councils will also have to decide at what stage these </w:t>
      </w:r>
      <w:r w:rsidRPr="00F03917">
        <w:rPr>
          <w:spacing w:val="-2"/>
        </w:rPr>
        <w:t>structures will need further investment</w:t>
      </w:r>
      <w:r w:rsidRPr="00F03917">
        <w:t xml:space="preserve"> </w:t>
      </w:r>
      <w:r w:rsidR="00C161BB" w:rsidRPr="00F03917">
        <w:t xml:space="preserve">or </w:t>
      </w:r>
      <w:r w:rsidRPr="00F03917">
        <w:rPr>
          <w:spacing w:val="-2"/>
        </w:rPr>
        <w:t>abandonment</w:t>
      </w:r>
      <w:r w:rsidR="00C161BB" w:rsidRPr="00F03917">
        <w:rPr>
          <w:spacing w:val="-2"/>
        </w:rPr>
        <w:t xml:space="preserve"> </w:t>
      </w:r>
      <w:r w:rsidR="00C161BB" w:rsidRPr="00F03917">
        <w:t>(</w:t>
      </w:r>
      <w:r w:rsidR="0003681F" w:rsidRPr="00F03917">
        <w:t xml:space="preserve">consistent with </w:t>
      </w:r>
      <w:r w:rsidR="00361939" w:rsidRPr="00F03917">
        <w:t xml:space="preserve">Policy 25 </w:t>
      </w:r>
      <w:r w:rsidR="00A6469D" w:rsidRPr="00F03917">
        <w:t xml:space="preserve">and Policy 27 </w:t>
      </w:r>
      <w:r w:rsidR="00361939" w:rsidRPr="00F03917">
        <w:t xml:space="preserve">of </w:t>
      </w:r>
      <w:r w:rsidR="0003681F" w:rsidRPr="00F03917">
        <w:t>the NZCPS</w:t>
      </w:r>
      <w:r w:rsidR="00B861D3" w:rsidRPr="00F03917">
        <w:t>, DOC, 2010</w:t>
      </w:r>
      <w:r w:rsidR="00C161BB" w:rsidRPr="00F03917">
        <w:t>)</w:t>
      </w:r>
      <w:r w:rsidRPr="00F03917">
        <w:t>.</w:t>
      </w:r>
      <w:r w:rsidRPr="00F03917">
        <w:rPr>
          <w:spacing w:val="-2"/>
        </w:rPr>
        <w:t xml:space="preserve"> </w:t>
      </w:r>
      <w:r w:rsidRPr="00F03917">
        <w:t>I</w:t>
      </w:r>
      <w:r w:rsidR="00BC2E1F" w:rsidRPr="00F03917">
        <w:rPr>
          <w:spacing w:val="-2"/>
        </w:rPr>
        <w:t xml:space="preserve">f they </w:t>
      </w:r>
      <w:r w:rsidR="003265F2" w:rsidRPr="00F03917">
        <w:rPr>
          <w:spacing w:val="-2"/>
        </w:rPr>
        <w:t>are</w:t>
      </w:r>
      <w:r w:rsidR="00BC2E1F" w:rsidRPr="00F03917">
        <w:rPr>
          <w:spacing w:val="-2"/>
        </w:rPr>
        <w:t xml:space="preserve"> abandoned or removed</w:t>
      </w:r>
      <w:r w:rsidR="00BC2E1F" w:rsidRPr="00F03917">
        <w:t xml:space="preserve">, planning for a new, restored and more dynamic coastal margin </w:t>
      </w:r>
      <w:r w:rsidR="00593BFA" w:rsidRPr="00F03917">
        <w:t xml:space="preserve">should </w:t>
      </w:r>
      <w:r w:rsidR="00BC2E1F" w:rsidRPr="00F03917">
        <w:t xml:space="preserve">be foreshadowed and enabled. </w:t>
      </w:r>
      <w:r w:rsidR="0077464F" w:rsidRPr="00F03917">
        <w:t>Box</w:t>
      </w:r>
      <w:r w:rsidR="00661585" w:rsidRPr="00F03917">
        <w:t> </w:t>
      </w:r>
      <w:r w:rsidR="00A22ED1" w:rsidRPr="00F03917">
        <w:t>13</w:t>
      </w:r>
      <w:r w:rsidR="00661585" w:rsidRPr="00F03917">
        <w:t> </w:t>
      </w:r>
      <w:r w:rsidR="0077464F" w:rsidRPr="00F03917">
        <w:t>provides guidance on planning approaches to avoid</w:t>
      </w:r>
      <w:r w:rsidR="00054A6F" w:rsidRPr="00F03917">
        <w:t xml:space="preserve"> or</w:t>
      </w:r>
      <w:r w:rsidR="00B861D3" w:rsidRPr="00F03917">
        <w:t>,</w:t>
      </w:r>
      <w:r w:rsidR="00054A6F" w:rsidRPr="00F03917">
        <w:t xml:space="preserve"> where appropriate</w:t>
      </w:r>
      <w:r w:rsidR="00B861D3" w:rsidRPr="00F03917">
        <w:t>,</w:t>
      </w:r>
      <w:r w:rsidR="00054A6F" w:rsidRPr="00F03917">
        <w:t xml:space="preserve"> reduce </w:t>
      </w:r>
      <w:r w:rsidR="0077464F" w:rsidRPr="00F03917">
        <w:t xml:space="preserve">greater exposure to coastal hazards and risk. </w:t>
      </w:r>
    </w:p>
    <w:tbl>
      <w:tblPr>
        <w:tblW w:w="8505" w:type="dxa"/>
        <w:tblCellMar>
          <w:top w:w="15" w:type="dxa"/>
          <w:left w:w="15" w:type="dxa"/>
          <w:bottom w:w="15" w:type="dxa"/>
          <w:right w:w="15" w:type="dxa"/>
        </w:tblCellMar>
        <w:tblLook w:val="04A0" w:firstRow="1" w:lastRow="0" w:firstColumn="1" w:lastColumn="0" w:noHBand="0" w:noVBand="1"/>
      </w:tblPr>
      <w:tblGrid>
        <w:gridCol w:w="8505"/>
      </w:tblGrid>
      <w:tr w:rsidR="00BC2E1F" w:rsidRPr="00F03917" w14:paraId="38F0315F" w14:textId="77777777" w:rsidTr="00661585">
        <w:tc>
          <w:tcPr>
            <w:tcW w:w="0" w:type="auto"/>
            <w:tcBorders>
              <w:top w:val="single" w:sz="4" w:space="0" w:color="1B556B" w:themeColor="text2"/>
              <w:left w:val="single" w:sz="4" w:space="0" w:color="1B556B" w:themeColor="text2"/>
              <w:bottom w:val="single" w:sz="4" w:space="0" w:color="D2DDE1" w:themeColor="background2"/>
              <w:right w:val="single" w:sz="4" w:space="0" w:color="1B556B" w:themeColor="text2"/>
            </w:tcBorders>
            <w:shd w:val="clear" w:color="auto" w:fill="1B556B" w:themeFill="text2"/>
            <w:tcMar>
              <w:top w:w="0" w:type="dxa"/>
              <w:left w:w="100" w:type="dxa"/>
              <w:bottom w:w="0" w:type="dxa"/>
              <w:right w:w="100" w:type="dxa"/>
            </w:tcMar>
            <w:hideMark/>
          </w:tcPr>
          <w:p w14:paraId="4946B73B" w14:textId="58270371" w:rsidR="00BC2E1F" w:rsidRPr="00F03917" w:rsidRDefault="00D5415F" w:rsidP="007277DC">
            <w:pPr>
              <w:pStyle w:val="Casestudyheading"/>
            </w:pPr>
            <w:r w:rsidRPr="00F03917">
              <w:lastRenderedPageBreak/>
              <w:t>:</w:t>
            </w:r>
            <w:r w:rsidR="007277DC" w:rsidRPr="00F03917">
              <w:t xml:space="preserve"> </w:t>
            </w:r>
            <w:r w:rsidR="00BC2E1F" w:rsidRPr="00F03917">
              <w:t xml:space="preserve">PLANNING APPROACHES TO AVOID </w:t>
            </w:r>
            <w:r w:rsidR="00661650" w:rsidRPr="00F03917">
              <w:t>(or reduce where appropriATe)</w:t>
            </w:r>
            <w:r w:rsidR="00BC2E1F" w:rsidRPr="00F03917">
              <w:t xml:space="preserve"> GREATER EXPOSURE TO COASTAL HAZARDS AND RISK</w:t>
            </w:r>
          </w:p>
        </w:tc>
      </w:tr>
      <w:tr w:rsidR="00BC2E1F" w:rsidRPr="00F03917" w14:paraId="0659C757" w14:textId="77777777" w:rsidTr="00661585">
        <w:tc>
          <w:tcPr>
            <w:tcW w:w="0" w:type="auto"/>
            <w:tcBorders>
              <w:top w:val="single" w:sz="4" w:space="0" w:color="D2DDE1" w:themeColor="background2"/>
              <w:left w:val="single" w:sz="4" w:space="0" w:color="D2DDE1" w:themeColor="background2"/>
              <w:right w:val="single" w:sz="4" w:space="0" w:color="D2DDE1" w:themeColor="background2"/>
            </w:tcBorders>
            <w:shd w:val="clear" w:color="auto" w:fill="D2DDE2"/>
            <w:tcMar>
              <w:top w:w="0" w:type="dxa"/>
              <w:left w:w="100" w:type="dxa"/>
              <w:bottom w:w="0" w:type="dxa"/>
              <w:right w:w="100" w:type="dxa"/>
            </w:tcMar>
            <w:hideMark/>
          </w:tcPr>
          <w:p w14:paraId="71A2D94F" w14:textId="167C5B01" w:rsidR="00BC2E1F" w:rsidRPr="00F03917" w:rsidRDefault="00BC2E1F" w:rsidP="00661585">
            <w:pPr>
              <w:pStyle w:val="Boxtext"/>
              <w:spacing w:before="180" w:after="80"/>
              <w:ind w:left="681" w:hanging="397"/>
              <w:rPr>
                <w:rFonts w:ascii="Times New Roman" w:hAnsi="Times New Roman" w:cs="Times New Roman"/>
                <w:color w:val="1B556B" w:themeColor="text2"/>
                <w:szCs w:val="20"/>
              </w:rPr>
            </w:pPr>
            <w:r w:rsidRPr="00F03917">
              <w:rPr>
                <w:color w:val="1B556B" w:themeColor="text2"/>
              </w:rPr>
              <w:t>1.</w:t>
            </w:r>
            <w:r w:rsidRPr="00F03917">
              <w:rPr>
                <w:rFonts w:ascii="Times New Roman" w:hAnsi="Times New Roman" w:cs="Times New Roman"/>
                <w:color w:val="1B556B" w:themeColor="text2"/>
              </w:rPr>
              <w:t xml:space="preserve"> </w:t>
            </w:r>
            <w:r w:rsidRPr="00F03917">
              <w:rPr>
                <w:rFonts w:ascii="Times New Roman" w:hAnsi="Times New Roman" w:cs="Times New Roman"/>
                <w:color w:val="1B556B" w:themeColor="text2"/>
                <w:szCs w:val="20"/>
              </w:rPr>
              <w:tab/>
            </w:r>
            <w:r w:rsidRPr="00F03917">
              <w:rPr>
                <w:b/>
                <w:color w:val="1B556B" w:themeColor="text2"/>
              </w:rPr>
              <w:t>Down-zoning</w:t>
            </w:r>
            <w:r w:rsidR="00ED1191" w:rsidRPr="00F03917">
              <w:rPr>
                <w:rStyle w:val="FootnoteReference"/>
                <w:rFonts w:eastAsia="Times New Roman" w:cs="Calibri"/>
                <w:b/>
                <w:color w:val="1B556B" w:themeColor="text2"/>
                <w:sz w:val="20"/>
                <w:szCs w:val="20"/>
                <w:lang w:eastAsia="en-GB"/>
              </w:rPr>
              <w:footnoteReference w:id="89"/>
            </w:r>
            <w:r w:rsidRPr="00F03917">
              <w:rPr>
                <w:color w:val="1B556B" w:themeColor="text2"/>
              </w:rPr>
              <w:t xml:space="preserve"> can prevent intensification or exclude areas from further development or redevelopment (Policy 25, NZCPS</w:t>
            </w:r>
            <w:r w:rsidR="00D10176" w:rsidRPr="00F03917">
              <w:rPr>
                <w:color w:val="1B556B" w:themeColor="text2"/>
              </w:rPr>
              <w:t>, DOC, 2010</w:t>
            </w:r>
            <w:r w:rsidRPr="00F03917">
              <w:rPr>
                <w:color w:val="1B556B" w:themeColor="text2"/>
              </w:rPr>
              <w:t xml:space="preserve">). </w:t>
            </w:r>
          </w:p>
          <w:p w14:paraId="2BC381DD" w14:textId="5E99D25A" w:rsidR="00BC2E1F" w:rsidRPr="00F03917" w:rsidRDefault="00BC2E1F" w:rsidP="00661585">
            <w:pPr>
              <w:pStyle w:val="Boxtext"/>
              <w:spacing w:before="0" w:after="80"/>
              <w:ind w:left="681" w:hanging="397"/>
              <w:rPr>
                <w:rFonts w:ascii="Times New Roman" w:hAnsi="Times New Roman" w:cs="Times New Roman"/>
              </w:rPr>
            </w:pPr>
            <w:r w:rsidRPr="00F03917">
              <w:t>2.</w:t>
            </w:r>
            <w:r w:rsidRPr="00F03917">
              <w:rPr>
                <w:rFonts w:ascii="Times New Roman" w:hAnsi="Times New Roman" w:cs="Times New Roman"/>
                <w:sz w:val="14"/>
                <w:szCs w:val="14"/>
              </w:rPr>
              <w:t xml:space="preserve"> </w:t>
            </w:r>
            <w:r w:rsidRPr="00F03917">
              <w:rPr>
                <w:rFonts w:ascii="Times New Roman" w:hAnsi="Times New Roman" w:cs="Times New Roman"/>
                <w:sz w:val="14"/>
                <w:szCs w:val="14"/>
              </w:rPr>
              <w:tab/>
            </w:r>
            <w:r w:rsidRPr="00F03917">
              <w:rPr>
                <w:rFonts w:cs="Times New Roman"/>
              </w:rPr>
              <w:t>Create r</w:t>
            </w:r>
            <w:r w:rsidRPr="00F03917">
              <w:t xml:space="preserve">ules to discourage or </w:t>
            </w:r>
            <w:r w:rsidRPr="00F03917">
              <w:rPr>
                <w:b/>
              </w:rPr>
              <w:t>limit specified activities</w:t>
            </w:r>
            <w:r w:rsidRPr="00F03917">
              <w:t xml:space="preserve"> in identified hazard areas</w:t>
            </w:r>
            <w:r w:rsidR="00926D9F" w:rsidRPr="00F03917">
              <w:t>,</w:t>
            </w:r>
            <w:r w:rsidRPr="00F03917">
              <w:t xml:space="preserve"> using the full range of R</w:t>
            </w:r>
            <w:r w:rsidR="00D10176" w:rsidRPr="00F03917">
              <w:t xml:space="preserve">esource </w:t>
            </w:r>
            <w:r w:rsidRPr="00F03917">
              <w:t>M</w:t>
            </w:r>
            <w:r w:rsidR="00D10176" w:rsidRPr="00F03917">
              <w:t xml:space="preserve">anagement </w:t>
            </w:r>
            <w:r w:rsidRPr="00F03917">
              <w:t>A</w:t>
            </w:r>
            <w:r w:rsidR="00D10176" w:rsidRPr="00F03917">
              <w:t>ct 1991</w:t>
            </w:r>
            <w:r w:rsidRPr="00F03917">
              <w:t xml:space="preserve"> activity classifications</w:t>
            </w:r>
            <w:r w:rsidR="00C20717" w:rsidRPr="00F03917">
              <w:t>, including prohibited activities</w:t>
            </w:r>
            <w:r w:rsidR="00926D9F" w:rsidRPr="00F03917">
              <w:t xml:space="preserve">. </w:t>
            </w:r>
            <w:r w:rsidR="002C7309" w:rsidRPr="00F03917">
              <w:t>When used</w:t>
            </w:r>
            <w:r w:rsidRPr="00F03917">
              <w:t xml:space="preserve"> in association with hazard lines, </w:t>
            </w:r>
            <w:r w:rsidR="001454A0" w:rsidRPr="00F03917">
              <w:t xml:space="preserve">zoning or overlays, this </w:t>
            </w:r>
            <w:r w:rsidRPr="00F03917">
              <w:t>can ensure that development occurs only in accordance with a consenting process and subject to conditions, or it may prohibit further development entirely. For example, ‘restricted’ or ‘full discretionary’ activity status is an opportunity for a consent authority to set controls through conditions on building location or design in specified zones or certain sites, or to decline consent. ‘Prohibited’ activity status means that no consent can be sought for specified activities</w:t>
            </w:r>
            <w:r w:rsidR="00E675E3" w:rsidRPr="00F03917">
              <w:t xml:space="preserve"> in the identified locations</w:t>
            </w:r>
            <w:r w:rsidRPr="00F03917">
              <w:t xml:space="preserve">. The district plan must specify the discretions and prohibitions. </w:t>
            </w:r>
          </w:p>
        </w:tc>
      </w:tr>
      <w:tr w:rsidR="0072465F" w:rsidRPr="00F03917" w14:paraId="75FD45C4" w14:textId="77777777" w:rsidTr="00661585">
        <w:tc>
          <w:tcPr>
            <w:tcW w:w="0" w:type="auto"/>
            <w:tcBorders>
              <w:left w:val="single" w:sz="4" w:space="0" w:color="D2DDE1" w:themeColor="background2"/>
              <w:bottom w:val="single" w:sz="4" w:space="0" w:color="D2DDE1" w:themeColor="background2"/>
              <w:right w:val="single" w:sz="4" w:space="0" w:color="D2DDE1" w:themeColor="background2"/>
            </w:tcBorders>
            <w:shd w:val="clear" w:color="auto" w:fill="D2DDE2"/>
            <w:tcMar>
              <w:top w:w="0" w:type="dxa"/>
              <w:left w:w="100" w:type="dxa"/>
              <w:bottom w:w="0" w:type="dxa"/>
              <w:right w:w="100" w:type="dxa"/>
            </w:tcMar>
          </w:tcPr>
          <w:p w14:paraId="4C321F3D" w14:textId="3C38BE2E" w:rsidR="0072465F" w:rsidRPr="00F03917" w:rsidRDefault="001454A0" w:rsidP="00661585">
            <w:pPr>
              <w:pStyle w:val="Boxtext"/>
              <w:spacing w:after="80"/>
              <w:ind w:left="681" w:hanging="397"/>
              <w:rPr>
                <w:rFonts w:ascii="Times New Roman" w:hAnsi="Times New Roman" w:cs="Times New Roman"/>
              </w:rPr>
            </w:pPr>
            <w:r w:rsidRPr="00F03917">
              <w:t>3</w:t>
            </w:r>
            <w:r w:rsidR="0072465F" w:rsidRPr="00F03917">
              <w:t>.</w:t>
            </w:r>
            <w:r w:rsidR="0072465F" w:rsidRPr="00F03917">
              <w:rPr>
                <w:rFonts w:ascii="Times New Roman" w:hAnsi="Times New Roman" w:cs="Times New Roman"/>
                <w:sz w:val="14"/>
                <w:szCs w:val="14"/>
              </w:rPr>
              <w:t xml:space="preserve"> </w:t>
            </w:r>
            <w:r w:rsidR="0072465F" w:rsidRPr="00F03917">
              <w:tab/>
            </w:r>
            <w:r w:rsidR="0072465F" w:rsidRPr="00F03917">
              <w:rPr>
                <w:b/>
              </w:rPr>
              <w:t xml:space="preserve">Land filling </w:t>
            </w:r>
            <w:r w:rsidR="0072465F" w:rsidRPr="00F03917">
              <w:t>and</w:t>
            </w:r>
            <w:r w:rsidR="0072465F" w:rsidRPr="00F03917">
              <w:rPr>
                <w:b/>
              </w:rPr>
              <w:t xml:space="preserve"> raising floor levels</w:t>
            </w:r>
            <w:r w:rsidR="0072465F" w:rsidRPr="00F03917">
              <w:t xml:space="preserve"> </w:t>
            </w:r>
            <w:r w:rsidR="00E800A9" w:rsidRPr="00F03917">
              <w:t xml:space="preserve">at the coast </w:t>
            </w:r>
            <w:r w:rsidR="0072465F" w:rsidRPr="00F03917">
              <w:t xml:space="preserve">are temporary </w:t>
            </w:r>
            <w:r w:rsidR="00326A88" w:rsidRPr="00F03917">
              <w:t xml:space="preserve">adaptation </w:t>
            </w:r>
            <w:r w:rsidR="0072465F" w:rsidRPr="00F03917">
              <w:t xml:space="preserve">measures and can be </w:t>
            </w:r>
            <w:r w:rsidR="0072465F" w:rsidRPr="00F03917">
              <w:rPr>
                <w:b/>
              </w:rPr>
              <w:t>prohibited</w:t>
            </w:r>
            <w:r w:rsidR="00326A88" w:rsidRPr="00F03917">
              <w:rPr>
                <w:b/>
              </w:rPr>
              <w:t xml:space="preserve"> </w:t>
            </w:r>
            <w:r w:rsidR="00326A88" w:rsidRPr="00F03917">
              <w:rPr>
                <w:bCs/>
              </w:rPr>
              <w:t>in specified locations to avoid further development that will create legacy effects as the sea level rises</w:t>
            </w:r>
            <w:r w:rsidR="0072465F" w:rsidRPr="00F03917">
              <w:rPr>
                <w:bCs/>
              </w:rPr>
              <w:t>.</w:t>
            </w:r>
          </w:p>
          <w:p w14:paraId="2CC759FB" w14:textId="13E175FF" w:rsidR="0072465F" w:rsidRPr="00F03917" w:rsidRDefault="00517461" w:rsidP="00661585">
            <w:pPr>
              <w:pStyle w:val="Boxtext"/>
              <w:spacing w:before="0" w:after="80"/>
              <w:ind w:left="681" w:hanging="397"/>
            </w:pPr>
            <w:r w:rsidRPr="00F03917">
              <w:t>4</w:t>
            </w:r>
            <w:r w:rsidR="0072465F" w:rsidRPr="00F03917">
              <w:t>.</w:t>
            </w:r>
            <w:r w:rsidR="0072465F" w:rsidRPr="00F03917">
              <w:tab/>
              <w:t>Other methods and techniques that can be used in statutory planning to manage coastal hazard</w:t>
            </w:r>
            <w:r w:rsidR="00682766" w:rsidRPr="00F03917">
              <w:t>s</w:t>
            </w:r>
            <w:r w:rsidR="0072465F" w:rsidRPr="00F03917">
              <w:t xml:space="preserve"> </w:t>
            </w:r>
            <w:r w:rsidR="0020013A" w:rsidRPr="00F03917">
              <w:t>and</w:t>
            </w:r>
            <w:r w:rsidR="0072465F" w:rsidRPr="00F03917">
              <w:t xml:space="preserve"> risk include:</w:t>
            </w:r>
          </w:p>
          <w:p w14:paraId="76D3C460" w14:textId="276B0781" w:rsidR="0072465F" w:rsidRPr="00F03917" w:rsidRDefault="0072465F" w:rsidP="00661585">
            <w:pPr>
              <w:pStyle w:val="Boxsub-bullet"/>
              <w:spacing w:after="80"/>
            </w:pPr>
            <w:r w:rsidRPr="00F03917">
              <w:t>designation</w:t>
            </w:r>
            <w:r w:rsidR="0049623B" w:rsidRPr="00F03917">
              <w:t xml:space="preserve"> of coastal protection or buffer areas</w:t>
            </w:r>
            <w:r w:rsidR="00CD63A5" w:rsidRPr="00F03917">
              <w:t>, which may be used to provide for infrastructure</w:t>
            </w:r>
          </w:p>
          <w:p w14:paraId="2F3981ED" w14:textId="500BA7B8" w:rsidR="00DF7231" w:rsidRPr="00F03917" w:rsidRDefault="0072465F" w:rsidP="00661585">
            <w:pPr>
              <w:pStyle w:val="Boxsub-bullet"/>
              <w:spacing w:after="80"/>
            </w:pPr>
            <w:r w:rsidRPr="00F03917">
              <w:t xml:space="preserve">no subdivision areas </w:t>
            </w:r>
          </w:p>
          <w:p w14:paraId="30234D68" w14:textId="4EBDE74B" w:rsidR="00BC73BC" w:rsidRPr="00F03917" w:rsidRDefault="0072465F" w:rsidP="00661585">
            <w:pPr>
              <w:pStyle w:val="Boxsub-bullet"/>
              <w:spacing w:after="80"/>
            </w:pPr>
            <w:r w:rsidRPr="00F03917">
              <w:t xml:space="preserve">temporary development </w:t>
            </w:r>
            <w:r w:rsidR="007D025C" w:rsidRPr="00F03917">
              <w:t>or land-use consents</w:t>
            </w:r>
          </w:p>
          <w:p w14:paraId="3521A10B" w14:textId="76CC61AF" w:rsidR="0072465F" w:rsidRPr="00F03917" w:rsidRDefault="0072465F" w:rsidP="00661585">
            <w:pPr>
              <w:pStyle w:val="Boxsub-bullet"/>
              <w:spacing w:after="80"/>
            </w:pPr>
            <w:r w:rsidRPr="00F03917">
              <w:t>covenants, easements and</w:t>
            </w:r>
            <w:r w:rsidR="00BC73BC" w:rsidRPr="00F03917">
              <w:t xml:space="preserve"> </w:t>
            </w:r>
            <w:r w:rsidR="007D025C" w:rsidRPr="00F03917">
              <w:t>consent notices</w:t>
            </w:r>
          </w:p>
          <w:p w14:paraId="662BFABC" w14:textId="5D6500B0" w:rsidR="0072465F" w:rsidRPr="00F03917" w:rsidRDefault="009C1E32" w:rsidP="00661585">
            <w:pPr>
              <w:pStyle w:val="Boxsub-bullet"/>
              <w:spacing w:after="80"/>
            </w:pPr>
            <w:r w:rsidRPr="00F03917">
              <w:t xml:space="preserve">specifying </w:t>
            </w:r>
            <w:r w:rsidR="0072465F" w:rsidRPr="00F03917">
              <w:t>types of construction and building design and use (eg</w:t>
            </w:r>
            <w:r w:rsidR="44FC59E8" w:rsidRPr="00F03917">
              <w:t>,</w:t>
            </w:r>
            <w:r w:rsidR="0072465F" w:rsidRPr="00F03917">
              <w:t xml:space="preserve"> relocatable buildings)</w:t>
            </w:r>
          </w:p>
          <w:p w14:paraId="403EF309" w14:textId="77777777" w:rsidR="0072465F" w:rsidRPr="00F03917" w:rsidRDefault="0072465F" w:rsidP="00661585">
            <w:pPr>
              <w:pStyle w:val="Boxsub-bullet"/>
              <w:spacing w:after="80"/>
            </w:pPr>
            <w:r w:rsidRPr="00F03917">
              <w:t>land information memoranda (LIM) or project information memoranda (PIM)</w:t>
            </w:r>
          </w:p>
          <w:p w14:paraId="49FE79F5" w14:textId="77777777" w:rsidR="0072465F" w:rsidRPr="00F03917" w:rsidRDefault="0072465F" w:rsidP="00661585">
            <w:pPr>
              <w:pStyle w:val="Boxsub-bullet"/>
              <w:spacing w:after="80"/>
            </w:pPr>
            <w:r w:rsidRPr="00F03917">
              <w:t>bonds</w:t>
            </w:r>
          </w:p>
          <w:p w14:paraId="4299961A" w14:textId="77777777" w:rsidR="0072465F" w:rsidRPr="00F03917" w:rsidRDefault="0072465F" w:rsidP="00661585">
            <w:pPr>
              <w:pStyle w:val="Boxsub-bullet"/>
              <w:spacing w:after="80"/>
            </w:pPr>
            <w:r w:rsidRPr="00F03917">
              <w:t>land purchase</w:t>
            </w:r>
          </w:p>
          <w:p w14:paraId="19204514" w14:textId="76C33C84" w:rsidR="0072465F" w:rsidRPr="00F03917" w:rsidRDefault="0072465F" w:rsidP="00661585">
            <w:pPr>
              <w:pStyle w:val="Boxsub-bullet"/>
              <w:spacing w:after="80"/>
            </w:pPr>
            <w:r w:rsidRPr="00F03917">
              <w:t>special rating</w:t>
            </w:r>
            <w:r w:rsidR="004503A4" w:rsidRPr="00F03917">
              <w:t xml:space="preserve"> areas</w:t>
            </w:r>
            <w:r w:rsidR="009C1E32" w:rsidRPr="00F03917">
              <w:t xml:space="preserve"> for funding capital and maintenance of coastal protection</w:t>
            </w:r>
            <w:r w:rsidR="1477FD92" w:rsidRPr="00F03917">
              <w:t>,</w:t>
            </w:r>
            <w:r w:rsidR="004503A4" w:rsidRPr="00F03917">
              <w:t xml:space="preserve"> applied under the L</w:t>
            </w:r>
            <w:r w:rsidR="51852710" w:rsidRPr="00F03917">
              <w:t xml:space="preserve">ocal </w:t>
            </w:r>
            <w:r w:rsidR="004503A4" w:rsidRPr="00F03917">
              <w:t>G</w:t>
            </w:r>
            <w:r w:rsidR="6BF09475" w:rsidRPr="00F03917">
              <w:t xml:space="preserve">overnment </w:t>
            </w:r>
            <w:r w:rsidR="004503A4" w:rsidRPr="00F03917">
              <w:t>A</w:t>
            </w:r>
            <w:r w:rsidR="2F2D57ED" w:rsidRPr="00F03917">
              <w:t>ct 2002</w:t>
            </w:r>
            <w:r w:rsidR="004503A4" w:rsidRPr="00F03917">
              <w:t>, could be used to fund capital or maintenance of coastal protection. The areas to which a special rate is applied, and the rate itself, need to be justified on the basis of benefit obtained from the council activity</w:t>
            </w:r>
          </w:p>
          <w:p w14:paraId="0606DDBF" w14:textId="77777777" w:rsidR="0072465F" w:rsidRPr="00F03917" w:rsidRDefault="0072465F" w:rsidP="00E142EB">
            <w:pPr>
              <w:pStyle w:val="Boxsub-bullet"/>
              <w:spacing w:after="80"/>
            </w:pPr>
            <w:r w:rsidRPr="00F03917">
              <w:t>grants and information support.</w:t>
            </w:r>
          </w:p>
          <w:p w14:paraId="15A85623" w14:textId="163E3ECE" w:rsidR="0072465F" w:rsidRPr="00F03917" w:rsidRDefault="2BB7F5A8" w:rsidP="00A07449">
            <w:pPr>
              <w:pStyle w:val="Boxtext"/>
              <w:spacing w:after="180"/>
            </w:pPr>
            <w:r w:rsidRPr="00F03917">
              <w:rPr>
                <w:sz w:val="18"/>
                <w:szCs w:val="18"/>
              </w:rPr>
              <w:t xml:space="preserve">Source: </w:t>
            </w:r>
            <w:r w:rsidR="0072465F" w:rsidRPr="00F03917">
              <w:rPr>
                <w:sz w:val="18"/>
                <w:szCs w:val="18"/>
              </w:rPr>
              <w:t>Adapted from Lawrence et al (2021</w:t>
            </w:r>
            <w:r w:rsidR="12C1AB4E" w:rsidRPr="00F03917">
              <w:rPr>
                <w:sz w:val="18"/>
                <w:szCs w:val="18"/>
              </w:rPr>
              <w:t>b</w:t>
            </w:r>
            <w:r w:rsidR="0072465F" w:rsidRPr="00F03917">
              <w:rPr>
                <w:sz w:val="18"/>
                <w:szCs w:val="18"/>
              </w:rPr>
              <w:t>)</w:t>
            </w:r>
            <w:r w:rsidR="00F41EAC" w:rsidRPr="00F03917">
              <w:rPr>
                <w:sz w:val="18"/>
                <w:szCs w:val="18"/>
              </w:rPr>
              <w:t>.</w:t>
            </w:r>
          </w:p>
        </w:tc>
      </w:tr>
    </w:tbl>
    <w:p w14:paraId="5E3F34B4" w14:textId="77777777" w:rsidR="0072465F" w:rsidRPr="00F03917" w:rsidRDefault="0072465F" w:rsidP="0072465F">
      <w:pPr>
        <w:pStyle w:val="BodyText"/>
      </w:pPr>
    </w:p>
    <w:p w14:paraId="01F078B3" w14:textId="4D09245E" w:rsidR="00720B56" w:rsidRPr="00F03917" w:rsidRDefault="00720B56" w:rsidP="00FA1C4A">
      <w:pPr>
        <w:pStyle w:val="Heading2"/>
        <w:numPr>
          <w:ilvl w:val="0"/>
          <w:numId w:val="32"/>
        </w:numPr>
        <w:spacing w:before="320" w:line="420" w:lineRule="atLeast"/>
      </w:pPr>
      <w:bookmarkStart w:id="211" w:name="_Toc160096262"/>
      <w:r w:rsidRPr="00F03917">
        <w:lastRenderedPageBreak/>
        <w:t>Funding</w:t>
      </w:r>
      <w:r w:rsidR="005E6A45" w:rsidRPr="00F03917">
        <w:t xml:space="preserve"> the implementation of</w:t>
      </w:r>
      <w:r w:rsidR="00A35EB5" w:rsidRPr="00F03917">
        <w:t xml:space="preserve"> </w:t>
      </w:r>
      <w:r w:rsidR="00D33E50" w:rsidRPr="00F03917">
        <w:t xml:space="preserve">an </w:t>
      </w:r>
      <w:r w:rsidR="00A35EB5" w:rsidRPr="00F03917">
        <w:t>adaptive planning strategy</w:t>
      </w:r>
      <w:bookmarkEnd w:id="211"/>
    </w:p>
    <w:p w14:paraId="01531584" w14:textId="23928245" w:rsidR="00720B56" w:rsidRPr="00F03917" w:rsidRDefault="00720B56" w:rsidP="00FA1C4A">
      <w:pPr>
        <w:pStyle w:val="BodyText"/>
        <w:keepLines/>
        <w:spacing w:after="100"/>
      </w:pPr>
      <w:r w:rsidRPr="00F03917">
        <w:t>The adjustments required to adapt to climate change are unprecedented and ongoing. They will have significant implications for who pays, what is funded, and the funding methods used.</w:t>
      </w:r>
      <w:r w:rsidR="00A07449" w:rsidRPr="00F03917">
        <w:t> </w:t>
      </w:r>
      <w:r w:rsidRPr="00F03917">
        <w:t>The scope and scale of activities that require funding for addressing coastal hazards and</w:t>
      </w:r>
      <w:r w:rsidR="00A07449" w:rsidRPr="00F03917">
        <w:t> </w:t>
      </w:r>
      <w:r w:rsidRPr="00F03917">
        <w:t>climate change will continue to increase. These include the planning, design and implementation and maintenance of adaptation actions, complementary land-use planning, relocation and clean-up activities, setting up a monitoring system, monitoring the effectiveness of the adaptation actions, and all associated council and agency administration.</w:t>
      </w:r>
    </w:p>
    <w:p w14:paraId="6B6D1C0E" w14:textId="648EEAB2" w:rsidR="00720B56" w:rsidRPr="00F03917" w:rsidRDefault="00720B56" w:rsidP="00FA1C4A">
      <w:pPr>
        <w:pStyle w:val="BodyText"/>
        <w:spacing w:after="100"/>
      </w:pPr>
      <w:r w:rsidRPr="00F03917">
        <w:t xml:space="preserve">Current funding instruments </w:t>
      </w:r>
      <w:r w:rsidR="00233513" w:rsidRPr="00F03917">
        <w:t xml:space="preserve">are </w:t>
      </w:r>
      <w:r w:rsidR="00290DE4" w:rsidRPr="00F03917">
        <w:t>variable</w:t>
      </w:r>
      <w:r w:rsidR="005102D8" w:rsidRPr="00F03917">
        <w:t xml:space="preserve"> </w:t>
      </w:r>
      <w:r w:rsidR="00E40590" w:rsidRPr="00F03917">
        <w:t>and</w:t>
      </w:r>
      <w:r w:rsidR="005102D8" w:rsidRPr="00F03917">
        <w:t xml:space="preserve"> constrained</w:t>
      </w:r>
      <w:r w:rsidR="001A2B26" w:rsidRPr="00F03917">
        <w:t xml:space="preserve"> in what they</w:t>
      </w:r>
      <w:r w:rsidR="00245B2A" w:rsidRPr="00F03917">
        <w:t xml:space="preserve"> </w:t>
      </w:r>
      <w:r w:rsidR="00F6456A" w:rsidRPr="00F03917">
        <w:t>cover</w:t>
      </w:r>
      <w:r w:rsidRPr="00F03917">
        <w:t xml:space="preserve">. They include reactive funding, such as the Disaster Fund administered by </w:t>
      </w:r>
      <w:r w:rsidR="250222BC" w:rsidRPr="00F03917">
        <w:t xml:space="preserve">EQC (or </w:t>
      </w:r>
      <w:r w:rsidRPr="00F03917">
        <w:t xml:space="preserve">Toka Tū Ake – Natural Hazards Commission </w:t>
      </w:r>
      <w:r w:rsidR="3D212D5C" w:rsidRPr="00F03917">
        <w:t>from July 2024</w:t>
      </w:r>
      <w:r w:rsidRPr="00F03917">
        <w:t>), and proactive funding, such as through council Long-Term Plans, general and targeted rates and levies, 30-year infrastructure strategies, and asset plans. Currently, reactive damage costs and the costs of proactive adaptive planning, and its implementation, lie across national agencies, local government, infrastructure and utilities agencies, individuals, the private sector, iwi/hapū Māori and communities</w:t>
      </w:r>
      <w:r w:rsidR="00267709" w:rsidRPr="00F03917">
        <w:t xml:space="preserve">, and </w:t>
      </w:r>
      <w:r w:rsidRPr="00F03917">
        <w:t>are determined on the basis of statutory mandates, need and benefit.</w:t>
      </w:r>
    </w:p>
    <w:p w14:paraId="53DA3147" w14:textId="77777777" w:rsidR="00720B56" w:rsidRPr="00F03917" w:rsidRDefault="00720B56" w:rsidP="00FA1C4A">
      <w:pPr>
        <w:pStyle w:val="BodyText"/>
        <w:spacing w:after="100"/>
      </w:pPr>
      <w:r w:rsidRPr="00F03917">
        <w:rPr>
          <w:b/>
        </w:rPr>
        <w:t>Costs for</w:t>
      </w:r>
      <w:r w:rsidRPr="00F03917">
        <w:t xml:space="preserve"> </w:t>
      </w:r>
      <w:r w:rsidRPr="00F03917">
        <w:rPr>
          <w:b/>
        </w:rPr>
        <w:t>councils</w:t>
      </w:r>
      <w:r w:rsidRPr="00F03917">
        <w:t xml:space="preserve"> include:</w:t>
      </w:r>
    </w:p>
    <w:p w14:paraId="74A142B0" w14:textId="1E68F5B4" w:rsidR="00720B56" w:rsidRPr="00F03917" w:rsidRDefault="008111C0" w:rsidP="00595560">
      <w:pPr>
        <w:pStyle w:val="BulletFIX"/>
        <w:rPr>
          <w:rFonts w:eastAsiaTheme="minorEastAsia"/>
        </w:rPr>
      </w:pPr>
      <w:r w:rsidRPr="00F03917">
        <w:rPr>
          <w:rFonts w:eastAsiaTheme="minorEastAsia"/>
        </w:rPr>
        <w:t>a</w:t>
      </w:r>
      <w:r w:rsidR="005409B6" w:rsidRPr="00F03917">
        <w:rPr>
          <w:rFonts w:eastAsiaTheme="minorEastAsia"/>
        </w:rPr>
        <w:t xml:space="preserve">daptation </w:t>
      </w:r>
      <w:r w:rsidR="00720B56" w:rsidRPr="00F03917">
        <w:rPr>
          <w:rFonts w:eastAsiaTheme="minorEastAsia"/>
        </w:rPr>
        <w:t xml:space="preserve">planning and engagement </w:t>
      </w:r>
    </w:p>
    <w:p w14:paraId="6988483B" w14:textId="77777777" w:rsidR="00720B56" w:rsidRPr="00F03917" w:rsidRDefault="00720B56" w:rsidP="00595560">
      <w:pPr>
        <w:pStyle w:val="BulletFIX"/>
        <w:rPr>
          <w:rFonts w:eastAsiaTheme="minorEastAsia"/>
        </w:rPr>
      </w:pPr>
      <w:r w:rsidRPr="00F03917">
        <w:rPr>
          <w:rFonts w:eastAsiaTheme="minorEastAsia"/>
        </w:rPr>
        <w:t xml:space="preserve">implementing coastal adaptation measures </w:t>
      </w:r>
    </w:p>
    <w:p w14:paraId="2C47E7A9" w14:textId="5723196F" w:rsidR="00720B56" w:rsidRPr="00F03917" w:rsidRDefault="00720B56" w:rsidP="00595560">
      <w:pPr>
        <w:pStyle w:val="BulletFIX"/>
        <w:rPr>
          <w:rFonts w:eastAsiaTheme="minorEastAsia"/>
        </w:rPr>
      </w:pPr>
      <w:r w:rsidRPr="00F03917">
        <w:rPr>
          <w:rFonts w:eastAsiaTheme="minorEastAsia"/>
        </w:rPr>
        <w:t xml:space="preserve">monitoring adaptive plans, signals and triggers </w:t>
      </w:r>
    </w:p>
    <w:p w14:paraId="5D8F0B45" w14:textId="77777777" w:rsidR="00720B56" w:rsidRPr="00F03917" w:rsidRDefault="00720B56" w:rsidP="00595560">
      <w:pPr>
        <w:pStyle w:val="BulletFIX"/>
        <w:rPr>
          <w:rFonts w:eastAsiaTheme="minorEastAsia"/>
        </w:rPr>
      </w:pPr>
      <w:r w:rsidRPr="00F03917">
        <w:rPr>
          <w:rFonts w:eastAsiaTheme="minorEastAsia"/>
        </w:rPr>
        <w:t>clean-up costs of council assets after extreme events</w:t>
      </w:r>
    </w:p>
    <w:p w14:paraId="53B03DD7" w14:textId="77777777" w:rsidR="00720B56" w:rsidRPr="00F03917" w:rsidRDefault="00720B56" w:rsidP="00595560">
      <w:pPr>
        <w:pStyle w:val="BulletFIX"/>
        <w:rPr>
          <w:rFonts w:eastAsiaTheme="minorEastAsia"/>
        </w:rPr>
      </w:pPr>
      <w:r w:rsidRPr="00F03917">
        <w:rPr>
          <w:rFonts w:eastAsiaTheme="minorEastAsia"/>
        </w:rPr>
        <w:t>potential retreat of council assets from affected land</w:t>
      </w:r>
    </w:p>
    <w:p w14:paraId="2B4150E6" w14:textId="77777777" w:rsidR="00720B56" w:rsidRPr="00F03917" w:rsidRDefault="00720B56" w:rsidP="00595560">
      <w:pPr>
        <w:pStyle w:val="BulletFIX"/>
        <w:rPr>
          <w:rFonts w:eastAsiaTheme="minorEastAsia"/>
        </w:rPr>
      </w:pPr>
      <w:r w:rsidRPr="00F03917">
        <w:rPr>
          <w:rFonts w:eastAsiaTheme="minorEastAsia"/>
        </w:rPr>
        <w:t xml:space="preserve">delivery of council services. </w:t>
      </w:r>
    </w:p>
    <w:p w14:paraId="03C961B3" w14:textId="77777777" w:rsidR="00720B56" w:rsidRPr="00F03917" w:rsidRDefault="00720B56" w:rsidP="00FA1C4A">
      <w:pPr>
        <w:pStyle w:val="BodyText"/>
        <w:spacing w:after="100"/>
      </w:pPr>
      <w:r w:rsidRPr="00F03917">
        <w:rPr>
          <w:b/>
          <w:bCs/>
        </w:rPr>
        <w:t>Costs for communities</w:t>
      </w:r>
      <w:r w:rsidRPr="00F03917">
        <w:t xml:space="preserve"> include:</w:t>
      </w:r>
    </w:p>
    <w:p w14:paraId="5FB5B0D8" w14:textId="77777777" w:rsidR="00720B56" w:rsidRPr="00F03917" w:rsidRDefault="00720B56" w:rsidP="00595560">
      <w:pPr>
        <w:pStyle w:val="BulletFIX"/>
        <w:rPr>
          <w:rFonts w:eastAsiaTheme="minorEastAsia"/>
        </w:rPr>
      </w:pPr>
      <w:r w:rsidRPr="00F03917">
        <w:rPr>
          <w:rFonts w:eastAsiaTheme="minorEastAsia"/>
        </w:rPr>
        <w:t xml:space="preserve">immediate damage and adjustment </w:t>
      </w:r>
    </w:p>
    <w:p w14:paraId="584E3DBC" w14:textId="70791EFE" w:rsidR="00720B56" w:rsidRPr="00F03917" w:rsidRDefault="00720B56" w:rsidP="00595560">
      <w:pPr>
        <w:pStyle w:val="BulletFIX"/>
        <w:rPr>
          <w:rFonts w:eastAsiaTheme="minorEastAsia"/>
        </w:rPr>
      </w:pPr>
      <w:r w:rsidRPr="00F03917">
        <w:rPr>
          <w:rFonts w:eastAsiaTheme="minorEastAsia"/>
        </w:rPr>
        <w:t>ongoing health and wellbeing impacts</w:t>
      </w:r>
    </w:p>
    <w:p w14:paraId="4CA34B62" w14:textId="77777777" w:rsidR="00720B56" w:rsidRPr="00F03917" w:rsidRDefault="00720B56" w:rsidP="00595560">
      <w:pPr>
        <w:pStyle w:val="BulletFIX"/>
        <w:rPr>
          <w:rFonts w:eastAsiaTheme="minorEastAsia"/>
        </w:rPr>
      </w:pPr>
      <w:r w:rsidRPr="00F03917">
        <w:rPr>
          <w:rFonts w:eastAsiaTheme="minorEastAsia"/>
        </w:rPr>
        <w:t xml:space="preserve">retreat in some locations </w:t>
      </w:r>
    </w:p>
    <w:p w14:paraId="2F8FD2A2" w14:textId="77777777" w:rsidR="00720B56" w:rsidRPr="00F03917" w:rsidRDefault="00720B56" w:rsidP="00595560">
      <w:pPr>
        <w:pStyle w:val="BulletFIX"/>
        <w:rPr>
          <w:rFonts w:eastAsiaTheme="minorEastAsia"/>
        </w:rPr>
      </w:pPr>
      <w:r w:rsidRPr="00F03917">
        <w:rPr>
          <w:rFonts w:eastAsiaTheme="minorEastAsia"/>
        </w:rPr>
        <w:t>loss of place and culture</w:t>
      </w:r>
    </w:p>
    <w:p w14:paraId="3B905723" w14:textId="1CCE8582" w:rsidR="00720B56" w:rsidRPr="00F03917" w:rsidRDefault="00720B56" w:rsidP="00595560">
      <w:pPr>
        <w:pStyle w:val="BulletFIX"/>
        <w:rPr>
          <w:rFonts w:eastAsiaTheme="minorEastAsia"/>
        </w:rPr>
      </w:pPr>
      <w:r w:rsidRPr="00F03917">
        <w:rPr>
          <w:rFonts w:eastAsiaTheme="minorEastAsia"/>
        </w:rPr>
        <w:t xml:space="preserve">increased property rates to fund adaptation measures. </w:t>
      </w:r>
    </w:p>
    <w:p w14:paraId="2B6B9BBA" w14:textId="10291803" w:rsidR="00720B56" w:rsidRPr="00F03917" w:rsidRDefault="00720B56" w:rsidP="00FA1C4A">
      <w:pPr>
        <w:pStyle w:val="BodyText"/>
        <w:spacing w:after="100"/>
      </w:pPr>
      <w:r w:rsidRPr="00F03917">
        <w:t>In coastal areas, as ongoing RSLR progresses, funding is also needed to cover climate change impacts (MfE, 2022a). When planning under uncertain and increasing risk conditions at the coast, consider the transfer of residual risk, legal liabilities and the funding consequences of decisions.</w:t>
      </w:r>
    </w:p>
    <w:p w14:paraId="31523D76" w14:textId="43478642" w:rsidR="00720B56" w:rsidRPr="00F03917" w:rsidRDefault="005F0A0A" w:rsidP="007F2DAE">
      <w:r w:rsidRPr="00F03917">
        <w:br w:type="page"/>
      </w:r>
    </w:p>
    <w:p w14:paraId="5A420962" w14:textId="77777777" w:rsidR="00720B56" w:rsidRPr="00F03917" w:rsidRDefault="00720B56" w:rsidP="00FA1C4A">
      <w:pPr>
        <w:pStyle w:val="Heading2"/>
        <w:numPr>
          <w:ilvl w:val="0"/>
          <w:numId w:val="32"/>
        </w:numPr>
        <w:spacing w:before="320" w:line="420" w:lineRule="atLeast"/>
      </w:pPr>
      <w:bookmarkStart w:id="212" w:name="_Toc160096263"/>
      <w:r w:rsidRPr="00F03917">
        <w:lastRenderedPageBreak/>
        <w:t>Insurance</w:t>
      </w:r>
      <w:bookmarkEnd w:id="212"/>
    </w:p>
    <w:p w14:paraId="326ED423" w14:textId="797BEA86" w:rsidR="00720B56" w:rsidRPr="00F03917" w:rsidRDefault="00720B56" w:rsidP="00720B56">
      <w:pPr>
        <w:pStyle w:val="BodyText"/>
      </w:pPr>
      <w:r w:rsidRPr="00F03917">
        <w:t>The Natural Hazards Insurance Act 2023 (replaces the Earthquake Commission Act 1993 and comes into effect 1 July 2024) aims to reduce the impact of natural hazards on people, property and the community. Residential land</w:t>
      </w:r>
      <w:r w:rsidRPr="00F03917">
        <w:rPr>
          <w:rStyle w:val="FootnoteReference"/>
        </w:rPr>
        <w:footnoteReference w:id="90"/>
      </w:r>
      <w:r w:rsidRPr="00F03917">
        <w:t xml:space="preserve"> is insured by EQC (or Toka Tū Ake – Natural Hazards Commission from July 2024). However, this does not cover incremental loss, such as that created by RSLR or king-tide flooding or related ground water rise</w:t>
      </w:r>
      <w:r w:rsidR="000D79ED" w:rsidRPr="00F03917">
        <w:t>,</w:t>
      </w:r>
      <w:r w:rsidR="00E94A26" w:rsidRPr="00F03917" w:rsidDel="000D79ED">
        <w:t xml:space="preserve"> </w:t>
      </w:r>
      <w:r w:rsidR="007F5B5A" w:rsidRPr="00F03917">
        <w:t xml:space="preserve">but </w:t>
      </w:r>
      <w:r w:rsidRPr="00F03917">
        <w:t xml:space="preserve">only damage from the direct result of a natural hazard, for example, a storm or coastal flood event. </w:t>
      </w:r>
    </w:p>
    <w:p w14:paraId="60CD0CE4" w14:textId="77777777" w:rsidR="00720B56" w:rsidRPr="00F03917" w:rsidRDefault="00720B56" w:rsidP="00720B56">
      <w:pPr>
        <w:pStyle w:val="BodyText"/>
      </w:pPr>
      <w:r w:rsidRPr="00F03917">
        <w:t xml:space="preserve">For councils, insurance instruments are available that can cover their own liability and business interruption, public assets, utilities and infrastructure. </w:t>
      </w:r>
    </w:p>
    <w:p w14:paraId="3574804A" w14:textId="33813ABA" w:rsidR="00720B56" w:rsidRPr="00F03917" w:rsidRDefault="00720B56" w:rsidP="008F19F8">
      <w:pPr>
        <w:pStyle w:val="BodyText"/>
        <w:spacing w:after="240"/>
      </w:pPr>
      <w:r w:rsidRPr="00F03917">
        <w:t>Several types of risk funding are available to councils, such as council collectives (eg, Local Authority Protection Programme Disaster Fund and RiskPool), captives (insurance company owned by the insured), catastrophe bonds, risk swaps, contingent capital, contingent risk and finite risk (Hall, 2022; LGNZ, 2016a)</w:t>
      </w:r>
      <w:r w:rsidR="004E10BB" w:rsidRPr="00F03917">
        <w:t>.</w:t>
      </w:r>
      <w:r w:rsidRPr="00F03917">
        <w:t xml:space="preserve"> </w:t>
      </w:r>
      <w:r w:rsidR="004E10BB" w:rsidRPr="00F03917">
        <w:t>A</w:t>
      </w:r>
      <w:r w:rsidRPr="00F03917">
        <w:t>lthough some are only triggered after damage occurs and will not motivate risk avoidance and reduction through adaptation.</w:t>
      </w:r>
    </w:p>
    <w:p w14:paraId="1F13AA83" w14:textId="77777777" w:rsidR="005F0A0A" w:rsidRPr="00F03917" w:rsidRDefault="005F0A0A" w:rsidP="008F19F8">
      <w:pPr>
        <w:pStyle w:val="BodyText"/>
        <w:spacing w:after="240"/>
      </w:pPr>
    </w:p>
    <w:p w14:paraId="0E1CE8EC" w14:textId="77777777" w:rsidR="005F0A0A" w:rsidRPr="00F03917" w:rsidRDefault="005F0A0A" w:rsidP="008F19F8">
      <w:pPr>
        <w:pStyle w:val="BodyText"/>
        <w:spacing w:after="240"/>
      </w:pPr>
    </w:p>
    <w:p w14:paraId="48505FFE" w14:textId="01C5AFA5" w:rsidR="005F0F9D" w:rsidRPr="00F03917" w:rsidRDefault="005F0F9D" w:rsidP="0072465F">
      <w:pPr>
        <w:pStyle w:val="BodyText"/>
      </w:pPr>
      <w:r w:rsidRPr="00F03917">
        <w:rPr>
          <w:noProof/>
        </w:rPr>
        <w:drawing>
          <wp:inline distT="0" distB="0" distL="0" distR="0" wp14:anchorId="17F010E7" wp14:editId="4687CE6D">
            <wp:extent cx="5400040" cy="3131507"/>
            <wp:effectExtent l="0" t="0" r="86360" b="12065"/>
            <wp:docPr id="813842714" name="Diagram 8138427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7" r:lo="rId148" r:qs="rId149" r:cs="rId150"/>
              </a:graphicData>
            </a:graphic>
          </wp:inline>
        </w:drawing>
      </w:r>
    </w:p>
    <w:p w14:paraId="70CC450B" w14:textId="77777777" w:rsidR="00542639" w:rsidRPr="00F03917" w:rsidRDefault="00542639" w:rsidP="0072465F">
      <w:pPr>
        <w:pStyle w:val="BodyText"/>
      </w:pPr>
    </w:p>
    <w:p w14:paraId="0E422E70" w14:textId="77777777" w:rsidR="00542639" w:rsidRPr="00F03917" w:rsidRDefault="00542639" w:rsidP="0072465F">
      <w:pPr>
        <w:pStyle w:val="BodyText"/>
        <w:sectPr w:rsidR="00542639" w:rsidRPr="00F03917" w:rsidSect="007E5AB2">
          <w:headerReference w:type="default" r:id="rId152"/>
          <w:footerReference w:type="even" r:id="rId153"/>
          <w:footerReference w:type="default" r:id="rId154"/>
          <w:pgSz w:w="11907" w:h="16840" w:code="9"/>
          <w:pgMar w:top="1134" w:right="1701" w:bottom="1134" w:left="1701" w:header="567" w:footer="567" w:gutter="0"/>
          <w:cols w:space="720"/>
          <w:titlePg/>
          <w:docGrid w:linePitch="299"/>
        </w:sectPr>
      </w:pPr>
    </w:p>
    <w:p w14:paraId="1254FCD2" w14:textId="451ACBDD" w:rsidR="00BC2E1F" w:rsidRPr="00F03917" w:rsidRDefault="002E3910" w:rsidP="000A1A25">
      <w:pPr>
        <w:pStyle w:val="PARTHEADING"/>
      </w:pPr>
      <w:bookmarkStart w:id="213" w:name="_Toc160096264"/>
      <w:r w:rsidRPr="00F03917">
        <w:lastRenderedPageBreak/>
        <w:t xml:space="preserve">Part </w:t>
      </w:r>
      <w:r w:rsidR="00BC2E1F" w:rsidRPr="00F03917">
        <w:t>E: How is it working?</w:t>
      </w:r>
      <w:bookmarkEnd w:id="213"/>
    </w:p>
    <w:p w14:paraId="25313570" w14:textId="4BEDD159" w:rsidR="00BC2E1F" w:rsidRPr="00F03917" w:rsidRDefault="001B3175" w:rsidP="00B00339">
      <w:pPr>
        <w:pStyle w:val="Heading1"/>
        <w:spacing w:after="240"/>
      </w:pPr>
      <w:bookmarkStart w:id="214" w:name="_11_Monitoring_and"/>
      <w:bookmarkStart w:id="215" w:name="_Step_9:_Monitor"/>
      <w:bookmarkStart w:id="216" w:name="_Toc465847589"/>
      <w:bookmarkStart w:id="217" w:name="_Toc466014448"/>
      <w:bookmarkStart w:id="218" w:name="_Toc160096265"/>
      <w:bookmarkEnd w:id="214"/>
      <w:bookmarkEnd w:id="215"/>
      <w:r w:rsidRPr="00F03917">
        <w:rPr>
          <w:rFonts w:ascii="Calibri" w:eastAsiaTheme="minorEastAsia" w:hAnsi="Calibri"/>
          <w:noProof/>
          <w:sz w:val="22"/>
          <w:szCs w:val="22"/>
        </w:rPr>
        <w:drawing>
          <wp:anchor distT="0" distB="0" distL="114300" distR="114300" simplePos="0" relativeHeight="251663872" behindDoc="0" locked="0" layoutInCell="1" allowOverlap="1" wp14:anchorId="0C90AF48" wp14:editId="03D8B58D">
            <wp:simplePos x="0" y="0"/>
            <wp:positionH relativeFrom="column">
              <wp:posOffset>210259</wp:posOffset>
            </wp:positionH>
            <wp:positionV relativeFrom="paragraph">
              <wp:posOffset>1055295</wp:posOffset>
            </wp:positionV>
            <wp:extent cx="4680000" cy="4507858"/>
            <wp:effectExtent l="0" t="0" r="0" b="0"/>
            <wp:wrapTopAndBottom/>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rotWithShape="1">
                    <a:blip r:embed="rId155" cstate="print">
                      <a:extLst>
                        <a:ext uri="{28A0092B-C50C-407E-A947-70E740481C1C}">
                          <a14:useLocalDpi xmlns:a14="http://schemas.microsoft.com/office/drawing/2010/main" val="0"/>
                        </a:ext>
                      </a:extLst>
                    </a:blip>
                    <a:srcRect l="-6329" t="-4635" r="-6714" b="-4250"/>
                    <a:stretch/>
                  </pic:blipFill>
                  <pic:spPr bwMode="auto">
                    <a:xfrm>
                      <a:off x="0" y="0"/>
                      <a:ext cx="4680000" cy="45078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29F9" w:rsidRPr="00F03917">
        <w:t xml:space="preserve">Step 9: </w:t>
      </w:r>
      <w:r w:rsidR="00BC2E1F" w:rsidRPr="00F03917">
        <w:t xml:space="preserve">Monitor </w:t>
      </w:r>
      <w:r w:rsidR="039D0AAA" w:rsidRPr="00F03917">
        <w:t>the</w:t>
      </w:r>
      <w:r w:rsidR="00BC2E1F" w:rsidRPr="00F03917">
        <w:t xml:space="preserve"> </w:t>
      </w:r>
      <w:r w:rsidR="0062112C" w:rsidRPr="00F03917">
        <w:t>adaptive planning strategy</w:t>
      </w:r>
      <w:bookmarkEnd w:id="216"/>
      <w:bookmarkEnd w:id="217"/>
      <w:bookmarkEnd w:id="218"/>
    </w:p>
    <w:p w14:paraId="6B47B6A6" w14:textId="593ED85E" w:rsidR="00BC2E1F" w:rsidRPr="00F03917" w:rsidRDefault="00BC2E1F" w:rsidP="00B00339">
      <w:pPr>
        <w:spacing w:after="240" w:line="280" w:lineRule="atLeast"/>
        <w:jc w:val="center"/>
        <w:rPr>
          <w:rFonts w:ascii="Calibri" w:eastAsiaTheme="minorEastAsia" w:hAnsi="Calibri"/>
          <w:kern w:val="0"/>
          <w:sz w:val="22"/>
          <w:szCs w:val="22"/>
          <w:lang w:eastAsia="en-NZ"/>
          <w14:ligatures w14:val="none"/>
        </w:rPr>
      </w:pPr>
    </w:p>
    <w:p w14:paraId="0BA7FD5E" w14:textId="0B27C71C" w:rsidR="00BC2E1F" w:rsidRPr="00F03917" w:rsidRDefault="00150676" w:rsidP="00FA1C4A">
      <w:pPr>
        <w:pStyle w:val="Heading2"/>
        <w:numPr>
          <w:ilvl w:val="0"/>
          <w:numId w:val="34"/>
        </w:numPr>
      </w:pPr>
      <w:bookmarkStart w:id="219" w:name="_Toc144715801"/>
      <w:bookmarkStart w:id="220" w:name="_Toc160096266"/>
      <w:r w:rsidRPr="00F03917">
        <w:t>Set up</w:t>
      </w:r>
      <w:r w:rsidR="00E41EFF" w:rsidRPr="00F03917">
        <w:t xml:space="preserve"> the</w:t>
      </w:r>
      <w:r w:rsidR="00BC2E1F" w:rsidRPr="00F03917">
        <w:t xml:space="preserve"> monitoring framework</w:t>
      </w:r>
      <w:bookmarkEnd w:id="219"/>
      <w:bookmarkEnd w:id="220"/>
    </w:p>
    <w:p w14:paraId="3E92D217" w14:textId="29ACF0A3" w:rsidR="0092449A" w:rsidRPr="00F03917" w:rsidRDefault="00150676" w:rsidP="00FA1C4A">
      <w:pPr>
        <w:pStyle w:val="Heading3"/>
        <w:numPr>
          <w:ilvl w:val="0"/>
          <w:numId w:val="35"/>
        </w:numPr>
        <w:spacing w:before="240"/>
      </w:pPr>
      <w:r w:rsidRPr="00F03917">
        <w:t>Rationale for the monitoring framework</w:t>
      </w:r>
    </w:p>
    <w:p w14:paraId="473CFB26" w14:textId="333B5F9B" w:rsidR="00A3124A" w:rsidRPr="00F03917" w:rsidRDefault="00A3124A" w:rsidP="002C1278">
      <w:pPr>
        <w:pStyle w:val="Heading4"/>
      </w:pPr>
      <w:r w:rsidRPr="00F03917">
        <w:t>Context</w:t>
      </w:r>
    </w:p>
    <w:p w14:paraId="30E6E041" w14:textId="2978D4DD" w:rsidR="002229C5" w:rsidRPr="00F03917" w:rsidRDefault="00B4565B" w:rsidP="00C27AC7">
      <w:pPr>
        <w:pStyle w:val="BodyText"/>
        <w:rPr>
          <w:rFonts w:cs="Calibri"/>
          <w:shd w:val="clear" w:color="auto" w:fill="FFFFFF"/>
        </w:rPr>
      </w:pPr>
      <w:r w:rsidRPr="00F03917">
        <w:rPr>
          <w:rFonts w:cs="Calibri"/>
          <w:shd w:val="clear" w:color="auto" w:fill="FFFFFF"/>
        </w:rPr>
        <w:t>As the pace and scale of climate</w:t>
      </w:r>
      <w:r w:rsidR="41C1BC8F" w:rsidRPr="00F03917">
        <w:rPr>
          <w:rFonts w:cs="Calibri"/>
        </w:rPr>
        <w:t>-</w:t>
      </w:r>
      <w:r w:rsidRPr="00F03917">
        <w:rPr>
          <w:rFonts w:cs="Calibri"/>
          <w:shd w:val="clear" w:color="auto" w:fill="FFFFFF"/>
        </w:rPr>
        <w:t xml:space="preserve">driven changes at the coast increase, monitoring rates of change above natural variability at a regional or local level will not clearly show the long-term trends, nor changes in the frequency and intensity of extreme events. This is why proxies for change like climate or </w:t>
      </w:r>
      <w:r w:rsidR="1F74AED2" w:rsidRPr="00F03917">
        <w:rPr>
          <w:rFonts w:cs="Calibri"/>
        </w:rPr>
        <w:t>r</w:t>
      </w:r>
      <w:r w:rsidR="1F74AED2" w:rsidRPr="00F03917">
        <w:rPr>
          <w:rFonts w:eastAsia="Calibri" w:cs="Calibri"/>
        </w:rPr>
        <w:t>elative sea-level rise (</w:t>
      </w:r>
      <w:r w:rsidRPr="00F03917">
        <w:rPr>
          <w:rFonts w:cs="Calibri"/>
          <w:shd w:val="clear" w:color="auto" w:fill="FFFFFF"/>
        </w:rPr>
        <w:t>RSLR</w:t>
      </w:r>
      <w:r w:rsidR="06162CB5" w:rsidRPr="00F03917">
        <w:rPr>
          <w:rFonts w:cs="Calibri"/>
        </w:rPr>
        <w:t>)</w:t>
      </w:r>
      <w:r w:rsidRPr="00F03917" w:rsidDel="009F36B7">
        <w:rPr>
          <w:rFonts w:cs="Calibri"/>
          <w:shd w:val="clear" w:color="auto" w:fill="FFFFFF"/>
        </w:rPr>
        <w:t xml:space="preserve"> </w:t>
      </w:r>
      <w:r w:rsidR="009F36B7" w:rsidRPr="00F03917">
        <w:rPr>
          <w:rFonts w:cs="Calibri"/>
          <w:shd w:val="clear" w:color="auto" w:fill="FFFFFF"/>
        </w:rPr>
        <w:t xml:space="preserve">projections </w:t>
      </w:r>
      <w:r w:rsidRPr="00F03917">
        <w:rPr>
          <w:rFonts w:cs="Calibri"/>
          <w:shd w:val="clear" w:color="auto" w:fill="FFFFFF"/>
        </w:rPr>
        <w:t>or increments are used to stress</w:t>
      </w:r>
      <w:r w:rsidR="00CC1C4C" w:rsidRPr="00F03917">
        <w:rPr>
          <w:rFonts w:cs="Calibri"/>
          <w:shd w:val="clear" w:color="auto" w:fill="FFFFFF"/>
        </w:rPr>
        <w:t>-</w:t>
      </w:r>
      <w:r w:rsidRPr="00F03917">
        <w:rPr>
          <w:rFonts w:cs="Calibri"/>
          <w:shd w:val="clear" w:color="auto" w:fill="FFFFFF"/>
        </w:rPr>
        <w:t xml:space="preserve">test the actions and future options and pathways. This means robust decisions at coastal locations can be made within the decision timeframes of the </w:t>
      </w:r>
      <w:r w:rsidR="1DB2D15B" w:rsidRPr="00F03917">
        <w:rPr>
          <w:rFonts w:cs="Calibri"/>
        </w:rPr>
        <w:t>Resource Management Act 1991</w:t>
      </w:r>
      <w:r w:rsidR="1DB2D15B" w:rsidRPr="00F03917">
        <w:rPr>
          <w:rFonts w:cs="Calibri"/>
          <w:shd w:val="clear" w:color="auto" w:fill="FFFFFF"/>
        </w:rPr>
        <w:t xml:space="preserve"> </w:t>
      </w:r>
      <w:r w:rsidRPr="00F03917">
        <w:rPr>
          <w:rFonts w:cs="Calibri"/>
          <w:shd w:val="clear" w:color="auto" w:fill="FFFFFF"/>
        </w:rPr>
        <w:t>and </w:t>
      </w:r>
      <w:r w:rsidR="2F82B340" w:rsidRPr="00F03917">
        <w:rPr>
          <w:rFonts w:cs="Calibri"/>
        </w:rPr>
        <w:t>Local Government Act 2002</w:t>
      </w:r>
      <w:r w:rsidR="00563D17" w:rsidRPr="00F03917">
        <w:rPr>
          <w:rFonts w:cs="Calibri"/>
          <w:shd w:val="clear" w:color="auto" w:fill="FFFFFF"/>
        </w:rPr>
        <w:t>.</w:t>
      </w:r>
      <w:r w:rsidRPr="00F03917">
        <w:rPr>
          <w:rFonts w:cs="Calibri"/>
          <w:shd w:val="clear" w:color="auto" w:fill="FFFFFF"/>
        </w:rPr>
        <w:t> </w:t>
      </w:r>
    </w:p>
    <w:p w14:paraId="2C762B64" w14:textId="6E363473" w:rsidR="00563D17" w:rsidRPr="00F03917" w:rsidRDefault="00563D17" w:rsidP="00EF3538">
      <w:pPr>
        <w:pStyle w:val="BodyText"/>
      </w:pPr>
      <w:r w:rsidRPr="00F03917">
        <w:lastRenderedPageBreak/>
        <w:t xml:space="preserve">By developing a monitoring framework that is linked to the signals and triggers developed in </w:t>
      </w:r>
      <w:hyperlink w:anchor="_10_Adaptive_planning" w:history="1">
        <w:r w:rsidR="77A60D21" w:rsidRPr="00F03917">
          <w:rPr>
            <w:rStyle w:val="Hyperlink"/>
            <w:rFonts w:cs="Calibri"/>
          </w:rPr>
          <w:t>s</w:t>
        </w:r>
        <w:r w:rsidRPr="00F03917">
          <w:rPr>
            <w:rStyle w:val="Hyperlink"/>
            <w:rFonts w:cs="Calibri"/>
          </w:rPr>
          <w:t>tep 7</w:t>
        </w:r>
      </w:hyperlink>
      <w:r w:rsidRPr="00F03917">
        <w:t xml:space="preserve"> and implemented through the channels set out in various statutory and non-statutory plans and measures (</w:t>
      </w:r>
      <w:hyperlink w:anchor="_Step_8:_Implement" w:history="1">
        <w:r w:rsidR="5E59ED76" w:rsidRPr="00F03917">
          <w:rPr>
            <w:rStyle w:val="Hyperlink"/>
            <w:rFonts w:cs="Calibri"/>
          </w:rPr>
          <w:t>s</w:t>
        </w:r>
        <w:r w:rsidRPr="00F03917">
          <w:rPr>
            <w:rStyle w:val="Hyperlink"/>
            <w:rFonts w:cs="Calibri"/>
          </w:rPr>
          <w:t>tep 8</w:t>
        </w:r>
      </w:hyperlink>
      <w:r w:rsidRPr="00F03917">
        <w:t xml:space="preserve"> and </w:t>
      </w:r>
      <w:hyperlink w:anchor="_Appendix_A:_Coastal" w:history="1">
        <w:r w:rsidR="1AA9BE4F" w:rsidRPr="00F03917">
          <w:rPr>
            <w:rStyle w:val="Hyperlink"/>
            <w:rFonts w:cs="Calibri"/>
          </w:rPr>
          <w:t>a</w:t>
        </w:r>
        <w:r w:rsidRPr="00F03917">
          <w:rPr>
            <w:rStyle w:val="Hyperlink"/>
            <w:rFonts w:cs="Calibri"/>
          </w:rPr>
          <w:t>ppendix A</w:t>
        </w:r>
      </w:hyperlink>
      <w:r w:rsidRPr="00F03917">
        <w:t xml:space="preserve">), an </w:t>
      </w:r>
      <w:r w:rsidR="00B168F5" w:rsidRPr="00F03917">
        <w:t>adapti</w:t>
      </w:r>
      <w:r w:rsidR="003717B7" w:rsidRPr="00F03917">
        <w:t>ve</w:t>
      </w:r>
      <w:r w:rsidR="00B168F5" w:rsidRPr="00F03917">
        <w:t xml:space="preserve"> plan</w:t>
      </w:r>
      <w:r w:rsidR="003717B7" w:rsidRPr="00F03917">
        <w:t>ning strategy</w:t>
      </w:r>
      <w:r w:rsidRPr="00F03917">
        <w:t xml:space="preserve"> can be dynamic, flexible</w:t>
      </w:r>
      <w:r w:rsidR="5FF67CD6" w:rsidRPr="00F03917">
        <w:t>,</w:t>
      </w:r>
      <w:r w:rsidRPr="00F03917">
        <w:t xml:space="preserve"> well embedded into ongoing community engagement</w:t>
      </w:r>
      <w:r w:rsidR="002B6157" w:rsidRPr="00F03917">
        <w:t>,</w:t>
      </w:r>
      <w:r w:rsidRPr="00F03917">
        <w:t xml:space="preserve"> and regularly reviewed and updated as</w:t>
      </w:r>
      <w:r w:rsidR="00977ED4" w:rsidRPr="00F03917">
        <w:t xml:space="preserve"> </w:t>
      </w:r>
      <w:r w:rsidRPr="00F03917">
        <w:t>climate-related conditions change.</w:t>
      </w:r>
    </w:p>
    <w:p w14:paraId="4C6B54EE" w14:textId="40E578B6" w:rsidR="00563D17" w:rsidRPr="00F03917" w:rsidRDefault="00F91735" w:rsidP="00EF3538">
      <w:pPr>
        <w:pStyle w:val="BodyText"/>
      </w:pPr>
      <w:r w:rsidRPr="00F03917">
        <w:t>T</w:t>
      </w:r>
      <w:r w:rsidR="00563D17" w:rsidRPr="00F03917">
        <w:t xml:space="preserve">he dynamic adaptive pathways </w:t>
      </w:r>
      <w:r w:rsidR="068B74EC" w:rsidRPr="00F03917">
        <w:t xml:space="preserve">planning (DAPP) </w:t>
      </w:r>
      <w:r w:rsidR="00563D17" w:rsidRPr="00F03917">
        <w:t xml:space="preserve">approach </w:t>
      </w:r>
      <w:r w:rsidRPr="00F03917">
        <w:t>inherently</w:t>
      </w:r>
      <w:r w:rsidR="00563D17" w:rsidRPr="00F03917">
        <w:t xml:space="preserve"> plans for the future in a changing world</w:t>
      </w:r>
      <w:r w:rsidR="00FF3D38" w:rsidRPr="00F03917">
        <w:t xml:space="preserve">, which </w:t>
      </w:r>
      <w:r w:rsidR="00563D17" w:rsidRPr="00F03917">
        <w:t>will have identified conditions where the responses no longer meet the</w:t>
      </w:r>
      <w:r w:rsidR="00EF3538" w:rsidRPr="00F03917">
        <w:t> </w:t>
      </w:r>
      <w:r w:rsidR="00563D17" w:rsidRPr="00F03917">
        <w:t>objectives of the adapt</w:t>
      </w:r>
      <w:r w:rsidR="00D9392D" w:rsidRPr="00F03917">
        <w:t>ive</w:t>
      </w:r>
      <w:r w:rsidR="00563D17" w:rsidRPr="00F03917">
        <w:t xml:space="preserve"> plan</w:t>
      </w:r>
      <w:r w:rsidR="00D9392D" w:rsidRPr="00F03917">
        <w:t>ning strategy</w:t>
      </w:r>
      <w:r w:rsidR="00563D17" w:rsidRPr="00F03917">
        <w:t xml:space="preserve"> (adaptation threshold). Before this point, at a predefined trigger (see examples of indicators in </w:t>
      </w:r>
      <w:hyperlink w:anchor="Table16" w:history="1">
        <w:r w:rsidR="00587826" w:rsidRPr="00F03917">
          <w:rPr>
            <w:rStyle w:val="Hyperlink"/>
          </w:rPr>
          <w:t>table 16</w:t>
        </w:r>
      </w:hyperlink>
      <w:r w:rsidR="00563D17" w:rsidRPr="00F03917">
        <w:t>), reassessment of the responses will be necessary to identify whether other actions or transfer to other pathways are required (</w:t>
      </w:r>
      <w:hyperlink w:anchor="figure21" w:history="1">
        <w:r w:rsidR="2785A1EA" w:rsidRPr="00F03917">
          <w:rPr>
            <w:rStyle w:val="Hyperlink"/>
          </w:rPr>
          <w:t>f</w:t>
        </w:r>
        <w:r w:rsidR="00563D17" w:rsidRPr="00F03917">
          <w:rPr>
            <w:rStyle w:val="Hyperlink"/>
          </w:rPr>
          <w:t>igure 2</w:t>
        </w:r>
        <w:r w:rsidR="006314C8" w:rsidRPr="00F03917">
          <w:rPr>
            <w:rStyle w:val="Hyperlink"/>
          </w:rPr>
          <w:t>1</w:t>
        </w:r>
      </w:hyperlink>
      <w:r w:rsidR="00563D17" w:rsidRPr="00F03917">
        <w:t>).</w:t>
      </w:r>
    </w:p>
    <w:p w14:paraId="4CA603F4" w14:textId="32544803" w:rsidR="00563D17" w:rsidRPr="00F03917" w:rsidRDefault="00563D17" w:rsidP="00EF3538">
      <w:pPr>
        <w:pStyle w:val="BodyText"/>
      </w:pPr>
      <w:r w:rsidRPr="00F03917">
        <w:t>A monitoring framework is, therefore, essential for implementing the adaptive planning</w:t>
      </w:r>
      <w:r w:rsidR="004B7DF0" w:rsidRPr="00F03917">
        <w:t xml:space="preserve"> strategy</w:t>
      </w:r>
      <w:r w:rsidRPr="00F03917">
        <w:t xml:space="preserve"> </w:t>
      </w:r>
      <w:r w:rsidR="00451373" w:rsidRPr="00F03917">
        <w:t>(</w:t>
      </w:r>
      <w:hyperlink w:anchor="_10_Adaptive_planning" w:history="1">
        <w:r w:rsidR="00451373" w:rsidRPr="00F03917">
          <w:rPr>
            <w:rStyle w:val="Hyperlink"/>
          </w:rPr>
          <w:t>step 7</w:t>
        </w:r>
      </w:hyperlink>
      <w:r w:rsidR="00451373" w:rsidRPr="00F03917">
        <w:t xml:space="preserve"> and </w:t>
      </w:r>
      <w:hyperlink w:anchor="_Step_8:_Implement" w:history="1">
        <w:r w:rsidR="00451373" w:rsidRPr="00F03917">
          <w:rPr>
            <w:rStyle w:val="Hyperlink"/>
          </w:rPr>
          <w:t>step 8</w:t>
        </w:r>
      </w:hyperlink>
      <w:r w:rsidR="00451373" w:rsidRPr="00F03917">
        <w:t>)</w:t>
      </w:r>
      <w:r w:rsidR="00B76E94" w:rsidRPr="00F03917">
        <w:t xml:space="preserve"> and</w:t>
      </w:r>
      <w:r w:rsidRPr="00F03917">
        <w:t xml:space="preserve"> linked to each coastal hazard related plan at the local level</w:t>
      </w:r>
      <w:r w:rsidR="00E339DB" w:rsidRPr="00F03917">
        <w:t>.</w:t>
      </w:r>
      <w:r w:rsidRPr="00F03917">
        <w:t xml:space="preserve"> A</w:t>
      </w:r>
      <w:r w:rsidR="00EF3538" w:rsidRPr="00F03917">
        <w:t> </w:t>
      </w:r>
      <w:r w:rsidRPr="00F03917">
        <w:t>sound information base, including monitoring information, is a fundamental requirement to</w:t>
      </w:r>
      <w:r w:rsidR="00EF3538" w:rsidRPr="00F03917">
        <w:t> </w:t>
      </w:r>
      <w:r w:rsidRPr="00F03917">
        <w:t xml:space="preserve">capture the pace of change (relative to an adaptation threshold) for ongoing planning for adaptation to climate change. Monitoring of the </w:t>
      </w:r>
      <w:r w:rsidR="00084050" w:rsidRPr="00F03917">
        <w:t>a</w:t>
      </w:r>
      <w:r w:rsidR="00F84847" w:rsidRPr="00F03917">
        <w:t xml:space="preserve">daptive </w:t>
      </w:r>
      <w:r w:rsidRPr="00F03917">
        <w:t>plan</w:t>
      </w:r>
      <w:r w:rsidR="00F84847" w:rsidRPr="00F03917">
        <w:t>ning strategy</w:t>
      </w:r>
      <w:r w:rsidR="75952C23" w:rsidRPr="00F03917">
        <w:t>,</w:t>
      </w:r>
      <w:r w:rsidRPr="00F03917">
        <w:t xml:space="preserve"> and </w:t>
      </w:r>
      <w:r w:rsidR="00291D10" w:rsidRPr="00F03917">
        <w:t xml:space="preserve">review of </w:t>
      </w:r>
      <w:r w:rsidRPr="00F03917">
        <w:t xml:space="preserve">new information on climate, </w:t>
      </w:r>
      <w:r w:rsidR="0A1CE41A" w:rsidRPr="00F03917">
        <w:t>sea-level rise</w:t>
      </w:r>
      <w:r w:rsidRPr="00F03917">
        <w:t xml:space="preserve">, </w:t>
      </w:r>
      <w:r w:rsidR="1C7D0CD1" w:rsidRPr="00F03917">
        <w:t>vertical</w:t>
      </w:r>
      <w:r w:rsidR="1C7D0CD1" w:rsidRPr="00F03917">
        <w:rPr>
          <w:rFonts w:eastAsia="Calibri"/>
        </w:rPr>
        <w:t xml:space="preserve"> land </w:t>
      </w:r>
      <w:r w:rsidR="1C7D0CD1" w:rsidRPr="00F03917">
        <w:t>movement</w:t>
      </w:r>
      <w:r w:rsidRPr="00F03917">
        <w:t xml:space="preserve"> and global emissions, and social, cultural and economic changes</w:t>
      </w:r>
      <w:r w:rsidR="2C2D1A2C" w:rsidRPr="00F03917">
        <w:t>,</w:t>
      </w:r>
      <w:r w:rsidRPr="00F03917">
        <w:t xml:space="preserve"> will inform the adjustments to be made to decisions or objectives. Regular monitoring contributes to an understanding of changing risks over time, and it enables timely responses to anticipated levels of risk.</w:t>
      </w:r>
    </w:p>
    <w:p w14:paraId="72400CF6" w14:textId="52F1A7E4" w:rsidR="0092449A" w:rsidRPr="00F03917" w:rsidRDefault="0092449A" w:rsidP="00C27AC7">
      <w:pPr>
        <w:pStyle w:val="BodyText"/>
      </w:pPr>
      <w:r w:rsidRPr="00F03917">
        <w:t>Councils are already engaged in monitoring</w:t>
      </w:r>
      <w:r w:rsidR="00BE1CC0" w:rsidRPr="00F03917">
        <w:t xml:space="preserve"> activities</w:t>
      </w:r>
      <w:r w:rsidRPr="00F03917">
        <w:t>:</w:t>
      </w:r>
    </w:p>
    <w:p w14:paraId="1E3E39DF" w14:textId="75B5AC7F" w:rsidR="0092449A" w:rsidRPr="00F03917" w:rsidRDefault="0D872726" w:rsidP="00595560">
      <w:pPr>
        <w:pStyle w:val="BulletFIX"/>
      </w:pPr>
      <w:r w:rsidRPr="00F03917">
        <w:t>physical changes (eg, beach profiles</w:t>
      </w:r>
      <w:r w:rsidR="00BE1CC0" w:rsidRPr="00F03917">
        <w:t xml:space="preserve"> and shoreline change</w:t>
      </w:r>
      <w:r w:rsidRPr="00F03917">
        <w:t xml:space="preserve">, LiDAR surveys, sea and river levels, rainfall and estuarine biodiversity) </w:t>
      </w:r>
    </w:p>
    <w:p w14:paraId="0A6CB3BF" w14:textId="540988E7" w:rsidR="00880D02" w:rsidRPr="00F03917" w:rsidRDefault="0D872726" w:rsidP="00595560">
      <w:pPr>
        <w:pStyle w:val="BulletFIX"/>
      </w:pPr>
      <w:r w:rsidRPr="00F03917">
        <w:t>the effectiveness of policies, plans and non-statutory strategies.</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880D02" w:rsidRPr="00F03917" w14:paraId="32A31BA9" w14:textId="77777777">
        <w:tc>
          <w:tcPr>
            <w:tcW w:w="8505" w:type="dxa"/>
            <w:shd w:val="clear" w:color="auto" w:fill="D5EBE8" w:themeFill="accent3"/>
          </w:tcPr>
          <w:p w14:paraId="73483BD2" w14:textId="37520816" w:rsidR="00770F10" w:rsidRPr="00F03917" w:rsidRDefault="3CAE2BFB" w:rsidP="00EF3538">
            <w:pPr>
              <w:pStyle w:val="Boxtext"/>
              <w:spacing w:before="240" w:after="60"/>
            </w:pPr>
            <w:r w:rsidRPr="00F03917">
              <w:rPr>
                <w:rFonts w:eastAsia="Calibri" w:cs="Calibri"/>
              </w:rPr>
              <w:t>The United Nations Environmen</w:t>
            </w:r>
            <w:r w:rsidRPr="00F03917">
              <w:rPr>
                <w:rFonts w:eastAsia="Calibri" w:cs="Calibri"/>
                <w:color w:val="1B556B" w:themeColor="text2"/>
                <w:szCs w:val="20"/>
              </w:rPr>
              <w:t>t Programme</w:t>
            </w:r>
            <w:r w:rsidRPr="00F03917">
              <w:rPr>
                <w:color w:val="1B556B" w:themeColor="text2"/>
                <w:szCs w:val="20"/>
              </w:rPr>
              <w:t xml:space="preserve"> </w:t>
            </w:r>
            <w:r w:rsidR="00770F10" w:rsidRPr="00F03917">
              <w:rPr>
                <w:color w:val="1B556B" w:themeColor="text2"/>
                <w:szCs w:val="20"/>
              </w:rPr>
              <w:t>guidance</w:t>
            </w:r>
            <w:r w:rsidR="00C86D65" w:rsidRPr="00F03917">
              <w:rPr>
                <w:color w:val="1B556B" w:themeColor="text2"/>
                <w:szCs w:val="20"/>
              </w:rPr>
              <w:t xml:space="preserve"> on advancing effectiveness of climate adaptation states</w:t>
            </w:r>
            <w:r w:rsidR="00C86D65" w:rsidRPr="00F03917">
              <w:rPr>
                <w:color w:val="1B556B" w:themeColor="text2"/>
              </w:rPr>
              <w:t xml:space="preserve"> </w:t>
            </w:r>
            <w:r w:rsidR="00C86D65" w:rsidRPr="00F03917">
              <w:t>that</w:t>
            </w:r>
            <w:r w:rsidR="0016467F" w:rsidRPr="00F03917">
              <w:t xml:space="preserve"> </w:t>
            </w:r>
            <w:r w:rsidR="0016467F" w:rsidRPr="00F03917">
              <w:rPr>
                <w:color w:val="1B556B" w:themeColor="text2"/>
                <w:szCs w:val="20"/>
              </w:rPr>
              <w:t>(UNEP, 2023, p 3)</w:t>
            </w:r>
            <w:r w:rsidR="00C86D65" w:rsidRPr="00F03917">
              <w:t>:</w:t>
            </w:r>
          </w:p>
          <w:p w14:paraId="18EC0C5D" w14:textId="29C40B4C" w:rsidR="00880D02" w:rsidRPr="00F03917" w:rsidRDefault="002F62B7" w:rsidP="00EF3538">
            <w:pPr>
              <w:pStyle w:val="Boxtext"/>
              <w:spacing w:before="80" w:after="180"/>
              <w:ind w:left="567" w:right="567"/>
            </w:pPr>
            <w:r w:rsidRPr="00F03917">
              <w:t xml:space="preserve">Adaptation interventions need to be assessed for their </w:t>
            </w:r>
            <w:r w:rsidRPr="00F03917">
              <w:rPr>
                <w:u w:val="single"/>
              </w:rPr>
              <w:t>potential</w:t>
            </w:r>
            <w:r w:rsidRPr="00F03917">
              <w:t xml:space="preserve"> effectiveness</w:t>
            </w:r>
            <w:r w:rsidR="00765BF3" w:rsidRPr="00F03917">
              <w:t xml:space="preserve"> (ex-ante) and measure </w:t>
            </w:r>
            <w:r w:rsidR="00765BF3" w:rsidRPr="00F03917">
              <w:rPr>
                <w:u w:val="single"/>
              </w:rPr>
              <w:t>actual</w:t>
            </w:r>
            <w:r w:rsidR="00765BF3" w:rsidRPr="00F03917">
              <w:t xml:space="preserve"> effectiveness (ex-post) using a set of metrics identified based on specific criteria. Monitoring and evaluation during implementation helps to ensure climate risk reduction.</w:t>
            </w:r>
            <w:r w:rsidR="00575EA9" w:rsidRPr="00F03917">
              <w:t xml:space="preserve"> [Emphasis added.]</w:t>
            </w:r>
          </w:p>
        </w:tc>
      </w:tr>
    </w:tbl>
    <w:p w14:paraId="10BAD2BA" w14:textId="6AB66D30" w:rsidR="00A40308" w:rsidRPr="00F03917" w:rsidRDefault="00A40308" w:rsidP="00E70477">
      <w:pPr>
        <w:pStyle w:val="Heading4"/>
        <w:spacing w:before="360"/>
      </w:pPr>
      <w:r w:rsidRPr="00F03917">
        <w:t>Effective monitoring</w:t>
      </w:r>
    </w:p>
    <w:p w14:paraId="0C3B11F2" w14:textId="100CB4B6" w:rsidR="0092449A" w:rsidRPr="00F03917" w:rsidRDefault="00A40308" w:rsidP="00EF3538">
      <w:pPr>
        <w:pStyle w:val="BodyText"/>
      </w:pPr>
      <w:r w:rsidRPr="00F03917">
        <w:t>Integrating existing monitoring</w:t>
      </w:r>
      <w:r w:rsidR="00F52774" w:rsidRPr="00F03917">
        <w:t xml:space="preserve"> systems with monitoring of </w:t>
      </w:r>
      <w:r w:rsidR="00E16D00" w:rsidRPr="00F03917">
        <w:t>adaptive planning</w:t>
      </w:r>
      <w:r w:rsidR="00F52774" w:rsidRPr="00F03917">
        <w:t xml:space="preserve"> strategies can leverage synergies</w:t>
      </w:r>
      <w:r w:rsidR="0053367D" w:rsidRPr="00F03917">
        <w:t xml:space="preserve"> and</w:t>
      </w:r>
      <w:r w:rsidR="00F52774" w:rsidRPr="00F03917">
        <w:t xml:space="preserve"> increase the efficiencies among activities</w:t>
      </w:r>
      <w:r w:rsidR="77EFD40A" w:rsidRPr="00F03917">
        <w:t>,</w:t>
      </w:r>
      <w:r w:rsidR="00F52774" w:rsidRPr="00F03917">
        <w:t xml:space="preserve"> better preparing councils and agencies for the climate</w:t>
      </w:r>
      <w:r w:rsidR="002B6759" w:rsidRPr="00F03917">
        <w:t>-driven changes. Ther</w:t>
      </w:r>
      <w:r w:rsidR="0053367D" w:rsidRPr="00F03917">
        <w:t>e</w:t>
      </w:r>
      <w:r w:rsidR="002B6759" w:rsidRPr="00F03917">
        <w:t xml:space="preserve"> may also be synergies between regional and district council’s coastal management that are interdependent. It may be more efficient for joint decision</w:t>
      </w:r>
      <w:r w:rsidR="00112B4F" w:rsidRPr="00F03917">
        <w:t>-</w:t>
      </w:r>
      <w:r w:rsidR="002B6759" w:rsidRPr="00F03917">
        <w:t>making to take place.</w:t>
      </w:r>
      <w:r w:rsidR="0092449A" w:rsidRPr="00F03917">
        <w:t xml:space="preserve"> </w:t>
      </w:r>
    </w:p>
    <w:p w14:paraId="220C2AE8" w14:textId="3BD859F8" w:rsidR="00BC2E1F" w:rsidRPr="00F03917" w:rsidRDefault="00BC2E1F" w:rsidP="00C27AC7">
      <w:pPr>
        <w:pStyle w:val="BodyText"/>
      </w:pPr>
      <w:bookmarkStart w:id="221" w:name="_11.2.1_Natural_environment"/>
      <w:bookmarkEnd w:id="221"/>
      <w:r w:rsidRPr="00F03917">
        <w:t xml:space="preserve">The effectiveness of a monitoring system depends on three critical criteria: </w:t>
      </w:r>
      <w:r w:rsidR="00473943" w:rsidRPr="00F03917">
        <w:t xml:space="preserve">an </w:t>
      </w:r>
      <w:r w:rsidRPr="00F03917">
        <w:t>organisa</w:t>
      </w:r>
      <w:r w:rsidR="004728BC" w:rsidRPr="00F03917">
        <w:t>tion</w:t>
      </w:r>
      <w:r w:rsidR="602E8202" w:rsidRPr="00F03917">
        <w:t>’</w:t>
      </w:r>
      <w:r w:rsidR="004728BC" w:rsidRPr="00F03917">
        <w:t>s</w:t>
      </w:r>
      <w:r w:rsidRPr="00F03917">
        <w:t xml:space="preserve"> </w:t>
      </w:r>
      <w:r w:rsidR="004728BC" w:rsidRPr="00F03917">
        <w:t>ability to</w:t>
      </w:r>
      <w:r w:rsidRPr="00F03917">
        <w:t xml:space="preserve"> implement, sustainability and accountability (Kavale, 2022). Table </w:t>
      </w:r>
      <w:r w:rsidR="00F15B24" w:rsidRPr="00F03917">
        <w:t>1</w:t>
      </w:r>
      <w:r w:rsidR="00B61650" w:rsidRPr="00F03917">
        <w:t>7</w:t>
      </w:r>
      <w:r w:rsidRPr="00F03917">
        <w:t xml:space="preserve"> describes how councils can meet these criteria.</w:t>
      </w:r>
    </w:p>
    <w:p w14:paraId="47D6DC86" w14:textId="3864737B" w:rsidR="00BC2E1F" w:rsidRPr="00F03917" w:rsidRDefault="00BC2E1F" w:rsidP="006258D2">
      <w:pPr>
        <w:pStyle w:val="Tableheading"/>
      </w:pPr>
      <w:bookmarkStart w:id="222" w:name="_Toc156555441"/>
      <w:bookmarkStart w:id="223" w:name="_Toc156559091"/>
      <w:bookmarkStart w:id="224" w:name="_Toc160098411"/>
      <w:bookmarkEnd w:id="222"/>
      <w:bookmarkEnd w:id="223"/>
      <w:r w:rsidRPr="00F03917">
        <w:lastRenderedPageBreak/>
        <w:t>Effective monitoring implementation</w:t>
      </w:r>
      <w:bookmarkEnd w:id="224"/>
      <w:r w:rsidRPr="00F03917">
        <w:t xml:space="preserve"> </w:t>
      </w:r>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CellMar>
          <w:left w:w="85" w:type="dxa"/>
          <w:right w:w="85" w:type="dxa"/>
        </w:tblCellMar>
        <w:tblLook w:val="04A0" w:firstRow="1" w:lastRow="0" w:firstColumn="1" w:lastColumn="0" w:noHBand="0" w:noVBand="1"/>
      </w:tblPr>
      <w:tblGrid>
        <w:gridCol w:w="2127"/>
        <w:gridCol w:w="3118"/>
        <w:gridCol w:w="3260"/>
      </w:tblGrid>
      <w:tr w:rsidR="00787060" w:rsidRPr="00F03917" w14:paraId="78255F4B" w14:textId="77777777" w:rsidTr="00C87930">
        <w:trPr>
          <w:cantSplit/>
        </w:trPr>
        <w:tc>
          <w:tcPr>
            <w:tcW w:w="2127" w:type="dxa"/>
            <w:shd w:val="clear" w:color="auto" w:fill="1B556B" w:themeFill="text2"/>
          </w:tcPr>
          <w:p w14:paraId="18D6DD25" w14:textId="76C53AEE" w:rsidR="00BC2E1F" w:rsidRPr="00F03917" w:rsidRDefault="00BC2E1F" w:rsidP="00C87930">
            <w:pPr>
              <w:pStyle w:val="TableTextbold"/>
              <w:keepNext/>
              <w:rPr>
                <w:color w:val="FFFFFF" w:themeColor="background1"/>
              </w:rPr>
            </w:pPr>
            <w:r w:rsidRPr="00F03917">
              <w:rPr>
                <w:color w:val="FFFFFF" w:themeColor="background1"/>
              </w:rPr>
              <w:t>Effectiveness criteria</w:t>
            </w:r>
          </w:p>
        </w:tc>
        <w:tc>
          <w:tcPr>
            <w:tcW w:w="3118" w:type="dxa"/>
            <w:shd w:val="clear" w:color="auto" w:fill="1B556B" w:themeFill="text2"/>
          </w:tcPr>
          <w:p w14:paraId="05EE8D77" w14:textId="77777777" w:rsidR="00BC2E1F" w:rsidRPr="00F03917" w:rsidRDefault="00BC2E1F" w:rsidP="00C87930">
            <w:pPr>
              <w:pStyle w:val="TableTextbold"/>
              <w:keepNext/>
              <w:rPr>
                <w:color w:val="FFFFFF" w:themeColor="background1"/>
              </w:rPr>
            </w:pPr>
            <w:r w:rsidRPr="00F03917">
              <w:rPr>
                <w:color w:val="FFFFFF" w:themeColor="background1"/>
              </w:rPr>
              <w:t xml:space="preserve">Barriers </w:t>
            </w:r>
          </w:p>
        </w:tc>
        <w:tc>
          <w:tcPr>
            <w:tcW w:w="3260" w:type="dxa"/>
            <w:shd w:val="clear" w:color="auto" w:fill="1B556B" w:themeFill="text2"/>
          </w:tcPr>
          <w:p w14:paraId="2BB5CA79" w14:textId="77777777" w:rsidR="00BC2E1F" w:rsidRPr="00F03917" w:rsidRDefault="00BC2E1F" w:rsidP="00C87930">
            <w:pPr>
              <w:pStyle w:val="TableTextbold"/>
              <w:keepNext/>
              <w:rPr>
                <w:color w:val="FFFFFF" w:themeColor="background1"/>
              </w:rPr>
            </w:pPr>
            <w:r w:rsidRPr="00F03917">
              <w:rPr>
                <w:color w:val="FFFFFF" w:themeColor="background1"/>
              </w:rPr>
              <w:t>How to address the barriers</w:t>
            </w:r>
          </w:p>
        </w:tc>
      </w:tr>
      <w:tr w:rsidR="00BC2E1F" w:rsidRPr="00F03917" w14:paraId="136386DE" w14:textId="77777777" w:rsidTr="00C87930">
        <w:trPr>
          <w:cantSplit/>
        </w:trPr>
        <w:tc>
          <w:tcPr>
            <w:tcW w:w="2127" w:type="dxa"/>
          </w:tcPr>
          <w:p w14:paraId="4CC5AA32" w14:textId="615D6190" w:rsidR="00BC2E1F" w:rsidRPr="00F03917" w:rsidRDefault="00AC4EF2" w:rsidP="00403746">
            <w:pPr>
              <w:pStyle w:val="TableText"/>
              <w:rPr>
                <w:b/>
                <w:bCs/>
              </w:rPr>
            </w:pPr>
            <w:r w:rsidRPr="00F03917">
              <w:rPr>
                <w:b/>
                <w:bCs/>
              </w:rPr>
              <w:t>Ability to implement</w:t>
            </w:r>
          </w:p>
          <w:p w14:paraId="561F13DC" w14:textId="77777777" w:rsidR="00BC2E1F" w:rsidRPr="00F03917" w:rsidRDefault="00BC2E1F" w:rsidP="00787060">
            <w:pPr>
              <w:pStyle w:val="TableText"/>
              <w:spacing w:before="0"/>
            </w:pPr>
            <w:r w:rsidRPr="00F03917">
              <w:t xml:space="preserve">The ability of councils to integrate formalised monitoring </w:t>
            </w:r>
          </w:p>
        </w:tc>
        <w:tc>
          <w:tcPr>
            <w:tcW w:w="3118" w:type="dxa"/>
          </w:tcPr>
          <w:p w14:paraId="0149B4A5" w14:textId="77777777" w:rsidR="00BC2E1F" w:rsidRPr="00F03917" w:rsidRDefault="00BC2E1F" w:rsidP="00C87930">
            <w:pPr>
              <w:pStyle w:val="TableBullet"/>
              <w:spacing w:before="60" w:after="40"/>
            </w:pPr>
            <w:r w:rsidRPr="00F03917">
              <w:t>Resource pressures</w:t>
            </w:r>
          </w:p>
          <w:p w14:paraId="03A3C9A1" w14:textId="0772A60A" w:rsidR="00BC2E1F" w:rsidRPr="00F03917" w:rsidRDefault="00BC2E1F" w:rsidP="00C87930">
            <w:pPr>
              <w:pStyle w:val="TableBullet"/>
              <w:spacing w:after="40"/>
            </w:pPr>
            <w:r w:rsidRPr="00F03917">
              <w:t>Uncertainty about how to integrate with existing monitoring</w:t>
            </w:r>
          </w:p>
          <w:p w14:paraId="3D7AD4FF" w14:textId="77777777" w:rsidR="00BC2E1F" w:rsidRPr="00F03917" w:rsidRDefault="00BC2E1F" w:rsidP="00787060">
            <w:pPr>
              <w:pStyle w:val="TableBullet"/>
            </w:pPr>
            <w:r w:rsidRPr="00F03917">
              <w:t>No clear monitoring function</w:t>
            </w:r>
          </w:p>
        </w:tc>
        <w:tc>
          <w:tcPr>
            <w:tcW w:w="3260" w:type="dxa"/>
          </w:tcPr>
          <w:p w14:paraId="2C49FFC2" w14:textId="77777777" w:rsidR="00BC2E1F" w:rsidRPr="00F03917" w:rsidRDefault="00BC2E1F" w:rsidP="00C87930">
            <w:pPr>
              <w:pStyle w:val="TableBullet"/>
              <w:spacing w:before="60" w:after="40"/>
            </w:pPr>
            <w:r w:rsidRPr="00F03917">
              <w:t>Risk and audit committees</w:t>
            </w:r>
          </w:p>
          <w:p w14:paraId="2DE591CA" w14:textId="61FC253D" w:rsidR="00BC2E1F" w:rsidRPr="00F03917" w:rsidRDefault="00BC2E1F" w:rsidP="00C87930">
            <w:pPr>
              <w:pStyle w:val="TableBullet"/>
              <w:spacing w:after="40"/>
            </w:pPr>
            <w:r w:rsidRPr="00F03917">
              <w:t xml:space="preserve">Citizen science groups augment council monitoring </w:t>
            </w:r>
          </w:p>
          <w:p w14:paraId="5B16C3D4" w14:textId="7A4E76CE" w:rsidR="00BC2E1F" w:rsidRPr="00F03917" w:rsidRDefault="00BC2E1F" w:rsidP="00403746">
            <w:pPr>
              <w:pStyle w:val="TableBullet"/>
            </w:pPr>
            <w:r w:rsidRPr="00F03917">
              <w:t xml:space="preserve">Alignment with planning timeframes, </w:t>
            </w:r>
            <w:r w:rsidR="0F2626D2" w:rsidRPr="00F03917">
              <w:t>Long-Term Plans</w:t>
            </w:r>
            <w:r w:rsidRPr="00F03917">
              <w:t xml:space="preserve"> and activities</w:t>
            </w:r>
          </w:p>
        </w:tc>
      </w:tr>
      <w:tr w:rsidR="00BC2E1F" w:rsidRPr="00F03917" w14:paraId="7F9E7B6E" w14:textId="77777777" w:rsidTr="00C87930">
        <w:trPr>
          <w:cantSplit/>
        </w:trPr>
        <w:tc>
          <w:tcPr>
            <w:tcW w:w="2127" w:type="dxa"/>
          </w:tcPr>
          <w:p w14:paraId="6C39A6DF" w14:textId="6EE73C42" w:rsidR="00BC2E1F" w:rsidRPr="00F03917" w:rsidRDefault="00BC2E1F" w:rsidP="00403746">
            <w:pPr>
              <w:pStyle w:val="TableText"/>
            </w:pPr>
            <w:r w:rsidRPr="00F03917">
              <w:rPr>
                <w:b/>
                <w:bCs/>
              </w:rPr>
              <w:t>Sustainability</w:t>
            </w:r>
            <w:r w:rsidRPr="00F03917">
              <w:t xml:space="preserve"> </w:t>
            </w:r>
          </w:p>
          <w:p w14:paraId="7AC3AA00" w14:textId="77777777" w:rsidR="00BC2E1F" w:rsidRPr="00F03917" w:rsidRDefault="00BC2E1F" w:rsidP="00787060">
            <w:pPr>
              <w:pStyle w:val="TableText"/>
              <w:spacing w:before="0"/>
            </w:pPr>
            <w:r w:rsidRPr="00F03917">
              <w:t>Monitoring continuously over the long term</w:t>
            </w:r>
          </w:p>
        </w:tc>
        <w:tc>
          <w:tcPr>
            <w:tcW w:w="3118" w:type="dxa"/>
          </w:tcPr>
          <w:p w14:paraId="3F5DBEE8" w14:textId="3735994B" w:rsidR="00BC2E1F" w:rsidRPr="00F03917" w:rsidRDefault="00BC2E1F" w:rsidP="00C87930">
            <w:pPr>
              <w:pStyle w:val="TableBullet"/>
              <w:spacing w:before="60" w:after="40"/>
            </w:pPr>
            <w:r w:rsidRPr="00F03917">
              <w:t xml:space="preserve">Staff </w:t>
            </w:r>
            <w:r w:rsidR="007A6D65" w:rsidRPr="00F03917">
              <w:t>turnover</w:t>
            </w:r>
          </w:p>
          <w:p w14:paraId="0A719C55" w14:textId="77777777" w:rsidR="00BC2E1F" w:rsidRPr="00F03917" w:rsidRDefault="00BC2E1F" w:rsidP="00C87930">
            <w:pPr>
              <w:pStyle w:val="TableBullet"/>
              <w:spacing w:after="40"/>
            </w:pPr>
            <w:r w:rsidRPr="00F03917">
              <w:t xml:space="preserve">Lack of long-term commitment </w:t>
            </w:r>
          </w:p>
          <w:p w14:paraId="43871862" w14:textId="77777777" w:rsidR="00BC2E1F" w:rsidRPr="00F03917" w:rsidRDefault="00BC2E1F" w:rsidP="00403746">
            <w:pPr>
              <w:pStyle w:val="TableBullet"/>
            </w:pPr>
            <w:r w:rsidRPr="00F03917">
              <w:t>Competing activities and funding priorities</w:t>
            </w:r>
          </w:p>
        </w:tc>
        <w:tc>
          <w:tcPr>
            <w:tcW w:w="3260" w:type="dxa"/>
          </w:tcPr>
          <w:p w14:paraId="30BF4796" w14:textId="77777777" w:rsidR="00BC2E1F" w:rsidRPr="00F03917" w:rsidRDefault="00BC2E1F" w:rsidP="00C87930">
            <w:pPr>
              <w:pStyle w:val="TableBullet"/>
              <w:spacing w:before="60" w:after="40"/>
            </w:pPr>
            <w:r w:rsidRPr="00F03917">
              <w:t>Formalise in council processes</w:t>
            </w:r>
          </w:p>
          <w:p w14:paraId="352A131E" w14:textId="77777777" w:rsidR="00BC2E1F" w:rsidRPr="00F03917" w:rsidRDefault="00BC2E1F" w:rsidP="00C87930">
            <w:pPr>
              <w:pStyle w:val="TableBullet"/>
              <w:spacing w:after="40"/>
            </w:pPr>
            <w:r w:rsidRPr="00F03917">
              <w:t>Embed responsibilities into planning methods</w:t>
            </w:r>
          </w:p>
          <w:p w14:paraId="2A2C46A2" w14:textId="77777777" w:rsidR="00BC2E1F" w:rsidRPr="00F03917" w:rsidRDefault="00BC2E1F" w:rsidP="00403746">
            <w:pPr>
              <w:pStyle w:val="TableBullet"/>
            </w:pPr>
            <w:r w:rsidRPr="00F03917">
              <w:t xml:space="preserve">Formalise in a council role, not a person </w:t>
            </w:r>
          </w:p>
        </w:tc>
      </w:tr>
      <w:tr w:rsidR="00BC2E1F" w:rsidRPr="00F03917" w14:paraId="7F160C93" w14:textId="77777777" w:rsidTr="00C87930">
        <w:trPr>
          <w:cantSplit/>
        </w:trPr>
        <w:tc>
          <w:tcPr>
            <w:tcW w:w="2127" w:type="dxa"/>
          </w:tcPr>
          <w:p w14:paraId="7DF22F35" w14:textId="6C2C2F07" w:rsidR="00BC2E1F" w:rsidRPr="00F03917" w:rsidRDefault="00BC2E1F" w:rsidP="00403746">
            <w:pPr>
              <w:pStyle w:val="TableText"/>
            </w:pPr>
            <w:r w:rsidRPr="00F03917">
              <w:rPr>
                <w:b/>
                <w:bCs/>
              </w:rPr>
              <w:t>Accountability</w:t>
            </w:r>
          </w:p>
          <w:p w14:paraId="4F09F505" w14:textId="212D8794" w:rsidR="00BC2E1F" w:rsidRPr="00F03917" w:rsidRDefault="00BC2E1F" w:rsidP="00787060">
            <w:pPr>
              <w:pStyle w:val="TableText"/>
              <w:spacing w:before="0"/>
            </w:pPr>
            <w:r w:rsidRPr="00F03917">
              <w:t xml:space="preserve">Those responsible for acting on signals and triggers are accountable </w:t>
            </w:r>
          </w:p>
        </w:tc>
        <w:tc>
          <w:tcPr>
            <w:tcW w:w="3118" w:type="dxa"/>
          </w:tcPr>
          <w:p w14:paraId="4C09A8E4" w14:textId="6AB6FA40" w:rsidR="00BC2E1F" w:rsidRPr="00F03917" w:rsidRDefault="00BC2E1F" w:rsidP="00C87930">
            <w:pPr>
              <w:pStyle w:val="TableBullet"/>
              <w:spacing w:before="60" w:after="40"/>
            </w:pPr>
            <w:r w:rsidRPr="00F03917">
              <w:t>Different governance levels creating complexity</w:t>
            </w:r>
          </w:p>
          <w:p w14:paraId="29A11822" w14:textId="77777777" w:rsidR="00BC2E1F" w:rsidRPr="00F03917" w:rsidRDefault="00BC2E1F" w:rsidP="00C87930">
            <w:pPr>
              <w:pStyle w:val="TableBullet"/>
              <w:spacing w:after="40"/>
            </w:pPr>
            <w:r w:rsidRPr="00F03917">
              <w:t xml:space="preserve">Ambiguous responsibilities </w:t>
            </w:r>
          </w:p>
          <w:p w14:paraId="24279A02" w14:textId="08AB6004" w:rsidR="00BC2E1F" w:rsidRPr="00F03917" w:rsidRDefault="00BC2E1F" w:rsidP="00403746">
            <w:pPr>
              <w:pStyle w:val="TableBullet"/>
            </w:pPr>
            <w:r w:rsidRPr="00F03917">
              <w:t>Inadequate compliance systems</w:t>
            </w:r>
          </w:p>
        </w:tc>
        <w:tc>
          <w:tcPr>
            <w:tcW w:w="3260" w:type="dxa"/>
          </w:tcPr>
          <w:p w14:paraId="1E4C0769" w14:textId="77777777" w:rsidR="00BC2E1F" w:rsidRPr="00F03917" w:rsidRDefault="00BC2E1F" w:rsidP="00C87930">
            <w:pPr>
              <w:pStyle w:val="TableBullet"/>
              <w:spacing w:before="60" w:after="40"/>
            </w:pPr>
            <w:r w:rsidRPr="00F03917">
              <w:t xml:space="preserve">Delineate a primary authority for monitoring </w:t>
            </w:r>
          </w:p>
          <w:p w14:paraId="65C501F6" w14:textId="77777777" w:rsidR="00BC2E1F" w:rsidRPr="00F03917" w:rsidRDefault="00BC2E1F" w:rsidP="00C87930">
            <w:pPr>
              <w:pStyle w:val="TableBullet"/>
              <w:spacing w:after="40"/>
            </w:pPr>
            <w:r w:rsidRPr="00F03917">
              <w:t xml:space="preserve">Create legal consequences </w:t>
            </w:r>
          </w:p>
          <w:p w14:paraId="51E92AC2" w14:textId="3EB9E1C7" w:rsidR="00BC2E1F" w:rsidRPr="00F03917" w:rsidRDefault="00BC2E1F" w:rsidP="00C87930">
            <w:pPr>
              <w:pStyle w:val="TableBullet"/>
              <w:spacing w:after="40"/>
            </w:pPr>
            <w:r w:rsidRPr="00F03917">
              <w:t>Create clear authority for signal</w:t>
            </w:r>
            <w:r w:rsidR="28DDE0E0" w:rsidRPr="00F03917">
              <w:t xml:space="preserve"> and </w:t>
            </w:r>
            <w:r w:rsidRPr="00F03917">
              <w:t>trigger review and action in a publicly visible way</w:t>
            </w:r>
          </w:p>
          <w:p w14:paraId="791A3FFF" w14:textId="77777777" w:rsidR="00BC2E1F" w:rsidRPr="00F03917" w:rsidRDefault="00BC2E1F" w:rsidP="00403746">
            <w:pPr>
              <w:pStyle w:val="TableBullet"/>
            </w:pPr>
            <w:r w:rsidRPr="00F03917">
              <w:t xml:space="preserve">Socialise monitoring with local communities </w:t>
            </w:r>
          </w:p>
        </w:tc>
      </w:tr>
    </w:tbl>
    <w:p w14:paraId="2E4020C8" w14:textId="0E9A1053" w:rsidR="00BC2E1F" w:rsidRPr="00F03917" w:rsidRDefault="7E7AE0D0" w:rsidP="001129FB">
      <w:pPr>
        <w:pStyle w:val="Source"/>
        <w:spacing w:after="0"/>
      </w:pPr>
      <w:r w:rsidRPr="00F03917">
        <w:t xml:space="preserve">Source: </w:t>
      </w:r>
      <w:r w:rsidR="00BC2E1F" w:rsidRPr="00F03917">
        <w:t>Adapted from Kavale (2022)</w:t>
      </w:r>
    </w:p>
    <w:p w14:paraId="423A0349" w14:textId="3D0668FD" w:rsidR="00095FEF" w:rsidRPr="00F03917" w:rsidRDefault="00095FEF" w:rsidP="00297060">
      <w:pPr>
        <w:pStyle w:val="Heading4"/>
        <w:spacing w:before="360"/>
      </w:pPr>
      <w:r w:rsidRPr="00F03917">
        <w:t>Constraints affecting monitoring regimes</w:t>
      </w:r>
    </w:p>
    <w:p w14:paraId="7B67874C" w14:textId="14140237" w:rsidR="00DA194E" w:rsidRPr="00F03917" w:rsidRDefault="00DA194E" w:rsidP="00010324">
      <w:pPr>
        <w:pStyle w:val="BodyText"/>
      </w:pPr>
      <w:r w:rsidRPr="00F03917">
        <w:t>Several constraints affect the ability to implement a monitoring regime.</w:t>
      </w:r>
      <w:r w:rsidR="00F80434" w:rsidRPr="00F03917">
        <w:t xml:space="preserve"> T</w:t>
      </w:r>
      <w:r w:rsidRPr="00F03917">
        <w:t>he prevailing political</w:t>
      </w:r>
      <w:r w:rsidR="00010324" w:rsidRPr="00F03917">
        <w:t> </w:t>
      </w:r>
      <w:r w:rsidRPr="00F03917">
        <w:t>settings, governance arrangements, statutory frameworks, economic conditions and</w:t>
      </w:r>
      <w:r w:rsidR="00010324" w:rsidRPr="00F03917">
        <w:t> </w:t>
      </w:r>
      <w:r w:rsidR="004F47C5" w:rsidRPr="00F03917">
        <w:t xml:space="preserve">the </w:t>
      </w:r>
      <w:r w:rsidRPr="00F03917">
        <w:t>availability of resources can all constrain or enable effective monitoring of change. For</w:t>
      </w:r>
      <w:r w:rsidR="00010324" w:rsidRPr="00F03917">
        <w:t> </w:t>
      </w:r>
      <w:r w:rsidRPr="00F03917">
        <w:t xml:space="preserve">example, a 10-year funding focus with three yearly </w:t>
      </w:r>
      <w:r w:rsidR="5625EB93" w:rsidRPr="00F03917">
        <w:t xml:space="preserve">Long-Term Plan </w:t>
      </w:r>
      <w:r w:rsidRPr="00F03917">
        <w:t>reviews promote</w:t>
      </w:r>
      <w:r w:rsidR="04C8895F" w:rsidRPr="00F03917">
        <w:t>s</w:t>
      </w:r>
      <w:r w:rsidR="00010324" w:rsidRPr="00F03917">
        <w:t> </w:t>
      </w:r>
      <w:r w:rsidRPr="00F03917">
        <w:t>a short-term focus that can result in shifts in priorities that compete with the ongoing monitoring regime.</w:t>
      </w:r>
      <w:r w:rsidR="00EF3538" w:rsidRPr="00F03917">
        <w:t xml:space="preserve"> </w:t>
      </w:r>
      <w:r w:rsidRPr="00F03917">
        <w:t xml:space="preserve">The 30-year local government infrastructure strategies take a longer view on funding services, which may provide opportunities to fund monitoring of changes in service levels and trends in maintenance and recovery costs. </w:t>
      </w:r>
      <w:r w:rsidR="004151AD" w:rsidRPr="00F03917">
        <w:t xml:space="preserve">There is also a </w:t>
      </w:r>
      <w:r w:rsidR="00E73F9B" w:rsidRPr="00F03917">
        <w:t xml:space="preserve">risk of bias towards </w:t>
      </w:r>
      <w:r w:rsidR="008E6C49" w:rsidRPr="00F03917">
        <w:t xml:space="preserve">short-term </w:t>
      </w:r>
      <w:r w:rsidR="00DC622A" w:rsidRPr="00F03917">
        <w:t xml:space="preserve">monitoring </w:t>
      </w:r>
      <w:r w:rsidR="008E6C49" w:rsidRPr="00F03917">
        <w:t>investments</w:t>
      </w:r>
      <w:r w:rsidR="0079068B" w:rsidRPr="00F03917">
        <w:t xml:space="preserve"> for </w:t>
      </w:r>
      <w:r w:rsidRPr="00F03917">
        <w:t>‘protecting’ communities from coastal hazards and sea-level rise, as opposed to reducing future risk. Building on existing monitoring systems is one way of gaining efficiencies.</w:t>
      </w:r>
    </w:p>
    <w:p w14:paraId="4DBE7062" w14:textId="5CD3DF8F" w:rsidR="00DA194E" w:rsidRPr="00F03917" w:rsidRDefault="00DA194E" w:rsidP="00010324">
      <w:pPr>
        <w:pStyle w:val="BodyText"/>
      </w:pPr>
      <w:r w:rsidRPr="00F03917">
        <w:t xml:space="preserve">Monitoring systems that can be maintained over time within local contexts are fundamental for coastal situations where sea level will continue rising for centuries. This makes long-term tracking and assessment of changes in conditions essential to inform and review the ongoing implementation of the </w:t>
      </w:r>
      <w:r w:rsidR="0049393B" w:rsidRPr="00F03917">
        <w:t xml:space="preserve">adaptive planning </w:t>
      </w:r>
      <w:r w:rsidRPr="00F03917">
        <w:t>strategy. Well-designed statutory frameworks and consistent decision practices will facilitate ongoing monitoring and pathway choices contingent on signals and triggers.</w:t>
      </w:r>
    </w:p>
    <w:p w14:paraId="765057E2" w14:textId="209F76DA" w:rsidR="00C40DB6" w:rsidRPr="00F03917" w:rsidRDefault="00C40DB6" w:rsidP="00FA1C4A">
      <w:pPr>
        <w:pStyle w:val="Heading3"/>
        <w:numPr>
          <w:ilvl w:val="0"/>
          <w:numId w:val="35"/>
        </w:numPr>
        <w:spacing w:before="240"/>
      </w:pPr>
      <w:r w:rsidRPr="00F03917">
        <w:t>Establish the monitoring regime</w:t>
      </w:r>
    </w:p>
    <w:p w14:paraId="5B2F5EE9" w14:textId="756FDEDD" w:rsidR="007C5CE7" w:rsidRPr="00F03917" w:rsidRDefault="007C5CE7" w:rsidP="00010324">
      <w:pPr>
        <w:pStyle w:val="Heading4"/>
      </w:pPr>
      <w:r w:rsidRPr="00F03917">
        <w:t>Define the purpose of the monitoring regime</w:t>
      </w:r>
    </w:p>
    <w:p w14:paraId="0CCB4393" w14:textId="79FA4649" w:rsidR="00BC2E1F" w:rsidRPr="00F03917" w:rsidRDefault="00BC2E1F" w:rsidP="00535EC2">
      <w:pPr>
        <w:pStyle w:val="BodyText"/>
        <w:spacing w:after="240"/>
      </w:pPr>
      <w:r w:rsidRPr="00F03917">
        <w:t>Start by clarifying the purpose of the monitoring regime. This determines the most appropriate elements to use (Bell et al, 2002), such as the types of indicators</w:t>
      </w:r>
      <w:r w:rsidR="00380957" w:rsidRPr="00F03917">
        <w:t xml:space="preserve"> that</w:t>
      </w:r>
      <w:r w:rsidR="0080381A" w:rsidRPr="00F03917">
        <w:t xml:space="preserve"> can be used</w:t>
      </w:r>
      <w:r w:rsidRPr="00F03917">
        <w:t xml:space="preserve"> to detect change.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535EC2" w:rsidRPr="00F03917" w14:paraId="6D851600" w14:textId="77777777" w:rsidTr="0036266A">
        <w:tc>
          <w:tcPr>
            <w:tcW w:w="8505" w:type="dxa"/>
            <w:shd w:val="clear" w:color="auto" w:fill="D5EBE8" w:themeFill="accent3"/>
          </w:tcPr>
          <w:p w14:paraId="395E30DB" w14:textId="4D7C8E6D" w:rsidR="00535EC2" w:rsidRPr="00F03917" w:rsidRDefault="00535EC2" w:rsidP="00535EC2">
            <w:pPr>
              <w:pStyle w:val="Boxtext"/>
              <w:spacing w:before="240" w:after="240"/>
            </w:pPr>
            <w:r w:rsidRPr="00F03917">
              <w:lastRenderedPageBreak/>
              <w:t>Designing the regime to monitor signals and triggers is an iterative process, informed by council engagement with the community, iwi/hapū and other stakeholders.</w:t>
            </w:r>
          </w:p>
        </w:tc>
      </w:tr>
    </w:tbl>
    <w:p w14:paraId="3AA9F18E" w14:textId="7ABD0DA1" w:rsidR="00BC2E1F" w:rsidRPr="00F03917" w:rsidRDefault="00BC2E1F" w:rsidP="00535EC2">
      <w:pPr>
        <w:pStyle w:val="BodyText"/>
        <w:spacing w:before="240"/>
      </w:pPr>
      <w:r w:rsidRPr="00F03917">
        <w:t>Clearly define the roles of those taking part in decisions or review</w:t>
      </w:r>
      <w:r w:rsidR="0080381A" w:rsidRPr="00F03917">
        <w:t xml:space="preserve"> at the trigger point</w:t>
      </w:r>
      <w:r w:rsidRPr="00F03917">
        <w:t>. This promotes transparency and equity among stakeholders. Engagement on signals and triggers will have identified who holds data and resources that will be helpful in monitoring. This could</w:t>
      </w:r>
      <w:r w:rsidR="00010324" w:rsidRPr="00F03917">
        <w:t> </w:t>
      </w:r>
      <w:r w:rsidRPr="00F03917">
        <w:t>include indicators monitored by local citizens, such as king-tide photos, CoastSnap</w:t>
      </w:r>
      <w:r w:rsidR="00AB734E" w:rsidRPr="00F03917">
        <w:rPr>
          <w:rStyle w:val="FootnoteReference"/>
        </w:rPr>
        <w:footnoteReference w:id="91"/>
      </w:r>
      <w:r w:rsidRPr="00F03917">
        <w:t xml:space="preserve"> or</w:t>
      </w:r>
      <w:r w:rsidR="00010324" w:rsidRPr="00F03917">
        <w:t> </w:t>
      </w:r>
      <w:r w:rsidRPr="00F03917">
        <w:t>iwi/hapū observations within their rohe</w:t>
      </w:r>
      <w:r w:rsidR="00DB5A29" w:rsidRPr="00F03917">
        <w:t xml:space="preserve"> (</w:t>
      </w:r>
      <w:r w:rsidR="00590CB2" w:rsidRPr="00F03917">
        <w:t xml:space="preserve">a </w:t>
      </w:r>
      <w:r w:rsidR="00DB5A29" w:rsidRPr="00F03917">
        <w:t>tribal district</w:t>
      </w:r>
      <w:r w:rsidR="00F535E6" w:rsidRPr="00F03917">
        <w:t>)</w:t>
      </w:r>
      <w:r w:rsidRPr="00F03917">
        <w:t>.</w:t>
      </w:r>
    </w:p>
    <w:p w14:paraId="24A49673" w14:textId="5FFEB0A4" w:rsidR="00BC2E1F" w:rsidRPr="00F03917" w:rsidRDefault="00BC2E1F" w:rsidP="00010324">
      <w:pPr>
        <w:pStyle w:val="Heading4"/>
      </w:pPr>
      <w:r w:rsidRPr="00F03917">
        <w:t xml:space="preserve">Define </w:t>
      </w:r>
      <w:r w:rsidR="00EA7E9A" w:rsidRPr="00F03917">
        <w:t xml:space="preserve">the monitoring </w:t>
      </w:r>
      <w:r w:rsidRPr="00F03917">
        <w:t>responsibilities</w:t>
      </w:r>
    </w:p>
    <w:p w14:paraId="592C86A7" w14:textId="7AAF0B1B" w:rsidR="00BC2E1F" w:rsidRPr="00F03917" w:rsidRDefault="00EA7E9A" w:rsidP="00010324">
      <w:pPr>
        <w:pStyle w:val="BodyText"/>
        <w:spacing w:after="240"/>
      </w:pPr>
      <w:r w:rsidRPr="00F03917">
        <w:t>To enable</w:t>
      </w:r>
      <w:r w:rsidR="00BC2E1F" w:rsidRPr="00F03917">
        <w:t xml:space="preserve"> sustainable, long-term and continuous monitoring, decide which agency </w:t>
      </w:r>
      <w:r w:rsidR="007507A3" w:rsidRPr="00F03917">
        <w:t>or</w:t>
      </w:r>
      <w:r w:rsidR="00BC2E1F" w:rsidRPr="00F03917">
        <w:t xml:space="preserve"> individual </w:t>
      </w:r>
      <w:r w:rsidR="001B25CE" w:rsidRPr="00F03917">
        <w:t xml:space="preserve">in the organisation </w:t>
      </w:r>
      <w:r w:rsidR="00BC2E1F" w:rsidRPr="00F03917">
        <w:t xml:space="preserve">monitors the signals and triggers, </w:t>
      </w:r>
      <w:r w:rsidR="00C93719" w:rsidRPr="00F03917">
        <w:t xml:space="preserve">how the organisation </w:t>
      </w:r>
      <w:r w:rsidR="00BC2E1F" w:rsidRPr="00F03917">
        <w:t>activates the next steps</w:t>
      </w:r>
      <w:r w:rsidR="001B25CE" w:rsidRPr="00F03917">
        <w:t>,</w:t>
      </w:r>
      <w:r w:rsidR="000A4BF1" w:rsidRPr="00F03917">
        <w:t xml:space="preserve"> and who</w:t>
      </w:r>
      <w:r w:rsidR="0033519E" w:rsidRPr="00F03917">
        <w:t> </w:t>
      </w:r>
      <w:r w:rsidR="000A4BF1" w:rsidRPr="00F03917">
        <w:t>or what part of the organisation is accountable</w:t>
      </w:r>
      <w:r w:rsidR="00AF1216" w:rsidRPr="00F03917">
        <w:t>,</w:t>
      </w:r>
      <w:r w:rsidR="000A4BF1" w:rsidRPr="00F03917">
        <w:t xml:space="preserve"> </w:t>
      </w:r>
      <w:r w:rsidR="69AC433F" w:rsidRPr="00F03917">
        <w:t>for example</w:t>
      </w:r>
      <w:r w:rsidR="400C4755" w:rsidRPr="00F03917">
        <w:t>,</w:t>
      </w:r>
      <w:r w:rsidR="0F7EC294" w:rsidRPr="00F03917">
        <w:t xml:space="preserve"> </w:t>
      </w:r>
      <w:r w:rsidR="638B12D4" w:rsidRPr="00F03917">
        <w:t>a</w:t>
      </w:r>
      <w:r w:rsidR="000A4BF1" w:rsidRPr="00F03917">
        <w:t xml:space="preserve"> senior </w:t>
      </w:r>
      <w:r w:rsidR="00183AC5" w:rsidRPr="00F03917">
        <w:t>manager and risk committee</w:t>
      </w:r>
      <w:r w:rsidR="001B25CE" w:rsidRPr="00F03917">
        <w:t>, so decisions can be made with</w:t>
      </w:r>
      <w:r w:rsidR="00A502C5" w:rsidRPr="00F03917">
        <w:t xml:space="preserve"> enough</w:t>
      </w:r>
      <w:r w:rsidR="00BC2E1F" w:rsidRPr="00F03917">
        <w:t xml:space="preserve"> lead time before a threshold is</w:t>
      </w:r>
      <w:r w:rsidR="0033519E" w:rsidRPr="00F03917">
        <w:t> </w:t>
      </w:r>
      <w:r w:rsidR="00BC2E1F" w:rsidRPr="00F03917">
        <w:t xml:space="preserve">reached.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9D314C" w:rsidRPr="00F03917" w14:paraId="69D52102" w14:textId="77777777">
        <w:tc>
          <w:tcPr>
            <w:tcW w:w="8505" w:type="dxa"/>
            <w:shd w:val="clear" w:color="auto" w:fill="D5EBE8" w:themeFill="accent3"/>
          </w:tcPr>
          <w:p w14:paraId="2C31653F" w14:textId="3FAA2A7E" w:rsidR="009D314C" w:rsidRPr="00F03917" w:rsidRDefault="009D314C" w:rsidP="00EC3666">
            <w:pPr>
              <w:pStyle w:val="Boxtext"/>
              <w:spacing w:before="240"/>
              <w:rPr>
                <w:b/>
              </w:rPr>
            </w:pPr>
            <w:r w:rsidRPr="00F03917">
              <w:rPr>
                <w:b/>
              </w:rPr>
              <w:t>Guiding questions</w:t>
            </w:r>
          </w:p>
          <w:p w14:paraId="226DD378" w14:textId="27B1F823" w:rsidR="009D314C" w:rsidRPr="00F03917" w:rsidRDefault="009D314C" w:rsidP="00010324">
            <w:pPr>
              <w:pStyle w:val="Boxbullet"/>
              <w:spacing w:after="80"/>
            </w:pPr>
            <w:r w:rsidRPr="00F03917">
              <w:t>What new or revised statutory processes and council priorities are needed for monitoring indicators and for setting and documenting signals and triggers?</w:t>
            </w:r>
          </w:p>
          <w:p w14:paraId="6A5666A0" w14:textId="4109F6CF" w:rsidR="009D314C" w:rsidRPr="00F03917" w:rsidDel="002428DE" w:rsidRDefault="009D314C" w:rsidP="00010324">
            <w:pPr>
              <w:pStyle w:val="Boxbullet"/>
              <w:spacing w:after="80"/>
            </w:pPr>
            <w:r w:rsidRPr="00F03917" w:rsidDel="002428DE">
              <w:t>Will the processes</w:t>
            </w:r>
            <w:r w:rsidR="174B35C7" w:rsidRPr="00F03917">
              <w:t>,</w:t>
            </w:r>
            <w:r w:rsidRPr="00F03917" w:rsidDel="002428DE">
              <w:t xml:space="preserve"> monitoring</w:t>
            </w:r>
            <w:r w:rsidR="656E303C" w:rsidRPr="00F03917">
              <w:t xml:space="preserve"> and </w:t>
            </w:r>
            <w:r w:rsidRPr="00F03917" w:rsidDel="002428DE">
              <w:t>review require training or increased awareness at various levels of decision</w:t>
            </w:r>
            <w:r w:rsidRPr="00F03917">
              <w:t>-</w:t>
            </w:r>
            <w:r w:rsidRPr="00F03917" w:rsidDel="002428DE">
              <w:t>making?</w:t>
            </w:r>
          </w:p>
          <w:p w14:paraId="0FAC05A2" w14:textId="404B6899" w:rsidR="009D314C" w:rsidRPr="00F03917" w:rsidDel="002428DE" w:rsidRDefault="009D314C" w:rsidP="00010324">
            <w:pPr>
              <w:pStyle w:val="Boxbullet"/>
              <w:spacing w:after="80"/>
            </w:pPr>
            <w:r w:rsidRPr="00F03917" w:rsidDel="002428DE">
              <w:t xml:space="preserve">Have </w:t>
            </w:r>
            <w:r w:rsidRPr="00F03917">
              <w:t>we assigned</w:t>
            </w:r>
            <w:r w:rsidRPr="00F03917" w:rsidDel="002428DE">
              <w:t xml:space="preserve"> responsibilities for monitoring</w:t>
            </w:r>
            <w:r w:rsidR="000D77BD" w:rsidRPr="00F03917">
              <w:t>,</w:t>
            </w:r>
            <w:r w:rsidRPr="00F03917" w:rsidDel="002428DE">
              <w:t xml:space="preserve"> so the indicators</w:t>
            </w:r>
            <w:r w:rsidR="004A359E" w:rsidRPr="00F03917">
              <w:t xml:space="preserve"> can be activated in a timely manner</w:t>
            </w:r>
            <w:r w:rsidR="00921283" w:rsidRPr="00F03917">
              <w:t>?</w:t>
            </w:r>
            <w:r w:rsidRPr="00F03917" w:rsidDel="002428DE">
              <w:t xml:space="preserve"> </w:t>
            </w:r>
          </w:p>
          <w:p w14:paraId="5560D4D8" w14:textId="364E2F67" w:rsidR="009D314C" w:rsidRPr="00F03917" w:rsidDel="002428DE" w:rsidRDefault="009D314C" w:rsidP="00010324">
            <w:pPr>
              <w:pStyle w:val="Boxbullet"/>
              <w:spacing w:after="80"/>
            </w:pPr>
            <w:r w:rsidRPr="00F03917" w:rsidDel="002428DE">
              <w:t>Which agency or group in council should carry out monitoring</w:t>
            </w:r>
            <w:r w:rsidR="00921283" w:rsidRPr="00F03917">
              <w:t>, record the results</w:t>
            </w:r>
            <w:r w:rsidRPr="00F03917">
              <w:t xml:space="preserve"> and analyse the data</w:t>
            </w:r>
            <w:r w:rsidRPr="00F03917" w:rsidDel="002428DE">
              <w:t>?</w:t>
            </w:r>
          </w:p>
          <w:p w14:paraId="7ED236C2" w14:textId="707D51D7" w:rsidR="009D314C" w:rsidRPr="00F03917" w:rsidRDefault="009D314C" w:rsidP="00010324">
            <w:pPr>
              <w:pStyle w:val="Boxbullet"/>
              <w:spacing w:after="80"/>
            </w:pPr>
            <w:r w:rsidRPr="00F03917">
              <w:t>Ha</w:t>
            </w:r>
            <w:r w:rsidR="009664E3" w:rsidRPr="00F03917">
              <w:t>s</w:t>
            </w:r>
            <w:r w:rsidRPr="00F03917">
              <w:t xml:space="preserve"> a formal ‘institutional memory’</w:t>
            </w:r>
            <w:r w:rsidR="009664E3" w:rsidRPr="00F03917">
              <w:t xml:space="preserve"> been set up</w:t>
            </w:r>
            <w:r w:rsidRPr="00F03917">
              <w:t xml:space="preserve"> so responsibility can be passed on as personnel change over time?</w:t>
            </w:r>
          </w:p>
          <w:p w14:paraId="5548EDBC" w14:textId="0C1D316C" w:rsidR="009D314C" w:rsidRPr="00F03917" w:rsidRDefault="009D314C" w:rsidP="00010324">
            <w:pPr>
              <w:pStyle w:val="Boxbullet"/>
              <w:spacing w:after="240"/>
            </w:pPr>
            <w:r w:rsidRPr="00F03917">
              <w:t>Who or what partnership commits funding to the monitoring?</w:t>
            </w:r>
          </w:p>
        </w:tc>
      </w:tr>
    </w:tbl>
    <w:p w14:paraId="34854C97" w14:textId="59EA73AE" w:rsidR="008D7142" w:rsidRPr="00F03917" w:rsidRDefault="008D7142" w:rsidP="00263225">
      <w:pPr>
        <w:pStyle w:val="Heading4"/>
        <w:spacing w:before="400"/>
      </w:pPr>
      <w:r w:rsidRPr="00F03917">
        <w:t>Establish the governance, management and reporting</w:t>
      </w:r>
    </w:p>
    <w:p w14:paraId="653A196D" w14:textId="1718CC25" w:rsidR="007E6AC5" w:rsidRPr="00F03917" w:rsidRDefault="007E6AC5" w:rsidP="00010324">
      <w:pPr>
        <w:pStyle w:val="BodyText"/>
      </w:pPr>
      <w:r w:rsidRPr="00F03917">
        <w:t>Decide the governance arrangements for receiving the reporting for action</w:t>
      </w:r>
      <w:r w:rsidR="00BE27DC" w:rsidRPr="00F03917">
        <w:t>. T</w:t>
      </w:r>
      <w:r w:rsidRPr="00F03917">
        <w:t>he composition of the governing body should represent the functional interests for coastal hazards and climate change and include mana whenua.</w:t>
      </w:r>
    </w:p>
    <w:p w14:paraId="00EE4B8F" w14:textId="19ADC2F6" w:rsidR="00742171" w:rsidRPr="00F03917" w:rsidRDefault="007E6AC5" w:rsidP="00010324">
      <w:pPr>
        <w:pStyle w:val="BodyText"/>
        <w:spacing w:after="240"/>
        <w:rPr>
          <w:rFonts w:cs="Calibri"/>
          <w:color w:val="000000" w:themeColor="text1"/>
        </w:rPr>
      </w:pPr>
      <w:r w:rsidRPr="00F03917">
        <w:rPr>
          <w:rFonts w:cs="Calibri"/>
        </w:rPr>
        <w:t>Decide who will manage, analyse, aggregate or synthesise the results of the monitoring of the indicators</w:t>
      </w:r>
      <w:r w:rsidR="006F3C12" w:rsidRPr="00F03917">
        <w:rPr>
          <w:rFonts w:cs="Calibri"/>
        </w:rPr>
        <w:t>. Also decide</w:t>
      </w:r>
      <w:r w:rsidRPr="00F03917">
        <w:rPr>
          <w:rFonts w:cs="Calibri"/>
        </w:rPr>
        <w:t xml:space="preserve"> who will provide regular reporting with information and interpretation to decision-makers, the </w:t>
      </w:r>
      <w:r w:rsidR="00645E38" w:rsidRPr="00F03917">
        <w:rPr>
          <w:rFonts w:cs="Calibri"/>
        </w:rPr>
        <w:t>community</w:t>
      </w:r>
      <w:r w:rsidRPr="00F03917">
        <w:rPr>
          <w:rFonts w:cs="Calibri"/>
        </w:rPr>
        <w:t xml:space="preserve"> and other stakeholders.</w:t>
      </w:r>
      <w:r w:rsidRPr="00F03917">
        <w:rPr>
          <w:rFonts w:cs="Calibri"/>
          <w:color w:val="000000" w:themeColor="text1"/>
        </w:rPr>
        <w:t xml:space="preserve"> Comprehensive oversight of the indicators at different scales can support </w:t>
      </w:r>
      <w:r w:rsidR="000D2D94" w:rsidRPr="00F03917">
        <w:rPr>
          <w:rFonts w:cs="Calibri"/>
          <w:color w:val="000000" w:themeColor="text1"/>
        </w:rPr>
        <w:t>the adaptive planning strategy</w:t>
      </w:r>
      <w:r w:rsidRPr="00F03917">
        <w:rPr>
          <w:rFonts w:cs="Calibri"/>
          <w:color w:val="000000" w:themeColor="text1"/>
        </w:rPr>
        <w:t xml:space="preserve"> at a range of locations and situations including across regional and district jurisdictions where coastal hazards have flow-on effects wider than one district.</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742171" w:rsidRPr="00F03917" w14:paraId="648AF1B0" w14:textId="77777777">
        <w:tc>
          <w:tcPr>
            <w:tcW w:w="8505" w:type="dxa"/>
            <w:shd w:val="clear" w:color="auto" w:fill="D5EBE8" w:themeFill="accent3"/>
          </w:tcPr>
          <w:p w14:paraId="5CB997CE" w14:textId="4D269954" w:rsidR="00742171" w:rsidRPr="00F03917" w:rsidRDefault="00742171" w:rsidP="00EC3666">
            <w:pPr>
              <w:pStyle w:val="Boxtext"/>
              <w:keepNext/>
              <w:spacing w:before="240"/>
              <w:rPr>
                <w:b/>
              </w:rPr>
            </w:pPr>
            <w:r w:rsidRPr="00F03917">
              <w:rPr>
                <w:b/>
              </w:rPr>
              <w:lastRenderedPageBreak/>
              <w:t>Guiding questions</w:t>
            </w:r>
          </w:p>
          <w:p w14:paraId="254CF7A9" w14:textId="3688A5F3" w:rsidR="00742171" w:rsidRPr="00F03917" w:rsidRDefault="00D643C2" w:rsidP="00D959F3">
            <w:pPr>
              <w:pStyle w:val="Boxbullet"/>
              <w:spacing w:after="80"/>
            </w:pPr>
            <w:r w:rsidRPr="00F03917">
              <w:t xml:space="preserve">Who reviews the reporting </w:t>
            </w:r>
            <w:r w:rsidR="004361C3" w:rsidRPr="00F03917">
              <w:t>on how the monitored indicators are tracking against the signals and triggers?</w:t>
            </w:r>
          </w:p>
          <w:p w14:paraId="3BE7E8D9" w14:textId="77777777" w:rsidR="004361C3" w:rsidRPr="00F03917" w:rsidRDefault="004361C3" w:rsidP="00D959F3">
            <w:pPr>
              <w:pStyle w:val="Boxbullet"/>
              <w:spacing w:after="80"/>
            </w:pPr>
            <w:r w:rsidRPr="00F03917">
              <w:t>Who audits the reporting when signals and triggers are reached?</w:t>
            </w:r>
          </w:p>
          <w:p w14:paraId="56CC9904" w14:textId="1A2C69B5" w:rsidR="004361C3" w:rsidRPr="00F03917" w:rsidRDefault="004361C3" w:rsidP="00D959F3">
            <w:pPr>
              <w:pStyle w:val="Boxbullet"/>
              <w:spacing w:after="80"/>
            </w:pPr>
            <w:r w:rsidRPr="00F03917">
              <w:t>What resources are available to monitor indicators (including any longitudinal surveys)?</w:t>
            </w:r>
          </w:p>
          <w:p w14:paraId="0906CA48" w14:textId="0B5F2C86" w:rsidR="004361C3" w:rsidRPr="00F03917" w:rsidRDefault="00034C3A" w:rsidP="00EC3666">
            <w:pPr>
              <w:pStyle w:val="Boxbullet"/>
              <w:spacing w:after="240"/>
            </w:pPr>
            <w:r w:rsidRPr="00F03917">
              <w:t>How will the ongoing monitoring outcomes be communicated to the communities?</w:t>
            </w:r>
          </w:p>
        </w:tc>
      </w:tr>
    </w:tbl>
    <w:p w14:paraId="368ED479" w14:textId="1463B69F" w:rsidR="00BC2E1F" w:rsidRPr="00F03917" w:rsidRDefault="00BC2E1F" w:rsidP="00D959F3">
      <w:pPr>
        <w:pStyle w:val="Heading3"/>
        <w:numPr>
          <w:ilvl w:val="0"/>
          <w:numId w:val="35"/>
        </w:numPr>
        <w:spacing w:before="440"/>
      </w:pPr>
      <w:r w:rsidRPr="00F03917">
        <w:t>Formalis</w:t>
      </w:r>
      <w:r w:rsidR="00376B00" w:rsidRPr="00F03917">
        <w:t>e</w:t>
      </w:r>
      <w:r w:rsidRPr="00F03917">
        <w:t xml:space="preserve"> the </w:t>
      </w:r>
      <w:r w:rsidR="000D6497" w:rsidRPr="00F03917">
        <w:t xml:space="preserve">monitoring </w:t>
      </w:r>
      <w:r w:rsidRPr="00F03917">
        <w:t>regime</w:t>
      </w:r>
    </w:p>
    <w:p w14:paraId="17864698" w14:textId="01C80E41" w:rsidR="005A7A27" w:rsidRPr="00F03917" w:rsidRDefault="005A7A27" w:rsidP="00D959F3">
      <w:pPr>
        <w:pStyle w:val="Heading4"/>
        <w:spacing w:before="180" w:line="320" w:lineRule="exact"/>
      </w:pPr>
      <w:r w:rsidRPr="00F03917">
        <w:t>Embed the monitoring regime responsibilities, review and decision-making processes into the organisation systems and processes</w:t>
      </w:r>
    </w:p>
    <w:p w14:paraId="27D4D699" w14:textId="7EE1EA85" w:rsidR="0025693A" w:rsidRPr="00F03917" w:rsidRDefault="00ED05EE" w:rsidP="0033519E">
      <w:pPr>
        <w:pStyle w:val="BodyText"/>
      </w:pPr>
      <w:r w:rsidRPr="00F03917">
        <w:t>Formally</w:t>
      </w:r>
      <w:r w:rsidR="007650B3" w:rsidRPr="00F03917">
        <w:t xml:space="preserve"> e</w:t>
      </w:r>
      <w:r w:rsidR="00BC2E1F" w:rsidRPr="00F03917">
        <w:t xml:space="preserve">mbed the identified signals and triggers in </w:t>
      </w:r>
      <w:r w:rsidR="00131F99" w:rsidRPr="00F03917">
        <w:t>the</w:t>
      </w:r>
      <w:r w:rsidR="00951CBD" w:rsidRPr="00F03917">
        <w:t xml:space="preserve"> organisation’s</w:t>
      </w:r>
      <w:r w:rsidR="00BC2E1F" w:rsidRPr="00F03917">
        <w:t xml:space="preserve"> monitoring system </w:t>
      </w:r>
      <w:r w:rsidR="009F5A1A" w:rsidRPr="00F03917">
        <w:t xml:space="preserve">so </w:t>
      </w:r>
      <w:r w:rsidR="005852E8" w:rsidRPr="00F03917">
        <w:t>it</w:t>
      </w:r>
      <w:r w:rsidR="00BC2E1F" w:rsidRPr="00F03917">
        <w:t xml:space="preserve"> embodies review, reporting, audits and decision-making.</w:t>
      </w:r>
      <w:r w:rsidR="00BB2F5F" w:rsidRPr="00F03917">
        <w:t xml:space="preserve"> This will enable </w:t>
      </w:r>
      <w:r w:rsidR="00A872A5" w:rsidRPr="00F03917">
        <w:t>d</w:t>
      </w:r>
      <w:r w:rsidR="00BC2E1F" w:rsidRPr="00F03917">
        <w:t xml:space="preserve">ecision-makers </w:t>
      </w:r>
      <w:r w:rsidR="00D15ABD" w:rsidRPr="00F03917">
        <w:t>to</w:t>
      </w:r>
      <w:r w:rsidR="00BC2E1F" w:rsidRPr="00F03917">
        <w:t xml:space="preserve"> remain informed of changes over time and </w:t>
      </w:r>
      <w:r w:rsidR="00CE0AC7" w:rsidRPr="00F03917">
        <w:t>to</w:t>
      </w:r>
      <w:r w:rsidR="00BC2E1F" w:rsidRPr="00F03917">
        <w:t xml:space="preserve"> act </w:t>
      </w:r>
      <w:r w:rsidR="005915DA" w:rsidRPr="00F03917">
        <w:t>in a</w:t>
      </w:r>
      <w:r w:rsidR="00BC2E1F" w:rsidRPr="00F03917">
        <w:t xml:space="preserve"> transparent</w:t>
      </w:r>
      <w:r w:rsidR="005915DA" w:rsidRPr="00F03917">
        <w:t xml:space="preserve"> and timely way</w:t>
      </w:r>
      <w:r w:rsidR="00BC2E1F" w:rsidRPr="00F03917">
        <w:t>.</w:t>
      </w:r>
      <w:r w:rsidR="0025693A" w:rsidRPr="00F03917">
        <w:t xml:space="preserve"> This will give</w:t>
      </w:r>
      <w:r w:rsidR="00D959F3" w:rsidRPr="00F03917">
        <w:t> </w:t>
      </w:r>
      <w:r w:rsidR="0025693A" w:rsidRPr="00F03917">
        <w:t>lon</w:t>
      </w:r>
      <w:r w:rsidR="000F5ACE" w:rsidRPr="00F03917">
        <w:t>g</w:t>
      </w:r>
      <w:r w:rsidR="0025693A" w:rsidRPr="00F03917">
        <w:t>-</w:t>
      </w:r>
      <w:r w:rsidR="000F5ACE" w:rsidRPr="00F03917">
        <w:t>t</w:t>
      </w:r>
      <w:r w:rsidR="0025693A" w:rsidRPr="00F03917">
        <w:t>erm consistency to the monitoring of the signals and t</w:t>
      </w:r>
      <w:r w:rsidR="001C1AA4" w:rsidRPr="00F03917">
        <w:t>ri</w:t>
      </w:r>
      <w:r w:rsidR="0025693A" w:rsidRPr="00F03917">
        <w:t>ggers and enable their effectiveness and relevancy over time as they are adjusted to the changing climate-driven impacts at the coast.</w:t>
      </w:r>
    </w:p>
    <w:p w14:paraId="742C9B85" w14:textId="591EF635" w:rsidR="006324B4" w:rsidRPr="00F03917" w:rsidRDefault="006324B4" w:rsidP="0033519E">
      <w:pPr>
        <w:pStyle w:val="BodyText"/>
      </w:pPr>
      <w:r w:rsidRPr="00F03917">
        <w:t xml:space="preserve">Set up any necessary formal partnership agreements with central government agencies, regional councils and territorial local government when the monitoring regime is shared. </w:t>
      </w:r>
      <w:r w:rsidR="004211D1" w:rsidRPr="00F03917">
        <w:t>Do</w:t>
      </w:r>
      <w:r w:rsidR="00D959F3" w:rsidRPr="00F03917">
        <w:t> </w:t>
      </w:r>
      <w:r w:rsidR="004211D1" w:rsidRPr="00F03917">
        <w:t xml:space="preserve">this to </w:t>
      </w:r>
      <w:r w:rsidR="00D42C05" w:rsidRPr="00F03917">
        <w:t xml:space="preserve">establish clear lines of accountability and </w:t>
      </w:r>
      <w:r w:rsidR="005618E5" w:rsidRPr="00F03917">
        <w:t>who makes the final decision to shift to the</w:t>
      </w:r>
      <w:r w:rsidR="00D959F3" w:rsidRPr="00F03917">
        <w:t> </w:t>
      </w:r>
      <w:r w:rsidR="005618E5" w:rsidRPr="00F03917">
        <w:t xml:space="preserve">next option in </w:t>
      </w:r>
      <w:r w:rsidR="001F05CF" w:rsidRPr="00F03917">
        <w:t>the chosen</w:t>
      </w:r>
      <w:r w:rsidR="005618E5" w:rsidRPr="00F03917" w:rsidDel="006F32E5">
        <w:t xml:space="preserve"> </w:t>
      </w:r>
      <w:r w:rsidR="006F32E5" w:rsidRPr="00F03917">
        <w:t xml:space="preserve">adaptation </w:t>
      </w:r>
      <w:r w:rsidR="001F05CF" w:rsidRPr="00F03917">
        <w:t>pathway</w:t>
      </w:r>
      <w:r w:rsidR="005618E5" w:rsidRPr="00F03917">
        <w:t>.</w:t>
      </w:r>
    </w:p>
    <w:p w14:paraId="4EB1BFF6" w14:textId="2038DEDE" w:rsidR="00BC2E1F" w:rsidRPr="00F03917" w:rsidRDefault="005618E5" w:rsidP="00D959F3">
      <w:pPr>
        <w:pStyle w:val="BodyText"/>
        <w:spacing w:after="240"/>
      </w:pPr>
      <w:r w:rsidRPr="00F03917">
        <w:t>Formalised monitoring systems and processes</w:t>
      </w:r>
      <w:r w:rsidR="002F4587" w:rsidRPr="00F03917">
        <w:rPr>
          <w:rFonts w:cs="Calibri"/>
          <w:shd w:val="clear" w:color="auto" w:fill="FFFFFF"/>
        </w:rPr>
        <w:t xml:space="preserve"> will also be beneficial </w:t>
      </w:r>
      <w:r w:rsidRPr="00F03917">
        <w:rPr>
          <w:rFonts w:cs="Calibri"/>
          <w:shd w:val="clear" w:color="auto" w:fill="FFFFFF"/>
        </w:rPr>
        <w:t>for</w:t>
      </w:r>
      <w:r w:rsidR="002F4587" w:rsidRPr="00F03917">
        <w:rPr>
          <w:rFonts w:cs="Calibri"/>
          <w:shd w:val="clear" w:color="auto" w:fill="FFFFFF"/>
        </w:rPr>
        <w:t xml:space="preserve"> accessible reporting </w:t>
      </w:r>
      <w:r w:rsidR="000960F2" w:rsidRPr="00F03917">
        <w:rPr>
          <w:rFonts w:cs="Calibri"/>
          <w:shd w:val="clear" w:color="auto" w:fill="FFFFFF"/>
        </w:rPr>
        <w:t>to</w:t>
      </w:r>
      <w:r w:rsidR="002F4587" w:rsidRPr="00F03917">
        <w:rPr>
          <w:rFonts w:cs="Calibri"/>
          <w:shd w:val="clear" w:color="auto" w:fill="FFFFFF"/>
        </w:rPr>
        <w:t xml:space="preserve"> communit</w:t>
      </w:r>
      <w:r w:rsidR="000960F2" w:rsidRPr="00F03917">
        <w:rPr>
          <w:rFonts w:cs="Calibri"/>
          <w:shd w:val="clear" w:color="auto" w:fill="FFFFFF"/>
        </w:rPr>
        <w:t>ies</w:t>
      </w:r>
      <w:r w:rsidR="002F4587" w:rsidRPr="00F03917">
        <w:rPr>
          <w:rFonts w:cs="Calibri"/>
          <w:shd w:val="clear" w:color="auto" w:fill="FFFFFF"/>
        </w:rPr>
        <w:t xml:space="preserve">, </w:t>
      </w:r>
      <w:r w:rsidR="000960F2" w:rsidRPr="00F03917">
        <w:rPr>
          <w:rFonts w:cs="Calibri"/>
          <w:shd w:val="clear" w:color="auto" w:fill="FFFFFF"/>
        </w:rPr>
        <w:t>for example, via</w:t>
      </w:r>
      <w:r w:rsidR="002F4587" w:rsidRPr="00F03917">
        <w:rPr>
          <w:rFonts w:cs="Calibri"/>
          <w:shd w:val="clear" w:color="auto" w:fill="FFFFFF"/>
        </w:rPr>
        <w:t xml:space="preserve"> websites</w:t>
      </w:r>
      <w:r w:rsidR="00A013B2" w:rsidRPr="00F03917">
        <w:rPr>
          <w:rFonts w:cs="Calibri"/>
          <w:shd w:val="clear" w:color="auto" w:fill="FFFFFF"/>
        </w:rPr>
        <w:t xml:space="preserve">, to raise </w:t>
      </w:r>
      <w:r w:rsidR="002F4587" w:rsidRPr="00F03917">
        <w:rPr>
          <w:rFonts w:cs="Calibri"/>
          <w:shd w:val="clear" w:color="auto" w:fill="FFFFFF"/>
        </w:rPr>
        <w:t>understand</w:t>
      </w:r>
      <w:r w:rsidR="00A013B2" w:rsidRPr="00F03917">
        <w:rPr>
          <w:rFonts w:cs="Calibri"/>
          <w:shd w:val="clear" w:color="auto" w:fill="FFFFFF"/>
        </w:rPr>
        <w:t xml:space="preserve">ing of </w:t>
      </w:r>
      <w:r w:rsidR="002F4587" w:rsidRPr="00F03917">
        <w:rPr>
          <w:rFonts w:cs="Calibri"/>
          <w:shd w:val="clear" w:color="auto" w:fill="FFFFFF"/>
        </w:rPr>
        <w:t>changes over time</w:t>
      </w:r>
      <w:r w:rsidR="002A0FB7" w:rsidRPr="00F03917">
        <w:rPr>
          <w:rFonts w:cs="Calibri"/>
          <w:shd w:val="clear" w:color="auto" w:fill="FFFFFF"/>
        </w:rPr>
        <w:t xml:space="preserve"> and how they are being addressed</w:t>
      </w:r>
      <w:r w:rsidR="002F4587" w:rsidRPr="00F03917">
        <w:rPr>
          <w:rFonts w:cs="Calibri"/>
          <w:shd w:val="clear" w:color="auto" w:fill="FFFFFF"/>
        </w:rPr>
        <w:t xml:space="preserve">. A good example of this approach is the </w:t>
      </w:r>
      <w:r w:rsidR="1FF23062" w:rsidRPr="00F03917">
        <w:rPr>
          <w:rFonts w:cs="Calibri"/>
          <w:shd w:val="clear" w:color="auto" w:fill="FFFFFF"/>
        </w:rPr>
        <w:t xml:space="preserve">Land, Air, Water Aotearoa </w:t>
      </w:r>
      <w:r w:rsidR="002F4587" w:rsidRPr="00F03917">
        <w:rPr>
          <w:rFonts w:cs="Calibri"/>
          <w:shd w:val="clear" w:color="auto" w:fill="FFFFFF"/>
        </w:rPr>
        <w:t>website for freshwater data (</w:t>
      </w:r>
      <w:hyperlink r:id="rId156" w:history="1">
        <w:r w:rsidR="005A34B1" w:rsidRPr="00F03917">
          <w:rPr>
            <w:rStyle w:val="Hyperlink"/>
            <w:rFonts w:cs="Calibri"/>
            <w:shd w:val="clear" w:color="auto" w:fill="FFFFFF"/>
          </w:rPr>
          <w:t>www.lawa.org.nz</w:t>
        </w:r>
      </w:hyperlink>
      <w:r w:rsidR="002F4587" w:rsidRPr="00F03917">
        <w:rPr>
          <w:rFonts w:cs="Calibri"/>
          <w:shd w:val="clear" w:color="auto" w:fill="FFFFFF"/>
        </w:rPr>
        <w:t>).</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1B0402" w:rsidRPr="00F03917" w14:paraId="6C923028" w14:textId="77777777">
        <w:tc>
          <w:tcPr>
            <w:tcW w:w="8505" w:type="dxa"/>
            <w:shd w:val="clear" w:color="auto" w:fill="D5EBE8" w:themeFill="accent3"/>
          </w:tcPr>
          <w:p w14:paraId="65598D9F" w14:textId="65ADCC10" w:rsidR="001B0402" w:rsidRPr="00F03917" w:rsidRDefault="001B0402" w:rsidP="00EC3666">
            <w:pPr>
              <w:pStyle w:val="Boxtext"/>
              <w:spacing w:before="240"/>
              <w:rPr>
                <w:b/>
              </w:rPr>
            </w:pPr>
            <w:r w:rsidRPr="00F03917">
              <w:rPr>
                <w:b/>
              </w:rPr>
              <w:t>Guiding questions</w:t>
            </w:r>
          </w:p>
          <w:p w14:paraId="0C353F56" w14:textId="77777777" w:rsidR="00B72AD4" w:rsidRPr="00F03917" w:rsidRDefault="00B72AD4" w:rsidP="00D959F3">
            <w:pPr>
              <w:pStyle w:val="Boxtext"/>
              <w:numPr>
                <w:ilvl w:val="0"/>
                <w:numId w:val="39"/>
              </w:numPr>
              <w:spacing w:before="0" w:after="80"/>
            </w:pPr>
            <w:r w:rsidRPr="00F03917">
              <w:t>To what extent should we formalise the monitoring of signals and triggers?</w:t>
            </w:r>
          </w:p>
          <w:p w14:paraId="71CB8208" w14:textId="62B4267B" w:rsidR="00B72AD4" w:rsidRPr="00F03917" w:rsidRDefault="00B72AD4" w:rsidP="00D959F3">
            <w:pPr>
              <w:pStyle w:val="Boxtext"/>
              <w:numPr>
                <w:ilvl w:val="0"/>
                <w:numId w:val="39"/>
              </w:numPr>
              <w:spacing w:before="0" w:after="80"/>
            </w:pPr>
            <w:r w:rsidRPr="00F03917">
              <w:t xml:space="preserve">How can </w:t>
            </w:r>
            <w:r w:rsidR="00BB28E7" w:rsidRPr="00F03917">
              <w:t>the</w:t>
            </w:r>
            <w:r w:rsidRPr="00F03917">
              <w:t xml:space="preserve"> monitoring</w:t>
            </w:r>
            <w:r w:rsidR="00BB28E7" w:rsidRPr="00F03917">
              <w:t xml:space="preserve"> system be formalised</w:t>
            </w:r>
            <w:r w:rsidRPr="00F03917">
              <w:t xml:space="preserve"> to ensure </w:t>
            </w:r>
            <w:r w:rsidR="00BB28E7" w:rsidRPr="00F03917">
              <w:t>the monitoring regime is sustained</w:t>
            </w:r>
            <w:r w:rsidRPr="00F03917">
              <w:t>?</w:t>
            </w:r>
          </w:p>
          <w:p w14:paraId="27486B2A" w14:textId="1F4ABC4C" w:rsidR="00B72AD4" w:rsidRPr="00F03917" w:rsidRDefault="00B72AD4" w:rsidP="00D959F3">
            <w:pPr>
              <w:pStyle w:val="Boxtext"/>
              <w:numPr>
                <w:ilvl w:val="0"/>
                <w:numId w:val="39"/>
              </w:numPr>
              <w:spacing w:before="0" w:after="80"/>
            </w:pPr>
            <w:r w:rsidRPr="00F03917">
              <w:t xml:space="preserve">Can </w:t>
            </w:r>
            <w:r w:rsidR="00BB28E7" w:rsidRPr="00F03917">
              <w:t xml:space="preserve">dynamic </w:t>
            </w:r>
            <w:r w:rsidRPr="00F03917">
              <w:t xml:space="preserve">adaptive </w:t>
            </w:r>
            <w:r w:rsidR="10D3961D" w:rsidRPr="00F03917">
              <w:t xml:space="preserve">pathways </w:t>
            </w:r>
            <w:r w:rsidRPr="00F03917">
              <w:t>planning help us identify enablers and entry points for a robust and flexible implementation pathway?</w:t>
            </w:r>
          </w:p>
          <w:p w14:paraId="2043E049" w14:textId="77777777" w:rsidR="00B72AD4" w:rsidRPr="00F03917" w:rsidRDefault="00B72AD4" w:rsidP="00D959F3">
            <w:pPr>
              <w:pStyle w:val="Boxtext"/>
              <w:numPr>
                <w:ilvl w:val="0"/>
                <w:numId w:val="39"/>
              </w:numPr>
              <w:spacing w:before="0" w:after="80"/>
            </w:pPr>
            <w:r w:rsidRPr="00F03917">
              <w:t>How can the planning approach, and the decisions, persist?</w:t>
            </w:r>
          </w:p>
          <w:p w14:paraId="67000292" w14:textId="77777777" w:rsidR="00B72AD4" w:rsidRPr="00F03917" w:rsidRDefault="00B72AD4" w:rsidP="00D959F3">
            <w:pPr>
              <w:pStyle w:val="Boxtext"/>
              <w:numPr>
                <w:ilvl w:val="0"/>
                <w:numId w:val="39"/>
              </w:numPr>
              <w:spacing w:before="0" w:after="80"/>
            </w:pPr>
            <w:r w:rsidRPr="00F03917">
              <w:t>How can the monitoring regime be integrated into existing council practice? Are these processes complementary, enduring and well supported?</w:t>
            </w:r>
          </w:p>
          <w:p w14:paraId="066F81C5" w14:textId="77777777" w:rsidR="00B72AD4" w:rsidRPr="00F03917" w:rsidRDefault="00B72AD4" w:rsidP="00D959F3">
            <w:pPr>
              <w:pStyle w:val="Boxtext"/>
              <w:numPr>
                <w:ilvl w:val="0"/>
                <w:numId w:val="39"/>
              </w:numPr>
              <w:spacing w:before="0" w:after="80"/>
            </w:pPr>
            <w:r w:rsidRPr="00F03917">
              <w:rPr>
                <w:bCs/>
              </w:rPr>
              <w:t xml:space="preserve">Can we use or extend </w:t>
            </w:r>
            <w:r w:rsidRPr="00F03917">
              <w:t>any current indicators or monitoring regimes?</w:t>
            </w:r>
          </w:p>
          <w:p w14:paraId="7F39EEFC" w14:textId="149527B5" w:rsidR="001B0402" w:rsidRPr="00F03917" w:rsidRDefault="00B72AD4" w:rsidP="00EC3666">
            <w:pPr>
              <w:pStyle w:val="Boxtext"/>
              <w:numPr>
                <w:ilvl w:val="0"/>
                <w:numId w:val="39"/>
              </w:numPr>
              <w:spacing w:before="0" w:after="240"/>
              <w:rPr>
                <w:bCs/>
              </w:rPr>
            </w:pPr>
            <w:r w:rsidRPr="00F03917">
              <w:t xml:space="preserve">Is there other guidance for implementing </w:t>
            </w:r>
            <w:r w:rsidR="00AA3560" w:rsidRPr="00F03917">
              <w:t xml:space="preserve">the </w:t>
            </w:r>
            <w:r w:rsidR="00D01945" w:rsidRPr="00F03917">
              <w:t>adaptive planning strategy</w:t>
            </w:r>
            <w:r w:rsidRPr="00F03917">
              <w:t>?</w:t>
            </w:r>
          </w:p>
        </w:tc>
      </w:tr>
    </w:tbl>
    <w:p w14:paraId="37340F86" w14:textId="520295FD" w:rsidR="00BC2E1F" w:rsidRPr="00F03917" w:rsidRDefault="00255839" w:rsidP="00B86CC2">
      <w:pPr>
        <w:pStyle w:val="BodyText"/>
        <w:spacing w:before="240" w:after="240"/>
      </w:pPr>
      <w:r w:rsidRPr="00F03917">
        <w:t>Box</w:t>
      </w:r>
      <w:r w:rsidRPr="00F03917" w:rsidDel="00A22ED1">
        <w:rPr>
          <w:iCs/>
        </w:rPr>
        <w:t xml:space="preserve"> </w:t>
      </w:r>
      <w:r w:rsidR="00A22ED1" w:rsidRPr="00F03917">
        <w:rPr>
          <w:iCs/>
        </w:rPr>
        <w:t>14</w:t>
      </w:r>
      <w:r w:rsidRPr="00F03917">
        <w:rPr>
          <w:iCs/>
        </w:rPr>
        <w:t xml:space="preserve"> explains how monitoring</w:t>
      </w:r>
      <w:r w:rsidRPr="00F03917">
        <w:t xml:space="preserve"> can be integrated into existing council practice. </w:t>
      </w:r>
      <w:r w:rsidR="50B951E4" w:rsidRPr="00F03917">
        <w:t>The use</w:t>
      </w:r>
      <w:r w:rsidR="223B2A7B" w:rsidRPr="00F03917">
        <w:t xml:space="preserve"> of</w:t>
      </w:r>
      <w:r w:rsidR="00C34FA1" w:rsidRPr="00F03917">
        <w:t> </w:t>
      </w:r>
      <w:r w:rsidRPr="00F03917">
        <w:t xml:space="preserve">existing processes will create consistency and give decision-makers </w:t>
      </w:r>
      <w:r w:rsidR="001F2B40" w:rsidRPr="00F03917">
        <w:t xml:space="preserve">assurance </w:t>
      </w:r>
      <w:r w:rsidRPr="00F03917">
        <w:t>in the robustness of their decisions. Processes should be developed rigorously, considering alternatives, based on sound information and community participation.</w:t>
      </w:r>
    </w:p>
    <w:tbl>
      <w:tblPr>
        <w:tblStyle w:val="TableGrid"/>
        <w:tblW w:w="8505" w:type="dxa"/>
        <w:tblLook w:val="04A0" w:firstRow="1" w:lastRow="0" w:firstColumn="1" w:lastColumn="0" w:noHBand="0" w:noVBand="1"/>
      </w:tblPr>
      <w:tblGrid>
        <w:gridCol w:w="8505"/>
      </w:tblGrid>
      <w:tr w:rsidR="006A76C6" w:rsidRPr="00F03917" w14:paraId="764B9660" w14:textId="77777777" w:rsidTr="00AF3137">
        <w:trPr>
          <w:tblHeader/>
        </w:trPr>
        <w:tc>
          <w:tcPr>
            <w:tcW w:w="8505" w:type="dxa"/>
            <w:tcBorders>
              <w:bottom w:val="nil"/>
            </w:tcBorders>
            <w:shd w:val="clear" w:color="auto" w:fill="1B556B" w:themeFill="text2"/>
          </w:tcPr>
          <w:p w14:paraId="66DE395D" w14:textId="71A64DEE" w:rsidR="006A76C6" w:rsidRPr="00F03917" w:rsidRDefault="006A76C6" w:rsidP="00081846">
            <w:pPr>
              <w:pStyle w:val="Casestudyheading"/>
            </w:pPr>
            <w:r w:rsidRPr="00F03917">
              <w:lastRenderedPageBreak/>
              <w:t>: INTEGRATING THE MONITORING SYSTEM INTO COUNCIL PROCESSES AND</w:t>
            </w:r>
            <w:r w:rsidR="00081846" w:rsidRPr="00F03917">
              <w:t> </w:t>
            </w:r>
            <w:r w:rsidRPr="00F03917">
              <w:t>SYSTEMS</w:t>
            </w:r>
          </w:p>
        </w:tc>
      </w:tr>
      <w:tr w:rsidR="00BC2E1F" w:rsidRPr="00F03917" w14:paraId="67CDF773" w14:textId="77777777" w:rsidTr="00AF3137">
        <w:tc>
          <w:tcPr>
            <w:tcW w:w="8505" w:type="dxa"/>
            <w:tcBorders>
              <w:top w:val="nil"/>
              <w:left w:val="single" w:sz="4" w:space="0" w:color="D2DDE1" w:themeColor="background2"/>
              <w:bottom w:val="single" w:sz="4" w:space="0" w:color="D2DDE1" w:themeColor="background2"/>
              <w:right w:val="single" w:sz="4" w:space="0" w:color="D2DDE1" w:themeColor="background2"/>
            </w:tcBorders>
            <w:shd w:val="clear" w:color="auto" w:fill="D2DDE2"/>
          </w:tcPr>
          <w:p w14:paraId="720CBD98" w14:textId="61468EC6" w:rsidR="00BC2E1F" w:rsidRPr="00F03917" w:rsidRDefault="00BC2E1F" w:rsidP="00B86CC2">
            <w:pPr>
              <w:pStyle w:val="Boxtext"/>
              <w:spacing w:before="180" w:after="80"/>
              <w:rPr>
                <w:b/>
                <w:szCs w:val="20"/>
              </w:rPr>
            </w:pPr>
            <w:r w:rsidRPr="00F03917">
              <w:t>Monitoring can be integrated into existing council practice through the following:</w:t>
            </w:r>
          </w:p>
          <w:p w14:paraId="6DD251EC" w14:textId="65541F98" w:rsidR="00BC2E1F" w:rsidRPr="00F03917" w:rsidRDefault="00BC2E1F" w:rsidP="00B86CC2">
            <w:pPr>
              <w:pStyle w:val="Boxbullet"/>
              <w:spacing w:after="80"/>
            </w:pPr>
            <w:r w:rsidRPr="00F03917">
              <w:rPr>
                <w:b/>
              </w:rPr>
              <w:t>non-statutory plans</w:t>
            </w:r>
            <w:r w:rsidRPr="00F03917">
              <w:t>, such as spatial and strategic planning and growth strategies, natural hazard management strategies, and community-based planning (community vision statements and plans, collaborative planning and iwi management plans)</w:t>
            </w:r>
          </w:p>
          <w:p w14:paraId="389DC58B" w14:textId="770E299E" w:rsidR="00BC2E1F" w:rsidRPr="00F03917" w:rsidRDefault="00BC2E1F" w:rsidP="00B86CC2">
            <w:pPr>
              <w:pStyle w:val="Boxbullet"/>
              <w:spacing w:after="80"/>
            </w:pPr>
            <w:r w:rsidRPr="00F03917">
              <w:rPr>
                <w:b/>
                <w:bCs/>
              </w:rPr>
              <w:t>L</w:t>
            </w:r>
            <w:r w:rsidR="2BA97922" w:rsidRPr="00F03917">
              <w:rPr>
                <w:b/>
                <w:bCs/>
              </w:rPr>
              <w:t xml:space="preserve">ocal </w:t>
            </w:r>
            <w:r w:rsidRPr="00F03917">
              <w:rPr>
                <w:b/>
                <w:bCs/>
              </w:rPr>
              <w:t>G</w:t>
            </w:r>
            <w:r w:rsidR="6A7263DC" w:rsidRPr="00F03917">
              <w:rPr>
                <w:b/>
                <w:bCs/>
              </w:rPr>
              <w:t xml:space="preserve">overnment </w:t>
            </w:r>
            <w:r w:rsidRPr="00F03917">
              <w:rPr>
                <w:b/>
                <w:bCs/>
              </w:rPr>
              <w:t>A</w:t>
            </w:r>
            <w:r w:rsidR="7AE5E4F5" w:rsidRPr="00F03917">
              <w:rPr>
                <w:b/>
                <w:bCs/>
              </w:rPr>
              <w:t>ct 2002</w:t>
            </w:r>
            <w:r w:rsidRPr="00F03917">
              <w:rPr>
                <w:b/>
              </w:rPr>
              <w:t xml:space="preserve"> statutory requirements</w:t>
            </w:r>
            <w:r w:rsidRPr="00F03917">
              <w:t>, such as the L</w:t>
            </w:r>
            <w:r w:rsidR="2A31F61D" w:rsidRPr="00F03917">
              <w:t>ong-</w:t>
            </w:r>
            <w:r w:rsidRPr="00F03917">
              <w:t>T</w:t>
            </w:r>
            <w:r w:rsidR="2FCA0817" w:rsidRPr="00F03917">
              <w:t xml:space="preserve">erm </w:t>
            </w:r>
            <w:r w:rsidRPr="00F03917">
              <w:t>P</w:t>
            </w:r>
            <w:r w:rsidR="4529CEFF" w:rsidRPr="00F03917">
              <w:t>lan</w:t>
            </w:r>
            <w:r w:rsidRPr="00F03917">
              <w:t xml:space="preserve"> and annual plans (which can contain budgets for the implementation of monitoring), infrastructure strategies and asset management plans (roads, parks and reserves, stopbanks and other assets)</w:t>
            </w:r>
          </w:p>
          <w:p w14:paraId="17B03440" w14:textId="502D80DB" w:rsidR="00BC2E1F" w:rsidRPr="00F03917" w:rsidRDefault="00BC2E1F" w:rsidP="00B86CC2">
            <w:pPr>
              <w:pStyle w:val="Boxbullet"/>
              <w:spacing w:after="80"/>
            </w:pPr>
            <w:r w:rsidRPr="00F03917">
              <w:rPr>
                <w:b/>
                <w:bCs/>
              </w:rPr>
              <w:t xml:space="preserve">statutory </w:t>
            </w:r>
            <w:r w:rsidR="6F9B0E98" w:rsidRPr="00F03917">
              <w:rPr>
                <w:b/>
                <w:bCs/>
              </w:rPr>
              <w:t>R</w:t>
            </w:r>
            <w:r w:rsidR="38A19354" w:rsidRPr="00F03917">
              <w:rPr>
                <w:b/>
                <w:bCs/>
              </w:rPr>
              <w:t xml:space="preserve">esource </w:t>
            </w:r>
            <w:r w:rsidR="6F9B0E98" w:rsidRPr="00F03917">
              <w:rPr>
                <w:b/>
                <w:bCs/>
              </w:rPr>
              <w:t>M</w:t>
            </w:r>
            <w:r w:rsidR="3429DE81" w:rsidRPr="00F03917">
              <w:rPr>
                <w:b/>
                <w:bCs/>
              </w:rPr>
              <w:t xml:space="preserve">anagement </w:t>
            </w:r>
            <w:r w:rsidR="6F9B0E98" w:rsidRPr="00F03917">
              <w:rPr>
                <w:b/>
                <w:bCs/>
              </w:rPr>
              <w:t>A</w:t>
            </w:r>
            <w:r w:rsidR="77894458" w:rsidRPr="00F03917">
              <w:rPr>
                <w:b/>
                <w:bCs/>
              </w:rPr>
              <w:t>ct 1991</w:t>
            </w:r>
            <w:r w:rsidRPr="00F03917">
              <w:rPr>
                <w:b/>
                <w:bCs/>
              </w:rPr>
              <w:t xml:space="preserve"> policies and plans</w:t>
            </w:r>
            <w:r w:rsidRPr="00F03917">
              <w:t xml:space="preserve">, including: </w:t>
            </w:r>
          </w:p>
          <w:p w14:paraId="5DD12B0E" w14:textId="7253EDCF" w:rsidR="00BC2E1F" w:rsidRPr="00F03917" w:rsidRDefault="00BC2E1F" w:rsidP="00B86CC2">
            <w:pPr>
              <w:pStyle w:val="Boxsub-bullet"/>
              <w:spacing w:after="80"/>
            </w:pPr>
            <w:r w:rsidRPr="00F03917">
              <w:t>regional policy statements, regional coastal plans, and regional and district plans, which could include adaptive pathways with signals and triggers in objectives, policies, rules and methods</w:t>
            </w:r>
          </w:p>
          <w:p w14:paraId="1C336075" w14:textId="18D72286" w:rsidR="00BC2E1F" w:rsidRPr="00F03917" w:rsidRDefault="00BC2E1F" w:rsidP="00B86CC2">
            <w:pPr>
              <w:pStyle w:val="Boxsub-bullet"/>
              <w:spacing w:after="80"/>
            </w:pPr>
            <w:r w:rsidRPr="00F03917">
              <w:t>defined activity status (including prohibited) with signals, triggers and thresholds, and special measures</w:t>
            </w:r>
            <w:r w:rsidR="5438129C" w:rsidRPr="00F03917">
              <w:t>,</w:t>
            </w:r>
            <w:r w:rsidRPr="00F03917">
              <w:t xml:space="preserve"> such as scheduled areas and retreat lines</w:t>
            </w:r>
          </w:p>
          <w:p w14:paraId="51DD4A45" w14:textId="096DB17F" w:rsidR="00BC2E1F" w:rsidRPr="00F03917" w:rsidRDefault="00BC2E1F" w:rsidP="00B86CC2">
            <w:pPr>
              <w:pStyle w:val="Boxsub-bullet"/>
              <w:spacing w:after="80"/>
            </w:pPr>
            <w:r w:rsidRPr="00F03917">
              <w:t>deferred zoning</w:t>
            </w:r>
            <w:r w:rsidR="19CF9CE0" w:rsidRPr="00F03917">
              <w:t xml:space="preserve"> and</w:t>
            </w:r>
            <w:r w:rsidR="00CE4579" w:rsidRPr="00F03917">
              <w:t xml:space="preserve"> </w:t>
            </w:r>
            <w:r w:rsidRPr="00F03917">
              <w:t>closed residential zoning attached to a trigger</w:t>
            </w:r>
            <w:r w:rsidR="00192A70" w:rsidRPr="00F03917">
              <w:t xml:space="preserve"> (eg, no increase in</w:t>
            </w:r>
            <w:r w:rsidR="00296709" w:rsidRPr="00F03917">
              <w:t> </w:t>
            </w:r>
            <w:r w:rsidR="00192A70" w:rsidRPr="00F03917">
              <w:t>floor site coverage and only minor alterations and non-inhabited buildings)</w:t>
            </w:r>
            <w:r w:rsidRPr="00F03917">
              <w:t xml:space="preserve"> </w:t>
            </w:r>
          </w:p>
          <w:p w14:paraId="426B1EBA" w14:textId="373D99D0" w:rsidR="007B4B4E" w:rsidRPr="00F03917" w:rsidRDefault="00BC2E1F" w:rsidP="00B86CC2">
            <w:pPr>
              <w:pStyle w:val="Boxsub-bullet"/>
              <w:spacing w:after="80"/>
              <w:rPr>
                <w:rFonts w:cstheme="minorBidi"/>
                <w:color w:val="1F3763"/>
                <w:sz w:val="22"/>
                <w:szCs w:val="22"/>
              </w:rPr>
            </w:pPr>
            <w:r w:rsidRPr="00F03917">
              <w:t>consent conditions that enable specific evaluation and targeted outcomes (</w:t>
            </w:r>
            <w:r w:rsidR="4240F056" w:rsidRPr="00F03917">
              <w:t>eg</w:t>
            </w:r>
            <w:r w:rsidRPr="00F03917">
              <w:t xml:space="preserve">, </w:t>
            </w:r>
            <w:r w:rsidR="00D85C6F" w:rsidRPr="00F03917">
              <w:t>‘trigger</w:t>
            </w:r>
            <w:r w:rsidR="001709BA" w:rsidRPr="00F03917">
              <w:t>’</w:t>
            </w:r>
            <w:r w:rsidR="00D85C6F" w:rsidRPr="00F03917">
              <w:t xml:space="preserve"> conditions to require an adaptive response when a predetermined set of</w:t>
            </w:r>
            <w:r w:rsidR="00947DC4" w:rsidRPr="00F03917">
              <w:t> </w:t>
            </w:r>
            <w:r w:rsidR="00D85C6F" w:rsidRPr="00F03917">
              <w:t>circumstances is reached</w:t>
            </w:r>
            <w:r w:rsidRPr="00F03917">
              <w:t xml:space="preserve">) </w:t>
            </w:r>
          </w:p>
          <w:p w14:paraId="11CD74FB" w14:textId="15E773E8" w:rsidR="00A22ED1" w:rsidRPr="00F03917" w:rsidRDefault="00A22ED1" w:rsidP="00202EC4">
            <w:pPr>
              <w:pStyle w:val="Boxbullet"/>
              <w:keepNext/>
              <w:spacing w:after="80"/>
              <w:ind w:left="641" w:hanging="357"/>
            </w:pPr>
            <w:r w:rsidRPr="00F03917">
              <w:rPr>
                <w:b/>
              </w:rPr>
              <w:t>other legislative responsibilities</w:t>
            </w:r>
            <w:r w:rsidRPr="00F03917">
              <w:t xml:space="preserve"> that provide opportunities to embed signals and triggers, such as civil defence and emergency management group plans, reserves management plans, and various provisions of the Local Government (Rating) Act 2002 (targeted rates tied to funding impact), Soil Conservation and Rivers Control Act 1941, Public Works Act 1981, Local Government Official Information and Meetings Act 1987 (land information memoranda) and the Building Act 2004</w:t>
            </w:r>
            <w:r w:rsidR="0013288B" w:rsidRPr="00F03917">
              <w:t>,</w:t>
            </w:r>
            <w:r w:rsidRPr="00F03917">
              <w:t xml:space="preserve"> which includes the Building Code application (project information memoranda)</w:t>
            </w:r>
          </w:p>
          <w:p w14:paraId="120D8359" w14:textId="77777777" w:rsidR="00A22ED1" w:rsidRPr="00F03917" w:rsidRDefault="00A22ED1" w:rsidP="00B86CC2">
            <w:pPr>
              <w:pStyle w:val="Boxbullet"/>
              <w:spacing w:after="80"/>
            </w:pPr>
            <w:r w:rsidRPr="00F03917">
              <w:t>other relevant council processes including:</w:t>
            </w:r>
          </w:p>
          <w:p w14:paraId="2B74AFB8" w14:textId="77777777" w:rsidR="00A22ED1" w:rsidRPr="00F03917" w:rsidRDefault="00A22ED1" w:rsidP="00B86CC2">
            <w:pPr>
              <w:pStyle w:val="Boxsub-bullet"/>
              <w:spacing w:after="80"/>
            </w:pPr>
            <w:r w:rsidRPr="00F03917">
              <w:t>cross-council partnership processes</w:t>
            </w:r>
          </w:p>
          <w:p w14:paraId="3685FD23" w14:textId="77777777" w:rsidR="00A22ED1" w:rsidRPr="00F03917" w:rsidRDefault="00A22ED1" w:rsidP="00B86CC2">
            <w:pPr>
              <w:pStyle w:val="Boxsub-bullet"/>
              <w:spacing w:after="80"/>
            </w:pPr>
            <w:r w:rsidRPr="00F03917">
              <w:t>Te Tiriti o Waitangi, which gives government a responsibility to provide opportunities for participation by Māori in decision-making and to facilitate participation by Māori</w:t>
            </w:r>
          </w:p>
          <w:p w14:paraId="4D4CF2A5" w14:textId="77777777" w:rsidR="00A22ED1" w:rsidRPr="00F03917" w:rsidRDefault="00A22ED1" w:rsidP="00B86CC2">
            <w:pPr>
              <w:pStyle w:val="Boxsub-bullet"/>
              <w:spacing w:after="80"/>
            </w:pPr>
            <w:r w:rsidRPr="00F03917">
              <w:t xml:space="preserve">leadership, education, information and communication with the public and stakeholders </w:t>
            </w:r>
          </w:p>
          <w:p w14:paraId="1C056FFF" w14:textId="77777777" w:rsidR="00A22ED1" w:rsidRPr="00F03917" w:rsidRDefault="00A22ED1" w:rsidP="00B86CC2">
            <w:pPr>
              <w:pStyle w:val="Boxsub-bullet"/>
              <w:spacing w:after="80"/>
            </w:pPr>
            <w:r w:rsidRPr="00F03917">
              <w:t>covenants and easements on consent notices on titles</w:t>
            </w:r>
          </w:p>
          <w:p w14:paraId="17A64B20" w14:textId="77777777" w:rsidR="00A22ED1" w:rsidRPr="00F03917" w:rsidRDefault="00A22ED1" w:rsidP="00B86CC2">
            <w:pPr>
              <w:pStyle w:val="Boxsub-bullet"/>
              <w:spacing w:after="80"/>
              <w:rPr>
                <w:color w:val="1B556B" w:themeColor="text2"/>
              </w:rPr>
            </w:pPr>
            <w:r w:rsidRPr="00F03917">
              <w:rPr>
                <w:color w:val="1B556B" w:themeColor="text2"/>
              </w:rPr>
              <w:t>bonds</w:t>
            </w:r>
            <w:r w:rsidRPr="00F03917">
              <w:rPr>
                <w:rStyle w:val="FootnoteReference"/>
                <w:color w:val="1B556B" w:themeColor="text2"/>
                <w:sz w:val="20"/>
              </w:rPr>
              <w:footnoteReference w:id="92"/>
            </w:r>
          </w:p>
          <w:p w14:paraId="619CDB05" w14:textId="77777777" w:rsidR="00A22ED1" w:rsidRPr="00F03917" w:rsidRDefault="00A22ED1" w:rsidP="00B86CC2">
            <w:pPr>
              <w:pStyle w:val="Boxsub-bullet"/>
              <w:spacing w:after="80"/>
            </w:pPr>
            <w:r w:rsidRPr="00F03917">
              <w:t>the purchase of council land for buffers, refuges and open-space areas as part of a signal and trigger system</w:t>
            </w:r>
          </w:p>
          <w:p w14:paraId="598B4B32" w14:textId="77777777" w:rsidR="00A22ED1" w:rsidRPr="00F03917" w:rsidRDefault="00A22ED1" w:rsidP="00202EC4">
            <w:pPr>
              <w:pStyle w:val="Boxsub-bullet"/>
              <w:spacing w:after="80"/>
            </w:pPr>
            <w:r w:rsidRPr="00F03917">
              <w:t xml:space="preserve">building on existing monitoring programmes </w:t>
            </w:r>
          </w:p>
          <w:p w14:paraId="4FD0AB15" w14:textId="77777777" w:rsidR="00A22ED1" w:rsidRPr="00F03917" w:rsidRDefault="00A22ED1" w:rsidP="00202EC4">
            <w:pPr>
              <w:pStyle w:val="Boxsub-bullet"/>
              <w:spacing w:after="80"/>
            </w:pPr>
            <w:r w:rsidRPr="00F03917">
              <w:t>council staff key performance indicators (eg, for chief executive officers and chief financial officers)</w:t>
            </w:r>
          </w:p>
          <w:p w14:paraId="13403061" w14:textId="77777777" w:rsidR="00A22ED1" w:rsidRPr="00F03917" w:rsidRDefault="00A22ED1" w:rsidP="00202EC4">
            <w:pPr>
              <w:pStyle w:val="Boxsub-bullet"/>
            </w:pPr>
            <w:r w:rsidRPr="00F03917">
              <w:t>council risk framework (eg, signals and triggers formalised with the Liability and Risk Audit Committee)</w:t>
            </w:r>
          </w:p>
          <w:p w14:paraId="208CB45C" w14:textId="77777777" w:rsidR="00A22ED1" w:rsidRPr="00F03917" w:rsidRDefault="00A22ED1" w:rsidP="00202EC4">
            <w:pPr>
              <w:pStyle w:val="Boxbullet"/>
              <w:spacing w:before="120" w:after="80"/>
            </w:pPr>
            <w:r w:rsidRPr="00F03917">
              <w:lastRenderedPageBreak/>
              <w:t>citizen science to monitor some signals and triggers, for example, CoastSnap, King Tide initiatives</w:t>
            </w:r>
          </w:p>
          <w:p w14:paraId="50EFECF6" w14:textId="210517AC" w:rsidR="00A22ED1" w:rsidRPr="00F03917" w:rsidRDefault="00A22ED1" w:rsidP="00B86CC2">
            <w:pPr>
              <w:pStyle w:val="Boxbullet"/>
              <w:spacing w:after="80"/>
            </w:pPr>
            <w:r w:rsidRPr="00F03917">
              <w:t>longitudinal community surveys to monitor values, risk perceptions and sensitivity to signals and triggers.</w:t>
            </w:r>
          </w:p>
          <w:p w14:paraId="7EFA6A53" w14:textId="1F627468" w:rsidR="007B4B4E" w:rsidRPr="00F03917" w:rsidRDefault="00A22ED1" w:rsidP="00B86CC2">
            <w:pPr>
              <w:pStyle w:val="Boxtext"/>
              <w:spacing w:before="80" w:after="180"/>
              <w:rPr>
                <w:rFonts w:cstheme="minorBidi"/>
                <w:color w:val="1F3763"/>
                <w:sz w:val="22"/>
              </w:rPr>
            </w:pPr>
            <w:r w:rsidRPr="00F03917">
              <w:rPr>
                <w:sz w:val="18"/>
                <w:szCs w:val="20"/>
              </w:rPr>
              <w:t>Source: Lawrence et al (2020b)</w:t>
            </w:r>
          </w:p>
        </w:tc>
      </w:tr>
    </w:tbl>
    <w:p w14:paraId="639AD602" w14:textId="6D4D8949" w:rsidR="00BC2E1F" w:rsidRPr="00F03917" w:rsidRDefault="00BC2E1F" w:rsidP="00FA1C4A">
      <w:pPr>
        <w:pStyle w:val="Heading2"/>
        <w:numPr>
          <w:ilvl w:val="0"/>
          <w:numId w:val="34"/>
        </w:numPr>
        <w:spacing w:before="480"/>
      </w:pPr>
      <w:bookmarkStart w:id="225" w:name="_Toc160096267"/>
      <w:r w:rsidRPr="00F03917">
        <w:lastRenderedPageBreak/>
        <w:t>Involv</w:t>
      </w:r>
      <w:r w:rsidR="00B66787" w:rsidRPr="00F03917">
        <w:t>e</w:t>
      </w:r>
      <w:r w:rsidRPr="00F03917">
        <w:t xml:space="preserve"> communities in monitoring</w:t>
      </w:r>
      <w:bookmarkEnd w:id="225"/>
    </w:p>
    <w:p w14:paraId="461105C2" w14:textId="3E54B20A" w:rsidR="00BC2E1F" w:rsidRPr="00F03917" w:rsidRDefault="00BC2E1F" w:rsidP="000466D2">
      <w:pPr>
        <w:pStyle w:val="BodyText"/>
      </w:pPr>
      <w:r w:rsidRPr="00F03917">
        <w:t>Communities, iwi/hapū and other stakeholders</w:t>
      </w:r>
      <w:r w:rsidR="70EFD003" w:rsidRPr="00F03917">
        <w:t>,</w:t>
      </w:r>
      <w:r w:rsidRPr="00F03917">
        <w:t xml:space="preserve"> such as schools and businesses</w:t>
      </w:r>
      <w:r w:rsidR="48D3D5D2" w:rsidRPr="00F03917">
        <w:t>,</w:t>
      </w:r>
      <w:r w:rsidRPr="00F03917">
        <w:t xml:space="preserve"> can contribute to monitoring (see </w:t>
      </w:r>
      <w:hyperlink w:anchor="_Supplements" w:history="1">
        <w:r w:rsidR="005E37D0" w:rsidRPr="00F03917">
          <w:rPr>
            <w:rStyle w:val="Hyperlink"/>
            <w:i/>
          </w:rPr>
          <w:t>Community engagement principles and approaches, and practice methods: Coastal hazards and climate change guidance – Supplement B</w:t>
        </w:r>
      </w:hyperlink>
      <w:r w:rsidRPr="00F03917">
        <w:t>).</w:t>
      </w:r>
      <w:r w:rsidRPr="00F03917" w:rsidDel="00A03628">
        <w:t xml:space="preserve"> </w:t>
      </w:r>
      <w:r w:rsidRPr="00F03917">
        <w:t xml:space="preserve">The </w:t>
      </w:r>
      <w:r w:rsidR="245D0ACC" w:rsidRPr="00F03917">
        <w:t>main</w:t>
      </w:r>
      <w:r w:rsidRPr="00F03917">
        <w:t xml:space="preserve"> benefit is a shared understanding of rates of change, progress towards signal and trigger points, and changes in trigger points. For example, a community may have decided in 2016 that coastal flooding of a main road </w:t>
      </w:r>
      <w:r w:rsidR="002B5D68" w:rsidRPr="00F03917">
        <w:t xml:space="preserve">more than </w:t>
      </w:r>
      <w:r w:rsidRPr="00F03917">
        <w:t xml:space="preserve">twice a year was </w:t>
      </w:r>
      <w:r w:rsidR="002B5D68" w:rsidRPr="00F03917">
        <w:t>a trigger point</w:t>
      </w:r>
      <w:r w:rsidRPr="00F03917">
        <w:t xml:space="preserve">. The reality and cumulative disruption of regular flooding, however, may shift this perspective so a different trigger point is needed. </w:t>
      </w:r>
    </w:p>
    <w:p w14:paraId="1616C70F" w14:textId="1849C6AD" w:rsidR="00BC2E1F" w:rsidRPr="00F03917" w:rsidRDefault="00BC2E1F" w:rsidP="000466D2">
      <w:pPr>
        <w:pStyle w:val="BodyText"/>
      </w:pPr>
      <w:r w:rsidRPr="00F03917">
        <w:t xml:space="preserve">Ideally, citizen monitoring is set up in collaboration with local government monitoring, and information is shared and widely communicated. </w:t>
      </w:r>
      <w:r w:rsidR="00136110" w:rsidRPr="00F03917">
        <w:t>Establishing the monitoring regime</w:t>
      </w:r>
      <w:r w:rsidRPr="00F03917">
        <w:t xml:space="preserve"> may benefit from expert input into its design and analysis</w:t>
      </w:r>
      <w:r w:rsidR="009C0F6D" w:rsidRPr="00F03917">
        <w:t xml:space="preserve"> of the monitoring outputs</w:t>
      </w:r>
      <w:r w:rsidRPr="00F03917">
        <w:t>.</w:t>
      </w:r>
    </w:p>
    <w:p w14:paraId="02DF4D4A" w14:textId="7BC9BD49" w:rsidR="00BC2E1F" w:rsidRPr="00F03917" w:rsidRDefault="00BC2E1F" w:rsidP="000466D2">
      <w:pPr>
        <w:pStyle w:val="BodyText"/>
      </w:pPr>
      <w:r w:rsidRPr="00F03917">
        <w:t xml:space="preserve">Planning along </w:t>
      </w:r>
      <w:r w:rsidR="009C0F6D" w:rsidRPr="00F03917">
        <w:t xml:space="preserve">dynamic </w:t>
      </w:r>
      <w:r w:rsidRPr="00F03917">
        <w:t xml:space="preserve">adaptive pathways should also provide for emerging research and findings, new tools for managing hazards and risks, and community engagement at </w:t>
      </w:r>
      <w:r w:rsidR="00A71EF0" w:rsidRPr="00F03917">
        <w:t xml:space="preserve">key </w:t>
      </w:r>
      <w:r w:rsidRPr="00F03917">
        <w:t>decision points.</w:t>
      </w:r>
    </w:p>
    <w:p w14:paraId="7FD75CF3" w14:textId="77777777" w:rsidR="00A22ED1" w:rsidRPr="00F03917" w:rsidRDefault="00A22ED1" w:rsidP="000466D2">
      <w:pPr>
        <w:pStyle w:val="BodyText"/>
      </w:pPr>
    </w:p>
    <w:p w14:paraId="1E7F2A7D" w14:textId="77777777" w:rsidR="005F0A0A" w:rsidRPr="00F03917" w:rsidRDefault="005F0A0A" w:rsidP="000466D2">
      <w:pPr>
        <w:pStyle w:val="BodyText"/>
      </w:pPr>
    </w:p>
    <w:p w14:paraId="0A2042E3" w14:textId="084DDC42" w:rsidR="006120A1" w:rsidRPr="00F03917" w:rsidRDefault="006120A1" w:rsidP="000466D2">
      <w:pPr>
        <w:pStyle w:val="BodyText"/>
        <w:rPr>
          <w:color w:val="1F3763"/>
        </w:rPr>
      </w:pPr>
      <w:r w:rsidRPr="00F03917">
        <w:rPr>
          <w:noProof/>
        </w:rPr>
        <w:drawing>
          <wp:inline distT="0" distB="0" distL="0" distR="0" wp14:anchorId="2E078806" wp14:editId="004E51F9">
            <wp:extent cx="5400040" cy="1914525"/>
            <wp:effectExtent l="0" t="0" r="48260" b="0"/>
            <wp:docPr id="2057238463" name="Diagram 20572384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7" r:lo="rId158" r:qs="rId159" r:cs="rId160"/>
              </a:graphicData>
            </a:graphic>
          </wp:inline>
        </w:drawing>
      </w:r>
    </w:p>
    <w:p w14:paraId="1A449F35" w14:textId="77777777" w:rsidR="000466D2" w:rsidRPr="00F03917" w:rsidRDefault="000466D2" w:rsidP="000466D2">
      <w:pPr>
        <w:pStyle w:val="BodyText"/>
      </w:pPr>
    </w:p>
    <w:p w14:paraId="521D37D6" w14:textId="77777777" w:rsidR="00EF1ABE" w:rsidRPr="00F03917" w:rsidRDefault="00EF1ABE" w:rsidP="000466D2">
      <w:pPr>
        <w:pStyle w:val="BodyText"/>
        <w:sectPr w:rsidR="00EF1ABE" w:rsidRPr="00F03917" w:rsidSect="007E5AB2">
          <w:headerReference w:type="default" r:id="rId162"/>
          <w:pgSz w:w="11907" w:h="16840" w:code="9"/>
          <w:pgMar w:top="1134" w:right="1701" w:bottom="1134" w:left="1701" w:header="567" w:footer="567" w:gutter="0"/>
          <w:cols w:space="720"/>
          <w:docGrid w:linePitch="299"/>
        </w:sectPr>
      </w:pPr>
    </w:p>
    <w:p w14:paraId="175DE9CD" w14:textId="47000552" w:rsidR="00BC2E1F" w:rsidRPr="00F03917" w:rsidRDefault="000E29F9" w:rsidP="000466D2">
      <w:pPr>
        <w:pStyle w:val="Heading1"/>
      </w:pPr>
      <w:bookmarkStart w:id="226" w:name="_Step_10:_Review"/>
      <w:bookmarkStart w:id="227" w:name="_Toc160096268"/>
      <w:bookmarkEnd w:id="226"/>
      <w:r w:rsidRPr="00F03917">
        <w:lastRenderedPageBreak/>
        <w:t xml:space="preserve">Step 10: </w:t>
      </w:r>
      <w:r w:rsidR="00BC2E1F" w:rsidRPr="00F03917">
        <w:t>Review and adjust</w:t>
      </w:r>
      <w:r w:rsidR="003E38D9" w:rsidRPr="00F03917">
        <w:t xml:space="preserve"> the adaptive planning strategy</w:t>
      </w:r>
      <w:bookmarkEnd w:id="227"/>
    </w:p>
    <w:p w14:paraId="0CEA9DE7" w14:textId="4AE2E050" w:rsidR="00BC2E1F" w:rsidRPr="00F03917" w:rsidRDefault="00BC2E1F" w:rsidP="000466D2">
      <w:pPr>
        <w:pStyle w:val="BodyText"/>
        <w:jc w:val="center"/>
      </w:pPr>
      <w:r w:rsidRPr="00F03917">
        <w:rPr>
          <w:noProof/>
        </w:rPr>
        <w:drawing>
          <wp:inline distT="0" distB="0" distL="0" distR="0" wp14:anchorId="781F8FB9" wp14:editId="7FDAB182">
            <wp:extent cx="4680000" cy="4507461"/>
            <wp:effectExtent l="0" t="0" r="0" b="0"/>
            <wp:docPr id="1451135702" name="Picture 145113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135702" name="Picture 1451135702"/>
                    <pic:cNvPicPr/>
                  </pic:nvPicPr>
                  <pic:blipFill rotWithShape="1">
                    <a:blip r:embed="rId163" cstate="print">
                      <a:extLst>
                        <a:ext uri="{28A0092B-C50C-407E-A947-70E740481C1C}">
                          <a14:useLocalDpi xmlns:a14="http://schemas.microsoft.com/office/drawing/2010/main" val="0"/>
                        </a:ext>
                      </a:extLst>
                    </a:blip>
                    <a:srcRect l="-6525" t="-4433" r="-6518" b="-4442"/>
                    <a:stretch/>
                  </pic:blipFill>
                  <pic:spPr bwMode="auto">
                    <a:xfrm>
                      <a:off x="0" y="0"/>
                      <a:ext cx="4680000" cy="4507461"/>
                    </a:xfrm>
                    <a:prstGeom prst="rect">
                      <a:avLst/>
                    </a:prstGeom>
                    <a:ln>
                      <a:noFill/>
                    </a:ln>
                    <a:extLst>
                      <a:ext uri="{53640926-AAD7-44D8-BBD7-CCE9431645EC}">
                        <a14:shadowObscured xmlns:a14="http://schemas.microsoft.com/office/drawing/2010/main"/>
                      </a:ext>
                    </a:extLst>
                  </pic:spPr>
                </pic:pic>
              </a:graphicData>
            </a:graphic>
          </wp:inline>
        </w:drawing>
      </w:r>
    </w:p>
    <w:p w14:paraId="7DEC6C4F" w14:textId="4E66BF76" w:rsidR="00BC2E1F" w:rsidRPr="00F03917" w:rsidRDefault="00BC2E1F" w:rsidP="00FA1C4A">
      <w:pPr>
        <w:pStyle w:val="Heading2"/>
        <w:numPr>
          <w:ilvl w:val="0"/>
          <w:numId w:val="36"/>
        </w:numPr>
        <w:tabs>
          <w:tab w:val="clear" w:pos="851"/>
        </w:tabs>
        <w:ind w:left="964" w:hanging="964"/>
      </w:pPr>
      <w:bookmarkStart w:id="228" w:name="_Toc160096269"/>
      <w:r w:rsidRPr="00F03917">
        <w:t xml:space="preserve">Review </w:t>
      </w:r>
      <w:r w:rsidR="0057109E" w:rsidRPr="00F03917">
        <w:t xml:space="preserve">the </w:t>
      </w:r>
      <w:r w:rsidR="00E8292F" w:rsidRPr="00F03917">
        <w:t>dynam</w:t>
      </w:r>
      <w:r w:rsidR="00A57F4F" w:rsidRPr="00F03917">
        <w:t>ic adaptive pathways planning</w:t>
      </w:r>
      <w:r w:rsidR="00041784" w:rsidRPr="00F03917">
        <w:t xml:space="preserve"> </w:t>
      </w:r>
      <w:r w:rsidRPr="00F03917">
        <w:t>objectives and actions</w:t>
      </w:r>
      <w:bookmarkEnd w:id="228"/>
    </w:p>
    <w:p w14:paraId="72041034" w14:textId="0AC0583C" w:rsidR="00BC2E1F" w:rsidRPr="00F03917" w:rsidRDefault="00BC2E1F" w:rsidP="0048059F">
      <w:pPr>
        <w:pStyle w:val="BodyText"/>
        <w:spacing w:after="100"/>
      </w:pPr>
      <w:r w:rsidRPr="00F03917">
        <w:rPr>
          <w:spacing w:val="-2"/>
        </w:rPr>
        <w:t xml:space="preserve">Councils should set up a process to activate a review when </w:t>
      </w:r>
      <w:r w:rsidR="00F35476" w:rsidRPr="00F03917">
        <w:rPr>
          <w:spacing w:val="-2"/>
        </w:rPr>
        <w:t xml:space="preserve">either </w:t>
      </w:r>
      <w:r w:rsidRPr="00F03917">
        <w:rPr>
          <w:spacing w:val="-2"/>
        </w:rPr>
        <w:t>a</w:t>
      </w:r>
      <w:r w:rsidR="005C1720" w:rsidRPr="00F03917">
        <w:rPr>
          <w:spacing w:val="-2"/>
        </w:rPr>
        <w:t xml:space="preserve">) </w:t>
      </w:r>
      <w:r w:rsidRPr="00F03917">
        <w:rPr>
          <w:spacing w:val="-2"/>
        </w:rPr>
        <w:t xml:space="preserve">a trigger </w:t>
      </w:r>
      <w:r w:rsidR="005C1720" w:rsidRPr="00F03917">
        <w:rPr>
          <w:spacing w:val="-2"/>
        </w:rPr>
        <w:t xml:space="preserve">or b) </w:t>
      </w:r>
      <w:r w:rsidR="00E94B65" w:rsidRPr="00F03917">
        <w:rPr>
          <w:spacing w:val="-2"/>
        </w:rPr>
        <w:t>a time period</w:t>
      </w:r>
      <w:r w:rsidR="001B20C2" w:rsidRPr="00F03917">
        <w:t>,</w:t>
      </w:r>
      <w:r w:rsidR="00E94B65" w:rsidRPr="00F03917">
        <w:t xml:space="preserve"> such as 10 years</w:t>
      </w:r>
      <w:r w:rsidR="001B20C2" w:rsidRPr="00F03917">
        <w:t>, is reached</w:t>
      </w:r>
      <w:r w:rsidRPr="00F03917">
        <w:t xml:space="preserve">. To </w:t>
      </w:r>
      <w:r w:rsidR="00074BE4" w:rsidRPr="00F03917">
        <w:t>assist</w:t>
      </w:r>
      <w:r w:rsidRPr="00F03917">
        <w:t xml:space="preserve"> monitoring and analysis, keep good documentation of the processes used to derive pathways, triggers</w:t>
      </w:r>
      <w:r w:rsidR="009761F8" w:rsidRPr="00F03917">
        <w:t>,</w:t>
      </w:r>
      <w:r w:rsidRPr="00F03917">
        <w:t xml:space="preserve"> and thresholds.</w:t>
      </w:r>
    </w:p>
    <w:p w14:paraId="0A058914" w14:textId="0109B271" w:rsidR="00BC2E1F" w:rsidRPr="00F03917" w:rsidRDefault="00BC2E1F" w:rsidP="0048059F">
      <w:pPr>
        <w:pStyle w:val="BodyText"/>
        <w:spacing w:after="100"/>
      </w:pPr>
      <w:r w:rsidRPr="00F03917">
        <w:t xml:space="preserve">The review should examine the </w:t>
      </w:r>
      <w:r w:rsidR="00206EF4" w:rsidRPr="00F03917">
        <w:t>dynamic adaptive pathways planning (</w:t>
      </w:r>
      <w:r w:rsidR="00CE0B75" w:rsidRPr="00F03917">
        <w:t>DAPP</w:t>
      </w:r>
      <w:r w:rsidR="00206EF4" w:rsidRPr="00F03917">
        <w:t>)</w:t>
      </w:r>
      <w:r w:rsidRPr="00F03917">
        <w:t xml:space="preserve"> objectives</w:t>
      </w:r>
      <w:r w:rsidR="69E9B5E3" w:rsidRPr="00F03917">
        <w:t>,</w:t>
      </w:r>
      <w:r w:rsidRPr="00F03917">
        <w:t xml:space="preserve"> to</w:t>
      </w:r>
      <w:r w:rsidR="0048059F" w:rsidRPr="00F03917">
        <w:t> </w:t>
      </w:r>
      <w:r w:rsidRPr="00F03917">
        <w:t>determine whether they are still relevant, whether the pathway will still meet the objectives, or whether a change in option or pathway is required. The purpose of the review</w:t>
      </w:r>
      <w:r w:rsidR="0048059F" w:rsidRPr="00F03917">
        <w:t> </w:t>
      </w:r>
      <w:r w:rsidRPr="00F03917">
        <w:t>is</w:t>
      </w:r>
      <w:r w:rsidR="0048059F" w:rsidRPr="00F03917">
        <w:t> </w:t>
      </w:r>
      <w:r w:rsidRPr="00F03917">
        <w:t>to determine:</w:t>
      </w:r>
    </w:p>
    <w:p w14:paraId="11687EA3" w14:textId="6957EFB1" w:rsidR="00BC2E1F" w:rsidRPr="00F03917" w:rsidRDefault="19CDADC1" w:rsidP="00595560">
      <w:pPr>
        <w:pStyle w:val="BulletFIX"/>
        <w:rPr>
          <w:rFonts w:eastAsia="CIDFont+F1"/>
        </w:rPr>
      </w:pPr>
      <w:r w:rsidRPr="00F03917">
        <w:rPr>
          <w:rFonts w:eastAsia="CIDFont+F1"/>
        </w:rPr>
        <w:t xml:space="preserve">the robustness of the signal and trigger activations </w:t>
      </w:r>
    </w:p>
    <w:p w14:paraId="70CEF9CB" w14:textId="3B1401E7" w:rsidR="00BC2E1F" w:rsidRPr="00F03917" w:rsidRDefault="19CDADC1" w:rsidP="00595560">
      <w:pPr>
        <w:pStyle w:val="BulletFIX"/>
        <w:rPr>
          <w:rFonts w:eastAsia="CIDFont+F1" w:cstheme="minorHAnsi"/>
        </w:rPr>
      </w:pPr>
      <w:r w:rsidRPr="00F03917">
        <w:rPr>
          <w:rFonts w:eastAsia="CIDFont+F1"/>
        </w:rPr>
        <w:t>the effectiveness of the existing action.</w:t>
      </w:r>
    </w:p>
    <w:p w14:paraId="13CAD50B" w14:textId="124D0E92" w:rsidR="00BC2E1F" w:rsidRPr="00F03917" w:rsidRDefault="00BC2E1F" w:rsidP="0048059F">
      <w:pPr>
        <w:pStyle w:val="BodyText"/>
        <w:spacing w:after="100"/>
      </w:pPr>
      <w:r w:rsidRPr="00F03917">
        <w:t xml:space="preserve">The review </w:t>
      </w:r>
      <w:r w:rsidR="00520458" w:rsidRPr="00F03917">
        <w:t xml:space="preserve">should </w:t>
      </w:r>
      <w:r w:rsidRPr="00F03917">
        <w:t>be informed by the ability of the options to continue to meet the objectives.</w:t>
      </w:r>
      <w:r w:rsidRPr="00F03917" w:rsidDel="003C6A39">
        <w:t xml:space="preserve"> </w:t>
      </w:r>
      <w:r w:rsidRPr="00F03917">
        <w:t xml:space="preserve">It will be influenced by the prevailing political settings, governance arrangements, statutory </w:t>
      </w:r>
      <w:r w:rsidRPr="00F03917">
        <w:lastRenderedPageBreak/>
        <w:t>frameworks and practices, societal and cultural perceptions, and economic</w:t>
      </w:r>
      <w:r w:rsidR="47BC0F95" w:rsidRPr="00F03917">
        <w:t xml:space="preserve"> and </w:t>
      </w:r>
      <w:r w:rsidRPr="00F03917">
        <w:t xml:space="preserve">funding conditions. </w:t>
      </w:r>
    </w:p>
    <w:p w14:paraId="675BC8A2" w14:textId="6AB3BE01" w:rsidR="00BC2E1F" w:rsidRPr="00F03917" w:rsidRDefault="00BC2E1F" w:rsidP="00591D5E">
      <w:pPr>
        <w:pStyle w:val="BodyText"/>
      </w:pPr>
      <w:r w:rsidRPr="00F03917">
        <w:t xml:space="preserve">If the review shows that existing </w:t>
      </w:r>
      <w:r w:rsidR="4AF905D8" w:rsidRPr="00F03917">
        <w:t xml:space="preserve">actions </w:t>
      </w:r>
      <w:r w:rsidRPr="00F03917">
        <w:t xml:space="preserve">are not </w:t>
      </w:r>
      <w:r w:rsidR="732E9637" w:rsidRPr="00F03917">
        <w:t>meeting the objectives</w:t>
      </w:r>
      <w:r w:rsidRPr="00F03917">
        <w:t xml:space="preserve">, decide on an alternative option or pathway. </w:t>
      </w:r>
    </w:p>
    <w:p w14:paraId="1CC87837" w14:textId="782696B5" w:rsidR="007B4B4E" w:rsidRPr="00F03917" w:rsidRDefault="00BC2E1F" w:rsidP="00D926C6">
      <w:pPr>
        <w:pStyle w:val="BodyText"/>
        <w:spacing w:after="240"/>
      </w:pPr>
      <w:r w:rsidRPr="00F03917">
        <w:t>The outcome of the review should be audited and reported to council</w:t>
      </w:r>
      <w:r w:rsidR="23323E23" w:rsidRPr="00F03917">
        <w:t>,</w:t>
      </w:r>
      <w:r w:rsidRPr="00F03917">
        <w:t xml:space="preserve"> then to the community and relevant stakeholders</w:t>
      </w:r>
      <w:r w:rsidR="580F757B" w:rsidRPr="00F03917">
        <w:t>,</w:t>
      </w:r>
      <w:r w:rsidRPr="00F03917">
        <w:t xml:space="preserve"> before the decision is made to </w:t>
      </w:r>
      <w:r w:rsidR="6E6A7042" w:rsidRPr="00F03917">
        <w:t>act</w:t>
      </w:r>
      <w:r w:rsidRPr="00F03917">
        <w:t>.</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F15EC0" w:rsidRPr="00F03917" w14:paraId="65FA6F66" w14:textId="77777777">
        <w:tc>
          <w:tcPr>
            <w:tcW w:w="8505" w:type="dxa"/>
            <w:shd w:val="clear" w:color="auto" w:fill="D5EBE8" w:themeFill="accent3"/>
          </w:tcPr>
          <w:p w14:paraId="0AEB2B99" w14:textId="7D92EA5A" w:rsidR="00F15EC0" w:rsidRPr="00F03917" w:rsidRDefault="00F15EC0" w:rsidP="00D926C6">
            <w:pPr>
              <w:pStyle w:val="Boxtext"/>
              <w:spacing w:before="240" w:after="80"/>
              <w:rPr>
                <w:b/>
              </w:rPr>
            </w:pPr>
            <w:r w:rsidRPr="00F03917">
              <w:rPr>
                <w:b/>
              </w:rPr>
              <w:t>Guiding questions</w:t>
            </w:r>
          </w:p>
          <w:p w14:paraId="6D512536" w14:textId="512AE230" w:rsidR="00F15EC0" w:rsidRPr="00F03917" w:rsidRDefault="1CDC7D6C" w:rsidP="00D926C6">
            <w:pPr>
              <w:pStyle w:val="Boxtext"/>
              <w:numPr>
                <w:ilvl w:val="0"/>
                <w:numId w:val="39"/>
              </w:numPr>
              <w:spacing w:before="0" w:after="80"/>
            </w:pPr>
            <w:r w:rsidRPr="00F03917">
              <w:t>Is a multi-disciplinary team with all the right expertise available to undertake the review and redesign signals, triggers</w:t>
            </w:r>
            <w:r w:rsidR="005C7E24" w:rsidRPr="00F03917">
              <w:t>,</w:t>
            </w:r>
            <w:r w:rsidRPr="00F03917">
              <w:t xml:space="preserve"> and thresholds?</w:t>
            </w:r>
            <w:r w:rsidR="00977ED4" w:rsidRPr="00F03917">
              <w:t xml:space="preserve"> </w:t>
            </w:r>
          </w:p>
          <w:p w14:paraId="02BEF995" w14:textId="25A90ECB" w:rsidR="00F15EC0" w:rsidRPr="00F03917" w:rsidRDefault="00F15EC0" w:rsidP="00D926C6">
            <w:pPr>
              <w:pStyle w:val="Boxtext"/>
              <w:numPr>
                <w:ilvl w:val="0"/>
                <w:numId w:val="39"/>
              </w:numPr>
              <w:spacing w:before="0" w:after="80"/>
              <w:rPr>
                <w:bCs/>
              </w:rPr>
            </w:pPr>
            <w:r w:rsidRPr="00F03917">
              <w:rPr>
                <w:bCs/>
              </w:rPr>
              <w:t>How can we revisit the plan objectives when the operating conditions and enablers (statutes or guidance) change?</w:t>
            </w:r>
          </w:p>
          <w:p w14:paraId="73798C7D" w14:textId="1E16704A" w:rsidR="00F15EC0" w:rsidRPr="00F03917" w:rsidRDefault="0C81548D" w:rsidP="00D926C6">
            <w:pPr>
              <w:pStyle w:val="Boxtext"/>
              <w:numPr>
                <w:ilvl w:val="0"/>
                <w:numId w:val="39"/>
              </w:numPr>
              <w:spacing w:before="0" w:after="80"/>
              <w:rPr>
                <w:bCs/>
              </w:rPr>
            </w:pPr>
            <w:r w:rsidRPr="00F03917">
              <w:t xml:space="preserve">How can the </w:t>
            </w:r>
            <w:r w:rsidR="001F5213" w:rsidRPr="00F03917">
              <w:t>dynamic adaptive pathways planning</w:t>
            </w:r>
            <w:r w:rsidRPr="00F03917">
              <w:t xml:space="preserve"> </w:t>
            </w:r>
            <w:r w:rsidR="000F3AC9" w:rsidRPr="00F03917">
              <w:t xml:space="preserve">approach </w:t>
            </w:r>
            <w:r w:rsidRPr="00F03917">
              <w:t xml:space="preserve">be adjusted </w:t>
            </w:r>
            <w:r w:rsidR="00F15EC0" w:rsidRPr="00F03917">
              <w:rPr>
                <w:bCs/>
              </w:rPr>
              <w:t xml:space="preserve">when surprises or disasters happen? </w:t>
            </w:r>
          </w:p>
          <w:p w14:paraId="190F7C92" w14:textId="78F9107A" w:rsidR="00F15EC0" w:rsidRPr="00F03917" w:rsidRDefault="00F15EC0" w:rsidP="00D926C6">
            <w:pPr>
              <w:pStyle w:val="Boxtext"/>
              <w:numPr>
                <w:ilvl w:val="0"/>
                <w:numId w:val="39"/>
              </w:numPr>
              <w:spacing w:before="0" w:after="80"/>
              <w:rPr>
                <w:bCs/>
              </w:rPr>
            </w:pPr>
            <w:r w:rsidRPr="00F03917">
              <w:rPr>
                <w:bCs/>
              </w:rPr>
              <w:t xml:space="preserve">What are the risks </w:t>
            </w:r>
            <w:r w:rsidR="31073D7B" w:rsidRPr="00F03917">
              <w:t>(including residual risks)</w:t>
            </w:r>
            <w:r w:rsidR="0F604B74" w:rsidRPr="00F03917">
              <w:t xml:space="preserve"> </w:t>
            </w:r>
            <w:r w:rsidRPr="00F03917">
              <w:rPr>
                <w:bCs/>
              </w:rPr>
              <w:t xml:space="preserve">if the signals and triggers fail to anticipate the impending adaptation threshold soon enough? </w:t>
            </w:r>
          </w:p>
          <w:p w14:paraId="4ABEADD2" w14:textId="5BC673F9" w:rsidR="00F15EC0" w:rsidRPr="00F03917" w:rsidRDefault="129798B3" w:rsidP="00D926C6">
            <w:pPr>
              <w:pStyle w:val="Boxtext"/>
              <w:numPr>
                <w:ilvl w:val="0"/>
                <w:numId w:val="39"/>
              </w:numPr>
              <w:spacing w:before="0" w:after="80"/>
            </w:pPr>
            <w:r w:rsidRPr="00F03917">
              <w:t xml:space="preserve">How do the combined changes in climate and non-climate indicators influence the achievement of objectives going forward? </w:t>
            </w:r>
          </w:p>
          <w:p w14:paraId="022A997A" w14:textId="77777777" w:rsidR="00F15EC0" w:rsidRPr="00F03917" w:rsidRDefault="00F15EC0" w:rsidP="00D926C6">
            <w:pPr>
              <w:pStyle w:val="Boxtext"/>
              <w:numPr>
                <w:ilvl w:val="0"/>
                <w:numId w:val="39"/>
              </w:numPr>
              <w:spacing w:before="0" w:after="80"/>
              <w:rPr>
                <w:bCs/>
              </w:rPr>
            </w:pPr>
            <w:r w:rsidRPr="00F03917">
              <w:rPr>
                <w:bCs/>
              </w:rPr>
              <w:t>What are the cumulative demands of adaptation implementation across the region? Have funding sources and affordability changed?</w:t>
            </w:r>
          </w:p>
          <w:p w14:paraId="374E85C8" w14:textId="1CC04075" w:rsidR="00F15EC0" w:rsidRPr="00F03917" w:rsidRDefault="00F15EC0" w:rsidP="00D926C6">
            <w:pPr>
              <w:pStyle w:val="Boxtext"/>
              <w:numPr>
                <w:ilvl w:val="0"/>
                <w:numId w:val="39"/>
              </w:numPr>
              <w:spacing w:before="0" w:after="80"/>
              <w:rPr>
                <w:bCs/>
              </w:rPr>
            </w:pPr>
            <w:r w:rsidRPr="00F03917">
              <w:rPr>
                <w:bCs/>
              </w:rPr>
              <w:t>Do we need to reprioritise actions due to diminishing physical resources?</w:t>
            </w:r>
          </w:p>
          <w:p w14:paraId="1DA1DF26" w14:textId="2C14E15B" w:rsidR="00F15EC0" w:rsidRPr="00F03917" w:rsidRDefault="00F15EC0" w:rsidP="00D926C6">
            <w:pPr>
              <w:pStyle w:val="Boxtext"/>
              <w:numPr>
                <w:ilvl w:val="0"/>
                <w:numId w:val="39"/>
              </w:numPr>
              <w:spacing w:before="0" w:after="240"/>
              <w:rPr>
                <w:bCs/>
              </w:rPr>
            </w:pPr>
            <w:r w:rsidRPr="00F03917">
              <w:rPr>
                <w:bCs/>
              </w:rPr>
              <w:t>Have either adaptive capacity or risk perceptions changed?</w:t>
            </w:r>
          </w:p>
        </w:tc>
      </w:tr>
    </w:tbl>
    <w:p w14:paraId="6379C1E2" w14:textId="6B7DF216" w:rsidR="00BC2E1F" w:rsidRPr="00F03917" w:rsidRDefault="00BC2E1F" w:rsidP="00D926C6">
      <w:pPr>
        <w:pStyle w:val="Heading2"/>
        <w:numPr>
          <w:ilvl w:val="0"/>
          <w:numId w:val="36"/>
        </w:numPr>
        <w:tabs>
          <w:tab w:val="clear" w:pos="851"/>
        </w:tabs>
        <w:spacing w:before="480"/>
        <w:ind w:left="964" w:hanging="964"/>
      </w:pPr>
      <w:bookmarkStart w:id="229" w:name="_Toc160096270"/>
      <w:r w:rsidRPr="00F03917">
        <w:t xml:space="preserve">Adjust </w:t>
      </w:r>
      <w:r w:rsidR="21DF030B" w:rsidRPr="00F03917">
        <w:t xml:space="preserve">the </w:t>
      </w:r>
      <w:r w:rsidR="00B22B5A" w:rsidRPr="00F03917">
        <w:t>dynamic adaptive pathways planning</w:t>
      </w:r>
      <w:r w:rsidR="005619A3" w:rsidRPr="00F03917">
        <w:t xml:space="preserve"> </w:t>
      </w:r>
      <w:r w:rsidR="00D5199D" w:rsidRPr="00F03917">
        <w:t>objectives and actions</w:t>
      </w:r>
      <w:bookmarkEnd w:id="229"/>
      <w:r w:rsidR="005619A3" w:rsidRPr="00F03917">
        <w:t xml:space="preserve"> </w:t>
      </w:r>
    </w:p>
    <w:p w14:paraId="5E389F5F" w14:textId="13D2C938" w:rsidR="00BC2E1F" w:rsidRPr="00F03917" w:rsidRDefault="00BC2E1F" w:rsidP="00376E81">
      <w:pPr>
        <w:pStyle w:val="BodyText"/>
      </w:pPr>
      <w:r w:rsidRPr="00F03917">
        <w:t>Once a trigger has been reached, a review has been conducted and a decision to change has</w:t>
      </w:r>
      <w:r w:rsidR="00D926C6" w:rsidRPr="00F03917">
        <w:t> </w:t>
      </w:r>
      <w:r w:rsidRPr="00F03917">
        <w:t xml:space="preserve">been made, </w:t>
      </w:r>
      <w:r w:rsidR="5B0C1C18" w:rsidRPr="00F03917">
        <w:t>assess whether other options or pathways in the plan could meet the objectives and</w:t>
      </w:r>
      <w:r w:rsidR="00963C90" w:rsidRPr="00F03917">
        <w:t>,</w:t>
      </w:r>
      <w:r w:rsidR="5B0C1C18" w:rsidRPr="00F03917">
        <w:t xml:space="preserve"> if so, </w:t>
      </w:r>
      <w:r w:rsidRPr="00F03917">
        <w:t xml:space="preserve">adjust </w:t>
      </w:r>
      <w:r w:rsidR="00C840FF" w:rsidRPr="00F03917">
        <w:t xml:space="preserve">the </w:t>
      </w:r>
      <w:r w:rsidRPr="00F03917">
        <w:t xml:space="preserve">plan </w:t>
      </w:r>
      <w:r w:rsidR="181EAD32" w:rsidRPr="00F03917">
        <w:t>by</w:t>
      </w:r>
      <w:r w:rsidR="0824A597" w:rsidRPr="00F03917">
        <w:t xml:space="preserve"> </w:t>
      </w:r>
      <w:r w:rsidR="181EAD32" w:rsidRPr="00F03917">
        <w:t>changing to the new actions</w:t>
      </w:r>
      <w:r w:rsidRPr="00F03917">
        <w:t xml:space="preserve"> </w:t>
      </w:r>
      <w:r w:rsidR="2503432D" w:rsidRPr="00F03917">
        <w:t>and redesign</w:t>
      </w:r>
      <w:r w:rsidR="007D7C5F" w:rsidRPr="00F03917">
        <w:t>ing</w:t>
      </w:r>
      <w:r w:rsidR="2503432D" w:rsidRPr="00F03917">
        <w:t xml:space="preserve"> the signals</w:t>
      </w:r>
      <w:r w:rsidR="00D926C6" w:rsidRPr="00F03917">
        <w:t> </w:t>
      </w:r>
      <w:r w:rsidR="2503432D" w:rsidRPr="00F03917">
        <w:t>and triggers.</w:t>
      </w:r>
    </w:p>
    <w:p w14:paraId="3EA4B6EF" w14:textId="6457CFEE" w:rsidR="00BC2E1F" w:rsidRPr="00F03917" w:rsidRDefault="00BC2E1F" w:rsidP="00376E81">
      <w:pPr>
        <w:pStyle w:val="BodyText"/>
      </w:pPr>
      <w:r w:rsidRPr="00F03917">
        <w:t xml:space="preserve">These </w:t>
      </w:r>
      <w:r w:rsidR="4594A036" w:rsidRPr="00F03917">
        <w:t>changes</w:t>
      </w:r>
      <w:r w:rsidRPr="00F03917">
        <w:t xml:space="preserve"> will alter, cease or expand the existing actions or services in response to monitoring.</w:t>
      </w:r>
      <w:r w:rsidR="37035C90" w:rsidRPr="00F03917">
        <w:t xml:space="preserve"> </w:t>
      </w:r>
      <w:r w:rsidR="0D8062C6" w:rsidRPr="00F03917">
        <w:t>The</w:t>
      </w:r>
      <w:r w:rsidR="19E0AA21" w:rsidRPr="00F03917">
        <w:t>y</w:t>
      </w:r>
      <w:r w:rsidR="0D8062C6" w:rsidRPr="00F03917">
        <w:t xml:space="preserve"> will also necessitate changes to</w:t>
      </w:r>
      <w:r w:rsidRPr="00F03917">
        <w:t xml:space="preserve"> the implementation plan and </w:t>
      </w:r>
      <w:r w:rsidR="3A87072A" w:rsidRPr="00F03917">
        <w:t xml:space="preserve">its </w:t>
      </w:r>
      <w:r w:rsidRPr="00F03917">
        <w:t>funding, which could extend over several years, and reapprais</w:t>
      </w:r>
      <w:r w:rsidR="0090232F" w:rsidRPr="00F03917">
        <w:t>al of</w:t>
      </w:r>
      <w:r w:rsidRPr="00F03917">
        <w:t xml:space="preserve"> the lead time for implementation. Consider the flow-on effects of actions for statutory plans, council budgets, cross-council integration and other actions. </w:t>
      </w:r>
    </w:p>
    <w:p w14:paraId="453D9455" w14:textId="0AB1FAE4" w:rsidR="00BC2E1F" w:rsidRPr="00F03917" w:rsidRDefault="00BC2E1F" w:rsidP="00D926C6">
      <w:pPr>
        <w:pStyle w:val="BodyText"/>
      </w:pPr>
      <w:r w:rsidRPr="00F03917">
        <w:t>Once the changes</w:t>
      </w:r>
      <w:r w:rsidR="00BF0F19" w:rsidRPr="00F03917">
        <w:t xml:space="preserve"> are activated</w:t>
      </w:r>
      <w:r w:rsidRPr="00F03917">
        <w:t>, revert</w:t>
      </w:r>
      <w:r w:rsidRPr="00F03917" w:rsidDel="00465EB7">
        <w:t xml:space="preserve"> </w:t>
      </w:r>
      <w:r w:rsidRPr="00F03917">
        <w:t xml:space="preserve">either </w:t>
      </w:r>
      <w:r w:rsidR="00465EB7" w:rsidRPr="00F03917">
        <w:t xml:space="preserve">to </w:t>
      </w:r>
      <w:hyperlink w:anchor="_Step_3:_Establish" w:history="1">
        <w:r w:rsidRPr="00F03917">
          <w:rPr>
            <w:rStyle w:val="Hyperlink"/>
          </w:rPr>
          <w:t>step 3</w:t>
        </w:r>
      </w:hyperlink>
      <w:r w:rsidRPr="00F03917">
        <w:t xml:space="preserve"> (refine the adap</w:t>
      </w:r>
      <w:r w:rsidR="2C1B07B0" w:rsidRPr="00F03917">
        <w:t>tation</w:t>
      </w:r>
      <w:r w:rsidRPr="00F03917">
        <w:t xml:space="preserve"> plan objectives) or </w:t>
      </w:r>
      <w:hyperlink w:anchor="_Step_5:_Identify" w:history="1">
        <w:r w:rsidRPr="00F03917">
          <w:rPr>
            <w:rStyle w:val="Hyperlink"/>
          </w:rPr>
          <w:t>step 5</w:t>
        </w:r>
      </w:hyperlink>
      <w:r w:rsidRPr="00F03917">
        <w:t xml:space="preserve"> (identify options and pathways) of the decision cycle.</w:t>
      </w:r>
    </w:p>
    <w:p w14:paraId="43AB42A2" w14:textId="4501F3E1" w:rsidR="006120A1" w:rsidRPr="00F03917" w:rsidRDefault="006120A1" w:rsidP="00D926C6">
      <w:pPr>
        <w:pStyle w:val="BodyText"/>
      </w:pPr>
    </w:p>
    <w:p w14:paraId="0EB5F4EF" w14:textId="77777777" w:rsidR="00EF1ABE" w:rsidRPr="00F03917" w:rsidRDefault="00EF1ABE" w:rsidP="00D926C6">
      <w:pPr>
        <w:pStyle w:val="BodyText"/>
        <w:sectPr w:rsidR="00EF1ABE" w:rsidRPr="00F03917" w:rsidSect="007E5AB2">
          <w:headerReference w:type="default" r:id="rId164"/>
          <w:pgSz w:w="11907" w:h="16840" w:code="9"/>
          <w:pgMar w:top="1134" w:right="1701" w:bottom="1134" w:left="1701" w:header="567" w:footer="567" w:gutter="0"/>
          <w:cols w:space="720"/>
          <w:docGrid w:linePitch="299"/>
        </w:sectPr>
      </w:pPr>
    </w:p>
    <w:p w14:paraId="0AB25952" w14:textId="123072D0" w:rsidR="00BC2E1F" w:rsidRPr="00F03917" w:rsidRDefault="18DE8BB0" w:rsidP="00743DBE">
      <w:pPr>
        <w:pStyle w:val="Heading1"/>
        <w:rPr>
          <w:bCs w:val="0"/>
          <w:szCs w:val="48"/>
        </w:rPr>
      </w:pPr>
      <w:bookmarkStart w:id="230" w:name="_Glossary_of_abbreviations"/>
      <w:bookmarkStart w:id="231" w:name="_Toc160096271"/>
      <w:bookmarkEnd w:id="230"/>
      <w:r w:rsidRPr="00F03917">
        <w:lastRenderedPageBreak/>
        <w:t>Glossary of abbreviations and</w:t>
      </w:r>
      <w:r w:rsidR="00743DBE" w:rsidRPr="00F03917">
        <w:t> </w:t>
      </w:r>
      <w:r w:rsidRPr="00F03917">
        <w:t>terms</w:t>
      </w:r>
      <w:bookmarkEnd w:id="231"/>
    </w:p>
    <w:tbl>
      <w:tblPr>
        <w:tblW w:w="8647" w:type="dxa"/>
        <w:tblLayout w:type="fixed"/>
        <w:tblCellMar>
          <w:left w:w="57" w:type="dxa"/>
          <w:right w:w="57" w:type="dxa"/>
        </w:tblCellMar>
        <w:tblLook w:val="01E0" w:firstRow="1" w:lastRow="1" w:firstColumn="1" w:lastColumn="1" w:noHBand="0" w:noVBand="0"/>
      </w:tblPr>
      <w:tblGrid>
        <w:gridCol w:w="2268"/>
        <w:gridCol w:w="6237"/>
        <w:gridCol w:w="142"/>
      </w:tblGrid>
      <w:tr w:rsidR="30335B8A" w:rsidRPr="00F03917" w14:paraId="775E1C84" w14:textId="77777777" w:rsidTr="00496CF4">
        <w:trPr>
          <w:gridAfter w:val="1"/>
          <w:wAfter w:w="142" w:type="dxa"/>
          <w:trHeight w:val="300"/>
        </w:trPr>
        <w:tc>
          <w:tcPr>
            <w:tcW w:w="2268" w:type="dxa"/>
            <w:tcBorders>
              <w:top w:val="single" w:sz="8" w:space="0" w:color="1C556C" w:themeColor="accent1"/>
              <w:left w:val="nil"/>
              <w:bottom w:val="nil"/>
              <w:right w:val="nil"/>
            </w:tcBorders>
            <w:tcMar>
              <w:top w:w="57" w:type="dxa"/>
              <w:left w:w="108" w:type="dxa"/>
              <w:bottom w:w="57" w:type="dxa"/>
              <w:right w:w="108" w:type="dxa"/>
            </w:tcMar>
          </w:tcPr>
          <w:p w14:paraId="69C2290C" w14:textId="2309600E" w:rsidR="30335B8A" w:rsidRPr="00F03917" w:rsidRDefault="30335B8A" w:rsidP="30335B8A">
            <w:pPr>
              <w:spacing w:before="120"/>
              <w:rPr>
                <w:rFonts w:ascii="Calibri" w:eastAsia="Calibri" w:hAnsi="Calibri" w:cs="Calibri"/>
                <w:sz w:val="22"/>
                <w:szCs w:val="22"/>
              </w:rPr>
            </w:pPr>
            <w:r w:rsidRPr="00F03917">
              <w:rPr>
                <w:rFonts w:ascii="Calibri" w:eastAsia="Calibri" w:hAnsi="Calibri" w:cs="Calibri"/>
                <w:sz w:val="22"/>
                <w:szCs w:val="22"/>
              </w:rPr>
              <w:t>Adaptation</w:t>
            </w:r>
          </w:p>
        </w:tc>
        <w:tc>
          <w:tcPr>
            <w:tcW w:w="6237" w:type="dxa"/>
            <w:tcBorders>
              <w:top w:val="single" w:sz="8" w:space="0" w:color="1C556C" w:themeColor="accent1"/>
              <w:left w:val="nil"/>
              <w:bottom w:val="nil"/>
              <w:right w:val="nil"/>
            </w:tcBorders>
            <w:tcMar>
              <w:top w:w="57" w:type="dxa"/>
              <w:left w:w="108" w:type="dxa"/>
              <w:bottom w:w="57" w:type="dxa"/>
              <w:right w:w="108" w:type="dxa"/>
            </w:tcMar>
          </w:tcPr>
          <w:p w14:paraId="300C1202" w14:textId="55B0366C" w:rsidR="30335B8A" w:rsidRPr="00F03917" w:rsidRDefault="30335B8A" w:rsidP="00B9248C">
            <w:pPr>
              <w:pStyle w:val="Glossary"/>
            </w:pPr>
            <w:r w:rsidRPr="00F03917">
              <w:t>A response strategy to anticipate and cope with impacts that cannot be (or are not) avoided under different scenarios of climate change (Denton et al, 2014).</w:t>
            </w:r>
          </w:p>
          <w:p w14:paraId="7A03B341" w14:textId="6E827DB3" w:rsidR="30335B8A" w:rsidRPr="00F03917" w:rsidRDefault="30335B8A" w:rsidP="00B9248C">
            <w:pPr>
              <w:pStyle w:val="Glossary"/>
            </w:pPr>
            <w:r w:rsidRPr="00F03917">
              <w:t>The process of adjustment to actual or expected climate and its effects. In human systems, adaptation seeks to moderate or avoid harm or exploit beneficial opportunities. In some natural systems, human intervention may facilitate adjustment to expected climate and its effects (IPCC, 2014b, annex II).</w:t>
            </w:r>
          </w:p>
          <w:p w14:paraId="285B549E" w14:textId="2EA0AD5C" w:rsidR="30335B8A" w:rsidRPr="00F03917" w:rsidRDefault="30335B8A" w:rsidP="00B9248C">
            <w:pPr>
              <w:pStyle w:val="Glossary"/>
              <w:spacing w:after="120"/>
            </w:pPr>
            <w:r w:rsidRPr="00F03917">
              <w:t xml:space="preserve">Adaptation can be categorised as either: </w:t>
            </w:r>
          </w:p>
          <w:p w14:paraId="781B4F8D" w14:textId="12A126EB" w:rsidR="30335B8A" w:rsidRPr="00F03917" w:rsidRDefault="130F4972" w:rsidP="00595560">
            <w:pPr>
              <w:pStyle w:val="BulletFIX"/>
            </w:pPr>
            <w:r w:rsidRPr="00F03917">
              <w:rPr>
                <w:i/>
              </w:rPr>
              <w:t>incremental</w:t>
            </w:r>
            <w:r w:rsidRPr="00F03917">
              <w:rPr>
                <w:b/>
              </w:rPr>
              <w:t xml:space="preserve"> </w:t>
            </w:r>
            <w:r w:rsidRPr="00F03917">
              <w:t xml:space="preserve">– actions where the central aim is to maintain the essence and integrity of a system or process at a given scale, or </w:t>
            </w:r>
          </w:p>
          <w:p w14:paraId="6FEFC28C" w14:textId="173B8948" w:rsidR="30335B8A" w:rsidRPr="00F03917" w:rsidRDefault="130F4972" w:rsidP="00595560">
            <w:pPr>
              <w:pStyle w:val="BulletFIX"/>
            </w:pPr>
            <w:r w:rsidRPr="00F03917">
              <w:rPr>
                <w:i/>
              </w:rPr>
              <w:t>transformational</w:t>
            </w:r>
            <w:r w:rsidRPr="00F03917">
              <w:t xml:space="preserve"> – actions that changes the fundamental attributes of a system in response to climate and its effects.</w:t>
            </w:r>
          </w:p>
        </w:tc>
      </w:tr>
      <w:tr w:rsidR="30335B8A" w:rsidRPr="00F03917" w14:paraId="06382941" w14:textId="77777777" w:rsidTr="00496CF4">
        <w:trPr>
          <w:gridAfter w:val="1"/>
          <w:wAfter w:w="142" w:type="dxa"/>
          <w:trHeight w:val="300"/>
        </w:trPr>
        <w:tc>
          <w:tcPr>
            <w:tcW w:w="2268" w:type="dxa"/>
            <w:tcMar>
              <w:top w:w="57" w:type="dxa"/>
              <w:left w:w="108" w:type="dxa"/>
              <w:bottom w:w="57" w:type="dxa"/>
              <w:right w:w="108" w:type="dxa"/>
            </w:tcMar>
          </w:tcPr>
          <w:p w14:paraId="12CDD439" w14:textId="75866CF5" w:rsidR="30335B8A" w:rsidRPr="00F03917" w:rsidRDefault="30335B8A" w:rsidP="00B9248C">
            <w:pPr>
              <w:pStyle w:val="Glossary"/>
            </w:pPr>
            <w:r w:rsidRPr="00F03917">
              <w:t>Adaptation threshold</w:t>
            </w:r>
          </w:p>
        </w:tc>
        <w:tc>
          <w:tcPr>
            <w:tcW w:w="6237" w:type="dxa"/>
            <w:tcMar>
              <w:top w:w="57" w:type="dxa"/>
              <w:left w:w="108" w:type="dxa"/>
              <w:bottom w:w="57" w:type="dxa"/>
              <w:right w:w="108" w:type="dxa"/>
            </w:tcMar>
          </w:tcPr>
          <w:p w14:paraId="7FECD112" w14:textId="11E4E393" w:rsidR="30335B8A" w:rsidRPr="00F03917" w:rsidRDefault="30335B8A" w:rsidP="00B9248C">
            <w:pPr>
              <w:pStyle w:val="Glossary"/>
            </w:pPr>
            <w:r w:rsidRPr="00F03917">
              <w:t>The threshold (derived value or performance measure) when agreed objectives, community values, risk exposure, or levels of service are no longer being met or start to fail, requiring an alternative adaptation action or pathway to be in place before this occurs. The threshold is not tied to a particular time</w:t>
            </w:r>
            <w:r w:rsidR="00B12FB0" w:rsidRPr="00F03917">
              <w:t>, rather to a condition</w:t>
            </w:r>
            <w:r w:rsidRPr="00F03917">
              <w:t xml:space="preserve"> –it will be a bracketed time window derived from the scenarios </w:t>
            </w:r>
            <w:r w:rsidR="0063018A" w:rsidRPr="00F03917">
              <w:t xml:space="preserve">used </w:t>
            </w:r>
            <w:r w:rsidRPr="00F03917">
              <w:t xml:space="preserve">in </w:t>
            </w:r>
            <w:r w:rsidR="006D421E" w:rsidRPr="00F03917">
              <w:t xml:space="preserve">the </w:t>
            </w:r>
            <w:r w:rsidR="009E34B8" w:rsidRPr="00F03917">
              <w:t>dynamic adaptive pathways</w:t>
            </w:r>
            <w:r w:rsidR="00180AC9" w:rsidRPr="00F03917">
              <w:t xml:space="preserve"> planning</w:t>
            </w:r>
            <w:r w:rsidRPr="00F03917">
              <w:t xml:space="preserve"> </w:t>
            </w:r>
            <w:r w:rsidR="00AF0D7E" w:rsidRPr="00F03917">
              <w:t>approach</w:t>
            </w:r>
            <w:r w:rsidRPr="00F03917">
              <w:t>.</w:t>
            </w:r>
          </w:p>
        </w:tc>
      </w:tr>
      <w:tr w:rsidR="30335B8A" w:rsidRPr="00F03917" w14:paraId="53D67045" w14:textId="77777777" w:rsidTr="00496CF4">
        <w:trPr>
          <w:gridAfter w:val="1"/>
          <w:wAfter w:w="142" w:type="dxa"/>
          <w:trHeight w:val="300"/>
        </w:trPr>
        <w:tc>
          <w:tcPr>
            <w:tcW w:w="2268" w:type="dxa"/>
            <w:tcMar>
              <w:top w:w="57" w:type="dxa"/>
              <w:left w:w="108" w:type="dxa"/>
              <w:bottom w:w="57" w:type="dxa"/>
              <w:right w:w="108" w:type="dxa"/>
            </w:tcMar>
          </w:tcPr>
          <w:p w14:paraId="0AC6D871" w14:textId="4004204D" w:rsidR="30335B8A" w:rsidRPr="00F03917" w:rsidRDefault="30335B8A" w:rsidP="00B9248C">
            <w:pPr>
              <w:pStyle w:val="Glossary"/>
            </w:pPr>
            <w:r w:rsidRPr="00F03917">
              <w:t>Adaptive capacity</w:t>
            </w:r>
          </w:p>
        </w:tc>
        <w:tc>
          <w:tcPr>
            <w:tcW w:w="6237" w:type="dxa"/>
            <w:tcMar>
              <w:top w:w="57" w:type="dxa"/>
              <w:left w:w="108" w:type="dxa"/>
              <w:bottom w:w="57" w:type="dxa"/>
              <w:right w:w="108" w:type="dxa"/>
            </w:tcMar>
          </w:tcPr>
          <w:p w14:paraId="5799C892" w14:textId="6640049B" w:rsidR="30335B8A" w:rsidRPr="00F03917" w:rsidRDefault="30335B8A" w:rsidP="00B9248C">
            <w:pPr>
              <w:pStyle w:val="Glossary"/>
            </w:pPr>
            <w:r w:rsidRPr="00F03917">
              <w:t>The ability of systems, institutions, humans and ecosystems to adjust to potential damage, take advantage of opportunities, or respond to consequences (ISO 14091:2021)</w:t>
            </w:r>
            <w:r w:rsidR="00AE158D" w:rsidRPr="00F03917">
              <w:t>.</w:t>
            </w:r>
            <w:r w:rsidRPr="00F03917">
              <w:t xml:space="preserve"> See also IPCC 2022 Glossary.</w:t>
            </w:r>
          </w:p>
        </w:tc>
      </w:tr>
      <w:tr w:rsidR="00A21145" w:rsidRPr="00F03917" w14:paraId="6E05C6FC" w14:textId="77777777" w:rsidTr="00496CF4">
        <w:trPr>
          <w:trHeight w:val="300"/>
        </w:trPr>
        <w:tc>
          <w:tcPr>
            <w:tcW w:w="2268" w:type="dxa"/>
            <w:tcMar>
              <w:top w:w="57" w:type="dxa"/>
              <w:left w:w="108" w:type="dxa"/>
              <w:bottom w:w="57" w:type="dxa"/>
              <w:right w:w="108" w:type="dxa"/>
            </w:tcMar>
          </w:tcPr>
          <w:p w14:paraId="7311BED9" w14:textId="07830FAB" w:rsidR="00A21145" w:rsidRPr="00F03917" w:rsidRDefault="00A21145" w:rsidP="00B9248C">
            <w:pPr>
              <w:pStyle w:val="Glossary"/>
            </w:pPr>
            <w:r w:rsidRPr="00F03917">
              <w:t>A</w:t>
            </w:r>
            <w:r w:rsidR="00834454" w:rsidRPr="00F03917">
              <w:t>daptive planning strategy</w:t>
            </w:r>
          </w:p>
        </w:tc>
        <w:tc>
          <w:tcPr>
            <w:tcW w:w="6379" w:type="dxa"/>
            <w:gridSpan w:val="2"/>
            <w:tcMar>
              <w:top w:w="57" w:type="dxa"/>
              <w:left w:w="108" w:type="dxa"/>
              <w:bottom w:w="57" w:type="dxa"/>
              <w:right w:w="108" w:type="dxa"/>
            </w:tcMar>
          </w:tcPr>
          <w:p w14:paraId="0AD37A41" w14:textId="0C986D2E" w:rsidR="00A21145" w:rsidRPr="00F03917" w:rsidRDefault="0073590A" w:rsidP="00B9248C">
            <w:pPr>
              <w:pStyle w:val="Glossary"/>
            </w:pPr>
            <w:r w:rsidRPr="00F03917">
              <w:t xml:space="preserve">For the purposes of this </w:t>
            </w:r>
            <w:r w:rsidR="00346A24" w:rsidRPr="00F03917">
              <w:t>g</w:t>
            </w:r>
            <w:r w:rsidRPr="00F03917">
              <w:t xml:space="preserve">uidance, an adaptive planning strategy encompasses the hazard assessments, the values and objectives and the vulnerability and risk assessments that feed into the </w:t>
            </w:r>
            <w:r w:rsidR="00346A24" w:rsidRPr="00F03917">
              <w:t>d</w:t>
            </w:r>
            <w:r w:rsidRPr="00F03917">
              <w:t xml:space="preserve">ynamic </w:t>
            </w:r>
            <w:r w:rsidR="00346A24" w:rsidRPr="00F03917">
              <w:t>a</w:t>
            </w:r>
            <w:r w:rsidRPr="00F03917">
              <w:t xml:space="preserve">daptive </w:t>
            </w:r>
            <w:r w:rsidR="00346A24" w:rsidRPr="00F03917">
              <w:t>p</w:t>
            </w:r>
            <w:r w:rsidRPr="00F03917">
              <w:t xml:space="preserve">athways </w:t>
            </w:r>
            <w:r w:rsidR="00346A24" w:rsidRPr="00F03917">
              <w:t>p</w:t>
            </w:r>
            <w:r w:rsidRPr="00F03917">
              <w:t xml:space="preserve">lanning </w:t>
            </w:r>
            <w:r w:rsidR="000254CF" w:rsidRPr="00F03917">
              <w:t>approach</w:t>
            </w:r>
            <w:r w:rsidRPr="00F03917">
              <w:t>, and the measures to implement them through the R</w:t>
            </w:r>
            <w:r w:rsidR="00346A24" w:rsidRPr="00F03917">
              <w:t xml:space="preserve">esource Management </w:t>
            </w:r>
            <w:r w:rsidRPr="00F03917">
              <w:t>A</w:t>
            </w:r>
            <w:r w:rsidR="00346A24" w:rsidRPr="00F03917">
              <w:t>ct 1991</w:t>
            </w:r>
            <w:r w:rsidRPr="00F03917">
              <w:t>, L</w:t>
            </w:r>
            <w:r w:rsidR="00346A24" w:rsidRPr="00F03917">
              <w:t>ong-</w:t>
            </w:r>
            <w:r w:rsidRPr="00F03917">
              <w:t>T</w:t>
            </w:r>
            <w:r w:rsidR="00346A24" w:rsidRPr="00F03917">
              <w:t xml:space="preserve">erm </w:t>
            </w:r>
            <w:r w:rsidRPr="00F03917">
              <w:t>P</w:t>
            </w:r>
            <w:r w:rsidR="00346A24" w:rsidRPr="00F03917">
              <w:t>lan</w:t>
            </w:r>
            <w:r w:rsidRPr="00F03917">
              <w:t xml:space="preserve">s, asset plans and other council plans, along with the monitoring </w:t>
            </w:r>
            <w:r w:rsidR="00DD2352" w:rsidRPr="00F03917">
              <w:t>framework</w:t>
            </w:r>
            <w:r w:rsidRPr="00F03917">
              <w:t xml:space="preserve"> for review and adjustment.</w:t>
            </w:r>
            <w:r w:rsidR="00977ED4" w:rsidRPr="00F03917">
              <w:t xml:space="preserve"> </w:t>
            </w:r>
          </w:p>
        </w:tc>
      </w:tr>
      <w:tr w:rsidR="30335B8A" w:rsidRPr="00F03917" w14:paraId="0AD607BF" w14:textId="77777777" w:rsidTr="00496CF4">
        <w:trPr>
          <w:gridAfter w:val="1"/>
          <w:wAfter w:w="142" w:type="dxa"/>
          <w:trHeight w:val="300"/>
        </w:trPr>
        <w:tc>
          <w:tcPr>
            <w:tcW w:w="2268" w:type="dxa"/>
            <w:tcMar>
              <w:top w:w="57" w:type="dxa"/>
              <w:left w:w="108" w:type="dxa"/>
              <w:bottom w:w="57" w:type="dxa"/>
              <w:right w:w="108" w:type="dxa"/>
            </w:tcMar>
          </w:tcPr>
          <w:p w14:paraId="2EEDED0E" w14:textId="4DDD0979" w:rsidR="30335B8A" w:rsidRPr="00F03917" w:rsidRDefault="30335B8A" w:rsidP="00B9248C">
            <w:pPr>
              <w:pStyle w:val="Glossary"/>
            </w:pPr>
            <w:r w:rsidRPr="00F03917">
              <w:t>Annual exceedance probability (AEP)</w:t>
            </w:r>
          </w:p>
        </w:tc>
        <w:tc>
          <w:tcPr>
            <w:tcW w:w="6237" w:type="dxa"/>
            <w:tcMar>
              <w:top w:w="57" w:type="dxa"/>
              <w:left w:w="108" w:type="dxa"/>
              <w:bottom w:w="57" w:type="dxa"/>
              <w:right w:w="108" w:type="dxa"/>
            </w:tcMar>
          </w:tcPr>
          <w:p w14:paraId="178A705F" w14:textId="523EEDE4" w:rsidR="30335B8A" w:rsidRPr="00F03917" w:rsidRDefault="30335B8A" w:rsidP="00B9248C">
            <w:pPr>
              <w:pStyle w:val="Glossary"/>
            </w:pPr>
            <w:r w:rsidRPr="00F03917">
              <w:t>The chance that an event would reach or exceed a given magnitude in any year, expressed as a percentage or decimal (see</w:t>
            </w:r>
            <w:r w:rsidR="00DF21A1" w:rsidRPr="00F03917">
              <w:t xml:space="preserve"> </w:t>
            </w:r>
            <w:hyperlink w:anchor="_Supplements" w:history="1">
              <w:r w:rsidR="007B24AC" w:rsidRPr="00F03917">
                <w:rPr>
                  <w:rStyle w:val="Hyperlink"/>
                  <w:i/>
                  <w:iCs/>
                </w:rPr>
                <w:t>Climate change, sea-level rise and coastal hazards science: Coastal hazards and climate change guidance – Supplement A</w:t>
              </w:r>
            </w:hyperlink>
            <w:r w:rsidRPr="00F03917">
              <w:t>)</w:t>
            </w:r>
            <w:r w:rsidR="00951F7D" w:rsidRPr="00F03917">
              <w:t>.</w:t>
            </w:r>
          </w:p>
        </w:tc>
      </w:tr>
      <w:tr w:rsidR="30335B8A" w:rsidRPr="00F03917" w14:paraId="1A8AEC87" w14:textId="77777777" w:rsidTr="00496CF4">
        <w:trPr>
          <w:gridAfter w:val="1"/>
          <w:wAfter w:w="142" w:type="dxa"/>
          <w:trHeight w:val="300"/>
        </w:trPr>
        <w:tc>
          <w:tcPr>
            <w:tcW w:w="2268" w:type="dxa"/>
            <w:tcMar>
              <w:top w:w="57" w:type="dxa"/>
              <w:left w:w="108" w:type="dxa"/>
              <w:bottom w:w="57" w:type="dxa"/>
              <w:right w:w="108" w:type="dxa"/>
            </w:tcMar>
          </w:tcPr>
          <w:p w14:paraId="1BC314C7" w14:textId="1B894329" w:rsidR="30335B8A" w:rsidRPr="00F03917" w:rsidRDefault="30335B8A" w:rsidP="00B9248C">
            <w:pPr>
              <w:pStyle w:val="Glossary"/>
            </w:pPr>
            <w:r w:rsidRPr="00F03917">
              <w:t>AR5</w:t>
            </w:r>
          </w:p>
        </w:tc>
        <w:tc>
          <w:tcPr>
            <w:tcW w:w="6237" w:type="dxa"/>
            <w:tcMar>
              <w:top w:w="57" w:type="dxa"/>
              <w:left w:w="108" w:type="dxa"/>
              <w:bottom w:w="57" w:type="dxa"/>
              <w:right w:w="108" w:type="dxa"/>
            </w:tcMar>
          </w:tcPr>
          <w:p w14:paraId="68C4CBA8" w14:textId="781B43E2" w:rsidR="30335B8A" w:rsidRPr="00F03917" w:rsidRDefault="30335B8A" w:rsidP="00B9248C">
            <w:pPr>
              <w:pStyle w:val="Glossary"/>
            </w:pPr>
            <w:r w:rsidRPr="00F03917">
              <w:t>IPCC Fifth Assessment Report – covering three working group reports and a synthesis report (the previous assessment report in 2007 was the AR4).</w:t>
            </w:r>
          </w:p>
        </w:tc>
      </w:tr>
      <w:tr w:rsidR="30335B8A" w:rsidRPr="00F03917" w14:paraId="3511F94B" w14:textId="77777777" w:rsidTr="00496CF4">
        <w:trPr>
          <w:gridAfter w:val="1"/>
          <w:wAfter w:w="142" w:type="dxa"/>
          <w:trHeight w:val="300"/>
        </w:trPr>
        <w:tc>
          <w:tcPr>
            <w:tcW w:w="2268" w:type="dxa"/>
            <w:tcMar>
              <w:top w:w="57" w:type="dxa"/>
              <w:left w:w="108" w:type="dxa"/>
              <w:bottom w:w="57" w:type="dxa"/>
              <w:right w:w="108" w:type="dxa"/>
            </w:tcMar>
          </w:tcPr>
          <w:p w14:paraId="22E215D5" w14:textId="7A1C69CA" w:rsidR="30335B8A" w:rsidRPr="00F03917" w:rsidRDefault="30335B8A" w:rsidP="00B9248C">
            <w:pPr>
              <w:pStyle w:val="Glossary"/>
            </w:pPr>
            <w:r w:rsidRPr="00F03917">
              <w:lastRenderedPageBreak/>
              <w:t>AR6</w:t>
            </w:r>
          </w:p>
        </w:tc>
        <w:tc>
          <w:tcPr>
            <w:tcW w:w="6237" w:type="dxa"/>
            <w:tcMar>
              <w:top w:w="57" w:type="dxa"/>
              <w:left w:w="108" w:type="dxa"/>
              <w:bottom w:w="57" w:type="dxa"/>
              <w:right w:w="108" w:type="dxa"/>
            </w:tcMar>
          </w:tcPr>
          <w:p w14:paraId="07C772A8" w14:textId="4A9F939E" w:rsidR="30335B8A" w:rsidRPr="00F03917" w:rsidRDefault="30335B8A" w:rsidP="00B9248C">
            <w:pPr>
              <w:pStyle w:val="Glossary"/>
            </w:pPr>
            <w:r w:rsidRPr="00F03917">
              <w:t>IPCC Sixth Assessment Report.</w:t>
            </w:r>
          </w:p>
        </w:tc>
      </w:tr>
      <w:tr w:rsidR="00D84D07" w:rsidRPr="00F03917" w14:paraId="5EDA48CB" w14:textId="77777777" w:rsidTr="00496CF4">
        <w:trPr>
          <w:gridAfter w:val="1"/>
          <w:wAfter w:w="142" w:type="dxa"/>
          <w:trHeight w:val="300"/>
        </w:trPr>
        <w:tc>
          <w:tcPr>
            <w:tcW w:w="2268" w:type="dxa"/>
            <w:tcMar>
              <w:top w:w="57" w:type="dxa"/>
              <w:left w:w="108" w:type="dxa"/>
              <w:bottom w:w="57" w:type="dxa"/>
              <w:right w:w="108" w:type="dxa"/>
            </w:tcMar>
          </w:tcPr>
          <w:p w14:paraId="2DA4E505" w14:textId="77777777" w:rsidR="00D84D07" w:rsidRPr="00F03917" w:rsidRDefault="00D84D07">
            <w:pPr>
              <w:pStyle w:val="Glossary"/>
            </w:pPr>
            <w:r w:rsidRPr="00F03917">
              <w:t>CCRA</w:t>
            </w:r>
          </w:p>
        </w:tc>
        <w:tc>
          <w:tcPr>
            <w:tcW w:w="6237" w:type="dxa"/>
            <w:tcMar>
              <w:top w:w="57" w:type="dxa"/>
              <w:left w:w="108" w:type="dxa"/>
              <w:bottom w:w="57" w:type="dxa"/>
              <w:right w:w="108" w:type="dxa"/>
            </w:tcMar>
          </w:tcPr>
          <w:p w14:paraId="29F2B36E" w14:textId="77777777" w:rsidR="00D84D07" w:rsidRPr="00F03917" w:rsidRDefault="00D84D07">
            <w:pPr>
              <w:pStyle w:val="Glossary"/>
            </w:pPr>
            <w:r w:rsidRPr="00F03917">
              <w:t>Climate Change Response Act 2002.</w:t>
            </w:r>
          </w:p>
        </w:tc>
      </w:tr>
      <w:tr w:rsidR="30335B8A" w:rsidRPr="00F03917" w14:paraId="75FEE1F3" w14:textId="77777777" w:rsidTr="00496CF4">
        <w:trPr>
          <w:gridAfter w:val="1"/>
          <w:wAfter w:w="142" w:type="dxa"/>
          <w:trHeight w:val="300"/>
        </w:trPr>
        <w:tc>
          <w:tcPr>
            <w:tcW w:w="2268" w:type="dxa"/>
            <w:tcMar>
              <w:top w:w="57" w:type="dxa"/>
              <w:left w:w="108" w:type="dxa"/>
              <w:bottom w:w="57" w:type="dxa"/>
              <w:right w:w="108" w:type="dxa"/>
            </w:tcMar>
          </w:tcPr>
          <w:p w14:paraId="030C7B28" w14:textId="14924A9B" w:rsidR="30335B8A" w:rsidRPr="00F03917" w:rsidRDefault="30335B8A" w:rsidP="00B9248C">
            <w:pPr>
              <w:pStyle w:val="Glossary"/>
            </w:pPr>
            <w:r w:rsidRPr="00F03917">
              <w:t>Climate</w:t>
            </w:r>
          </w:p>
        </w:tc>
        <w:tc>
          <w:tcPr>
            <w:tcW w:w="6237" w:type="dxa"/>
            <w:tcMar>
              <w:top w:w="57" w:type="dxa"/>
              <w:left w:w="108" w:type="dxa"/>
              <w:bottom w:w="57" w:type="dxa"/>
              <w:right w:w="108" w:type="dxa"/>
            </w:tcMar>
          </w:tcPr>
          <w:p w14:paraId="6B7A54E2" w14:textId="4DA4BDC8" w:rsidR="30335B8A" w:rsidRPr="00F03917" w:rsidRDefault="30335B8A" w:rsidP="00B9248C">
            <w:pPr>
              <w:pStyle w:val="Glossary"/>
            </w:pPr>
            <w:r w:rsidRPr="00F03917">
              <w:t>In a narrow sense, the average weather. More rigorously, the statistical description in terms of the mean and variability of relevant</w:t>
            </w:r>
            <w:r w:rsidR="00032498" w:rsidRPr="00F03917">
              <w:t> </w:t>
            </w:r>
            <w:r w:rsidRPr="00F03917">
              <w:t>quantities over a period of time, ranging from months to thousands of years. The normal period for averaging climate variables is 30</w:t>
            </w:r>
            <w:r w:rsidR="00032498" w:rsidRPr="00F03917">
              <w:t> </w:t>
            </w:r>
            <w:r w:rsidRPr="00F03917">
              <w:t>years (World Meteorological Organization, 2007).</w:t>
            </w:r>
          </w:p>
        </w:tc>
      </w:tr>
      <w:tr w:rsidR="30335B8A" w:rsidRPr="00F03917" w14:paraId="6F43B85E" w14:textId="77777777" w:rsidTr="00496CF4">
        <w:trPr>
          <w:gridAfter w:val="1"/>
          <w:wAfter w:w="142" w:type="dxa"/>
          <w:trHeight w:val="300"/>
        </w:trPr>
        <w:tc>
          <w:tcPr>
            <w:tcW w:w="2268" w:type="dxa"/>
            <w:tcMar>
              <w:top w:w="57" w:type="dxa"/>
              <w:left w:w="108" w:type="dxa"/>
              <w:bottom w:w="57" w:type="dxa"/>
              <w:right w:w="108" w:type="dxa"/>
            </w:tcMar>
          </w:tcPr>
          <w:p w14:paraId="0730AC59" w14:textId="37F831B5" w:rsidR="30335B8A" w:rsidRPr="00F03917" w:rsidRDefault="30335B8A" w:rsidP="00B9248C">
            <w:pPr>
              <w:pStyle w:val="Glossary"/>
            </w:pPr>
            <w:r w:rsidRPr="00F03917">
              <w:t>Climate change</w:t>
            </w:r>
          </w:p>
        </w:tc>
        <w:tc>
          <w:tcPr>
            <w:tcW w:w="6237" w:type="dxa"/>
            <w:tcMar>
              <w:top w:w="57" w:type="dxa"/>
              <w:left w:w="108" w:type="dxa"/>
              <w:bottom w:w="57" w:type="dxa"/>
              <w:right w:w="108" w:type="dxa"/>
            </w:tcMar>
          </w:tcPr>
          <w:p w14:paraId="57610F3F" w14:textId="457EE618" w:rsidR="30335B8A" w:rsidRPr="00F03917" w:rsidRDefault="317C69E5" w:rsidP="00B9248C">
            <w:pPr>
              <w:pStyle w:val="Glossary"/>
            </w:pPr>
            <w:r w:rsidRPr="00F03917">
              <w:t>A change in the state of the climate that can be identified (eg, through statistical tests) by changes or trends in the mean and/or the variability of its properties, and that persists for an extended period, typically decades to centuries. Includes natural internal climate processes or external climate forcings such as variations in solar cycles, volcanic eruptions, and persistent anthropogenic changes in the composition of the atmosphere or in land use (adapted from IPCC 2013, annex III).</w:t>
            </w:r>
          </w:p>
        </w:tc>
      </w:tr>
      <w:tr w:rsidR="0629827E" w:rsidRPr="00F03917" w14:paraId="78C91485" w14:textId="77777777" w:rsidTr="00496CF4">
        <w:trPr>
          <w:gridAfter w:val="1"/>
          <w:wAfter w:w="142" w:type="dxa"/>
          <w:trHeight w:val="300"/>
        </w:trPr>
        <w:tc>
          <w:tcPr>
            <w:tcW w:w="2268" w:type="dxa"/>
            <w:tcMar>
              <w:top w:w="57" w:type="dxa"/>
              <w:left w:w="108" w:type="dxa"/>
              <w:bottom w:w="57" w:type="dxa"/>
              <w:right w:w="108" w:type="dxa"/>
            </w:tcMar>
          </w:tcPr>
          <w:p w14:paraId="39AB7682" w14:textId="0F76596C" w:rsidR="0629827E" w:rsidRPr="00F03917" w:rsidRDefault="6CE5DACC" w:rsidP="00B9248C">
            <w:pPr>
              <w:pStyle w:val="Glossary"/>
            </w:pPr>
            <w:r w:rsidRPr="00F03917">
              <w:t>Climate hazards</w:t>
            </w:r>
          </w:p>
        </w:tc>
        <w:tc>
          <w:tcPr>
            <w:tcW w:w="6237" w:type="dxa"/>
            <w:tcMar>
              <w:top w:w="57" w:type="dxa"/>
              <w:left w:w="108" w:type="dxa"/>
              <w:bottom w:w="57" w:type="dxa"/>
              <w:right w:w="108" w:type="dxa"/>
            </w:tcMar>
          </w:tcPr>
          <w:p w14:paraId="055A05E5" w14:textId="7C811410" w:rsidR="0629827E" w:rsidRPr="00F03917" w:rsidRDefault="6CE5DACC" w:rsidP="00B9248C">
            <w:pPr>
              <w:pStyle w:val="Glossary"/>
              <w:rPr>
                <w:color w:val="333333"/>
              </w:rPr>
            </w:pPr>
            <w:r w:rsidRPr="00F03917">
              <w:t xml:space="preserve">Climate hazards </w:t>
            </w:r>
            <w:r w:rsidR="007F5BD6" w:rsidRPr="00F03917">
              <w:t>propagate as</w:t>
            </w:r>
            <w:r w:rsidRPr="00F03917">
              <w:t xml:space="preserve"> climate-</w:t>
            </w:r>
            <w:r w:rsidR="007F5BD6" w:rsidRPr="00F03917">
              <w:t>driven</w:t>
            </w:r>
            <w:r w:rsidRPr="00F03917">
              <w:t xml:space="preserve"> event</w:t>
            </w:r>
            <w:r w:rsidR="007F5BD6" w:rsidRPr="00F03917">
              <w:t>s</w:t>
            </w:r>
            <w:r w:rsidRPr="00F03917">
              <w:t xml:space="preserve"> or </w:t>
            </w:r>
            <w:r w:rsidR="008D6DC5" w:rsidRPr="00F03917">
              <w:t>progressive</w:t>
            </w:r>
            <w:r w:rsidR="00102C39" w:rsidRPr="00F03917">
              <w:t xml:space="preserve"> and ongoing</w:t>
            </w:r>
            <w:r w:rsidRPr="00F03917">
              <w:t xml:space="preserve"> trend</w:t>
            </w:r>
            <w:r w:rsidR="00102C39" w:rsidRPr="00F03917">
              <w:t>s</w:t>
            </w:r>
            <w:r w:rsidRPr="00F03917">
              <w:t xml:space="preserve"> that cause damage and loss to human and natural systems.</w:t>
            </w:r>
          </w:p>
        </w:tc>
      </w:tr>
      <w:tr w:rsidR="30335B8A" w:rsidRPr="00F03917" w14:paraId="15E0BD1F" w14:textId="77777777" w:rsidTr="00496CF4">
        <w:trPr>
          <w:gridAfter w:val="1"/>
          <w:wAfter w:w="142" w:type="dxa"/>
          <w:trHeight w:val="300"/>
        </w:trPr>
        <w:tc>
          <w:tcPr>
            <w:tcW w:w="2268" w:type="dxa"/>
            <w:tcMar>
              <w:top w:w="57" w:type="dxa"/>
              <w:left w:w="108" w:type="dxa"/>
              <w:bottom w:w="57" w:type="dxa"/>
              <w:right w:w="108" w:type="dxa"/>
            </w:tcMar>
          </w:tcPr>
          <w:p w14:paraId="11721E65" w14:textId="24A4B78B" w:rsidR="30335B8A" w:rsidRPr="00F03917" w:rsidRDefault="30335B8A" w:rsidP="00B9248C">
            <w:pPr>
              <w:pStyle w:val="Glossary"/>
            </w:pPr>
            <w:r w:rsidRPr="00F03917">
              <w:t>Climate projection</w:t>
            </w:r>
          </w:p>
        </w:tc>
        <w:tc>
          <w:tcPr>
            <w:tcW w:w="6237" w:type="dxa"/>
            <w:tcMar>
              <w:top w:w="57" w:type="dxa"/>
              <w:left w:w="108" w:type="dxa"/>
              <w:bottom w:w="57" w:type="dxa"/>
              <w:right w:w="108" w:type="dxa"/>
            </w:tcMar>
          </w:tcPr>
          <w:p w14:paraId="32605BD2" w14:textId="77DF881A" w:rsidR="30335B8A" w:rsidRPr="00F03917" w:rsidRDefault="30335B8A" w:rsidP="00B9248C">
            <w:pPr>
              <w:pStyle w:val="Glossary"/>
            </w:pPr>
            <w:r w:rsidRPr="00F03917">
              <w:t>The simulated response of the climate system to a scenario of future emission or concentration of greenhouse gases and aerosols, generally derived from climate models distinguished from climate predictions by their dependence on the emission–concentration–radiative–forcing scenario used, which is in turn based on narrative with assumptions, for example, future socio-economic, technological developments or land-use change that may or may not be realised (adapted from IPCC, 2013, annex III).</w:t>
            </w:r>
          </w:p>
        </w:tc>
      </w:tr>
      <w:tr w:rsidR="00D17EF7" w:rsidRPr="00F03917" w14:paraId="53B0A13F" w14:textId="77777777" w:rsidTr="00496CF4">
        <w:trPr>
          <w:gridAfter w:val="1"/>
          <w:wAfter w:w="142" w:type="dxa"/>
          <w:trHeight w:val="300"/>
        </w:trPr>
        <w:tc>
          <w:tcPr>
            <w:tcW w:w="2268" w:type="dxa"/>
            <w:tcMar>
              <w:top w:w="57" w:type="dxa"/>
              <w:left w:w="108" w:type="dxa"/>
              <w:bottom w:w="57" w:type="dxa"/>
              <w:right w:w="108" w:type="dxa"/>
            </w:tcMar>
          </w:tcPr>
          <w:p w14:paraId="52561748" w14:textId="3ED0D882" w:rsidR="00D17EF7" w:rsidRPr="00F03917" w:rsidRDefault="00D17EF7" w:rsidP="00D17EF7">
            <w:pPr>
              <w:pStyle w:val="Glossary"/>
            </w:pPr>
            <w:r w:rsidRPr="00F03917">
              <w:t>Climate risk</w:t>
            </w:r>
          </w:p>
        </w:tc>
        <w:tc>
          <w:tcPr>
            <w:tcW w:w="6237" w:type="dxa"/>
            <w:tcMar>
              <w:top w:w="57" w:type="dxa"/>
              <w:left w:w="108" w:type="dxa"/>
              <w:bottom w:w="57" w:type="dxa"/>
              <w:right w:w="108" w:type="dxa"/>
            </w:tcMar>
          </w:tcPr>
          <w:p w14:paraId="4BC80690" w14:textId="6D0ED6E1" w:rsidR="00D17EF7" w:rsidRPr="00F03917" w:rsidRDefault="00D17EF7" w:rsidP="00D17EF7">
            <w:pPr>
              <w:pStyle w:val="Glossary"/>
            </w:pPr>
            <w:r w:rsidRPr="00F03917">
              <w:t>Refer to ‘risk’.</w:t>
            </w:r>
          </w:p>
        </w:tc>
      </w:tr>
      <w:tr w:rsidR="00D17EF7" w:rsidRPr="00F03917" w14:paraId="330EC793" w14:textId="77777777" w:rsidTr="00496CF4">
        <w:trPr>
          <w:gridAfter w:val="1"/>
          <w:wAfter w:w="142" w:type="dxa"/>
          <w:trHeight w:val="300"/>
        </w:trPr>
        <w:tc>
          <w:tcPr>
            <w:tcW w:w="2268" w:type="dxa"/>
            <w:tcMar>
              <w:top w:w="57" w:type="dxa"/>
              <w:left w:w="108" w:type="dxa"/>
              <w:bottom w:w="57" w:type="dxa"/>
              <w:right w:w="108" w:type="dxa"/>
            </w:tcMar>
          </w:tcPr>
          <w:p w14:paraId="072AEC80" w14:textId="232DA4B8" w:rsidR="00D17EF7" w:rsidRPr="00F03917" w:rsidRDefault="00D17EF7" w:rsidP="00D17EF7">
            <w:pPr>
              <w:pStyle w:val="Glossary"/>
            </w:pPr>
            <w:r w:rsidRPr="00F03917">
              <w:t>Coastal environment</w:t>
            </w:r>
          </w:p>
        </w:tc>
        <w:tc>
          <w:tcPr>
            <w:tcW w:w="6237" w:type="dxa"/>
            <w:tcMar>
              <w:top w:w="57" w:type="dxa"/>
              <w:left w:w="108" w:type="dxa"/>
              <w:bottom w:w="57" w:type="dxa"/>
              <w:right w:w="108" w:type="dxa"/>
            </w:tcMar>
          </w:tcPr>
          <w:p w14:paraId="12E237C6" w14:textId="44EA812B" w:rsidR="00D17EF7" w:rsidRPr="00F03917" w:rsidRDefault="00D17EF7" w:rsidP="00D17EF7">
            <w:pPr>
              <w:pStyle w:val="Glossary"/>
            </w:pPr>
            <w:r w:rsidRPr="00F03917">
              <w:t xml:space="preserve">See Policy 1 of the New Zealand Coastal Policy Statement 2010 </w:t>
            </w:r>
            <w:r w:rsidR="00FA558D" w:rsidRPr="00F03917">
              <w:t xml:space="preserve">(DOC, 2010) </w:t>
            </w:r>
            <w:r w:rsidRPr="00F03917">
              <w:t xml:space="preserve">as to what the coastal environment includes. Includes not only the coastal marine area but also terrestrial environments where they are inter-related with the coastal marine system, and areas at risk from coastal hazards (including climate change). </w:t>
            </w:r>
          </w:p>
        </w:tc>
      </w:tr>
      <w:tr w:rsidR="00D17EF7" w:rsidRPr="00F03917" w14:paraId="5EC39AF0" w14:textId="77777777" w:rsidTr="00496CF4">
        <w:trPr>
          <w:gridAfter w:val="1"/>
          <w:wAfter w:w="142" w:type="dxa"/>
          <w:trHeight w:val="300"/>
        </w:trPr>
        <w:tc>
          <w:tcPr>
            <w:tcW w:w="2268" w:type="dxa"/>
            <w:tcMar>
              <w:top w:w="57" w:type="dxa"/>
              <w:left w:w="108" w:type="dxa"/>
              <w:bottom w:w="57" w:type="dxa"/>
              <w:right w:w="108" w:type="dxa"/>
            </w:tcMar>
          </w:tcPr>
          <w:p w14:paraId="01A7671E" w14:textId="2ADB1B68" w:rsidR="00D17EF7" w:rsidRPr="00F03917" w:rsidRDefault="00D17EF7" w:rsidP="00D17EF7">
            <w:pPr>
              <w:pStyle w:val="Glossary"/>
            </w:pPr>
            <w:r w:rsidRPr="00F03917">
              <w:t>Coastal hazard</w:t>
            </w:r>
          </w:p>
        </w:tc>
        <w:tc>
          <w:tcPr>
            <w:tcW w:w="6237" w:type="dxa"/>
            <w:tcMar>
              <w:top w:w="57" w:type="dxa"/>
              <w:left w:w="108" w:type="dxa"/>
              <w:bottom w:w="57" w:type="dxa"/>
              <w:right w:w="108" w:type="dxa"/>
            </w:tcMar>
          </w:tcPr>
          <w:p w14:paraId="34ACE7F8" w14:textId="7EEF18D0" w:rsidR="00D17EF7" w:rsidRPr="00F03917" w:rsidRDefault="00D17EF7" w:rsidP="00D17EF7">
            <w:pPr>
              <w:pStyle w:val="Glossary"/>
            </w:pPr>
            <w:r w:rsidRPr="00F03917">
              <w:t xml:space="preserve">Subset of </w:t>
            </w:r>
            <w:r w:rsidRPr="00F03917">
              <w:rPr>
                <w:i/>
                <w:iCs/>
              </w:rPr>
              <w:t>natural hazards</w:t>
            </w:r>
            <w:r w:rsidRPr="00F03917">
              <w:t xml:space="preserve"> and include tidal or coastal storm inundation, rising sea level, tsunami or meteorological tsunami inundation, coastal erosion (shorelines or cliffs), rise in groundwater levels from storm tides and sea-level rise (plus associated liquefaction), and salinisation of surface fresh waters and groundwater aquifers.</w:t>
            </w:r>
          </w:p>
        </w:tc>
      </w:tr>
      <w:tr w:rsidR="00D17EF7" w:rsidRPr="00F03917" w14:paraId="0B8590CD" w14:textId="77777777" w:rsidTr="00496CF4">
        <w:trPr>
          <w:gridAfter w:val="1"/>
          <w:wAfter w:w="142" w:type="dxa"/>
          <w:trHeight w:val="300"/>
        </w:trPr>
        <w:tc>
          <w:tcPr>
            <w:tcW w:w="2268" w:type="dxa"/>
            <w:tcMar>
              <w:top w:w="57" w:type="dxa"/>
              <w:left w:w="108" w:type="dxa"/>
              <w:bottom w:w="57" w:type="dxa"/>
              <w:right w:w="108" w:type="dxa"/>
            </w:tcMar>
          </w:tcPr>
          <w:p w14:paraId="1F7735AF" w14:textId="5F97F33B" w:rsidR="00D17EF7" w:rsidRPr="00F03917" w:rsidRDefault="00D17EF7" w:rsidP="00D17EF7">
            <w:pPr>
              <w:pStyle w:val="Glossary"/>
            </w:pPr>
            <w:r w:rsidRPr="00F03917">
              <w:t>Coastal marine area (CMA)</w:t>
            </w:r>
          </w:p>
        </w:tc>
        <w:tc>
          <w:tcPr>
            <w:tcW w:w="6237" w:type="dxa"/>
            <w:tcMar>
              <w:top w:w="57" w:type="dxa"/>
              <w:left w:w="108" w:type="dxa"/>
              <w:bottom w:w="57" w:type="dxa"/>
              <w:right w:w="108" w:type="dxa"/>
            </w:tcMar>
          </w:tcPr>
          <w:p w14:paraId="64A46560" w14:textId="23171E34" w:rsidR="00D17EF7" w:rsidRPr="00F03917" w:rsidRDefault="00D17EF7" w:rsidP="00D17EF7">
            <w:pPr>
              <w:pStyle w:val="Glossary"/>
            </w:pPr>
            <w:r w:rsidRPr="00F03917">
              <w:t>The foreshore, sea</w:t>
            </w:r>
            <w:r w:rsidR="00692550" w:rsidRPr="00F03917">
              <w:t xml:space="preserve"> </w:t>
            </w:r>
            <w:r w:rsidRPr="00F03917">
              <w:t>bed and coastal water, and the air space above the water. Seaward boundary is the outer limits of the territorial sea. Landward boundary is the line of mean high</w:t>
            </w:r>
            <w:r w:rsidR="003E032E" w:rsidRPr="00F03917">
              <w:t xml:space="preserve"> </w:t>
            </w:r>
            <w:r w:rsidRPr="00F03917">
              <w:t>water springs or some distance up tidal rivers. Full definition in Resource Management Act 1991, section 2.</w:t>
            </w:r>
          </w:p>
        </w:tc>
      </w:tr>
      <w:tr w:rsidR="00D17EF7" w:rsidRPr="00F03917" w14:paraId="1C19DD93" w14:textId="77777777" w:rsidTr="00496CF4">
        <w:trPr>
          <w:gridAfter w:val="1"/>
          <w:wAfter w:w="142" w:type="dxa"/>
          <w:trHeight w:val="300"/>
        </w:trPr>
        <w:tc>
          <w:tcPr>
            <w:tcW w:w="2268" w:type="dxa"/>
            <w:tcMar>
              <w:top w:w="57" w:type="dxa"/>
              <w:left w:w="108" w:type="dxa"/>
              <w:bottom w:w="57" w:type="dxa"/>
              <w:right w:w="108" w:type="dxa"/>
            </w:tcMar>
          </w:tcPr>
          <w:p w14:paraId="1B5D0573" w14:textId="522DDD4B" w:rsidR="00D17EF7" w:rsidRPr="00F03917" w:rsidRDefault="00D17EF7" w:rsidP="00D17EF7">
            <w:pPr>
              <w:pStyle w:val="Glossary"/>
            </w:pPr>
            <w:r w:rsidRPr="00F03917">
              <w:lastRenderedPageBreak/>
              <w:t>Committed SLR</w:t>
            </w:r>
          </w:p>
        </w:tc>
        <w:tc>
          <w:tcPr>
            <w:tcW w:w="6237" w:type="dxa"/>
            <w:tcMar>
              <w:top w:w="57" w:type="dxa"/>
              <w:left w:w="108" w:type="dxa"/>
              <w:bottom w:w="57" w:type="dxa"/>
              <w:right w:w="108" w:type="dxa"/>
            </w:tcMar>
          </w:tcPr>
          <w:p w14:paraId="5FFC500C" w14:textId="2D9CFB89" w:rsidR="00D17EF7" w:rsidRPr="00F03917" w:rsidRDefault="00D17EF7" w:rsidP="00D17EF7">
            <w:pPr>
              <w:pStyle w:val="Glossary"/>
            </w:pPr>
            <w:r w:rsidRPr="00F03917">
              <w:t>Ongoing ocean heat uptake and the slow adjustment of the ice sheets that will continue over the centuries and millennia following cessation of emissions.</w:t>
            </w:r>
          </w:p>
        </w:tc>
      </w:tr>
      <w:tr w:rsidR="00D17EF7" w:rsidRPr="00F03917" w14:paraId="4CDC3EB6" w14:textId="77777777" w:rsidTr="00496CF4">
        <w:trPr>
          <w:gridAfter w:val="1"/>
          <w:wAfter w:w="142" w:type="dxa"/>
          <w:trHeight w:val="300"/>
        </w:trPr>
        <w:tc>
          <w:tcPr>
            <w:tcW w:w="2268" w:type="dxa"/>
            <w:tcMar>
              <w:top w:w="57" w:type="dxa"/>
              <w:left w:w="108" w:type="dxa"/>
              <w:bottom w:w="57" w:type="dxa"/>
              <w:right w:w="108" w:type="dxa"/>
            </w:tcMar>
          </w:tcPr>
          <w:p w14:paraId="4F4B9C20" w14:textId="5EB045FC" w:rsidR="00D17EF7" w:rsidRPr="00F03917" w:rsidRDefault="00D17EF7" w:rsidP="00D17EF7">
            <w:pPr>
              <w:pStyle w:val="Glossary"/>
            </w:pPr>
            <w:r w:rsidRPr="00F03917">
              <w:t>Community</w:t>
            </w:r>
          </w:p>
        </w:tc>
        <w:tc>
          <w:tcPr>
            <w:tcW w:w="6237" w:type="dxa"/>
            <w:tcMar>
              <w:top w:w="57" w:type="dxa"/>
              <w:left w:w="108" w:type="dxa"/>
              <w:bottom w:w="57" w:type="dxa"/>
              <w:right w:w="108" w:type="dxa"/>
            </w:tcMar>
          </w:tcPr>
          <w:p w14:paraId="5C40EABA" w14:textId="4B434A5D" w:rsidR="00D17EF7" w:rsidRPr="00F03917" w:rsidRDefault="00D17EF7" w:rsidP="00D17EF7">
            <w:pPr>
              <w:pStyle w:val="Glossary"/>
            </w:pPr>
            <w:r w:rsidRPr="00F03917">
              <w:t>People who live in, or are connected with, a particular location.</w:t>
            </w:r>
          </w:p>
        </w:tc>
      </w:tr>
      <w:tr w:rsidR="00D17EF7" w:rsidRPr="00F03917" w14:paraId="3BE97CD6" w14:textId="77777777" w:rsidTr="00496CF4">
        <w:trPr>
          <w:gridAfter w:val="1"/>
          <w:wAfter w:w="142" w:type="dxa"/>
          <w:trHeight w:val="300"/>
        </w:trPr>
        <w:tc>
          <w:tcPr>
            <w:tcW w:w="2268" w:type="dxa"/>
            <w:tcMar>
              <w:top w:w="57" w:type="dxa"/>
              <w:left w:w="108" w:type="dxa"/>
              <w:bottom w:w="57" w:type="dxa"/>
              <w:right w:w="108" w:type="dxa"/>
            </w:tcMar>
          </w:tcPr>
          <w:p w14:paraId="52C89751" w14:textId="37D4C829" w:rsidR="00D17EF7" w:rsidRPr="00F03917" w:rsidRDefault="00D17EF7" w:rsidP="00D17EF7">
            <w:pPr>
              <w:pStyle w:val="Glossary"/>
            </w:pPr>
            <w:r w:rsidRPr="00F03917">
              <w:t>Consequences</w:t>
            </w:r>
          </w:p>
        </w:tc>
        <w:tc>
          <w:tcPr>
            <w:tcW w:w="6237" w:type="dxa"/>
            <w:tcMar>
              <w:top w:w="57" w:type="dxa"/>
              <w:left w:w="108" w:type="dxa"/>
              <w:bottom w:w="57" w:type="dxa"/>
              <w:right w:w="108" w:type="dxa"/>
            </w:tcMar>
          </w:tcPr>
          <w:p w14:paraId="0CC6256E" w14:textId="6297F925" w:rsidR="00D17EF7" w:rsidRPr="00F03917" w:rsidRDefault="00D17EF7" w:rsidP="00D17EF7">
            <w:pPr>
              <w:pStyle w:val="Glossary"/>
            </w:pPr>
            <w:r w:rsidRPr="00F03917">
              <w:t>The outcome of an event that may result from a hazard. May be expressed quantitatively (eg, monetary value, disruption period, environmental effect), by category (eg, high, medium, low) or descriptively (National Emergency Management Agency, pers. comm.).</w:t>
            </w:r>
          </w:p>
        </w:tc>
      </w:tr>
      <w:tr w:rsidR="00D17EF7" w:rsidRPr="00F03917" w14:paraId="1FC23E98" w14:textId="77777777" w:rsidTr="00496CF4">
        <w:trPr>
          <w:gridAfter w:val="1"/>
          <w:wAfter w:w="142" w:type="dxa"/>
          <w:trHeight w:val="300"/>
        </w:trPr>
        <w:tc>
          <w:tcPr>
            <w:tcW w:w="2268" w:type="dxa"/>
            <w:tcMar>
              <w:top w:w="57" w:type="dxa"/>
              <w:left w:w="108" w:type="dxa"/>
              <w:bottom w:w="57" w:type="dxa"/>
              <w:right w:w="108" w:type="dxa"/>
            </w:tcMar>
          </w:tcPr>
          <w:p w14:paraId="44F453E8" w14:textId="44FE3FB9" w:rsidR="00D17EF7" w:rsidRPr="00F03917" w:rsidRDefault="00D17EF7" w:rsidP="00D17EF7">
            <w:pPr>
              <w:pStyle w:val="Glossary"/>
            </w:pPr>
            <w:r w:rsidRPr="00F03917">
              <w:t>Deep uncertainty</w:t>
            </w:r>
          </w:p>
        </w:tc>
        <w:tc>
          <w:tcPr>
            <w:tcW w:w="6237" w:type="dxa"/>
            <w:tcMar>
              <w:top w:w="57" w:type="dxa"/>
              <w:left w:w="108" w:type="dxa"/>
              <w:bottom w:w="57" w:type="dxa"/>
              <w:right w:w="108" w:type="dxa"/>
            </w:tcMar>
          </w:tcPr>
          <w:p w14:paraId="2C052776" w14:textId="0CAD7226" w:rsidR="00D17EF7" w:rsidRPr="00F03917" w:rsidRDefault="00D17EF7" w:rsidP="00D17EF7">
            <w:pPr>
              <w:pStyle w:val="Glossary"/>
            </w:pPr>
            <w:r w:rsidRPr="00F03917">
              <w:t>Uncertainty where what is known is only that we do not know or cannot agree upon amongst experts or is contested by stakeholders with no consensus on what the future might bring. Requires robust decision-making methods and tools to support decisions and policy analysis (Walker et al, 2013).</w:t>
            </w:r>
          </w:p>
        </w:tc>
      </w:tr>
      <w:tr w:rsidR="00D17EF7" w:rsidRPr="00F03917" w14:paraId="1E6A39EC" w14:textId="77777777" w:rsidTr="00496CF4">
        <w:trPr>
          <w:gridAfter w:val="1"/>
          <w:wAfter w:w="142" w:type="dxa"/>
          <w:trHeight w:val="300"/>
        </w:trPr>
        <w:tc>
          <w:tcPr>
            <w:tcW w:w="2268" w:type="dxa"/>
            <w:tcMar>
              <w:top w:w="57" w:type="dxa"/>
              <w:left w:w="108" w:type="dxa"/>
              <w:bottom w:w="57" w:type="dxa"/>
              <w:right w:w="108" w:type="dxa"/>
            </w:tcMar>
          </w:tcPr>
          <w:p w14:paraId="3B3987C8" w14:textId="0E9F629B" w:rsidR="00D17EF7" w:rsidRPr="00F03917" w:rsidRDefault="00D17EF7" w:rsidP="00D17EF7">
            <w:pPr>
              <w:pStyle w:val="Glossary"/>
            </w:pPr>
            <w:r w:rsidRPr="00F03917">
              <w:t>District plan</w:t>
            </w:r>
          </w:p>
        </w:tc>
        <w:tc>
          <w:tcPr>
            <w:tcW w:w="6237" w:type="dxa"/>
            <w:tcMar>
              <w:top w:w="57" w:type="dxa"/>
              <w:left w:w="108" w:type="dxa"/>
              <w:bottom w:w="57" w:type="dxa"/>
              <w:right w:w="108" w:type="dxa"/>
            </w:tcMar>
          </w:tcPr>
          <w:p w14:paraId="77518281" w14:textId="613A40CA" w:rsidR="00D17EF7" w:rsidRPr="00F03917" w:rsidRDefault="00D17EF7" w:rsidP="00D17EF7">
            <w:pPr>
              <w:pStyle w:val="Glossary"/>
            </w:pPr>
            <w:r w:rsidRPr="00F03917">
              <w:t>Plan that must be prepared by a city or district council to help them carry out their functions under the Resource Management Act 1991. All persons and bodies have to adhere to the plan.</w:t>
            </w:r>
          </w:p>
        </w:tc>
      </w:tr>
      <w:tr w:rsidR="00D17EF7" w:rsidRPr="00F03917" w14:paraId="24A611AB" w14:textId="77777777" w:rsidTr="00496CF4">
        <w:trPr>
          <w:gridAfter w:val="1"/>
          <w:wAfter w:w="142" w:type="dxa"/>
          <w:trHeight w:val="300"/>
        </w:trPr>
        <w:tc>
          <w:tcPr>
            <w:tcW w:w="2268" w:type="dxa"/>
            <w:tcMar>
              <w:top w:w="57" w:type="dxa"/>
              <w:left w:w="108" w:type="dxa"/>
              <w:bottom w:w="57" w:type="dxa"/>
              <w:right w:w="108" w:type="dxa"/>
            </w:tcMar>
          </w:tcPr>
          <w:p w14:paraId="2F9177A8" w14:textId="3C4C5172" w:rsidR="00D17EF7" w:rsidRPr="00F03917" w:rsidRDefault="00D17EF7" w:rsidP="00D17EF7">
            <w:pPr>
              <w:pStyle w:val="Glossary"/>
            </w:pPr>
            <w:r w:rsidRPr="00F03917">
              <w:t>DOC</w:t>
            </w:r>
          </w:p>
        </w:tc>
        <w:tc>
          <w:tcPr>
            <w:tcW w:w="6237" w:type="dxa"/>
            <w:tcMar>
              <w:top w:w="57" w:type="dxa"/>
              <w:left w:w="108" w:type="dxa"/>
              <w:bottom w:w="57" w:type="dxa"/>
              <w:right w:w="108" w:type="dxa"/>
            </w:tcMar>
          </w:tcPr>
          <w:p w14:paraId="7AA84683" w14:textId="2DAE0DF4" w:rsidR="00D17EF7" w:rsidRPr="00F03917" w:rsidRDefault="00D17EF7" w:rsidP="00D17EF7">
            <w:pPr>
              <w:pStyle w:val="Glossary"/>
            </w:pPr>
            <w:r w:rsidRPr="00F03917">
              <w:t>Department of Conservation.</w:t>
            </w:r>
          </w:p>
        </w:tc>
      </w:tr>
      <w:tr w:rsidR="00487658" w:rsidRPr="00F03917" w14:paraId="13C24612" w14:textId="77777777" w:rsidTr="00496CF4">
        <w:trPr>
          <w:gridAfter w:val="1"/>
          <w:wAfter w:w="142" w:type="dxa"/>
          <w:trHeight w:val="300"/>
        </w:trPr>
        <w:tc>
          <w:tcPr>
            <w:tcW w:w="2268" w:type="dxa"/>
            <w:tcMar>
              <w:top w:w="57" w:type="dxa"/>
              <w:left w:w="108" w:type="dxa"/>
              <w:bottom w:w="57" w:type="dxa"/>
              <w:right w:w="108" w:type="dxa"/>
            </w:tcMar>
          </w:tcPr>
          <w:p w14:paraId="2EB9E836" w14:textId="77777777" w:rsidR="00487658" w:rsidRPr="00F03917" w:rsidRDefault="00487658">
            <w:pPr>
              <w:pStyle w:val="Glossary"/>
            </w:pPr>
            <w:r w:rsidRPr="00F03917">
              <w:t>Dynamic adaptive pathways planning (DAPP)</w:t>
            </w:r>
          </w:p>
        </w:tc>
        <w:tc>
          <w:tcPr>
            <w:tcW w:w="6237" w:type="dxa"/>
            <w:tcMar>
              <w:top w:w="57" w:type="dxa"/>
              <w:left w:w="108" w:type="dxa"/>
              <w:bottom w:w="57" w:type="dxa"/>
              <w:right w:w="108" w:type="dxa"/>
            </w:tcMar>
          </w:tcPr>
          <w:p w14:paraId="2D0E2C32" w14:textId="187BF9E7" w:rsidR="00487658" w:rsidRPr="00F03917" w:rsidRDefault="00487658">
            <w:pPr>
              <w:pStyle w:val="Glossary"/>
            </w:pPr>
            <w:r w:rsidRPr="00F03917">
              <w:t xml:space="preserve">A decision-making approach to analyse the flexibility of options and pathways under conditions of deep uncertainty using scenarios for stress testing options and monitoring of signals and triggers for anticipatory planning. The same as </w:t>
            </w:r>
            <w:r w:rsidR="00E007E9" w:rsidRPr="00F03917">
              <w:t>d</w:t>
            </w:r>
            <w:r w:rsidRPr="00F03917">
              <w:t xml:space="preserve">ynamic </w:t>
            </w:r>
            <w:r w:rsidR="00E007E9" w:rsidRPr="00F03917">
              <w:t>a</w:t>
            </w:r>
            <w:r w:rsidRPr="00F03917">
              <w:t xml:space="preserve">daptive </w:t>
            </w:r>
            <w:r w:rsidR="00E007E9" w:rsidRPr="00F03917">
              <w:t>p</w:t>
            </w:r>
            <w:r w:rsidRPr="00F03917">
              <w:t xml:space="preserve">olicy </w:t>
            </w:r>
            <w:r w:rsidR="00E007E9" w:rsidRPr="00F03917">
              <w:t>p</w:t>
            </w:r>
            <w:r w:rsidRPr="00F03917">
              <w:t>athways adopted by Haasnoot et al 2013.</w:t>
            </w:r>
          </w:p>
        </w:tc>
      </w:tr>
      <w:tr w:rsidR="00D17EF7" w:rsidRPr="00F03917" w14:paraId="30495964" w14:textId="77777777" w:rsidTr="00496CF4">
        <w:trPr>
          <w:gridAfter w:val="1"/>
          <w:wAfter w:w="142" w:type="dxa"/>
          <w:trHeight w:val="300"/>
        </w:trPr>
        <w:tc>
          <w:tcPr>
            <w:tcW w:w="2268" w:type="dxa"/>
            <w:tcMar>
              <w:top w:w="57" w:type="dxa"/>
              <w:left w:w="108" w:type="dxa"/>
              <w:bottom w:w="57" w:type="dxa"/>
              <w:right w:w="108" w:type="dxa"/>
            </w:tcMar>
          </w:tcPr>
          <w:p w14:paraId="51AE5D18" w14:textId="77397577" w:rsidR="00D17EF7" w:rsidRPr="00F03917" w:rsidRDefault="00D17EF7" w:rsidP="00D17EF7">
            <w:pPr>
              <w:pStyle w:val="Glossary"/>
            </w:pPr>
            <w:r w:rsidRPr="00F03917">
              <w:t>ENSO</w:t>
            </w:r>
          </w:p>
        </w:tc>
        <w:tc>
          <w:tcPr>
            <w:tcW w:w="6237" w:type="dxa"/>
            <w:tcMar>
              <w:top w:w="57" w:type="dxa"/>
              <w:left w:w="108" w:type="dxa"/>
              <w:bottom w:w="57" w:type="dxa"/>
              <w:right w:w="108" w:type="dxa"/>
            </w:tcMar>
          </w:tcPr>
          <w:p w14:paraId="5B0BE083" w14:textId="2065DAF1" w:rsidR="00D17EF7" w:rsidRPr="00F03917" w:rsidRDefault="00D17EF7" w:rsidP="00D17EF7">
            <w:pPr>
              <w:pStyle w:val="Glossary"/>
            </w:pPr>
            <w:r w:rsidRPr="00F03917">
              <w:t>El Niño–Southern Oscillation climate mode that occurs over a two- to five-year cycle, mainly in the Pacific and has an influence on mean sea level at interannual timescales.</w:t>
            </w:r>
          </w:p>
        </w:tc>
      </w:tr>
      <w:tr w:rsidR="00D17EF7" w:rsidRPr="00F03917" w14:paraId="2856960D" w14:textId="77777777" w:rsidTr="00496CF4">
        <w:trPr>
          <w:gridAfter w:val="1"/>
          <w:wAfter w:w="142" w:type="dxa"/>
          <w:trHeight w:val="300"/>
        </w:trPr>
        <w:tc>
          <w:tcPr>
            <w:tcW w:w="2268" w:type="dxa"/>
            <w:tcMar>
              <w:top w:w="57" w:type="dxa"/>
              <w:left w:w="108" w:type="dxa"/>
              <w:bottom w:w="57" w:type="dxa"/>
              <w:right w:w="108" w:type="dxa"/>
            </w:tcMar>
          </w:tcPr>
          <w:p w14:paraId="4A18565E" w14:textId="7314F470" w:rsidR="00D17EF7" w:rsidRPr="00F03917" w:rsidRDefault="00D17EF7" w:rsidP="00D17EF7">
            <w:pPr>
              <w:pStyle w:val="Glossary"/>
            </w:pPr>
            <w:r w:rsidRPr="00F03917">
              <w:t>Event</w:t>
            </w:r>
          </w:p>
        </w:tc>
        <w:tc>
          <w:tcPr>
            <w:tcW w:w="6237" w:type="dxa"/>
            <w:tcMar>
              <w:top w:w="57" w:type="dxa"/>
              <w:left w:w="108" w:type="dxa"/>
              <w:bottom w:w="57" w:type="dxa"/>
              <w:right w:w="108" w:type="dxa"/>
            </w:tcMar>
          </w:tcPr>
          <w:p w14:paraId="2898B315" w14:textId="655C4268" w:rsidR="00D17EF7" w:rsidRPr="00F03917" w:rsidRDefault="00D17EF7" w:rsidP="00D17EF7">
            <w:pPr>
              <w:pStyle w:val="Glossary"/>
            </w:pPr>
            <w:r w:rsidRPr="00F03917">
              <w:t>Occurrence or change of a particular set of circumstances. Can be one or more occurrences and can have several causes (AS/NZS ISO 31000:2009 Risk management standard).</w:t>
            </w:r>
          </w:p>
        </w:tc>
      </w:tr>
      <w:tr w:rsidR="00D17EF7" w:rsidRPr="00F03917" w14:paraId="3CB73449" w14:textId="77777777" w:rsidTr="00496CF4">
        <w:trPr>
          <w:gridAfter w:val="1"/>
          <w:wAfter w:w="142" w:type="dxa"/>
          <w:trHeight w:val="300"/>
        </w:trPr>
        <w:tc>
          <w:tcPr>
            <w:tcW w:w="2268" w:type="dxa"/>
            <w:tcMar>
              <w:top w:w="57" w:type="dxa"/>
              <w:left w:w="108" w:type="dxa"/>
              <w:bottom w:w="57" w:type="dxa"/>
              <w:right w:w="108" w:type="dxa"/>
            </w:tcMar>
          </w:tcPr>
          <w:p w14:paraId="43B94C96" w14:textId="7E1FA71C" w:rsidR="00D17EF7" w:rsidRPr="00F03917" w:rsidRDefault="00D17EF7" w:rsidP="00D17EF7">
            <w:pPr>
              <w:pStyle w:val="Glossary"/>
            </w:pPr>
            <w:r w:rsidRPr="00F03917">
              <w:t>Exceedance</w:t>
            </w:r>
          </w:p>
        </w:tc>
        <w:tc>
          <w:tcPr>
            <w:tcW w:w="6237" w:type="dxa"/>
            <w:tcMar>
              <w:top w:w="57" w:type="dxa"/>
              <w:left w:w="108" w:type="dxa"/>
              <w:bottom w:w="57" w:type="dxa"/>
              <w:right w:w="108" w:type="dxa"/>
            </w:tcMar>
          </w:tcPr>
          <w:p w14:paraId="14F4BFD8" w14:textId="3E7AB02E" w:rsidR="00D17EF7" w:rsidRPr="00F03917" w:rsidRDefault="00D17EF7" w:rsidP="00D17EF7">
            <w:pPr>
              <w:pStyle w:val="Glossary"/>
            </w:pPr>
            <w:r w:rsidRPr="00F03917">
              <w:t>Extreme hazard event that exceeds a specified extreme level or magnitude in a given planning timeframe.</w:t>
            </w:r>
          </w:p>
        </w:tc>
      </w:tr>
      <w:tr w:rsidR="00D17EF7" w:rsidRPr="00F03917" w14:paraId="5802769A" w14:textId="77777777" w:rsidTr="00496CF4">
        <w:trPr>
          <w:gridAfter w:val="1"/>
          <w:wAfter w:w="142" w:type="dxa"/>
          <w:trHeight w:val="300"/>
        </w:trPr>
        <w:tc>
          <w:tcPr>
            <w:tcW w:w="2268" w:type="dxa"/>
            <w:tcMar>
              <w:top w:w="57" w:type="dxa"/>
              <w:left w:w="108" w:type="dxa"/>
              <w:bottom w:w="57" w:type="dxa"/>
              <w:right w:w="108" w:type="dxa"/>
            </w:tcMar>
          </w:tcPr>
          <w:p w14:paraId="173162BA" w14:textId="5DDD9CA7" w:rsidR="00D17EF7" w:rsidRPr="00F03917" w:rsidRDefault="00D17EF7" w:rsidP="00D17EF7">
            <w:pPr>
              <w:pStyle w:val="Glossary"/>
            </w:pPr>
            <w:r w:rsidRPr="00F03917">
              <w:t>Exposure</w:t>
            </w:r>
          </w:p>
        </w:tc>
        <w:tc>
          <w:tcPr>
            <w:tcW w:w="6237" w:type="dxa"/>
            <w:tcMar>
              <w:top w:w="57" w:type="dxa"/>
              <w:left w:w="108" w:type="dxa"/>
              <w:bottom w:w="57" w:type="dxa"/>
              <w:right w:w="108" w:type="dxa"/>
            </w:tcMar>
          </w:tcPr>
          <w:p w14:paraId="14918D7B" w14:textId="54D76911" w:rsidR="00D17EF7" w:rsidRPr="00F03917" w:rsidRDefault="00D17EF7" w:rsidP="00D17EF7">
            <w:pPr>
              <w:pStyle w:val="Glossary"/>
              <w:rPr>
                <w:strike/>
              </w:rPr>
            </w:pPr>
            <w:r w:rsidRPr="00F03917">
              <w:t>Being present in a place or setting that could be adversely affected. Those that could be harmed in that environment include people; livelihoods; species or ecosystems; environmental functions, services and resources; infrastructure; buildings and economic, social or cultural assets.</w:t>
            </w:r>
          </w:p>
        </w:tc>
      </w:tr>
      <w:tr w:rsidR="00487658" w:rsidRPr="00F03917" w14:paraId="5E3CFC86" w14:textId="77777777" w:rsidTr="00496CF4">
        <w:trPr>
          <w:gridAfter w:val="1"/>
          <w:wAfter w:w="142" w:type="dxa"/>
          <w:trHeight w:val="300"/>
        </w:trPr>
        <w:tc>
          <w:tcPr>
            <w:tcW w:w="2268" w:type="dxa"/>
            <w:tcMar>
              <w:top w:w="57" w:type="dxa"/>
              <w:left w:w="108" w:type="dxa"/>
              <w:bottom w:w="57" w:type="dxa"/>
              <w:right w:w="108" w:type="dxa"/>
            </w:tcMar>
          </w:tcPr>
          <w:p w14:paraId="045E0E4D" w14:textId="77777777" w:rsidR="00487658" w:rsidRPr="00F03917" w:rsidRDefault="00487658">
            <w:pPr>
              <w:pStyle w:val="Glossary"/>
            </w:pPr>
            <w:r w:rsidRPr="00F03917">
              <w:t>FDS</w:t>
            </w:r>
          </w:p>
        </w:tc>
        <w:tc>
          <w:tcPr>
            <w:tcW w:w="6237" w:type="dxa"/>
            <w:tcMar>
              <w:top w:w="57" w:type="dxa"/>
              <w:left w:w="108" w:type="dxa"/>
              <w:bottom w:w="57" w:type="dxa"/>
              <w:right w:w="108" w:type="dxa"/>
            </w:tcMar>
          </w:tcPr>
          <w:p w14:paraId="27576150" w14:textId="77777777" w:rsidR="00487658" w:rsidRPr="00F03917" w:rsidRDefault="00487658">
            <w:pPr>
              <w:pStyle w:val="Glossary"/>
            </w:pPr>
            <w:r w:rsidRPr="00F03917">
              <w:t>Future Development Strategy.</w:t>
            </w:r>
          </w:p>
        </w:tc>
      </w:tr>
      <w:tr w:rsidR="00D17EF7" w:rsidRPr="00F03917" w14:paraId="06EA30C5" w14:textId="77777777" w:rsidTr="00496CF4">
        <w:trPr>
          <w:gridAfter w:val="1"/>
          <w:wAfter w:w="142" w:type="dxa"/>
          <w:trHeight w:val="300"/>
        </w:trPr>
        <w:tc>
          <w:tcPr>
            <w:tcW w:w="2268" w:type="dxa"/>
            <w:tcMar>
              <w:top w:w="57" w:type="dxa"/>
              <w:left w:w="108" w:type="dxa"/>
              <w:bottom w:w="57" w:type="dxa"/>
              <w:right w:w="108" w:type="dxa"/>
            </w:tcMar>
          </w:tcPr>
          <w:p w14:paraId="1051D079" w14:textId="4AD52DE7" w:rsidR="00D17EF7" w:rsidRPr="00F03917" w:rsidRDefault="00D17EF7" w:rsidP="00D17EF7">
            <w:pPr>
              <w:pStyle w:val="Glossary"/>
            </w:pPr>
            <w:r w:rsidRPr="00F03917">
              <w:t>Foreshore</w:t>
            </w:r>
          </w:p>
        </w:tc>
        <w:tc>
          <w:tcPr>
            <w:tcW w:w="6237" w:type="dxa"/>
            <w:tcMar>
              <w:top w:w="57" w:type="dxa"/>
              <w:left w:w="108" w:type="dxa"/>
              <w:bottom w:w="57" w:type="dxa"/>
              <w:right w:w="108" w:type="dxa"/>
            </w:tcMar>
          </w:tcPr>
          <w:p w14:paraId="67D4CBA0" w14:textId="3D8D3026" w:rsidR="00D17EF7" w:rsidRPr="00F03917" w:rsidRDefault="00D17EF7" w:rsidP="00D17EF7">
            <w:pPr>
              <w:pStyle w:val="Glossary"/>
            </w:pPr>
            <w:r w:rsidRPr="00F03917">
              <w:t>Any land covered and uncovered by the flow and ebb of the tide at mean spring tides and, in relation to any such land that forms part of the bed of a river, does not include any area that is not part of the coastal marine area.</w:t>
            </w:r>
          </w:p>
        </w:tc>
      </w:tr>
      <w:tr w:rsidR="00D17EF7" w:rsidRPr="00F03917" w14:paraId="0FF5B043" w14:textId="77777777" w:rsidTr="00496CF4">
        <w:trPr>
          <w:gridAfter w:val="1"/>
          <w:wAfter w:w="142" w:type="dxa"/>
          <w:trHeight w:val="300"/>
        </w:trPr>
        <w:tc>
          <w:tcPr>
            <w:tcW w:w="2268" w:type="dxa"/>
            <w:tcMar>
              <w:top w:w="57" w:type="dxa"/>
              <w:left w:w="108" w:type="dxa"/>
              <w:bottom w:w="57" w:type="dxa"/>
              <w:right w:w="108" w:type="dxa"/>
            </w:tcMar>
          </w:tcPr>
          <w:p w14:paraId="5F113230" w14:textId="32AAFF23" w:rsidR="00D17EF7" w:rsidRPr="00F03917" w:rsidRDefault="00D17EF7" w:rsidP="00D17EF7">
            <w:pPr>
              <w:pStyle w:val="Glossary"/>
            </w:pPr>
            <w:r w:rsidRPr="00F03917">
              <w:lastRenderedPageBreak/>
              <w:t>Freeboard</w:t>
            </w:r>
          </w:p>
        </w:tc>
        <w:tc>
          <w:tcPr>
            <w:tcW w:w="6237" w:type="dxa"/>
            <w:tcMar>
              <w:top w:w="57" w:type="dxa"/>
              <w:left w:w="108" w:type="dxa"/>
              <w:bottom w:w="57" w:type="dxa"/>
              <w:right w:w="108" w:type="dxa"/>
            </w:tcMar>
          </w:tcPr>
          <w:p w14:paraId="31BF38E0" w14:textId="52C99368" w:rsidR="00D17EF7" w:rsidRPr="00F03917" w:rsidRDefault="00D17EF7" w:rsidP="00D17EF7">
            <w:pPr>
              <w:pStyle w:val="Glossary"/>
            </w:pPr>
            <w:r w:rsidRPr="00F03917">
              <w:t>The NZS 4404:2010 defines freeboard as “…a provision for flood level design estimate imprecision, construction tolerances, and natural phenomena (such as waves, debris, aggradations, channel transition, and bend effects) not explicitly included in the calculations” (p 25).</w:t>
            </w:r>
            <w:r w:rsidR="00977ED4" w:rsidRPr="00F03917">
              <w:t xml:space="preserve"> </w:t>
            </w:r>
          </w:p>
        </w:tc>
      </w:tr>
      <w:tr w:rsidR="00D17EF7" w:rsidRPr="00F03917" w14:paraId="25B69BF7" w14:textId="77777777" w:rsidTr="00496CF4">
        <w:trPr>
          <w:gridAfter w:val="1"/>
          <w:wAfter w:w="142" w:type="dxa"/>
          <w:trHeight w:val="300"/>
        </w:trPr>
        <w:tc>
          <w:tcPr>
            <w:tcW w:w="2268" w:type="dxa"/>
            <w:tcMar>
              <w:top w:w="57" w:type="dxa"/>
              <w:left w:w="108" w:type="dxa"/>
              <w:bottom w:w="57" w:type="dxa"/>
              <w:right w:w="108" w:type="dxa"/>
            </w:tcMar>
          </w:tcPr>
          <w:p w14:paraId="155FC649" w14:textId="60244FD8" w:rsidR="00D17EF7" w:rsidRPr="00F03917" w:rsidRDefault="00D17EF7" w:rsidP="00D17EF7">
            <w:pPr>
              <w:pStyle w:val="Glossary"/>
            </w:pPr>
            <w:r w:rsidRPr="00F03917">
              <w:t>Frequency</w:t>
            </w:r>
          </w:p>
        </w:tc>
        <w:tc>
          <w:tcPr>
            <w:tcW w:w="6237" w:type="dxa"/>
            <w:tcMar>
              <w:top w:w="57" w:type="dxa"/>
              <w:left w:w="108" w:type="dxa"/>
              <w:bottom w:w="57" w:type="dxa"/>
              <w:right w:w="108" w:type="dxa"/>
            </w:tcMar>
          </w:tcPr>
          <w:p w14:paraId="78162A64" w14:textId="086E43FD" w:rsidR="00D17EF7" w:rsidRPr="00F03917" w:rsidRDefault="00D17EF7" w:rsidP="00D17EF7">
            <w:pPr>
              <w:pStyle w:val="Glossary"/>
            </w:pPr>
            <w:r w:rsidRPr="00F03917">
              <w:t>The number or rate of occurrences of hazard events, usually for a given time period (National Emergency Management Agency, pers. comm.).</w:t>
            </w:r>
          </w:p>
        </w:tc>
      </w:tr>
      <w:tr w:rsidR="00D17EF7" w:rsidRPr="00F03917" w14:paraId="1AC1F11A" w14:textId="77777777" w:rsidTr="00496CF4">
        <w:trPr>
          <w:gridAfter w:val="1"/>
          <w:wAfter w:w="142" w:type="dxa"/>
          <w:trHeight w:val="300"/>
        </w:trPr>
        <w:tc>
          <w:tcPr>
            <w:tcW w:w="2268" w:type="dxa"/>
            <w:tcMar>
              <w:top w:w="57" w:type="dxa"/>
              <w:left w:w="108" w:type="dxa"/>
              <w:bottom w:w="57" w:type="dxa"/>
              <w:right w:w="108" w:type="dxa"/>
            </w:tcMar>
          </w:tcPr>
          <w:p w14:paraId="72160A35" w14:textId="7F8B0916" w:rsidR="00D17EF7" w:rsidRPr="00F03917" w:rsidRDefault="00D17EF7" w:rsidP="00D17EF7">
            <w:pPr>
              <w:pStyle w:val="Glossary"/>
            </w:pPr>
            <w:r w:rsidRPr="00F03917">
              <w:t>Groundwater rise</w:t>
            </w:r>
          </w:p>
        </w:tc>
        <w:tc>
          <w:tcPr>
            <w:tcW w:w="6237" w:type="dxa"/>
            <w:tcMar>
              <w:top w:w="57" w:type="dxa"/>
              <w:left w:w="108" w:type="dxa"/>
              <w:bottom w:w="57" w:type="dxa"/>
              <w:right w:w="108" w:type="dxa"/>
            </w:tcMar>
          </w:tcPr>
          <w:p w14:paraId="612A0E07" w14:textId="7DB69080" w:rsidR="00D17EF7" w:rsidRPr="00F03917" w:rsidRDefault="00D17EF7" w:rsidP="00D17EF7">
            <w:pPr>
              <w:pStyle w:val="Glossary"/>
            </w:pPr>
            <w:r w:rsidRPr="00F03917">
              <w:t>The movement upward of the water table due to short or long-term fluctuations in rainfall recharge and/or river, ocean or tidal levels.</w:t>
            </w:r>
          </w:p>
        </w:tc>
      </w:tr>
      <w:tr w:rsidR="00D17EF7" w:rsidRPr="00F03917" w14:paraId="41FE65EF" w14:textId="77777777" w:rsidTr="00496CF4">
        <w:trPr>
          <w:gridAfter w:val="1"/>
          <w:wAfter w:w="142" w:type="dxa"/>
          <w:trHeight w:val="300"/>
        </w:trPr>
        <w:tc>
          <w:tcPr>
            <w:tcW w:w="2268" w:type="dxa"/>
            <w:tcMar>
              <w:top w:w="57" w:type="dxa"/>
              <w:left w:w="108" w:type="dxa"/>
              <w:bottom w:w="57" w:type="dxa"/>
              <w:right w:w="108" w:type="dxa"/>
            </w:tcMar>
          </w:tcPr>
          <w:p w14:paraId="38BD2068" w14:textId="30898B79" w:rsidR="00D17EF7" w:rsidRPr="00F03917" w:rsidRDefault="00D17EF7" w:rsidP="00D17EF7">
            <w:pPr>
              <w:pStyle w:val="Glossary"/>
            </w:pPr>
            <w:r w:rsidRPr="00F03917">
              <w:t>IPCC</w:t>
            </w:r>
          </w:p>
        </w:tc>
        <w:tc>
          <w:tcPr>
            <w:tcW w:w="6237" w:type="dxa"/>
            <w:tcMar>
              <w:top w:w="57" w:type="dxa"/>
              <w:left w:w="108" w:type="dxa"/>
              <w:bottom w:w="57" w:type="dxa"/>
              <w:right w:w="108" w:type="dxa"/>
            </w:tcMar>
          </w:tcPr>
          <w:p w14:paraId="396C3CE9" w14:textId="01E09FB2" w:rsidR="00D17EF7" w:rsidRPr="00F03917" w:rsidRDefault="00D17EF7" w:rsidP="00D17EF7">
            <w:pPr>
              <w:pStyle w:val="Glossary"/>
            </w:pPr>
            <w:r w:rsidRPr="00F03917">
              <w:t>Intergovernmental Panel on Climate Change</w:t>
            </w:r>
            <w:r w:rsidR="004D4709" w:rsidRPr="00F03917">
              <w:t>,</w:t>
            </w:r>
            <w:r w:rsidRPr="00F03917" w:rsidDel="004D4709">
              <w:t xml:space="preserve"> </w:t>
            </w:r>
            <w:r w:rsidRPr="00F03917">
              <w:t>a scientific and intergovernmental body under the auspices of the United Nations.</w:t>
            </w:r>
          </w:p>
        </w:tc>
      </w:tr>
      <w:tr w:rsidR="00D17EF7" w:rsidRPr="00F03917" w14:paraId="4F5EB846" w14:textId="77777777" w:rsidTr="00496CF4">
        <w:trPr>
          <w:gridAfter w:val="1"/>
          <w:wAfter w:w="142" w:type="dxa"/>
          <w:trHeight w:val="300"/>
        </w:trPr>
        <w:tc>
          <w:tcPr>
            <w:tcW w:w="2268" w:type="dxa"/>
            <w:tcMar>
              <w:top w:w="57" w:type="dxa"/>
              <w:left w:w="108" w:type="dxa"/>
              <w:bottom w:w="57" w:type="dxa"/>
              <w:right w:w="108" w:type="dxa"/>
            </w:tcMar>
          </w:tcPr>
          <w:p w14:paraId="7E2B64E2" w14:textId="2087474B" w:rsidR="00D17EF7" w:rsidRPr="00F03917" w:rsidRDefault="00D17EF7" w:rsidP="00D17EF7">
            <w:pPr>
              <w:pStyle w:val="Glossary"/>
            </w:pPr>
            <w:r w:rsidRPr="00F03917">
              <w:t>IPO</w:t>
            </w:r>
          </w:p>
        </w:tc>
        <w:tc>
          <w:tcPr>
            <w:tcW w:w="6237" w:type="dxa"/>
            <w:tcMar>
              <w:top w:w="57" w:type="dxa"/>
              <w:left w:w="108" w:type="dxa"/>
              <w:bottom w:w="57" w:type="dxa"/>
              <w:right w:w="108" w:type="dxa"/>
            </w:tcMar>
          </w:tcPr>
          <w:p w14:paraId="5266CCCE" w14:textId="5EC725D6" w:rsidR="00D17EF7" w:rsidRPr="00F03917" w:rsidRDefault="00D17EF7" w:rsidP="00D17EF7">
            <w:pPr>
              <w:pStyle w:val="Glossary"/>
            </w:pPr>
            <w:r w:rsidRPr="00F03917">
              <w:t>Inter-decadal Pacific Oscillation. A longer</w:t>
            </w:r>
            <w:r w:rsidR="0062567D" w:rsidRPr="00F03917">
              <w:t xml:space="preserve"> </w:t>
            </w:r>
            <w:r w:rsidRPr="00F03917">
              <w:t xml:space="preserve">term ENSO-like mode that occurs over a 20- to 30-year cycle, mainly in the Pacific. The IPO switched to the negative phase around 1999. </w:t>
            </w:r>
          </w:p>
        </w:tc>
      </w:tr>
      <w:tr w:rsidR="00D17EF7" w:rsidRPr="00F03917" w14:paraId="0270931A" w14:textId="77777777" w:rsidTr="00496CF4">
        <w:trPr>
          <w:gridAfter w:val="1"/>
          <w:wAfter w:w="142" w:type="dxa"/>
          <w:trHeight w:val="300"/>
        </w:trPr>
        <w:tc>
          <w:tcPr>
            <w:tcW w:w="2268" w:type="dxa"/>
            <w:tcMar>
              <w:top w:w="57" w:type="dxa"/>
              <w:left w:w="108" w:type="dxa"/>
              <w:bottom w:w="57" w:type="dxa"/>
              <w:right w:w="108" w:type="dxa"/>
            </w:tcMar>
          </w:tcPr>
          <w:p w14:paraId="2E1E983C" w14:textId="26F24FE9" w:rsidR="00D17EF7" w:rsidRPr="00F03917" w:rsidRDefault="00D17EF7" w:rsidP="00D17EF7">
            <w:pPr>
              <w:pStyle w:val="Glossary"/>
            </w:pPr>
            <w:r w:rsidRPr="00F03917">
              <w:t>Iwi and hapū</w:t>
            </w:r>
          </w:p>
        </w:tc>
        <w:tc>
          <w:tcPr>
            <w:tcW w:w="6237" w:type="dxa"/>
            <w:tcMar>
              <w:top w:w="57" w:type="dxa"/>
              <w:left w:w="108" w:type="dxa"/>
              <w:bottom w:w="57" w:type="dxa"/>
              <w:right w:w="108" w:type="dxa"/>
            </w:tcMar>
          </w:tcPr>
          <w:p w14:paraId="44523827" w14:textId="7B8AE7C0" w:rsidR="00D17EF7" w:rsidRPr="00F03917" w:rsidRDefault="00D17EF7" w:rsidP="00D17EF7">
            <w:pPr>
              <w:pStyle w:val="Glossary"/>
            </w:pPr>
            <w:r w:rsidRPr="00F03917">
              <w:t>Tribe, large group descended from a common ancestor. Kinship group, clan, subtribe.</w:t>
            </w:r>
          </w:p>
        </w:tc>
      </w:tr>
      <w:tr w:rsidR="00487658" w:rsidRPr="00F03917" w14:paraId="6F46290A" w14:textId="77777777" w:rsidTr="00496CF4">
        <w:trPr>
          <w:gridAfter w:val="1"/>
          <w:wAfter w:w="142" w:type="dxa"/>
          <w:trHeight w:val="300"/>
        </w:trPr>
        <w:tc>
          <w:tcPr>
            <w:tcW w:w="2268" w:type="dxa"/>
            <w:tcMar>
              <w:top w:w="57" w:type="dxa"/>
              <w:left w:w="108" w:type="dxa"/>
              <w:bottom w:w="57" w:type="dxa"/>
              <w:right w:w="108" w:type="dxa"/>
            </w:tcMar>
          </w:tcPr>
          <w:p w14:paraId="0DB27F51" w14:textId="77777777" w:rsidR="00487658" w:rsidRPr="00F03917" w:rsidRDefault="00487658">
            <w:pPr>
              <w:pStyle w:val="Glossary"/>
              <w:rPr>
                <w:color w:val="008080"/>
              </w:rPr>
            </w:pPr>
            <w:r w:rsidRPr="00F03917">
              <w:t>Land</w:t>
            </w:r>
          </w:p>
        </w:tc>
        <w:tc>
          <w:tcPr>
            <w:tcW w:w="6237" w:type="dxa"/>
            <w:tcMar>
              <w:top w:w="57" w:type="dxa"/>
              <w:left w:w="108" w:type="dxa"/>
              <w:bottom w:w="57" w:type="dxa"/>
              <w:right w:w="108" w:type="dxa"/>
            </w:tcMar>
          </w:tcPr>
          <w:p w14:paraId="13CB09DD" w14:textId="77777777" w:rsidR="00487658" w:rsidRPr="00F03917" w:rsidRDefault="00487658">
            <w:pPr>
              <w:pStyle w:val="Glossary"/>
            </w:pPr>
            <w:r w:rsidRPr="00F03917">
              <w:t>Includes land covered by water and the air space above land.</w:t>
            </w:r>
          </w:p>
        </w:tc>
      </w:tr>
      <w:tr w:rsidR="00487658" w:rsidRPr="00F03917" w14:paraId="6CDF12D7" w14:textId="77777777" w:rsidTr="00496CF4">
        <w:trPr>
          <w:gridAfter w:val="1"/>
          <w:wAfter w:w="142" w:type="dxa"/>
          <w:trHeight w:val="300"/>
        </w:trPr>
        <w:tc>
          <w:tcPr>
            <w:tcW w:w="2268" w:type="dxa"/>
            <w:tcMar>
              <w:top w:w="57" w:type="dxa"/>
              <w:left w:w="108" w:type="dxa"/>
              <w:bottom w:w="57" w:type="dxa"/>
              <w:right w:w="108" w:type="dxa"/>
            </w:tcMar>
          </w:tcPr>
          <w:p w14:paraId="05C6CB69" w14:textId="77777777" w:rsidR="00487658" w:rsidRPr="00F03917" w:rsidRDefault="00487658">
            <w:pPr>
              <w:pStyle w:val="Glossary"/>
            </w:pPr>
            <w:r w:rsidRPr="00F03917">
              <w:t>Land information memorandum (LIM)</w:t>
            </w:r>
          </w:p>
        </w:tc>
        <w:tc>
          <w:tcPr>
            <w:tcW w:w="6237" w:type="dxa"/>
            <w:tcMar>
              <w:top w:w="57" w:type="dxa"/>
              <w:left w:w="108" w:type="dxa"/>
              <w:bottom w:w="57" w:type="dxa"/>
              <w:right w:w="108" w:type="dxa"/>
            </w:tcMar>
          </w:tcPr>
          <w:p w14:paraId="3676210F" w14:textId="77777777" w:rsidR="00487658" w:rsidRPr="00F03917" w:rsidRDefault="00487658">
            <w:pPr>
              <w:pStyle w:val="Glossary"/>
            </w:pPr>
            <w:r w:rsidRPr="00F03917">
              <w:t>Information about a land parcel under the Local Government Official Information and Meetings Act 1987 and available on request from territorial local authorities.</w:t>
            </w:r>
          </w:p>
        </w:tc>
      </w:tr>
      <w:tr w:rsidR="00D17EF7" w:rsidRPr="00F03917" w14:paraId="524641F3" w14:textId="77777777" w:rsidTr="00496CF4">
        <w:trPr>
          <w:gridAfter w:val="1"/>
          <w:wAfter w:w="142" w:type="dxa"/>
          <w:trHeight w:val="300"/>
        </w:trPr>
        <w:tc>
          <w:tcPr>
            <w:tcW w:w="2268" w:type="dxa"/>
            <w:tcMar>
              <w:top w:w="57" w:type="dxa"/>
              <w:left w:w="108" w:type="dxa"/>
              <w:bottom w:w="57" w:type="dxa"/>
              <w:right w:w="108" w:type="dxa"/>
            </w:tcMar>
          </w:tcPr>
          <w:p w14:paraId="7AE5ACCD" w14:textId="614ACCBD" w:rsidR="00D17EF7" w:rsidRPr="00F03917" w:rsidRDefault="00D17EF7" w:rsidP="00D17EF7">
            <w:pPr>
              <w:pStyle w:val="Glossary"/>
            </w:pPr>
            <w:r w:rsidRPr="00F03917">
              <w:t>LGA</w:t>
            </w:r>
          </w:p>
        </w:tc>
        <w:tc>
          <w:tcPr>
            <w:tcW w:w="6237" w:type="dxa"/>
            <w:tcMar>
              <w:top w:w="57" w:type="dxa"/>
              <w:left w:w="108" w:type="dxa"/>
              <w:bottom w:w="57" w:type="dxa"/>
              <w:right w:w="108" w:type="dxa"/>
            </w:tcMar>
          </w:tcPr>
          <w:p w14:paraId="3623F4F5" w14:textId="792AC1AE" w:rsidR="00D17EF7" w:rsidRPr="00F03917" w:rsidRDefault="00D17EF7" w:rsidP="00D17EF7">
            <w:pPr>
              <w:pStyle w:val="Glossary"/>
            </w:pPr>
            <w:r w:rsidRPr="00F03917">
              <w:t>Local Government Act 2002 (and amendments).</w:t>
            </w:r>
          </w:p>
        </w:tc>
      </w:tr>
      <w:tr w:rsidR="00D17EF7" w:rsidRPr="00F03917" w14:paraId="1F4898CA" w14:textId="77777777" w:rsidTr="00496CF4">
        <w:trPr>
          <w:gridAfter w:val="1"/>
          <w:wAfter w:w="142" w:type="dxa"/>
          <w:trHeight w:val="300"/>
        </w:trPr>
        <w:tc>
          <w:tcPr>
            <w:tcW w:w="2268" w:type="dxa"/>
            <w:tcMar>
              <w:top w:w="57" w:type="dxa"/>
              <w:left w:w="108" w:type="dxa"/>
              <w:bottom w:w="57" w:type="dxa"/>
              <w:right w:w="108" w:type="dxa"/>
            </w:tcMar>
          </w:tcPr>
          <w:p w14:paraId="4456E609" w14:textId="1B5ACC1E" w:rsidR="00D17EF7" w:rsidRPr="00F03917" w:rsidRDefault="00D17EF7" w:rsidP="00D17EF7">
            <w:pPr>
              <w:pStyle w:val="Glossary"/>
            </w:pPr>
            <w:r w:rsidRPr="00F03917">
              <w:t>LGNZ</w:t>
            </w:r>
          </w:p>
        </w:tc>
        <w:tc>
          <w:tcPr>
            <w:tcW w:w="6237" w:type="dxa"/>
            <w:tcMar>
              <w:top w:w="57" w:type="dxa"/>
              <w:left w:w="108" w:type="dxa"/>
              <w:bottom w:w="57" w:type="dxa"/>
              <w:right w:w="108" w:type="dxa"/>
            </w:tcMar>
          </w:tcPr>
          <w:p w14:paraId="34FF8024" w14:textId="74F61FF2" w:rsidR="00D17EF7" w:rsidRPr="00F03917" w:rsidRDefault="00D17EF7" w:rsidP="00D17EF7">
            <w:pPr>
              <w:pStyle w:val="Glossary"/>
            </w:pPr>
            <w:r w:rsidRPr="00F03917">
              <w:t>Local Government New Zealand (</w:t>
            </w:r>
            <w:hyperlink r:id="rId165" w:history="1">
              <w:r w:rsidRPr="00F03917">
                <w:rPr>
                  <w:rStyle w:val="Hyperlink"/>
                  <w:rFonts w:eastAsia="Calibri" w:cs="Calibri"/>
                </w:rPr>
                <w:t>www.lgnz.co.nz</w:t>
              </w:r>
            </w:hyperlink>
            <w:r w:rsidRPr="00F03917">
              <w:t>).</w:t>
            </w:r>
          </w:p>
        </w:tc>
      </w:tr>
      <w:tr w:rsidR="00D17EF7" w:rsidRPr="00F03917" w14:paraId="2DF2C1C2" w14:textId="77777777" w:rsidTr="00496CF4">
        <w:trPr>
          <w:gridAfter w:val="1"/>
          <w:wAfter w:w="142" w:type="dxa"/>
          <w:trHeight w:val="300"/>
        </w:trPr>
        <w:tc>
          <w:tcPr>
            <w:tcW w:w="2268" w:type="dxa"/>
            <w:tcMar>
              <w:top w:w="57" w:type="dxa"/>
              <w:left w:w="108" w:type="dxa"/>
              <w:bottom w:w="57" w:type="dxa"/>
              <w:right w:w="108" w:type="dxa"/>
            </w:tcMar>
          </w:tcPr>
          <w:p w14:paraId="45B91BFF" w14:textId="13940720" w:rsidR="00D17EF7" w:rsidRPr="00F03917" w:rsidRDefault="00D17EF7" w:rsidP="00D17EF7">
            <w:pPr>
              <w:pStyle w:val="Glossary"/>
            </w:pPr>
            <w:r w:rsidRPr="00F03917">
              <w:rPr>
                <w:u w:val="single"/>
              </w:rPr>
              <w:t>L</w:t>
            </w:r>
            <w:r w:rsidRPr="00F03917">
              <w:t xml:space="preserve">ight </w:t>
            </w:r>
            <w:r w:rsidRPr="00F03917">
              <w:rPr>
                <w:u w:val="single"/>
              </w:rPr>
              <w:t>D</w:t>
            </w:r>
            <w:r w:rsidRPr="00F03917">
              <w:t xml:space="preserve">etection </w:t>
            </w:r>
            <w:r w:rsidRPr="00F03917">
              <w:rPr>
                <w:u w:val="single"/>
              </w:rPr>
              <w:t>a</w:t>
            </w:r>
            <w:r w:rsidRPr="00F03917">
              <w:t xml:space="preserve">nd </w:t>
            </w:r>
            <w:r w:rsidRPr="00F03917">
              <w:rPr>
                <w:u w:val="single"/>
              </w:rPr>
              <w:t>R</w:t>
            </w:r>
            <w:r w:rsidRPr="00F03917">
              <w:t>anging (LiDAR)</w:t>
            </w:r>
          </w:p>
        </w:tc>
        <w:tc>
          <w:tcPr>
            <w:tcW w:w="6237" w:type="dxa"/>
            <w:tcMar>
              <w:top w:w="57" w:type="dxa"/>
              <w:left w:w="108" w:type="dxa"/>
              <w:bottom w:w="57" w:type="dxa"/>
              <w:right w:w="108" w:type="dxa"/>
            </w:tcMar>
          </w:tcPr>
          <w:p w14:paraId="588DFC93" w14:textId="60D5024B" w:rsidR="00D17EF7" w:rsidRPr="00F03917" w:rsidRDefault="00D17EF7" w:rsidP="00D17EF7">
            <w:pPr>
              <w:pStyle w:val="Glossary"/>
            </w:pPr>
            <w:r w:rsidRPr="00F03917">
              <w:t>A laser scanning system usually mounted on an aircraft to measure surface elevations with height accuracies down to 0.1 metres.</w:t>
            </w:r>
          </w:p>
        </w:tc>
      </w:tr>
      <w:tr w:rsidR="00D17EF7" w:rsidRPr="00F03917" w14:paraId="690F05B7" w14:textId="77777777" w:rsidTr="00496CF4">
        <w:trPr>
          <w:gridAfter w:val="1"/>
          <w:wAfter w:w="142" w:type="dxa"/>
          <w:trHeight w:val="300"/>
        </w:trPr>
        <w:tc>
          <w:tcPr>
            <w:tcW w:w="2268" w:type="dxa"/>
            <w:tcMar>
              <w:top w:w="57" w:type="dxa"/>
              <w:left w:w="108" w:type="dxa"/>
              <w:bottom w:w="57" w:type="dxa"/>
              <w:right w:w="108" w:type="dxa"/>
            </w:tcMar>
          </w:tcPr>
          <w:p w14:paraId="6E2A7D97" w14:textId="511CE2F8" w:rsidR="00D17EF7" w:rsidRPr="00F03917" w:rsidRDefault="00D17EF7" w:rsidP="00D17EF7">
            <w:pPr>
              <w:pStyle w:val="Glossary"/>
            </w:pPr>
            <w:r w:rsidRPr="00F03917">
              <w:t>Likelihood</w:t>
            </w:r>
          </w:p>
        </w:tc>
        <w:tc>
          <w:tcPr>
            <w:tcW w:w="6237" w:type="dxa"/>
            <w:tcMar>
              <w:top w:w="57" w:type="dxa"/>
              <w:left w:w="108" w:type="dxa"/>
              <w:bottom w:w="57" w:type="dxa"/>
              <w:right w:w="108" w:type="dxa"/>
            </w:tcMar>
          </w:tcPr>
          <w:p w14:paraId="1F0DBCD0" w14:textId="1963DD38" w:rsidR="00D17EF7" w:rsidRPr="00F03917" w:rsidRDefault="00D17EF7" w:rsidP="00D17EF7">
            <w:pPr>
              <w:pStyle w:val="Glossary"/>
            </w:pPr>
            <w:r w:rsidRPr="00F03917">
              <w:t xml:space="preserve">The probability or chance of a hazard or event occurring. Usually described quantitatively as a ratio (eg, 1 in 10), percentage (eg, 10 per cent) or value between 0 and 1 (eg, 0.1), or qualitatively using defined and agreed terms, such as unlikely, virtually certain, about as likely as not. </w:t>
            </w:r>
          </w:p>
        </w:tc>
      </w:tr>
      <w:tr w:rsidR="00D17EF7" w:rsidRPr="00F03917" w14:paraId="4B621D19" w14:textId="77777777" w:rsidTr="00496CF4">
        <w:trPr>
          <w:gridAfter w:val="1"/>
          <w:wAfter w:w="142" w:type="dxa"/>
          <w:trHeight w:val="300"/>
        </w:trPr>
        <w:tc>
          <w:tcPr>
            <w:tcW w:w="2268" w:type="dxa"/>
            <w:tcMar>
              <w:top w:w="57" w:type="dxa"/>
              <w:left w:w="108" w:type="dxa"/>
              <w:bottom w:w="57" w:type="dxa"/>
              <w:right w:w="108" w:type="dxa"/>
            </w:tcMar>
          </w:tcPr>
          <w:p w14:paraId="35541FA2" w14:textId="341B3B1D" w:rsidR="00D17EF7" w:rsidRPr="00F03917" w:rsidRDefault="00D17EF7" w:rsidP="00D17EF7">
            <w:pPr>
              <w:pStyle w:val="Glossary"/>
            </w:pPr>
            <w:r w:rsidRPr="00F03917">
              <w:t>Maladaptive actions (Maladaptation)</w:t>
            </w:r>
          </w:p>
        </w:tc>
        <w:tc>
          <w:tcPr>
            <w:tcW w:w="6237" w:type="dxa"/>
            <w:tcMar>
              <w:top w:w="57" w:type="dxa"/>
              <w:left w:w="108" w:type="dxa"/>
              <w:bottom w:w="57" w:type="dxa"/>
              <w:right w:w="108" w:type="dxa"/>
            </w:tcMar>
          </w:tcPr>
          <w:p w14:paraId="47C2C766" w14:textId="1CE49187" w:rsidR="00D17EF7" w:rsidRPr="00F03917" w:rsidRDefault="00D17EF7" w:rsidP="00D17EF7">
            <w:pPr>
              <w:pStyle w:val="Glossary"/>
            </w:pPr>
            <w:r w:rsidRPr="00F03917">
              <w:t>Actions that may lead to increased risk of adverse climate-related outcomes, including via increased GHG emissions, increased vulnerability to climate change, or diminished welfare, now or in the future. It is usually an unintended consequence.</w:t>
            </w:r>
          </w:p>
        </w:tc>
      </w:tr>
      <w:tr w:rsidR="00D17EF7" w:rsidRPr="00F03917" w14:paraId="6B3D839B" w14:textId="77777777" w:rsidTr="00496CF4">
        <w:trPr>
          <w:gridAfter w:val="1"/>
          <w:wAfter w:w="142" w:type="dxa"/>
          <w:trHeight w:val="300"/>
        </w:trPr>
        <w:tc>
          <w:tcPr>
            <w:tcW w:w="2268" w:type="dxa"/>
            <w:tcMar>
              <w:top w:w="57" w:type="dxa"/>
              <w:left w:w="108" w:type="dxa"/>
              <w:bottom w:w="57" w:type="dxa"/>
              <w:right w:w="108" w:type="dxa"/>
            </w:tcMar>
          </w:tcPr>
          <w:p w14:paraId="039D4A02" w14:textId="5D9F53DC" w:rsidR="00D17EF7" w:rsidRPr="00F03917" w:rsidRDefault="00D17EF7" w:rsidP="00D17EF7">
            <w:pPr>
              <w:pStyle w:val="Glossary"/>
            </w:pPr>
            <w:r w:rsidRPr="00F03917">
              <w:t>MCA</w:t>
            </w:r>
          </w:p>
        </w:tc>
        <w:tc>
          <w:tcPr>
            <w:tcW w:w="6237" w:type="dxa"/>
            <w:tcMar>
              <w:top w:w="57" w:type="dxa"/>
              <w:left w:w="108" w:type="dxa"/>
              <w:bottom w:w="57" w:type="dxa"/>
              <w:right w:w="108" w:type="dxa"/>
            </w:tcMar>
          </w:tcPr>
          <w:p w14:paraId="54721390" w14:textId="194CEFC2" w:rsidR="00D17EF7" w:rsidRPr="00F03917" w:rsidRDefault="00D17EF7" w:rsidP="00D17EF7">
            <w:pPr>
              <w:pStyle w:val="Glossary"/>
            </w:pPr>
            <w:r w:rsidRPr="00F03917">
              <w:t xml:space="preserve">Multi-criteria analysis. Analysis technique for evaluating criteria that are qualitative and quantitative, reflecting the social, cultural, economic and environmental characteristics of the project outcomes or response options (adapted from New Zealand Asset Management Support – </w:t>
            </w:r>
            <w:hyperlink r:id="rId166" w:history="1">
              <w:r w:rsidRPr="00F03917">
                <w:rPr>
                  <w:rStyle w:val="Hyperlink"/>
                  <w:rFonts w:eastAsia="Calibri" w:cs="Calibri"/>
                </w:rPr>
                <w:t>www.nams.org.nz</w:t>
              </w:r>
            </w:hyperlink>
            <w:r w:rsidRPr="00F03917">
              <w:t>).</w:t>
            </w:r>
          </w:p>
        </w:tc>
      </w:tr>
      <w:tr w:rsidR="00D17EF7" w:rsidRPr="00F03917" w14:paraId="617ECCCF" w14:textId="77777777" w:rsidTr="00496CF4">
        <w:trPr>
          <w:gridAfter w:val="1"/>
          <w:wAfter w:w="142" w:type="dxa"/>
          <w:trHeight w:val="300"/>
        </w:trPr>
        <w:tc>
          <w:tcPr>
            <w:tcW w:w="2268" w:type="dxa"/>
            <w:tcMar>
              <w:top w:w="57" w:type="dxa"/>
              <w:left w:w="108" w:type="dxa"/>
              <w:bottom w:w="57" w:type="dxa"/>
              <w:right w:w="108" w:type="dxa"/>
            </w:tcMar>
          </w:tcPr>
          <w:p w14:paraId="5CD662EE" w14:textId="0F361994" w:rsidR="00D17EF7" w:rsidRPr="00F03917" w:rsidRDefault="00D17EF7" w:rsidP="00D17EF7">
            <w:pPr>
              <w:pStyle w:val="Glossary"/>
            </w:pPr>
            <w:r w:rsidRPr="00F03917">
              <w:lastRenderedPageBreak/>
              <w:t>Mean sea level (MSL)</w:t>
            </w:r>
          </w:p>
        </w:tc>
        <w:tc>
          <w:tcPr>
            <w:tcW w:w="6237" w:type="dxa"/>
            <w:tcMar>
              <w:top w:w="57" w:type="dxa"/>
              <w:left w:w="108" w:type="dxa"/>
              <w:bottom w:w="57" w:type="dxa"/>
              <w:right w:w="108" w:type="dxa"/>
            </w:tcMar>
          </w:tcPr>
          <w:p w14:paraId="28B9BB82" w14:textId="0DBAAD46" w:rsidR="00D17EF7" w:rsidRPr="00F03917" w:rsidRDefault="00D17EF7" w:rsidP="00D17EF7">
            <w:pPr>
              <w:pStyle w:val="Glossary"/>
            </w:pPr>
            <w:r w:rsidRPr="00F03917">
              <w:t>Average (mean) level of the sea relative to a vertical datum over a defined epoch, usually of several years to decades. Baseline MSL for IPCC and NZ SeaRise sea-level rise projections is the average sea level over the period 1995–2014.</w:t>
            </w:r>
          </w:p>
        </w:tc>
      </w:tr>
      <w:tr w:rsidR="00D17EF7" w:rsidRPr="00F03917" w14:paraId="3412E97D" w14:textId="77777777" w:rsidTr="00496CF4">
        <w:trPr>
          <w:gridAfter w:val="1"/>
          <w:wAfter w:w="142" w:type="dxa"/>
          <w:trHeight w:val="300"/>
        </w:trPr>
        <w:tc>
          <w:tcPr>
            <w:tcW w:w="2268" w:type="dxa"/>
            <w:tcMar>
              <w:top w:w="57" w:type="dxa"/>
              <w:left w:w="108" w:type="dxa"/>
              <w:bottom w:w="57" w:type="dxa"/>
              <w:right w:w="108" w:type="dxa"/>
            </w:tcMar>
          </w:tcPr>
          <w:p w14:paraId="556EF3BB" w14:textId="3229D4A9" w:rsidR="00D17EF7" w:rsidRPr="00F03917" w:rsidRDefault="00D17EF7" w:rsidP="00D17EF7">
            <w:pPr>
              <w:pStyle w:val="Glossary"/>
            </w:pPr>
            <w:r w:rsidRPr="00F03917">
              <w:t>Mean sea-level anomaly</w:t>
            </w:r>
          </w:p>
        </w:tc>
        <w:tc>
          <w:tcPr>
            <w:tcW w:w="6237" w:type="dxa"/>
            <w:tcMar>
              <w:top w:w="57" w:type="dxa"/>
              <w:left w:w="108" w:type="dxa"/>
              <w:bottom w:w="57" w:type="dxa"/>
              <w:right w:w="108" w:type="dxa"/>
            </w:tcMar>
          </w:tcPr>
          <w:p w14:paraId="12EA65D5" w14:textId="03E0A286" w:rsidR="00D17EF7" w:rsidRPr="00F03917" w:rsidRDefault="00D17EF7" w:rsidP="00D17EF7">
            <w:pPr>
              <w:pStyle w:val="Glossary"/>
            </w:pPr>
            <w:r w:rsidRPr="00F03917">
              <w:t>Variation of the non-tidal sea level above or below the longer</w:t>
            </w:r>
            <w:r w:rsidR="0062567D" w:rsidRPr="00F03917">
              <w:t xml:space="preserve"> </w:t>
            </w:r>
            <w:r w:rsidRPr="00F03917">
              <w:t>term MSL on time scales ranging from a month to years due to climate variability. This includes the influence of ENSO and IPO patterns on sea level, winds and sea temperatures, and seasonal effects.</w:t>
            </w:r>
          </w:p>
        </w:tc>
      </w:tr>
      <w:tr w:rsidR="00D17EF7" w:rsidRPr="00F03917" w14:paraId="13D1998E" w14:textId="77777777" w:rsidTr="00496CF4">
        <w:trPr>
          <w:gridAfter w:val="1"/>
          <w:wAfter w:w="142" w:type="dxa"/>
          <w:trHeight w:val="300"/>
        </w:trPr>
        <w:tc>
          <w:tcPr>
            <w:tcW w:w="2268" w:type="dxa"/>
            <w:tcMar>
              <w:top w:w="57" w:type="dxa"/>
              <w:left w:w="108" w:type="dxa"/>
              <w:bottom w:w="57" w:type="dxa"/>
              <w:right w:w="108" w:type="dxa"/>
            </w:tcMar>
          </w:tcPr>
          <w:p w14:paraId="4E597988" w14:textId="79FB4579" w:rsidR="00D17EF7" w:rsidRPr="00F03917" w:rsidRDefault="00D17EF7" w:rsidP="00D17EF7">
            <w:pPr>
              <w:pStyle w:val="Glossary"/>
            </w:pPr>
            <w:r w:rsidRPr="00F03917">
              <w:t>MHWS</w:t>
            </w:r>
          </w:p>
        </w:tc>
        <w:tc>
          <w:tcPr>
            <w:tcW w:w="6237" w:type="dxa"/>
            <w:tcMar>
              <w:top w:w="57" w:type="dxa"/>
              <w:left w:w="108" w:type="dxa"/>
              <w:bottom w:w="57" w:type="dxa"/>
              <w:right w:w="108" w:type="dxa"/>
            </w:tcMar>
          </w:tcPr>
          <w:p w14:paraId="6BD340E5" w14:textId="348D9C73" w:rsidR="00D17EF7" w:rsidRPr="00F03917" w:rsidRDefault="00D17EF7" w:rsidP="00D17EF7">
            <w:pPr>
              <w:pStyle w:val="Glossary"/>
            </w:pPr>
            <w:r w:rsidRPr="00F03917">
              <w:t>Mean high water spring tide. Applies to a high-tide water level during spring or perigean</w:t>
            </w:r>
            <w:r w:rsidR="00AB72B9" w:rsidRPr="00F03917">
              <w:t xml:space="preserve"> </w:t>
            </w:r>
            <w:r w:rsidRPr="00F03917">
              <w:t>spring tides as well as the line that marks the landward boundary of the CMA.</w:t>
            </w:r>
          </w:p>
        </w:tc>
      </w:tr>
      <w:tr w:rsidR="00D17EF7" w:rsidRPr="00F03917" w14:paraId="6C9AA096" w14:textId="77777777" w:rsidTr="00496CF4">
        <w:trPr>
          <w:gridAfter w:val="1"/>
          <w:wAfter w:w="142" w:type="dxa"/>
          <w:trHeight w:val="300"/>
        </w:trPr>
        <w:tc>
          <w:tcPr>
            <w:tcW w:w="2268" w:type="dxa"/>
            <w:tcMar>
              <w:top w:w="57" w:type="dxa"/>
              <w:left w:w="108" w:type="dxa"/>
              <w:bottom w:w="57" w:type="dxa"/>
              <w:right w:w="108" w:type="dxa"/>
            </w:tcMar>
          </w:tcPr>
          <w:p w14:paraId="75905B12" w14:textId="211E67B0" w:rsidR="00D17EF7" w:rsidRPr="00F03917" w:rsidRDefault="00D17EF7" w:rsidP="00D17EF7">
            <w:pPr>
              <w:pStyle w:val="Glossary"/>
            </w:pPr>
            <w:r w:rsidRPr="00F03917">
              <w:t>Mitigation (of climate change)</w:t>
            </w:r>
          </w:p>
        </w:tc>
        <w:tc>
          <w:tcPr>
            <w:tcW w:w="6237" w:type="dxa"/>
            <w:tcMar>
              <w:top w:w="57" w:type="dxa"/>
              <w:left w:w="108" w:type="dxa"/>
              <w:bottom w:w="57" w:type="dxa"/>
              <w:right w:w="108" w:type="dxa"/>
            </w:tcMar>
          </w:tcPr>
          <w:p w14:paraId="10E638C1" w14:textId="35EEF2FB" w:rsidR="00D17EF7" w:rsidRPr="00F03917" w:rsidRDefault="00D17EF7" w:rsidP="00D17EF7">
            <w:pPr>
              <w:pStyle w:val="Glossary"/>
            </w:pPr>
            <w:r w:rsidRPr="00F03917">
              <w:t>A human intervention to reduce the sources or enhance the sinks of greenhouse gases (IPCC, 2014b, annex II).</w:t>
            </w:r>
          </w:p>
        </w:tc>
      </w:tr>
      <w:tr w:rsidR="00D17EF7" w:rsidRPr="00F03917" w14:paraId="0AEBEEEC" w14:textId="77777777" w:rsidTr="00496CF4">
        <w:trPr>
          <w:gridAfter w:val="1"/>
          <w:wAfter w:w="142" w:type="dxa"/>
          <w:trHeight w:val="300"/>
        </w:trPr>
        <w:tc>
          <w:tcPr>
            <w:tcW w:w="2268" w:type="dxa"/>
            <w:tcMar>
              <w:top w:w="57" w:type="dxa"/>
              <w:left w:w="108" w:type="dxa"/>
              <w:bottom w:w="57" w:type="dxa"/>
              <w:right w:w="108" w:type="dxa"/>
            </w:tcMar>
          </w:tcPr>
          <w:p w14:paraId="04EA4D8E" w14:textId="25A9E558" w:rsidR="00D17EF7" w:rsidRPr="00F03917" w:rsidRDefault="00D17EF7" w:rsidP="00D17EF7">
            <w:pPr>
              <w:pStyle w:val="Glossary"/>
            </w:pPr>
            <w:r w:rsidRPr="00F03917">
              <w:t>Mitigation (of natural hazards and risks) – or risk reduction</w:t>
            </w:r>
          </w:p>
        </w:tc>
        <w:tc>
          <w:tcPr>
            <w:tcW w:w="6237" w:type="dxa"/>
            <w:tcMar>
              <w:top w:w="57" w:type="dxa"/>
              <w:left w:w="108" w:type="dxa"/>
              <w:bottom w:w="57" w:type="dxa"/>
              <w:right w:w="108" w:type="dxa"/>
            </w:tcMar>
          </w:tcPr>
          <w:p w14:paraId="6D209CEE" w14:textId="0F07945E" w:rsidR="00D17EF7" w:rsidRPr="00F03917" w:rsidRDefault="00D17EF7" w:rsidP="00D17EF7">
            <w:pPr>
              <w:pStyle w:val="Glossary"/>
            </w:pPr>
            <w:r w:rsidRPr="00F03917">
              <w:t>The lessening of the potential adverse impacts of physical hazards (including those that are human induced) through actions that reduce hazard, exposure and vulnerability (IPCC, 2014b, annex II).</w:t>
            </w:r>
          </w:p>
        </w:tc>
      </w:tr>
      <w:tr w:rsidR="00D17EF7" w:rsidRPr="00F03917" w14:paraId="33FEDAAB" w14:textId="77777777" w:rsidTr="00496CF4">
        <w:trPr>
          <w:gridAfter w:val="1"/>
          <w:wAfter w:w="142" w:type="dxa"/>
          <w:trHeight w:val="300"/>
        </w:trPr>
        <w:tc>
          <w:tcPr>
            <w:tcW w:w="2268" w:type="dxa"/>
            <w:tcMar>
              <w:top w:w="57" w:type="dxa"/>
              <w:left w:w="108" w:type="dxa"/>
              <w:bottom w:w="57" w:type="dxa"/>
              <w:right w:w="108" w:type="dxa"/>
            </w:tcMar>
          </w:tcPr>
          <w:p w14:paraId="3EACA159" w14:textId="325F5C73" w:rsidR="00D17EF7" w:rsidRPr="00F03917" w:rsidRDefault="00D17EF7" w:rsidP="00D17EF7">
            <w:pPr>
              <w:pStyle w:val="Glossary"/>
            </w:pPr>
            <w:r w:rsidRPr="00F03917">
              <w:t xml:space="preserve">National </w:t>
            </w:r>
            <w:r w:rsidR="00803863" w:rsidRPr="00F03917">
              <w:t>a</w:t>
            </w:r>
            <w:r w:rsidRPr="00F03917">
              <w:t xml:space="preserve">daptation </w:t>
            </w:r>
            <w:r w:rsidR="00803863" w:rsidRPr="00F03917">
              <w:t>p</w:t>
            </w:r>
            <w:r w:rsidRPr="00F03917">
              <w:t>lan (NAP)</w:t>
            </w:r>
          </w:p>
        </w:tc>
        <w:tc>
          <w:tcPr>
            <w:tcW w:w="6237" w:type="dxa"/>
            <w:tcMar>
              <w:top w:w="57" w:type="dxa"/>
              <w:left w:w="108" w:type="dxa"/>
              <w:bottom w:w="57" w:type="dxa"/>
              <w:right w:w="108" w:type="dxa"/>
            </w:tcMar>
          </w:tcPr>
          <w:p w14:paraId="5A034BF2" w14:textId="5F62CAA0" w:rsidR="00D17EF7" w:rsidRPr="00F03917" w:rsidRDefault="00D17EF7" w:rsidP="00D17EF7">
            <w:pPr>
              <w:pStyle w:val="Glossary"/>
            </w:pPr>
            <w:r w:rsidRPr="00F03917">
              <w:t>The National adaptation plan (MfE, 2022a) prepared under the Climate Change Response Act 2002 sets out what we need to do to adapt, live and thrive in a different and changing climate.</w:t>
            </w:r>
          </w:p>
        </w:tc>
      </w:tr>
      <w:tr w:rsidR="00D17EF7" w:rsidRPr="00F03917" w14:paraId="6775CDBC" w14:textId="77777777" w:rsidTr="00496CF4">
        <w:trPr>
          <w:gridAfter w:val="1"/>
          <w:wAfter w:w="142" w:type="dxa"/>
          <w:trHeight w:val="300"/>
        </w:trPr>
        <w:tc>
          <w:tcPr>
            <w:tcW w:w="2268" w:type="dxa"/>
            <w:tcMar>
              <w:top w:w="57" w:type="dxa"/>
              <w:left w:w="108" w:type="dxa"/>
              <w:bottom w:w="57" w:type="dxa"/>
              <w:right w:w="108" w:type="dxa"/>
            </w:tcMar>
          </w:tcPr>
          <w:p w14:paraId="261DD62D" w14:textId="18D9CE28" w:rsidR="00D17EF7" w:rsidRPr="00F03917" w:rsidRDefault="00D17EF7" w:rsidP="00D17EF7">
            <w:pPr>
              <w:pStyle w:val="Glossary"/>
            </w:pPr>
            <w:r w:rsidRPr="00F03917">
              <w:t>Natural hazard</w:t>
            </w:r>
          </w:p>
        </w:tc>
        <w:tc>
          <w:tcPr>
            <w:tcW w:w="6237" w:type="dxa"/>
            <w:tcMar>
              <w:top w:w="57" w:type="dxa"/>
              <w:left w:w="108" w:type="dxa"/>
              <w:bottom w:w="57" w:type="dxa"/>
              <w:right w:w="108" w:type="dxa"/>
            </w:tcMar>
          </w:tcPr>
          <w:p w14:paraId="3C3C71BC" w14:textId="4364E9A1" w:rsidR="00D17EF7" w:rsidRPr="00F03917" w:rsidRDefault="00D17EF7" w:rsidP="00D17EF7">
            <w:pPr>
              <w:pStyle w:val="Glossary"/>
            </w:pPr>
            <w:r w:rsidRPr="00F03917">
              <w:t>Any atmospheric, earth or water-related occurrence (including earthquake, tsunami, erosion, volcanic and geothermal activity, landslip, subsidence, sedimentation, wind, drought, fire or flooding), the action of which adversely affects or may adversely affect human life, property or other aspects of the environment (Resource Management Act 1991, section 2 (adapted)). Hazards can be single, sequential or combined in their origin and effects. Each is characterised by its timing, location and scale, intensity and probability.</w:t>
            </w:r>
          </w:p>
        </w:tc>
      </w:tr>
      <w:tr w:rsidR="00D17EF7" w:rsidRPr="00F03917" w14:paraId="52E815CD" w14:textId="77777777" w:rsidTr="00496CF4">
        <w:trPr>
          <w:gridAfter w:val="1"/>
          <w:wAfter w:w="142" w:type="dxa"/>
          <w:trHeight w:val="300"/>
        </w:trPr>
        <w:tc>
          <w:tcPr>
            <w:tcW w:w="2268" w:type="dxa"/>
            <w:tcMar>
              <w:top w:w="57" w:type="dxa"/>
              <w:left w:w="108" w:type="dxa"/>
              <w:bottom w:w="57" w:type="dxa"/>
              <w:right w:w="108" w:type="dxa"/>
            </w:tcMar>
          </w:tcPr>
          <w:p w14:paraId="5E159C91" w14:textId="7AADEC96" w:rsidR="00D17EF7" w:rsidRPr="00F03917" w:rsidRDefault="00D17EF7" w:rsidP="00D17EF7">
            <w:pPr>
              <w:pStyle w:val="Glossary"/>
            </w:pPr>
            <w:r w:rsidRPr="00F03917">
              <w:t>NCCRA</w:t>
            </w:r>
          </w:p>
        </w:tc>
        <w:tc>
          <w:tcPr>
            <w:tcW w:w="6237" w:type="dxa"/>
            <w:tcMar>
              <w:top w:w="57" w:type="dxa"/>
              <w:left w:w="108" w:type="dxa"/>
              <w:bottom w:w="57" w:type="dxa"/>
              <w:right w:w="108" w:type="dxa"/>
            </w:tcMar>
          </w:tcPr>
          <w:p w14:paraId="7E245544" w14:textId="2D644145" w:rsidR="00D17EF7" w:rsidRPr="00F03917" w:rsidRDefault="00D17EF7" w:rsidP="00D17EF7">
            <w:pPr>
              <w:pStyle w:val="Glossary"/>
            </w:pPr>
            <w:r w:rsidRPr="00F03917">
              <w:t>National Climate Change Risk Assessment.</w:t>
            </w:r>
          </w:p>
        </w:tc>
      </w:tr>
      <w:tr w:rsidR="00D17EF7" w:rsidRPr="00F03917" w14:paraId="01C76BEA" w14:textId="77777777" w:rsidTr="00496CF4">
        <w:trPr>
          <w:gridAfter w:val="1"/>
          <w:wAfter w:w="142" w:type="dxa"/>
          <w:trHeight w:val="300"/>
        </w:trPr>
        <w:tc>
          <w:tcPr>
            <w:tcW w:w="2268" w:type="dxa"/>
            <w:tcMar>
              <w:top w:w="57" w:type="dxa"/>
              <w:left w:w="108" w:type="dxa"/>
              <w:bottom w:w="57" w:type="dxa"/>
              <w:right w:w="108" w:type="dxa"/>
            </w:tcMar>
          </w:tcPr>
          <w:p w14:paraId="1770DE55" w14:textId="664DC088" w:rsidR="00D17EF7" w:rsidRPr="00F03917" w:rsidRDefault="00D17EF7" w:rsidP="00D17EF7">
            <w:pPr>
              <w:pStyle w:val="Glossary"/>
            </w:pPr>
            <w:r w:rsidRPr="00F03917">
              <w:t>NIWA</w:t>
            </w:r>
          </w:p>
        </w:tc>
        <w:tc>
          <w:tcPr>
            <w:tcW w:w="6237" w:type="dxa"/>
            <w:tcMar>
              <w:top w:w="57" w:type="dxa"/>
              <w:left w:w="108" w:type="dxa"/>
              <w:bottom w:w="57" w:type="dxa"/>
              <w:right w:w="108" w:type="dxa"/>
            </w:tcMar>
          </w:tcPr>
          <w:p w14:paraId="22A558DB" w14:textId="247BD9BF" w:rsidR="00D17EF7" w:rsidRPr="00F03917" w:rsidRDefault="00D17EF7" w:rsidP="00D17EF7">
            <w:pPr>
              <w:pStyle w:val="Glossary"/>
            </w:pPr>
            <w:r w:rsidRPr="00F03917">
              <w:t>National Institute of Water and Atmospheric Research.</w:t>
            </w:r>
          </w:p>
        </w:tc>
      </w:tr>
      <w:tr w:rsidR="00D17EF7" w:rsidRPr="00F03917" w14:paraId="1993DE15" w14:textId="77777777" w:rsidTr="00496CF4">
        <w:trPr>
          <w:gridAfter w:val="1"/>
          <w:wAfter w:w="142" w:type="dxa"/>
          <w:trHeight w:val="300"/>
        </w:trPr>
        <w:tc>
          <w:tcPr>
            <w:tcW w:w="2268" w:type="dxa"/>
            <w:tcMar>
              <w:top w:w="57" w:type="dxa"/>
              <w:left w:w="108" w:type="dxa"/>
              <w:bottom w:w="57" w:type="dxa"/>
              <w:right w:w="108" w:type="dxa"/>
            </w:tcMar>
          </w:tcPr>
          <w:p w14:paraId="4F904A4C" w14:textId="11554618" w:rsidR="00D17EF7" w:rsidRPr="00F03917" w:rsidRDefault="00D17EF7" w:rsidP="00D17EF7">
            <w:pPr>
              <w:pStyle w:val="Glossary"/>
            </w:pPr>
            <w:r w:rsidRPr="00F03917">
              <w:t>NPS</w:t>
            </w:r>
          </w:p>
        </w:tc>
        <w:tc>
          <w:tcPr>
            <w:tcW w:w="6237" w:type="dxa"/>
            <w:tcMar>
              <w:top w:w="57" w:type="dxa"/>
              <w:left w:w="108" w:type="dxa"/>
              <w:bottom w:w="57" w:type="dxa"/>
              <w:right w:w="108" w:type="dxa"/>
            </w:tcMar>
          </w:tcPr>
          <w:p w14:paraId="227C5BC2" w14:textId="457A6AAF" w:rsidR="00D17EF7" w:rsidRPr="00F03917" w:rsidRDefault="00D17EF7" w:rsidP="00D17EF7">
            <w:pPr>
              <w:pStyle w:val="Glossary"/>
            </w:pPr>
            <w:r w:rsidRPr="00F03917">
              <w:t>National policy statement (see Resource Management Act 1991, sections 45–55).</w:t>
            </w:r>
          </w:p>
        </w:tc>
      </w:tr>
      <w:tr w:rsidR="00D17EF7" w:rsidRPr="00F03917" w14:paraId="55AB369C" w14:textId="77777777" w:rsidTr="00496CF4">
        <w:trPr>
          <w:gridAfter w:val="1"/>
          <w:wAfter w:w="142" w:type="dxa"/>
          <w:trHeight w:val="300"/>
        </w:trPr>
        <w:tc>
          <w:tcPr>
            <w:tcW w:w="2268" w:type="dxa"/>
            <w:tcMar>
              <w:top w:w="57" w:type="dxa"/>
              <w:left w:w="108" w:type="dxa"/>
              <w:bottom w:w="57" w:type="dxa"/>
              <w:right w:w="108" w:type="dxa"/>
            </w:tcMar>
          </w:tcPr>
          <w:p w14:paraId="4094867E" w14:textId="793FA504" w:rsidR="00D17EF7" w:rsidRPr="00F03917" w:rsidRDefault="00D17EF7" w:rsidP="00D17EF7">
            <w:pPr>
              <w:pStyle w:val="Glossary"/>
            </w:pPr>
            <w:r w:rsidRPr="00F03917">
              <w:t>NZCPS</w:t>
            </w:r>
          </w:p>
        </w:tc>
        <w:tc>
          <w:tcPr>
            <w:tcW w:w="6237" w:type="dxa"/>
            <w:tcMar>
              <w:top w:w="57" w:type="dxa"/>
              <w:left w:w="108" w:type="dxa"/>
              <w:bottom w:w="57" w:type="dxa"/>
              <w:right w:w="108" w:type="dxa"/>
            </w:tcMar>
          </w:tcPr>
          <w:p w14:paraId="291E2B7B" w14:textId="1BD98D4F" w:rsidR="00D17EF7" w:rsidRPr="00F03917" w:rsidRDefault="00D17EF7" w:rsidP="00D17EF7">
            <w:pPr>
              <w:pStyle w:val="Glossary"/>
            </w:pPr>
            <w:r w:rsidRPr="00F03917">
              <w:t>New Zealand Coastal Policy Statement 2010</w:t>
            </w:r>
            <w:r w:rsidR="00E54F19" w:rsidRPr="00F03917">
              <w:t xml:space="preserve"> (DOC, 2010)</w:t>
            </w:r>
            <w:r w:rsidRPr="00F03917">
              <w:t>. A mandatory national policy statement under the Resource Management Act 1991. Administered by the Department of Conservation.</w:t>
            </w:r>
          </w:p>
        </w:tc>
      </w:tr>
      <w:tr w:rsidR="00D17EF7" w:rsidRPr="00F03917" w14:paraId="415F0E1B" w14:textId="77777777" w:rsidTr="00496CF4">
        <w:trPr>
          <w:gridAfter w:val="1"/>
          <w:wAfter w:w="142" w:type="dxa"/>
          <w:trHeight w:val="300"/>
        </w:trPr>
        <w:tc>
          <w:tcPr>
            <w:tcW w:w="2268" w:type="dxa"/>
            <w:tcMar>
              <w:top w:w="57" w:type="dxa"/>
              <w:left w:w="108" w:type="dxa"/>
              <w:bottom w:w="57" w:type="dxa"/>
              <w:right w:w="108" w:type="dxa"/>
            </w:tcMar>
          </w:tcPr>
          <w:p w14:paraId="2CDD542F" w14:textId="74D49871" w:rsidR="00D17EF7" w:rsidRPr="00F03917" w:rsidRDefault="00D17EF7" w:rsidP="00D17EF7">
            <w:pPr>
              <w:pStyle w:val="Glossary"/>
            </w:pPr>
            <w:r w:rsidRPr="00F03917">
              <w:t>Path dependency</w:t>
            </w:r>
          </w:p>
        </w:tc>
        <w:tc>
          <w:tcPr>
            <w:tcW w:w="6237" w:type="dxa"/>
            <w:tcMar>
              <w:top w:w="57" w:type="dxa"/>
              <w:left w:w="108" w:type="dxa"/>
              <w:bottom w:w="57" w:type="dxa"/>
              <w:right w:w="108" w:type="dxa"/>
            </w:tcMar>
          </w:tcPr>
          <w:p w14:paraId="7816A316" w14:textId="4DCE16BF" w:rsidR="00D17EF7" w:rsidRPr="00F03917" w:rsidRDefault="00D17EF7" w:rsidP="00D17EF7">
            <w:pPr>
              <w:pStyle w:val="Glossary"/>
            </w:pPr>
            <w:r w:rsidRPr="00F03917">
              <w:t>Situation where decisions, events or outcomes at one point in time constrain adaptation, mitigation or other actions or options at a later point in time (IPCC, 2014b, annex II).</w:t>
            </w:r>
          </w:p>
        </w:tc>
      </w:tr>
      <w:tr w:rsidR="00D17EF7" w:rsidRPr="00F03917" w14:paraId="04406622" w14:textId="77777777" w:rsidTr="00496CF4">
        <w:trPr>
          <w:gridAfter w:val="1"/>
          <w:wAfter w:w="142" w:type="dxa"/>
          <w:trHeight w:val="300"/>
        </w:trPr>
        <w:tc>
          <w:tcPr>
            <w:tcW w:w="2268" w:type="dxa"/>
            <w:tcMar>
              <w:top w:w="57" w:type="dxa"/>
              <w:left w:w="108" w:type="dxa"/>
              <w:bottom w:w="57" w:type="dxa"/>
              <w:right w:w="108" w:type="dxa"/>
            </w:tcMar>
          </w:tcPr>
          <w:p w14:paraId="1571CFB8" w14:textId="60F6E728" w:rsidR="00D17EF7" w:rsidRPr="00F03917" w:rsidRDefault="00D17EF7" w:rsidP="00D17EF7">
            <w:pPr>
              <w:pStyle w:val="Glossary"/>
            </w:pPr>
            <w:r w:rsidRPr="00F03917">
              <w:t>Parliamentary Commissioner for the Environment</w:t>
            </w:r>
          </w:p>
        </w:tc>
        <w:tc>
          <w:tcPr>
            <w:tcW w:w="6237" w:type="dxa"/>
            <w:tcMar>
              <w:top w:w="57" w:type="dxa"/>
              <w:left w:w="108" w:type="dxa"/>
              <w:bottom w:w="57" w:type="dxa"/>
              <w:right w:w="108" w:type="dxa"/>
            </w:tcMar>
          </w:tcPr>
          <w:p w14:paraId="1EC7316A" w14:textId="15437845" w:rsidR="00D17EF7" w:rsidRPr="00F03917" w:rsidRDefault="00D17EF7" w:rsidP="00D17EF7">
            <w:pPr>
              <w:pStyle w:val="Glossary"/>
            </w:pPr>
            <w:r w:rsidRPr="00F03917">
              <w:t>An independent advis</w:t>
            </w:r>
            <w:r w:rsidR="00521FBA" w:rsidRPr="00F03917">
              <w:t>o</w:t>
            </w:r>
            <w:r w:rsidRPr="00F03917">
              <w:t>r to the Government on environmental issues. The Commissioner investigates emerging environmental issues and concerns from the public.</w:t>
            </w:r>
          </w:p>
        </w:tc>
      </w:tr>
      <w:tr w:rsidR="00D17EF7" w:rsidRPr="00F03917" w14:paraId="74A1FF63" w14:textId="77777777" w:rsidTr="00496CF4">
        <w:trPr>
          <w:gridAfter w:val="1"/>
          <w:wAfter w:w="142" w:type="dxa"/>
          <w:trHeight w:val="300"/>
        </w:trPr>
        <w:tc>
          <w:tcPr>
            <w:tcW w:w="2268" w:type="dxa"/>
            <w:tcMar>
              <w:top w:w="57" w:type="dxa"/>
              <w:left w:w="108" w:type="dxa"/>
              <w:bottom w:w="57" w:type="dxa"/>
              <w:right w:w="108" w:type="dxa"/>
            </w:tcMar>
          </w:tcPr>
          <w:p w14:paraId="61C33AB2" w14:textId="0B6F897D" w:rsidR="00D17EF7" w:rsidRPr="00F03917" w:rsidRDefault="00D17EF7" w:rsidP="00D17EF7">
            <w:pPr>
              <w:pStyle w:val="Glossary"/>
            </w:pPr>
            <w:r w:rsidRPr="00F03917">
              <w:lastRenderedPageBreak/>
              <w:t>Percentile</w:t>
            </w:r>
          </w:p>
        </w:tc>
        <w:tc>
          <w:tcPr>
            <w:tcW w:w="6237" w:type="dxa"/>
            <w:tcMar>
              <w:top w:w="57" w:type="dxa"/>
              <w:left w:w="108" w:type="dxa"/>
              <w:bottom w:w="57" w:type="dxa"/>
              <w:right w:w="108" w:type="dxa"/>
            </w:tcMar>
          </w:tcPr>
          <w:p w14:paraId="640EA836" w14:textId="095FF191" w:rsidR="00D17EF7" w:rsidRPr="00F03917" w:rsidRDefault="00D17EF7" w:rsidP="00D17EF7">
            <w:pPr>
              <w:pStyle w:val="Glossary"/>
            </w:pPr>
            <w:r w:rsidRPr="00F03917">
              <w:t xml:space="preserve">A measure used in statistics indicating the value below which a given percentage of occurrences in a group of observations or projections fall. The 50th percentile is the median. Used to measure the spread </w:t>
            </w:r>
            <w:r w:rsidRPr="00F03917">
              <w:rPr>
                <w:spacing w:val="-2"/>
              </w:rPr>
              <w:t>of numerous sea-level rise projection simulations from various models</w:t>
            </w:r>
            <w:r w:rsidRPr="00F03917">
              <w:t xml:space="preserve"> and</w:t>
            </w:r>
            <w:r w:rsidR="00496CF4" w:rsidRPr="00F03917">
              <w:t> </w:t>
            </w:r>
            <w:r w:rsidRPr="00F03917">
              <w:t>inputs for a particular combined Shared Socio-economic and Representative Concentration Pathway. Graphs and datasets of IPCC and NZ</w:t>
            </w:r>
            <w:r w:rsidR="00496CF4" w:rsidRPr="00F03917">
              <w:t> </w:t>
            </w:r>
            <w:r w:rsidRPr="00F03917">
              <w:t xml:space="preserve">SeaRise projections typically show the median or </w:t>
            </w:r>
            <w:r w:rsidRPr="00F03917">
              <w:rPr>
                <w:i/>
              </w:rPr>
              <w:t>p50</w:t>
            </w:r>
            <w:r w:rsidRPr="00F03917">
              <w:t xml:space="preserve"> (line) and</w:t>
            </w:r>
            <w:r w:rsidR="00496CF4" w:rsidRPr="00F03917">
              <w:t> </w:t>
            </w:r>
            <w:r w:rsidRPr="00F03917">
              <w:t xml:space="preserve">a shaded </w:t>
            </w:r>
            <w:r w:rsidRPr="00F03917">
              <w:rPr>
                <w:i/>
              </w:rPr>
              <w:t>likely range</w:t>
            </w:r>
            <w:r w:rsidRPr="00F03917">
              <w:t>, which covers the spread of projections between the 17th percentile (</w:t>
            </w:r>
            <w:r w:rsidRPr="00F03917">
              <w:rPr>
                <w:i/>
              </w:rPr>
              <w:t>p17</w:t>
            </w:r>
            <w:r w:rsidRPr="00F03917">
              <w:t>) and the 83rd percentile (</w:t>
            </w:r>
            <w:r w:rsidRPr="00F03917">
              <w:rPr>
                <w:i/>
              </w:rPr>
              <w:t>p83</w:t>
            </w:r>
            <w:r w:rsidRPr="00F03917">
              <w:t>). 33 per cent of projections are outside the likely range.</w:t>
            </w:r>
          </w:p>
        </w:tc>
      </w:tr>
      <w:tr w:rsidR="00D17EF7" w:rsidRPr="00F03917" w14:paraId="62B97424" w14:textId="77777777" w:rsidTr="00496CF4">
        <w:trPr>
          <w:gridAfter w:val="1"/>
          <w:wAfter w:w="142" w:type="dxa"/>
          <w:trHeight w:val="300"/>
        </w:trPr>
        <w:tc>
          <w:tcPr>
            <w:tcW w:w="2268" w:type="dxa"/>
            <w:tcMar>
              <w:top w:w="57" w:type="dxa"/>
              <w:left w:w="108" w:type="dxa"/>
              <w:bottom w:w="57" w:type="dxa"/>
              <w:right w:w="108" w:type="dxa"/>
            </w:tcMar>
          </w:tcPr>
          <w:p w14:paraId="3872E228" w14:textId="0975FD52" w:rsidR="00D17EF7" w:rsidRPr="00F03917" w:rsidRDefault="00D17EF7" w:rsidP="00D17EF7">
            <w:pPr>
              <w:pStyle w:val="Glossary"/>
            </w:pPr>
            <w:r w:rsidRPr="00F03917">
              <w:t>Perigean spring tide</w:t>
            </w:r>
          </w:p>
        </w:tc>
        <w:tc>
          <w:tcPr>
            <w:tcW w:w="6237" w:type="dxa"/>
            <w:tcMar>
              <w:top w:w="57" w:type="dxa"/>
              <w:left w:w="108" w:type="dxa"/>
              <w:bottom w:w="57" w:type="dxa"/>
              <w:right w:w="108" w:type="dxa"/>
            </w:tcMar>
          </w:tcPr>
          <w:p w14:paraId="1BC3F1BA" w14:textId="338C4009" w:rsidR="00D17EF7" w:rsidRPr="00F03917" w:rsidRDefault="00D17EF7" w:rsidP="00D17EF7">
            <w:pPr>
              <w:pStyle w:val="Glossary"/>
            </w:pPr>
            <w:r w:rsidRPr="00F03917">
              <w:t>A tide that peaks in clusters about every seven months when the moon’s perigee (its closest point to Earth during its 28-day elliptical orbit) coincides with a spring tide (when the Earth, sun and moon are nearly aligned every two weeks).</w:t>
            </w:r>
          </w:p>
        </w:tc>
      </w:tr>
      <w:tr w:rsidR="00B3589B" w:rsidRPr="00F03917" w14:paraId="1B040020" w14:textId="77777777" w:rsidTr="00496CF4">
        <w:trPr>
          <w:gridAfter w:val="1"/>
          <w:wAfter w:w="142" w:type="dxa"/>
          <w:trHeight w:val="300"/>
        </w:trPr>
        <w:tc>
          <w:tcPr>
            <w:tcW w:w="2268" w:type="dxa"/>
            <w:tcMar>
              <w:top w:w="57" w:type="dxa"/>
              <w:left w:w="108" w:type="dxa"/>
              <w:bottom w:w="57" w:type="dxa"/>
              <w:right w:w="108" w:type="dxa"/>
            </w:tcMar>
          </w:tcPr>
          <w:p w14:paraId="014A2D6D" w14:textId="77777777" w:rsidR="00B3589B" w:rsidRPr="00F03917" w:rsidRDefault="00B3589B">
            <w:pPr>
              <w:pStyle w:val="Glossary"/>
            </w:pPr>
            <w:r w:rsidRPr="00F03917">
              <w:t>Probability</w:t>
            </w:r>
          </w:p>
        </w:tc>
        <w:tc>
          <w:tcPr>
            <w:tcW w:w="6237" w:type="dxa"/>
            <w:tcMar>
              <w:top w:w="57" w:type="dxa"/>
              <w:left w:w="108" w:type="dxa"/>
              <w:bottom w:w="57" w:type="dxa"/>
              <w:right w:w="108" w:type="dxa"/>
            </w:tcMar>
          </w:tcPr>
          <w:p w14:paraId="15BD521E" w14:textId="77777777" w:rsidR="00B3589B" w:rsidRPr="00F03917" w:rsidRDefault="00B3589B">
            <w:pPr>
              <w:pStyle w:val="Glossary"/>
            </w:pPr>
            <w:r w:rsidRPr="00F03917">
              <w:t>Chance or likelihood that an event will happen, or hazard magnitude be exceeded.</w:t>
            </w:r>
          </w:p>
        </w:tc>
      </w:tr>
      <w:tr w:rsidR="00D17EF7" w:rsidRPr="00F03917" w14:paraId="770DBAC2" w14:textId="77777777" w:rsidTr="00496CF4">
        <w:trPr>
          <w:gridAfter w:val="1"/>
          <w:wAfter w:w="142" w:type="dxa"/>
          <w:trHeight w:val="300"/>
        </w:trPr>
        <w:tc>
          <w:tcPr>
            <w:tcW w:w="2268" w:type="dxa"/>
            <w:tcMar>
              <w:top w:w="57" w:type="dxa"/>
              <w:left w:w="108" w:type="dxa"/>
              <w:bottom w:w="57" w:type="dxa"/>
              <w:right w:w="108" w:type="dxa"/>
            </w:tcMar>
          </w:tcPr>
          <w:p w14:paraId="2AB63FA3" w14:textId="2F6D0FCD" w:rsidR="00D17EF7" w:rsidRPr="00F03917" w:rsidRDefault="00D17EF7" w:rsidP="00D17EF7">
            <w:pPr>
              <w:pStyle w:val="Glossary"/>
            </w:pPr>
            <w:r w:rsidRPr="00F03917">
              <w:t>Project information memorandum (PIM)</w:t>
            </w:r>
          </w:p>
        </w:tc>
        <w:tc>
          <w:tcPr>
            <w:tcW w:w="6237" w:type="dxa"/>
            <w:tcMar>
              <w:top w:w="57" w:type="dxa"/>
              <w:left w:w="108" w:type="dxa"/>
              <w:bottom w:w="57" w:type="dxa"/>
              <w:right w:w="108" w:type="dxa"/>
            </w:tcMar>
          </w:tcPr>
          <w:p w14:paraId="40DEF5A9" w14:textId="5D709297" w:rsidR="00D17EF7" w:rsidRPr="00F03917" w:rsidRDefault="00D17EF7" w:rsidP="00D17EF7">
            <w:pPr>
              <w:pStyle w:val="Glossary"/>
            </w:pPr>
            <w:r w:rsidRPr="00F03917">
              <w:t>A report issued by a council on request under section 31 of the Building Act 2004 in relation to a building project.</w:t>
            </w:r>
          </w:p>
        </w:tc>
      </w:tr>
      <w:tr w:rsidR="00D17EF7" w:rsidRPr="00F03917" w14:paraId="36380805" w14:textId="77777777" w:rsidTr="00496CF4">
        <w:trPr>
          <w:gridAfter w:val="1"/>
          <w:wAfter w:w="142" w:type="dxa"/>
          <w:trHeight w:val="300"/>
        </w:trPr>
        <w:tc>
          <w:tcPr>
            <w:tcW w:w="2268" w:type="dxa"/>
            <w:tcMar>
              <w:top w:w="57" w:type="dxa"/>
              <w:left w:w="108" w:type="dxa"/>
              <w:bottom w:w="57" w:type="dxa"/>
              <w:right w:w="108" w:type="dxa"/>
            </w:tcMar>
          </w:tcPr>
          <w:p w14:paraId="504BCEBC" w14:textId="73A3636E" w:rsidR="00D17EF7" w:rsidRPr="00F03917" w:rsidRDefault="00D17EF7" w:rsidP="00D17EF7">
            <w:pPr>
              <w:pStyle w:val="Glossary"/>
            </w:pPr>
            <w:r w:rsidRPr="00F03917">
              <w:t>Projection</w:t>
            </w:r>
          </w:p>
        </w:tc>
        <w:tc>
          <w:tcPr>
            <w:tcW w:w="6237" w:type="dxa"/>
            <w:tcMar>
              <w:top w:w="57" w:type="dxa"/>
              <w:left w:w="108" w:type="dxa"/>
              <w:bottom w:w="57" w:type="dxa"/>
              <w:right w:w="108" w:type="dxa"/>
            </w:tcMar>
          </w:tcPr>
          <w:p w14:paraId="276DA580" w14:textId="47734EF2" w:rsidR="00D17EF7" w:rsidRPr="00F03917" w:rsidRDefault="00D17EF7" w:rsidP="00D17EF7">
            <w:pPr>
              <w:pStyle w:val="Glossary"/>
            </w:pPr>
            <w:r w:rsidRPr="00F03917">
              <w:t>Used in two senses in the climate change literature. In general usage, it is any description of the future and the pathway leading to it (ie, not a ‘prediction’). The IPCC has attached a more specific interpretation to the term ‘climate projection’ or ‘sea-level rise projection’ when referring to model-derived estimates of future climate.</w:t>
            </w:r>
          </w:p>
        </w:tc>
      </w:tr>
      <w:tr w:rsidR="00D17EF7" w:rsidRPr="00F03917" w14:paraId="1BCB42FB" w14:textId="77777777" w:rsidTr="00496CF4">
        <w:trPr>
          <w:gridAfter w:val="1"/>
          <w:wAfter w:w="142" w:type="dxa"/>
          <w:trHeight w:val="300"/>
        </w:trPr>
        <w:tc>
          <w:tcPr>
            <w:tcW w:w="2268" w:type="dxa"/>
            <w:tcMar>
              <w:top w:w="57" w:type="dxa"/>
              <w:left w:w="108" w:type="dxa"/>
              <w:bottom w:w="57" w:type="dxa"/>
              <w:right w:w="108" w:type="dxa"/>
            </w:tcMar>
          </w:tcPr>
          <w:p w14:paraId="5B59CC1E" w14:textId="14D66117" w:rsidR="00D17EF7" w:rsidRPr="00F03917" w:rsidRDefault="00D17EF7" w:rsidP="00D17EF7">
            <w:pPr>
              <w:pStyle w:val="Glossary"/>
            </w:pPr>
            <w:r w:rsidRPr="00F03917">
              <w:t>Real options analysis</w:t>
            </w:r>
          </w:p>
        </w:tc>
        <w:tc>
          <w:tcPr>
            <w:tcW w:w="6237" w:type="dxa"/>
            <w:tcMar>
              <w:top w:w="57" w:type="dxa"/>
              <w:left w:w="108" w:type="dxa"/>
              <w:bottom w:w="57" w:type="dxa"/>
              <w:right w:w="108" w:type="dxa"/>
            </w:tcMar>
          </w:tcPr>
          <w:p w14:paraId="7E31FEC8" w14:textId="63E439C5" w:rsidR="00D17EF7" w:rsidRPr="00F03917" w:rsidRDefault="00D17EF7" w:rsidP="00D17EF7">
            <w:pPr>
              <w:pStyle w:val="Glossary"/>
            </w:pPr>
            <w:r w:rsidRPr="00F03917">
              <w:t>Allows economic analysis of future option value and economic benefit of deferring investment.</w:t>
            </w:r>
          </w:p>
        </w:tc>
      </w:tr>
      <w:tr w:rsidR="00D17EF7" w:rsidRPr="00F03917" w14:paraId="5ED2002B" w14:textId="77777777" w:rsidTr="00496CF4">
        <w:trPr>
          <w:gridAfter w:val="1"/>
          <w:wAfter w:w="142" w:type="dxa"/>
          <w:trHeight w:val="300"/>
        </w:trPr>
        <w:tc>
          <w:tcPr>
            <w:tcW w:w="2268" w:type="dxa"/>
            <w:tcMar>
              <w:top w:w="57" w:type="dxa"/>
              <w:left w:w="108" w:type="dxa"/>
              <w:bottom w:w="57" w:type="dxa"/>
              <w:right w:w="108" w:type="dxa"/>
            </w:tcMar>
          </w:tcPr>
          <w:p w14:paraId="0C06E9C7" w14:textId="441E895B" w:rsidR="00D17EF7" w:rsidRPr="00F03917" w:rsidRDefault="00D17EF7" w:rsidP="00D17EF7">
            <w:pPr>
              <w:pStyle w:val="Glossary"/>
            </w:pPr>
            <w:r w:rsidRPr="00F03917">
              <w:t>Regional council</w:t>
            </w:r>
          </w:p>
        </w:tc>
        <w:tc>
          <w:tcPr>
            <w:tcW w:w="6237" w:type="dxa"/>
            <w:tcMar>
              <w:top w:w="57" w:type="dxa"/>
              <w:left w:w="108" w:type="dxa"/>
              <w:bottom w:w="57" w:type="dxa"/>
              <w:right w:w="108" w:type="dxa"/>
            </w:tcMar>
          </w:tcPr>
          <w:p w14:paraId="5D73552F" w14:textId="16F0E3A9" w:rsidR="00D17EF7" w:rsidRPr="00F03917" w:rsidRDefault="00D17EF7" w:rsidP="00D17EF7">
            <w:pPr>
              <w:pStyle w:val="Glossary"/>
            </w:pPr>
            <w:r w:rsidRPr="00F03917">
              <w:t>Councils that primarily manage resources like the air, water, soils and the coastal marine area, along with natural hazards, civil defence, regional land transport and harbour navigation and safety. Aotearoa New Zealand has 11 regional councils. Refer to section 30 of the RMA.</w:t>
            </w:r>
          </w:p>
        </w:tc>
      </w:tr>
      <w:tr w:rsidR="00D17EF7" w:rsidRPr="00F03917" w14:paraId="5A4C6C3E" w14:textId="77777777" w:rsidTr="00496CF4">
        <w:trPr>
          <w:gridAfter w:val="1"/>
          <w:wAfter w:w="142" w:type="dxa"/>
          <w:trHeight w:val="300"/>
        </w:trPr>
        <w:tc>
          <w:tcPr>
            <w:tcW w:w="2268" w:type="dxa"/>
            <w:tcMar>
              <w:top w:w="57" w:type="dxa"/>
              <w:left w:w="108" w:type="dxa"/>
              <w:bottom w:w="57" w:type="dxa"/>
              <w:right w:w="108" w:type="dxa"/>
            </w:tcMar>
          </w:tcPr>
          <w:p w14:paraId="26E1BE8D" w14:textId="7D676F20" w:rsidR="00D17EF7" w:rsidRPr="00F03917" w:rsidRDefault="00D17EF7" w:rsidP="00D17EF7">
            <w:pPr>
              <w:pStyle w:val="Glossary"/>
            </w:pPr>
            <w:r w:rsidRPr="00F03917">
              <w:t>Regional plan</w:t>
            </w:r>
          </w:p>
        </w:tc>
        <w:tc>
          <w:tcPr>
            <w:tcW w:w="6237" w:type="dxa"/>
            <w:tcMar>
              <w:top w:w="57" w:type="dxa"/>
              <w:left w:w="108" w:type="dxa"/>
              <w:bottom w:w="57" w:type="dxa"/>
              <w:right w:w="108" w:type="dxa"/>
            </w:tcMar>
          </w:tcPr>
          <w:p w14:paraId="07935D71" w14:textId="1E832DB6" w:rsidR="00D17EF7" w:rsidRPr="00F03917" w:rsidRDefault="00D17EF7" w:rsidP="00D17EF7">
            <w:pPr>
              <w:pStyle w:val="Glossary"/>
            </w:pPr>
            <w:r w:rsidRPr="00F03917">
              <w:t>A plan that can be prepared by regional councils to help manage the resources they are responsible for. All persons and bodies have to adhere to the plan.</w:t>
            </w:r>
          </w:p>
        </w:tc>
      </w:tr>
      <w:tr w:rsidR="00D17EF7" w:rsidRPr="00F03917" w14:paraId="404D308A" w14:textId="77777777" w:rsidTr="00496CF4">
        <w:trPr>
          <w:gridAfter w:val="1"/>
          <w:wAfter w:w="142" w:type="dxa"/>
          <w:trHeight w:val="300"/>
        </w:trPr>
        <w:tc>
          <w:tcPr>
            <w:tcW w:w="2268" w:type="dxa"/>
            <w:tcMar>
              <w:top w:w="57" w:type="dxa"/>
              <w:left w:w="108" w:type="dxa"/>
              <w:bottom w:w="57" w:type="dxa"/>
              <w:right w:w="108" w:type="dxa"/>
            </w:tcMar>
          </w:tcPr>
          <w:p w14:paraId="226B0ED9" w14:textId="3A262367" w:rsidR="00D17EF7" w:rsidRPr="00F03917" w:rsidRDefault="00D17EF7" w:rsidP="00D17EF7">
            <w:pPr>
              <w:pStyle w:val="Glossary"/>
            </w:pPr>
            <w:r w:rsidRPr="00F03917">
              <w:t>Regional policy statement (RPS)</w:t>
            </w:r>
          </w:p>
        </w:tc>
        <w:tc>
          <w:tcPr>
            <w:tcW w:w="6237" w:type="dxa"/>
            <w:tcMar>
              <w:top w:w="57" w:type="dxa"/>
              <w:left w:w="108" w:type="dxa"/>
              <w:bottom w:w="57" w:type="dxa"/>
              <w:right w:w="108" w:type="dxa"/>
            </w:tcMar>
          </w:tcPr>
          <w:p w14:paraId="7D4136ED" w14:textId="4127BA95" w:rsidR="00D17EF7" w:rsidRPr="00F03917" w:rsidRDefault="00D17EF7" w:rsidP="00D17EF7">
            <w:pPr>
              <w:pStyle w:val="Glossary"/>
            </w:pPr>
            <w:r w:rsidRPr="00F03917">
              <w:t>Must be prepared by all regional councils and help set the direction for the coordinated management of all resources across the region.</w:t>
            </w:r>
          </w:p>
        </w:tc>
      </w:tr>
      <w:tr w:rsidR="00A823DF" w:rsidRPr="00F03917" w14:paraId="014DF8AA" w14:textId="77777777" w:rsidTr="00496CF4">
        <w:trPr>
          <w:gridAfter w:val="1"/>
          <w:wAfter w:w="142" w:type="dxa"/>
          <w:trHeight w:val="300"/>
        </w:trPr>
        <w:tc>
          <w:tcPr>
            <w:tcW w:w="2268" w:type="dxa"/>
            <w:tcMar>
              <w:top w:w="57" w:type="dxa"/>
              <w:left w:w="108" w:type="dxa"/>
              <w:bottom w:w="57" w:type="dxa"/>
              <w:right w:w="108" w:type="dxa"/>
            </w:tcMar>
          </w:tcPr>
          <w:p w14:paraId="1DD4CDD1" w14:textId="77777777" w:rsidR="00A823DF" w:rsidRPr="00F03917" w:rsidRDefault="00A823DF">
            <w:pPr>
              <w:pStyle w:val="Glossary"/>
            </w:pPr>
            <w:r w:rsidRPr="00F03917">
              <w:t>Relative sea-level rise (RSLR)</w:t>
            </w:r>
          </w:p>
        </w:tc>
        <w:tc>
          <w:tcPr>
            <w:tcW w:w="6237" w:type="dxa"/>
            <w:tcMar>
              <w:top w:w="57" w:type="dxa"/>
              <w:left w:w="108" w:type="dxa"/>
              <w:bottom w:w="57" w:type="dxa"/>
              <w:right w:w="108" w:type="dxa"/>
            </w:tcMar>
          </w:tcPr>
          <w:p w14:paraId="07E8994E" w14:textId="77777777" w:rsidR="00A823DF" w:rsidRPr="00F03917" w:rsidRDefault="00A823DF">
            <w:pPr>
              <w:pStyle w:val="Glossary"/>
            </w:pPr>
            <w:r w:rsidRPr="00F03917">
              <w:t>Sea-level rise experienced locally relative to the land mass. RSLR includes the rate of vertical land movement (VLM) for either subsidence or uplift.</w:t>
            </w:r>
          </w:p>
        </w:tc>
      </w:tr>
      <w:tr w:rsidR="00B3589B" w:rsidRPr="00F03917" w14:paraId="684253E6" w14:textId="77777777" w:rsidTr="00496CF4">
        <w:trPr>
          <w:gridAfter w:val="1"/>
          <w:wAfter w:w="142" w:type="dxa"/>
          <w:trHeight w:val="300"/>
        </w:trPr>
        <w:tc>
          <w:tcPr>
            <w:tcW w:w="2268" w:type="dxa"/>
            <w:tcMar>
              <w:top w:w="57" w:type="dxa"/>
              <w:left w:w="108" w:type="dxa"/>
              <w:bottom w:w="57" w:type="dxa"/>
              <w:right w:w="108" w:type="dxa"/>
            </w:tcMar>
          </w:tcPr>
          <w:p w14:paraId="03779CA4" w14:textId="77777777" w:rsidR="00B3589B" w:rsidRPr="00F03917" w:rsidRDefault="00B3589B">
            <w:pPr>
              <w:pStyle w:val="Glossary"/>
            </w:pPr>
            <w:r w:rsidRPr="00F03917">
              <w:t>Representative concentration pathway (RCP)</w:t>
            </w:r>
          </w:p>
        </w:tc>
        <w:tc>
          <w:tcPr>
            <w:tcW w:w="6237" w:type="dxa"/>
            <w:tcMar>
              <w:top w:w="57" w:type="dxa"/>
              <w:left w:w="108" w:type="dxa"/>
              <w:bottom w:w="57" w:type="dxa"/>
              <w:right w:w="108" w:type="dxa"/>
            </w:tcMar>
          </w:tcPr>
          <w:p w14:paraId="1EC0DF46" w14:textId="77777777" w:rsidR="00B3589B" w:rsidRPr="00F03917" w:rsidRDefault="00B3589B">
            <w:pPr>
              <w:pStyle w:val="Glossary"/>
            </w:pPr>
            <w:r w:rsidRPr="00F03917">
              <w:t>Scenario of future radiative forcings from greenhouse gases.</w:t>
            </w:r>
          </w:p>
        </w:tc>
      </w:tr>
      <w:tr w:rsidR="00D17EF7" w:rsidRPr="00F03917" w14:paraId="6FAD6CEB" w14:textId="77777777" w:rsidTr="00496CF4">
        <w:trPr>
          <w:gridAfter w:val="1"/>
          <w:wAfter w:w="142" w:type="dxa"/>
          <w:trHeight w:val="300"/>
        </w:trPr>
        <w:tc>
          <w:tcPr>
            <w:tcW w:w="2268" w:type="dxa"/>
            <w:tcMar>
              <w:top w:w="57" w:type="dxa"/>
              <w:left w:w="108" w:type="dxa"/>
              <w:bottom w:w="57" w:type="dxa"/>
              <w:right w:w="108" w:type="dxa"/>
            </w:tcMar>
          </w:tcPr>
          <w:p w14:paraId="533CAF28" w14:textId="33611441" w:rsidR="00D17EF7" w:rsidRPr="00F03917" w:rsidRDefault="00D17EF7" w:rsidP="00D17EF7">
            <w:pPr>
              <w:pStyle w:val="Glossary"/>
            </w:pPr>
            <w:r w:rsidRPr="00F03917">
              <w:lastRenderedPageBreak/>
              <w:t>Residual risk</w:t>
            </w:r>
          </w:p>
        </w:tc>
        <w:tc>
          <w:tcPr>
            <w:tcW w:w="6237" w:type="dxa"/>
            <w:tcMar>
              <w:top w:w="57" w:type="dxa"/>
              <w:left w:w="108" w:type="dxa"/>
              <w:bottom w:w="57" w:type="dxa"/>
              <w:right w:w="108" w:type="dxa"/>
            </w:tcMar>
          </w:tcPr>
          <w:p w14:paraId="34B957BE" w14:textId="6C595B1B" w:rsidR="00D17EF7" w:rsidRPr="00F03917" w:rsidRDefault="00D17EF7" w:rsidP="00D17EF7">
            <w:pPr>
              <w:pStyle w:val="Glossary"/>
            </w:pPr>
            <w:r w:rsidRPr="00F03917">
              <w:t xml:space="preserve">The risk remaining after adaptation and risk reduction efforts (Oppenheimer et al, 2019). </w:t>
            </w:r>
          </w:p>
        </w:tc>
      </w:tr>
      <w:tr w:rsidR="00D17EF7" w:rsidRPr="00F03917" w14:paraId="31101133" w14:textId="77777777" w:rsidTr="00496CF4">
        <w:trPr>
          <w:gridAfter w:val="1"/>
          <w:wAfter w:w="142" w:type="dxa"/>
          <w:trHeight w:val="300"/>
        </w:trPr>
        <w:tc>
          <w:tcPr>
            <w:tcW w:w="2268" w:type="dxa"/>
            <w:tcMar>
              <w:top w:w="57" w:type="dxa"/>
              <w:left w:w="108" w:type="dxa"/>
              <w:bottom w:w="57" w:type="dxa"/>
              <w:right w:w="108" w:type="dxa"/>
            </w:tcMar>
          </w:tcPr>
          <w:p w14:paraId="03E2193E" w14:textId="4595C0A6" w:rsidR="00D17EF7" w:rsidRPr="00F03917" w:rsidRDefault="00D17EF7" w:rsidP="00D17EF7">
            <w:pPr>
              <w:pStyle w:val="Glossary"/>
            </w:pPr>
            <w:r w:rsidRPr="00F03917">
              <w:t>Risk</w:t>
            </w:r>
          </w:p>
        </w:tc>
        <w:tc>
          <w:tcPr>
            <w:tcW w:w="6237" w:type="dxa"/>
            <w:tcMar>
              <w:top w:w="57" w:type="dxa"/>
              <w:left w:w="108" w:type="dxa"/>
              <w:bottom w:w="57" w:type="dxa"/>
              <w:right w:w="108" w:type="dxa"/>
            </w:tcMar>
          </w:tcPr>
          <w:p w14:paraId="17B53873" w14:textId="0E84E5B1" w:rsidR="00D17EF7" w:rsidRPr="00F03917" w:rsidRDefault="00D17EF7" w:rsidP="00D17EF7">
            <w:pPr>
              <w:pStyle w:val="Glossary"/>
            </w:pPr>
            <w:r w:rsidRPr="00F03917">
              <w:t xml:space="preserve">Effect of uncertainty on objectives (AS/NZS ISO 31000:2009, Risk management standard and ISO 14091:2021, Adaptation to Climate Change: Guidelines on risk assessment). </w:t>
            </w:r>
          </w:p>
          <w:p w14:paraId="095F67A1" w14:textId="6A0A6C01" w:rsidR="00D17EF7" w:rsidRPr="00F03917" w:rsidRDefault="00D17EF7" w:rsidP="00D17EF7">
            <w:pPr>
              <w:pStyle w:val="Glossary"/>
            </w:pPr>
            <w:r w:rsidRPr="00F03917">
              <w:t>Climate risk is the potential for adverse consequences for human and ecological systems, recognising the diversity of values and objectives associated with such systems (Reisinger et al, 2020). ‘System’ is a set of inter</w:t>
            </w:r>
            <w:r w:rsidR="00E6277B" w:rsidRPr="00F03917">
              <w:t>-</w:t>
            </w:r>
            <w:r w:rsidRPr="00F03917">
              <w:t>related or interacting elements (ISO 14091; 2021). Through a te ao Māori lens, it is the implicit connectedness between te taiao (environment) and tangata (people) and related mātāpono or guiding principles.</w:t>
            </w:r>
          </w:p>
        </w:tc>
      </w:tr>
      <w:tr w:rsidR="00D17EF7" w:rsidRPr="00F03917" w14:paraId="287724BE" w14:textId="77777777" w:rsidTr="00496CF4">
        <w:trPr>
          <w:gridAfter w:val="1"/>
          <w:wAfter w:w="142" w:type="dxa"/>
          <w:trHeight w:val="300"/>
        </w:trPr>
        <w:tc>
          <w:tcPr>
            <w:tcW w:w="2268" w:type="dxa"/>
            <w:tcMar>
              <w:top w:w="57" w:type="dxa"/>
              <w:left w:w="108" w:type="dxa"/>
              <w:bottom w:w="57" w:type="dxa"/>
              <w:right w:w="108" w:type="dxa"/>
            </w:tcMar>
          </w:tcPr>
          <w:p w14:paraId="1EEACCEB" w14:textId="7580CC5A" w:rsidR="00D17EF7" w:rsidRPr="00F03917" w:rsidRDefault="00D17EF7" w:rsidP="00D17EF7">
            <w:pPr>
              <w:pStyle w:val="Glossary"/>
            </w:pPr>
            <w:r w:rsidRPr="00F03917">
              <w:t xml:space="preserve">Risk assessment </w:t>
            </w:r>
          </w:p>
        </w:tc>
        <w:tc>
          <w:tcPr>
            <w:tcW w:w="6237" w:type="dxa"/>
            <w:tcMar>
              <w:top w:w="57" w:type="dxa"/>
              <w:left w:w="108" w:type="dxa"/>
              <w:bottom w:w="57" w:type="dxa"/>
              <w:right w:w="108" w:type="dxa"/>
            </w:tcMar>
          </w:tcPr>
          <w:p w14:paraId="2E7AA65C" w14:textId="544E3775" w:rsidR="00D17EF7" w:rsidRPr="00F03917" w:rsidRDefault="00D17EF7" w:rsidP="00D17EF7">
            <w:pPr>
              <w:pStyle w:val="Glossary"/>
            </w:pPr>
            <w:r w:rsidRPr="00F03917">
              <w:t xml:space="preserve">Qualitative and/or quantitative process of </w:t>
            </w:r>
            <w:r w:rsidRPr="00F03917">
              <w:rPr>
                <w:i/>
                <w:iCs/>
              </w:rPr>
              <w:t>risk</w:t>
            </w:r>
            <w:r w:rsidRPr="00F03917">
              <w:t xml:space="preserve"> identification, </w:t>
            </w:r>
            <w:r w:rsidRPr="00F03917">
              <w:rPr>
                <w:i/>
                <w:iCs/>
              </w:rPr>
              <w:t>risk</w:t>
            </w:r>
            <w:r w:rsidRPr="00F03917">
              <w:t xml:space="preserve"> analysis and </w:t>
            </w:r>
            <w:r w:rsidRPr="00F03917">
              <w:rPr>
                <w:i/>
                <w:iCs/>
              </w:rPr>
              <w:t>risk</w:t>
            </w:r>
            <w:r w:rsidRPr="00F03917">
              <w:t xml:space="preserve"> evaluation (AS/NZS ISO 31000:2009, Risk management standard).</w:t>
            </w:r>
          </w:p>
        </w:tc>
      </w:tr>
      <w:tr w:rsidR="00D17EF7" w:rsidRPr="00F03917" w14:paraId="05D9973A" w14:textId="77777777" w:rsidTr="00496CF4">
        <w:trPr>
          <w:gridAfter w:val="1"/>
          <w:wAfter w:w="142" w:type="dxa"/>
          <w:trHeight w:val="300"/>
        </w:trPr>
        <w:tc>
          <w:tcPr>
            <w:tcW w:w="2268" w:type="dxa"/>
            <w:tcMar>
              <w:top w:w="57" w:type="dxa"/>
              <w:left w:w="108" w:type="dxa"/>
              <w:bottom w:w="57" w:type="dxa"/>
              <w:right w:w="108" w:type="dxa"/>
            </w:tcMar>
          </w:tcPr>
          <w:p w14:paraId="384CCBA3" w14:textId="632A0B93" w:rsidR="00D17EF7" w:rsidRPr="00F03917" w:rsidRDefault="00D17EF7" w:rsidP="00D17EF7">
            <w:pPr>
              <w:pStyle w:val="Glossary"/>
            </w:pPr>
            <w:r w:rsidRPr="00F03917">
              <w:t>Risk management</w:t>
            </w:r>
          </w:p>
        </w:tc>
        <w:tc>
          <w:tcPr>
            <w:tcW w:w="6237" w:type="dxa"/>
            <w:tcMar>
              <w:top w:w="57" w:type="dxa"/>
              <w:left w:w="108" w:type="dxa"/>
              <w:bottom w:w="57" w:type="dxa"/>
              <w:right w:w="108" w:type="dxa"/>
            </w:tcMar>
          </w:tcPr>
          <w:p w14:paraId="5DC08AD0" w14:textId="4D0EE1AF" w:rsidR="00D17EF7" w:rsidRPr="00F03917" w:rsidRDefault="00D17EF7" w:rsidP="00D17EF7">
            <w:pPr>
              <w:pStyle w:val="Glossary"/>
            </w:pPr>
            <w:r w:rsidRPr="00F03917">
              <w:t xml:space="preserve">Plans, actions or policies to reduce the </w:t>
            </w:r>
            <w:r w:rsidRPr="00F03917">
              <w:rPr>
                <w:i/>
                <w:iCs/>
              </w:rPr>
              <w:t>likelihood</w:t>
            </w:r>
            <w:r w:rsidRPr="00F03917">
              <w:t xml:space="preserve"> and/or </w:t>
            </w:r>
            <w:r w:rsidRPr="00F03917">
              <w:rPr>
                <w:i/>
                <w:iCs/>
              </w:rPr>
              <w:t>consequences</w:t>
            </w:r>
            <w:r w:rsidRPr="00F03917">
              <w:t xml:space="preserve"> of risks or to respond to </w:t>
            </w:r>
            <w:r w:rsidRPr="00F03917">
              <w:rPr>
                <w:i/>
                <w:iCs/>
              </w:rPr>
              <w:t>consequences</w:t>
            </w:r>
            <w:r w:rsidRPr="00F03917">
              <w:t xml:space="preserve"> (ISO 31000:2009, Risk management standard).</w:t>
            </w:r>
          </w:p>
        </w:tc>
      </w:tr>
      <w:tr w:rsidR="00D17EF7" w:rsidRPr="00F03917" w14:paraId="2FB5C404" w14:textId="77777777" w:rsidTr="00496CF4">
        <w:trPr>
          <w:gridAfter w:val="1"/>
          <w:wAfter w:w="142" w:type="dxa"/>
          <w:trHeight w:val="300"/>
        </w:trPr>
        <w:tc>
          <w:tcPr>
            <w:tcW w:w="2268" w:type="dxa"/>
            <w:tcMar>
              <w:top w:w="57" w:type="dxa"/>
              <w:left w:w="108" w:type="dxa"/>
              <w:bottom w:w="57" w:type="dxa"/>
              <w:right w:w="108" w:type="dxa"/>
            </w:tcMar>
          </w:tcPr>
          <w:p w14:paraId="6531447C" w14:textId="2DDF94B4" w:rsidR="00D17EF7" w:rsidRPr="00F03917" w:rsidRDefault="00D17EF7" w:rsidP="00D17EF7">
            <w:pPr>
              <w:pStyle w:val="Glossary"/>
            </w:pPr>
            <w:r w:rsidRPr="00F03917">
              <w:t>RMA</w:t>
            </w:r>
          </w:p>
        </w:tc>
        <w:tc>
          <w:tcPr>
            <w:tcW w:w="6237" w:type="dxa"/>
            <w:tcMar>
              <w:top w:w="57" w:type="dxa"/>
              <w:left w:w="108" w:type="dxa"/>
              <w:bottom w:w="57" w:type="dxa"/>
              <w:right w:w="108" w:type="dxa"/>
            </w:tcMar>
          </w:tcPr>
          <w:p w14:paraId="6395DACA" w14:textId="42C2B681" w:rsidR="00D17EF7" w:rsidRPr="00F03917" w:rsidRDefault="00D17EF7" w:rsidP="00D17EF7">
            <w:pPr>
              <w:pStyle w:val="Glossary"/>
            </w:pPr>
            <w:r w:rsidRPr="00F03917">
              <w:t>The Resource Management Act 1991 and subsequent amendments. Aotearoa New Zealand’s main piece of environmental legislation providing the framework for managing the effects of activities on the environment.</w:t>
            </w:r>
          </w:p>
        </w:tc>
      </w:tr>
      <w:tr w:rsidR="00D17EF7" w:rsidRPr="00F03917" w14:paraId="7CE3F90A" w14:textId="77777777" w:rsidTr="00496CF4">
        <w:trPr>
          <w:gridAfter w:val="1"/>
          <w:wAfter w:w="142" w:type="dxa"/>
          <w:trHeight w:val="300"/>
        </w:trPr>
        <w:tc>
          <w:tcPr>
            <w:tcW w:w="2268" w:type="dxa"/>
            <w:tcMar>
              <w:top w:w="57" w:type="dxa"/>
              <w:left w:w="108" w:type="dxa"/>
              <w:bottom w:w="57" w:type="dxa"/>
              <w:right w:w="108" w:type="dxa"/>
            </w:tcMar>
          </w:tcPr>
          <w:p w14:paraId="6AF6CA38" w14:textId="04F492A6" w:rsidR="00D17EF7" w:rsidRPr="00F03917" w:rsidRDefault="00D17EF7" w:rsidP="00D17EF7">
            <w:pPr>
              <w:pStyle w:val="Glossary"/>
            </w:pPr>
            <w:r w:rsidRPr="00F03917">
              <w:t>Scenario</w:t>
            </w:r>
          </w:p>
        </w:tc>
        <w:tc>
          <w:tcPr>
            <w:tcW w:w="6237" w:type="dxa"/>
            <w:tcMar>
              <w:top w:w="57" w:type="dxa"/>
              <w:left w:w="108" w:type="dxa"/>
              <w:bottom w:w="57" w:type="dxa"/>
              <w:right w:w="108" w:type="dxa"/>
            </w:tcMar>
          </w:tcPr>
          <w:p w14:paraId="4D5A4AC5" w14:textId="01127730" w:rsidR="00D17EF7" w:rsidRPr="00F03917" w:rsidRDefault="00D17EF7" w:rsidP="00D17EF7">
            <w:pPr>
              <w:pStyle w:val="Glossary"/>
            </w:pPr>
            <w:r w:rsidRPr="00F03917">
              <w:t>Plausible description of how the future might unfold in terms of interacting factors, including human behaviour, policy choices, land</w:t>
            </w:r>
            <w:r w:rsidRPr="00F03917">
              <w:noBreakHyphen/>
              <w:t>use change, global population trends, economic conditions, technological advances, international competition and cooperation (Moss et al, 2010).</w:t>
            </w:r>
          </w:p>
        </w:tc>
      </w:tr>
      <w:tr w:rsidR="00D17EF7" w:rsidRPr="00F03917" w14:paraId="24F3461D" w14:textId="35F50A15" w:rsidTr="00496CF4">
        <w:trPr>
          <w:trHeight w:val="300"/>
        </w:trPr>
        <w:tc>
          <w:tcPr>
            <w:tcW w:w="2268" w:type="dxa"/>
            <w:tcMar>
              <w:top w:w="57" w:type="dxa"/>
              <w:left w:w="108" w:type="dxa"/>
              <w:bottom w:w="57" w:type="dxa"/>
              <w:right w:w="108" w:type="dxa"/>
            </w:tcMar>
          </w:tcPr>
          <w:p w14:paraId="360FC7B5" w14:textId="192A8686" w:rsidR="00D17EF7" w:rsidRPr="00F03917" w:rsidRDefault="00D17EF7" w:rsidP="00D17EF7">
            <w:pPr>
              <w:pStyle w:val="Glossary"/>
            </w:pPr>
            <w:r w:rsidRPr="00F03917">
              <w:t>Sensitivity</w:t>
            </w:r>
          </w:p>
        </w:tc>
        <w:tc>
          <w:tcPr>
            <w:tcW w:w="6379" w:type="dxa"/>
            <w:gridSpan w:val="2"/>
            <w:tcMar>
              <w:top w:w="57" w:type="dxa"/>
              <w:left w:w="108" w:type="dxa"/>
              <w:bottom w:w="57" w:type="dxa"/>
              <w:right w:w="108" w:type="dxa"/>
            </w:tcMar>
          </w:tcPr>
          <w:p w14:paraId="0FB806BC" w14:textId="4C3AB65C" w:rsidR="00D17EF7" w:rsidRPr="00F03917" w:rsidRDefault="00D17EF7" w:rsidP="00D17EF7">
            <w:pPr>
              <w:pStyle w:val="Glossary"/>
            </w:pPr>
            <w:r w:rsidRPr="00F03917">
              <w:t xml:space="preserve">The degree to which a system is affected adversely or beneficially by climate-related drivers. The alternative term </w:t>
            </w:r>
            <w:r w:rsidRPr="00F03917">
              <w:rPr>
                <w:i/>
                <w:iCs/>
              </w:rPr>
              <w:t>fragility</w:t>
            </w:r>
            <w:r w:rsidRPr="00F03917">
              <w:t xml:space="preserve"> is often used in the engineering</w:t>
            </w:r>
            <w:r w:rsidR="003D1309" w:rsidRPr="00F03917">
              <w:t xml:space="preserve"> and</w:t>
            </w:r>
            <w:r w:rsidRPr="00F03917">
              <w:t>/</w:t>
            </w:r>
            <w:r w:rsidR="003D1309" w:rsidRPr="00F03917">
              <w:t xml:space="preserve">or </w:t>
            </w:r>
            <w:r w:rsidRPr="00F03917">
              <w:t>lifelines sector and tools like RiskScape.</w:t>
            </w:r>
          </w:p>
        </w:tc>
      </w:tr>
      <w:tr w:rsidR="00D17EF7" w:rsidRPr="00F03917" w14:paraId="1A218C2A" w14:textId="77777777" w:rsidTr="00496CF4">
        <w:trPr>
          <w:trHeight w:val="300"/>
        </w:trPr>
        <w:tc>
          <w:tcPr>
            <w:tcW w:w="2268" w:type="dxa"/>
            <w:tcMar>
              <w:top w:w="57" w:type="dxa"/>
              <w:left w:w="108" w:type="dxa"/>
              <w:bottom w:w="57" w:type="dxa"/>
              <w:right w:w="108" w:type="dxa"/>
            </w:tcMar>
          </w:tcPr>
          <w:p w14:paraId="2316EB84" w14:textId="1DA7BE0A" w:rsidR="00D17EF7" w:rsidRPr="00F03917" w:rsidRDefault="00D17EF7" w:rsidP="00D17EF7">
            <w:pPr>
              <w:pStyle w:val="Glossary"/>
            </w:pPr>
            <w:r w:rsidRPr="00F03917">
              <w:t>Sensitivity</w:t>
            </w:r>
            <w:r w:rsidR="00C70BD5" w:rsidRPr="00F03917">
              <w:t xml:space="preserve"> </w:t>
            </w:r>
            <w:r w:rsidRPr="00F03917">
              <w:t>testing</w:t>
            </w:r>
          </w:p>
        </w:tc>
        <w:tc>
          <w:tcPr>
            <w:tcW w:w="6379" w:type="dxa"/>
            <w:gridSpan w:val="2"/>
            <w:tcMar>
              <w:top w:w="57" w:type="dxa"/>
              <w:left w:w="108" w:type="dxa"/>
              <w:bottom w:w="57" w:type="dxa"/>
              <w:right w:w="108" w:type="dxa"/>
            </w:tcMar>
          </w:tcPr>
          <w:p w14:paraId="4155F840" w14:textId="63EF6789" w:rsidR="00D17EF7" w:rsidRPr="00F03917" w:rsidRDefault="00D17EF7" w:rsidP="00D17EF7">
            <w:pPr>
              <w:pStyle w:val="Glossary"/>
            </w:pPr>
            <w:r w:rsidRPr="00F03917">
              <w:rPr>
                <w:rFonts w:cs="Arial"/>
              </w:rPr>
              <w:t xml:space="preserve">Considers the effect </w:t>
            </w:r>
            <w:r w:rsidRPr="00F03917">
              <w:t>of a range of present and future uncertainties that may increase a particular hazard or other component of risk (exposure, vulnerability). G</w:t>
            </w:r>
            <w:r w:rsidRPr="00F03917">
              <w:rPr>
                <w:rFonts w:cs="Arial"/>
              </w:rPr>
              <w:t xml:space="preserve">enerally applied </w:t>
            </w:r>
            <w:r w:rsidRPr="00F03917">
              <w:t>to assessing a single (or compound) hazard over a single time period or scenario, particularly if the climate</w:t>
            </w:r>
            <w:r w:rsidR="00DC3C68" w:rsidRPr="00F03917">
              <w:t xml:space="preserve"> </w:t>
            </w:r>
            <w:r w:rsidRPr="00F03917">
              <w:t>change effects on the hazard are uncertain (eg, future storm intensity or changes in storm surge) or a relatively short monitoring record generates wider 95 percent confidence intervals (eg, 1 per cent AEP storm tide). Could also apply to risk assessments to cover uncertainties, such as the vulnerability of some types of assets (eg, groundwater rise impacts on roads and buildings or confidence in existing data on floor levels of buildings for flooding).</w:t>
            </w:r>
          </w:p>
        </w:tc>
      </w:tr>
      <w:tr w:rsidR="00D17EF7" w:rsidRPr="00F03917" w14:paraId="11DFD594" w14:textId="77777777" w:rsidTr="00496CF4">
        <w:trPr>
          <w:gridAfter w:val="1"/>
          <w:wAfter w:w="142" w:type="dxa"/>
          <w:trHeight w:val="300"/>
        </w:trPr>
        <w:tc>
          <w:tcPr>
            <w:tcW w:w="2268" w:type="dxa"/>
            <w:tcMar>
              <w:top w:w="57" w:type="dxa"/>
              <w:left w:w="108" w:type="dxa"/>
              <w:bottom w:w="57" w:type="dxa"/>
              <w:right w:w="108" w:type="dxa"/>
            </w:tcMar>
          </w:tcPr>
          <w:p w14:paraId="28C09E3F" w14:textId="2DD5BB76" w:rsidR="00D17EF7" w:rsidRPr="00F03917" w:rsidRDefault="00D17EF7" w:rsidP="00D17EF7">
            <w:pPr>
              <w:pStyle w:val="Glossary"/>
            </w:pPr>
            <w:r w:rsidRPr="00F03917">
              <w:t>Shared socio-economic pathway (SSP)</w:t>
            </w:r>
          </w:p>
        </w:tc>
        <w:tc>
          <w:tcPr>
            <w:tcW w:w="6237" w:type="dxa"/>
            <w:tcMar>
              <w:top w:w="57" w:type="dxa"/>
              <w:left w:w="108" w:type="dxa"/>
              <w:bottom w:w="57" w:type="dxa"/>
              <w:right w:w="108" w:type="dxa"/>
            </w:tcMar>
          </w:tcPr>
          <w:p w14:paraId="52D04492" w14:textId="0AF40313" w:rsidR="00D17EF7" w:rsidRPr="00F03917" w:rsidRDefault="00D17EF7" w:rsidP="00D17EF7">
            <w:pPr>
              <w:pStyle w:val="Glossary"/>
              <w:rPr>
                <w:color w:val="008080"/>
              </w:rPr>
            </w:pPr>
            <w:r w:rsidRPr="00F03917">
              <w:t>Scenarios developed to complement the RCPs with varying socio-economic challenges to adaptation and mitigation.</w:t>
            </w:r>
          </w:p>
        </w:tc>
      </w:tr>
      <w:tr w:rsidR="00D17EF7" w:rsidRPr="00F03917" w14:paraId="5139A9C8" w14:textId="77777777" w:rsidTr="00496CF4">
        <w:trPr>
          <w:gridAfter w:val="1"/>
          <w:wAfter w:w="142" w:type="dxa"/>
          <w:trHeight w:val="300"/>
        </w:trPr>
        <w:tc>
          <w:tcPr>
            <w:tcW w:w="2268" w:type="dxa"/>
            <w:tcMar>
              <w:top w:w="57" w:type="dxa"/>
              <w:left w:w="108" w:type="dxa"/>
              <w:bottom w:w="57" w:type="dxa"/>
              <w:right w:w="108" w:type="dxa"/>
            </w:tcMar>
          </w:tcPr>
          <w:p w14:paraId="2E67F6C2" w14:textId="2F70493D" w:rsidR="00D17EF7" w:rsidRPr="00F03917" w:rsidRDefault="00D17EF7" w:rsidP="00D17EF7">
            <w:pPr>
              <w:pStyle w:val="Glossary"/>
            </w:pPr>
            <w:r w:rsidRPr="00F03917">
              <w:lastRenderedPageBreak/>
              <w:t>Signal</w:t>
            </w:r>
          </w:p>
        </w:tc>
        <w:tc>
          <w:tcPr>
            <w:tcW w:w="6237" w:type="dxa"/>
            <w:tcMar>
              <w:top w:w="57" w:type="dxa"/>
              <w:left w:w="108" w:type="dxa"/>
              <w:bottom w:w="57" w:type="dxa"/>
              <w:right w:w="108" w:type="dxa"/>
            </w:tcMar>
          </w:tcPr>
          <w:p w14:paraId="5C69B4ED" w14:textId="2CE960B0" w:rsidR="00D17EF7" w:rsidRPr="00F03917" w:rsidRDefault="00D17EF7" w:rsidP="00D17EF7">
            <w:pPr>
              <w:pStyle w:val="Glossary"/>
            </w:pPr>
            <w:r w:rsidRPr="00F03917">
              <w:t xml:space="preserve">Derived indicator value, monitoring changes in physical, social, cultural, economic, and risk attributes, which provide early warning to signal that a </w:t>
            </w:r>
            <w:r w:rsidRPr="00F03917">
              <w:rPr>
                <w:i/>
                <w:iCs/>
              </w:rPr>
              <w:t>trigger (</w:t>
            </w:r>
            <w:r w:rsidRPr="00F03917">
              <w:t>decision point) is approaching in the near to medium term. It should prompt thinking and initial engagement processes on the next steps or any changes to the trigger.</w:t>
            </w:r>
          </w:p>
        </w:tc>
      </w:tr>
      <w:tr w:rsidR="00D17EF7" w:rsidRPr="00F03917" w14:paraId="705BE061" w14:textId="77777777" w:rsidTr="00496CF4">
        <w:trPr>
          <w:gridAfter w:val="1"/>
          <w:wAfter w:w="142" w:type="dxa"/>
          <w:trHeight w:val="300"/>
        </w:trPr>
        <w:tc>
          <w:tcPr>
            <w:tcW w:w="2268" w:type="dxa"/>
            <w:tcMar>
              <w:top w:w="57" w:type="dxa"/>
              <w:left w:w="108" w:type="dxa"/>
              <w:bottom w:w="57" w:type="dxa"/>
              <w:right w:w="108" w:type="dxa"/>
            </w:tcMar>
          </w:tcPr>
          <w:p w14:paraId="0FA2CDD5" w14:textId="05BDC1BB" w:rsidR="00D17EF7" w:rsidRPr="00F03917" w:rsidRDefault="00D17EF7" w:rsidP="00D17EF7">
            <w:pPr>
              <w:pStyle w:val="Glossary"/>
            </w:pPr>
            <w:r w:rsidRPr="00F03917">
              <w:t>Significant wave height</w:t>
            </w:r>
          </w:p>
        </w:tc>
        <w:tc>
          <w:tcPr>
            <w:tcW w:w="6237" w:type="dxa"/>
            <w:tcMar>
              <w:top w:w="57" w:type="dxa"/>
              <w:left w:w="108" w:type="dxa"/>
              <w:bottom w:w="57" w:type="dxa"/>
              <w:right w:w="108" w:type="dxa"/>
            </w:tcMar>
          </w:tcPr>
          <w:p w14:paraId="6CE131D5" w14:textId="6E427EC3" w:rsidR="00D17EF7" w:rsidRPr="00F03917" w:rsidRDefault="00D17EF7" w:rsidP="00D17EF7">
            <w:pPr>
              <w:pStyle w:val="Glossary"/>
            </w:pPr>
            <w:r w:rsidRPr="00F03917">
              <w:t>A measure of the highest one-third (33 per cent) of waves over a measurement or modelled period – relates to the height of waves that an observer may estimate.</w:t>
            </w:r>
          </w:p>
        </w:tc>
      </w:tr>
      <w:tr w:rsidR="00D17EF7" w:rsidRPr="00F03917" w14:paraId="6C0ED89B" w14:textId="77777777" w:rsidTr="00496CF4">
        <w:trPr>
          <w:gridAfter w:val="1"/>
          <w:wAfter w:w="142" w:type="dxa"/>
          <w:trHeight w:val="300"/>
        </w:trPr>
        <w:tc>
          <w:tcPr>
            <w:tcW w:w="2268" w:type="dxa"/>
            <w:tcMar>
              <w:top w:w="57" w:type="dxa"/>
              <w:left w:w="108" w:type="dxa"/>
              <w:bottom w:w="57" w:type="dxa"/>
              <w:right w:w="108" w:type="dxa"/>
            </w:tcMar>
          </w:tcPr>
          <w:p w14:paraId="7AAB016C" w14:textId="0D2A9110" w:rsidR="00D17EF7" w:rsidRPr="00F03917" w:rsidRDefault="00D17EF7" w:rsidP="00D17EF7">
            <w:pPr>
              <w:pStyle w:val="Glossary"/>
            </w:pPr>
            <w:r w:rsidRPr="00F03917">
              <w:t xml:space="preserve">SLR </w:t>
            </w:r>
          </w:p>
        </w:tc>
        <w:tc>
          <w:tcPr>
            <w:tcW w:w="6237" w:type="dxa"/>
            <w:tcMar>
              <w:top w:w="57" w:type="dxa"/>
              <w:left w:w="108" w:type="dxa"/>
              <w:bottom w:w="57" w:type="dxa"/>
              <w:right w:w="108" w:type="dxa"/>
            </w:tcMar>
          </w:tcPr>
          <w:p w14:paraId="17CA5E43" w14:textId="47186F71" w:rsidR="00D17EF7" w:rsidRPr="00F03917" w:rsidRDefault="00D17EF7" w:rsidP="00D17EF7">
            <w:pPr>
              <w:pStyle w:val="Glossary"/>
            </w:pPr>
            <w:r w:rsidRPr="00F03917">
              <w:t>Sea-level rise.</w:t>
            </w:r>
          </w:p>
        </w:tc>
      </w:tr>
      <w:tr w:rsidR="00D17EF7" w:rsidRPr="00F03917" w14:paraId="563E2295" w14:textId="77777777" w:rsidTr="00496CF4">
        <w:trPr>
          <w:gridAfter w:val="1"/>
          <w:wAfter w:w="142" w:type="dxa"/>
          <w:trHeight w:val="300"/>
        </w:trPr>
        <w:tc>
          <w:tcPr>
            <w:tcW w:w="2268" w:type="dxa"/>
            <w:tcMar>
              <w:top w:w="57" w:type="dxa"/>
              <w:left w:w="108" w:type="dxa"/>
              <w:bottom w:w="57" w:type="dxa"/>
              <w:right w:w="108" w:type="dxa"/>
            </w:tcMar>
          </w:tcPr>
          <w:p w14:paraId="41856763" w14:textId="4B1BA7F7" w:rsidR="00D17EF7" w:rsidRPr="00F03917" w:rsidRDefault="00D17EF7" w:rsidP="00D17EF7">
            <w:pPr>
              <w:pStyle w:val="Glossary"/>
            </w:pPr>
            <w:r w:rsidRPr="00F03917">
              <w:t>SLR increments</w:t>
            </w:r>
          </w:p>
        </w:tc>
        <w:tc>
          <w:tcPr>
            <w:tcW w:w="6237" w:type="dxa"/>
            <w:tcMar>
              <w:top w:w="57" w:type="dxa"/>
              <w:left w:w="108" w:type="dxa"/>
              <w:bottom w:w="57" w:type="dxa"/>
              <w:right w:w="108" w:type="dxa"/>
            </w:tcMar>
          </w:tcPr>
          <w:p w14:paraId="2DDC461B" w14:textId="648BD43B" w:rsidR="00D17EF7" w:rsidRPr="00F03917" w:rsidRDefault="00D17EF7" w:rsidP="00D17EF7">
            <w:pPr>
              <w:pStyle w:val="Glossary"/>
              <w:rPr>
                <w:rFonts w:eastAsia="Times New Roman"/>
              </w:rPr>
            </w:pPr>
            <w:r w:rsidRPr="00F03917">
              <w:rPr>
                <w:rFonts w:eastAsia="Times New Roman"/>
              </w:rPr>
              <w:t>Series of projected SLR or RSLR heights at constant intervals (eg, 0.1</w:t>
            </w:r>
            <w:r w:rsidR="00B03268" w:rsidRPr="00F03917">
              <w:rPr>
                <w:rFonts w:eastAsia="Times New Roman"/>
              </w:rPr>
              <w:t xml:space="preserve"> metre</w:t>
            </w:r>
            <w:r w:rsidRPr="00F03917">
              <w:rPr>
                <w:rFonts w:eastAsia="Times New Roman"/>
              </w:rPr>
              <w:t xml:space="preserve"> or 0.2 m</w:t>
            </w:r>
            <w:r w:rsidR="00B03268" w:rsidRPr="00F03917">
              <w:rPr>
                <w:rFonts w:eastAsia="Times New Roman"/>
              </w:rPr>
              <w:t>etre</w:t>
            </w:r>
            <w:r w:rsidRPr="00F03917">
              <w:rPr>
                <w:rFonts w:eastAsia="Times New Roman"/>
              </w:rPr>
              <w:t xml:space="preserve"> increments) which are scenario neutral, and which can be used in hazard and risk assessments and dynamic adaptive pathways planning to ascertain adaptation thresholds and bracketed timings of local RSLR.</w:t>
            </w:r>
          </w:p>
        </w:tc>
      </w:tr>
      <w:tr w:rsidR="00D17EF7" w:rsidRPr="00F03917" w14:paraId="0CCF366E" w14:textId="77777777" w:rsidTr="00496CF4">
        <w:trPr>
          <w:gridAfter w:val="1"/>
          <w:wAfter w:w="142" w:type="dxa"/>
          <w:trHeight w:val="300"/>
        </w:trPr>
        <w:tc>
          <w:tcPr>
            <w:tcW w:w="2268" w:type="dxa"/>
            <w:tcMar>
              <w:top w:w="57" w:type="dxa"/>
              <w:left w:w="108" w:type="dxa"/>
              <w:bottom w:w="57" w:type="dxa"/>
              <w:right w:w="108" w:type="dxa"/>
            </w:tcMar>
          </w:tcPr>
          <w:p w14:paraId="316BB295" w14:textId="307164EA" w:rsidR="00D17EF7" w:rsidRPr="00F03917" w:rsidRDefault="00D17EF7" w:rsidP="00D17EF7">
            <w:pPr>
              <w:pStyle w:val="Glossary"/>
            </w:pPr>
            <w:r w:rsidRPr="00F03917">
              <w:t>Spatial planning</w:t>
            </w:r>
          </w:p>
        </w:tc>
        <w:tc>
          <w:tcPr>
            <w:tcW w:w="6237" w:type="dxa"/>
            <w:tcMar>
              <w:top w:w="57" w:type="dxa"/>
              <w:left w:w="108" w:type="dxa"/>
              <w:bottom w:w="57" w:type="dxa"/>
              <w:right w:w="108" w:type="dxa"/>
            </w:tcMar>
          </w:tcPr>
          <w:p w14:paraId="5CAA8129" w14:textId="123CA1C4" w:rsidR="00D17EF7" w:rsidRPr="00F03917" w:rsidRDefault="00D17EF7" w:rsidP="00D17EF7">
            <w:pPr>
              <w:pStyle w:val="Glossary"/>
            </w:pPr>
            <w:r w:rsidRPr="00F03917">
              <w:t>Planning to influence the future spatial distribution of land-use activities within a defined area.</w:t>
            </w:r>
          </w:p>
        </w:tc>
      </w:tr>
      <w:tr w:rsidR="00D17EF7" w:rsidRPr="00F03917" w14:paraId="35CD5ADF" w14:textId="77777777" w:rsidTr="00496CF4">
        <w:trPr>
          <w:gridAfter w:val="1"/>
          <w:wAfter w:w="142" w:type="dxa"/>
          <w:trHeight w:val="300"/>
        </w:trPr>
        <w:tc>
          <w:tcPr>
            <w:tcW w:w="2268" w:type="dxa"/>
            <w:tcMar>
              <w:top w:w="57" w:type="dxa"/>
              <w:left w:w="108" w:type="dxa"/>
              <w:bottom w:w="57" w:type="dxa"/>
              <w:right w:w="108" w:type="dxa"/>
            </w:tcMar>
          </w:tcPr>
          <w:p w14:paraId="4211E3A2" w14:textId="6D078E52" w:rsidR="00D17EF7" w:rsidRPr="00F03917" w:rsidRDefault="00D17EF7" w:rsidP="00D17EF7">
            <w:pPr>
              <w:pStyle w:val="Glossary"/>
            </w:pPr>
            <w:r w:rsidRPr="00F03917">
              <w:t>Stakeholder</w:t>
            </w:r>
          </w:p>
        </w:tc>
        <w:tc>
          <w:tcPr>
            <w:tcW w:w="6237" w:type="dxa"/>
            <w:tcMar>
              <w:top w:w="57" w:type="dxa"/>
              <w:left w:w="108" w:type="dxa"/>
              <w:bottom w:w="57" w:type="dxa"/>
              <w:right w:w="108" w:type="dxa"/>
            </w:tcMar>
          </w:tcPr>
          <w:p w14:paraId="10DCF3C4" w14:textId="74A1BA53" w:rsidR="00D17EF7" w:rsidRPr="00F03917" w:rsidRDefault="00D17EF7" w:rsidP="00D17EF7">
            <w:pPr>
              <w:pStyle w:val="Glossary"/>
            </w:pPr>
            <w:r w:rsidRPr="00F03917">
              <w:t>Entity with an interest in a geographic area or issue, for example, an asset, utility or a value that is at stake.</w:t>
            </w:r>
          </w:p>
        </w:tc>
      </w:tr>
      <w:tr w:rsidR="00D17EF7" w:rsidRPr="00F03917" w14:paraId="6BFF26A6" w14:textId="77777777" w:rsidTr="00496CF4">
        <w:trPr>
          <w:gridAfter w:val="1"/>
          <w:wAfter w:w="142" w:type="dxa"/>
          <w:trHeight w:val="300"/>
        </w:trPr>
        <w:tc>
          <w:tcPr>
            <w:tcW w:w="2268" w:type="dxa"/>
            <w:tcMar>
              <w:top w:w="57" w:type="dxa"/>
              <w:left w:w="108" w:type="dxa"/>
              <w:bottom w:w="57" w:type="dxa"/>
              <w:right w:w="108" w:type="dxa"/>
            </w:tcMar>
          </w:tcPr>
          <w:p w14:paraId="78BA511E" w14:textId="78CCDA7D" w:rsidR="00D17EF7" w:rsidRPr="00F03917" w:rsidRDefault="00D17EF7" w:rsidP="00D17EF7">
            <w:pPr>
              <w:pStyle w:val="Glossary"/>
            </w:pPr>
            <w:r w:rsidRPr="00F03917">
              <w:t>Static or ‘bathtub’ inundation model</w:t>
            </w:r>
          </w:p>
        </w:tc>
        <w:tc>
          <w:tcPr>
            <w:tcW w:w="6237" w:type="dxa"/>
            <w:tcMar>
              <w:top w:w="57" w:type="dxa"/>
              <w:left w:w="108" w:type="dxa"/>
              <w:bottom w:w="57" w:type="dxa"/>
              <w:right w:w="108" w:type="dxa"/>
            </w:tcMar>
          </w:tcPr>
          <w:p w14:paraId="778A9548" w14:textId="196154D3" w:rsidR="00D17EF7" w:rsidRPr="00F03917" w:rsidRDefault="00D17EF7" w:rsidP="00D17EF7">
            <w:pPr>
              <w:pStyle w:val="Glossary"/>
            </w:pPr>
            <w:r w:rsidRPr="00F03917">
              <w:t xml:space="preserve">Hydrodynamic modelling of coastal inundation that does not include the </w:t>
            </w:r>
            <w:r w:rsidRPr="00F03917">
              <w:rPr>
                <w:i/>
                <w:iCs/>
              </w:rPr>
              <w:t>dynamic</w:t>
            </w:r>
            <w:r w:rsidRPr="00F03917">
              <w:t xml:space="preserve"> or transient effects of waves or storm tide flooding of land. Essentially transfers the coastal water level inland until that land elevation is reached.</w:t>
            </w:r>
          </w:p>
        </w:tc>
      </w:tr>
      <w:tr w:rsidR="00D17EF7" w:rsidRPr="00F03917" w14:paraId="61A05C7F" w14:textId="77777777" w:rsidTr="00496CF4">
        <w:trPr>
          <w:gridAfter w:val="1"/>
          <w:wAfter w:w="142" w:type="dxa"/>
          <w:trHeight w:val="300"/>
        </w:trPr>
        <w:tc>
          <w:tcPr>
            <w:tcW w:w="2268" w:type="dxa"/>
            <w:tcMar>
              <w:top w:w="57" w:type="dxa"/>
              <w:left w:w="108" w:type="dxa"/>
              <w:bottom w:w="57" w:type="dxa"/>
              <w:right w:w="108" w:type="dxa"/>
            </w:tcMar>
          </w:tcPr>
          <w:p w14:paraId="11AFE06E" w14:textId="22D7A17C" w:rsidR="00D17EF7" w:rsidRPr="00F03917" w:rsidRDefault="00D17EF7" w:rsidP="00D17EF7">
            <w:pPr>
              <w:pStyle w:val="Glossary"/>
            </w:pPr>
            <w:r w:rsidRPr="00F03917">
              <w:t>Storm surge</w:t>
            </w:r>
          </w:p>
        </w:tc>
        <w:tc>
          <w:tcPr>
            <w:tcW w:w="6237" w:type="dxa"/>
            <w:tcMar>
              <w:top w:w="57" w:type="dxa"/>
              <w:left w:w="108" w:type="dxa"/>
              <w:bottom w:w="57" w:type="dxa"/>
              <w:right w:w="108" w:type="dxa"/>
            </w:tcMar>
          </w:tcPr>
          <w:p w14:paraId="61A0E3CC" w14:textId="3C6B0CCC" w:rsidR="00D17EF7" w:rsidRPr="00F03917" w:rsidRDefault="00D17EF7" w:rsidP="00D17EF7">
            <w:pPr>
              <w:pStyle w:val="Glossary"/>
            </w:pPr>
            <w:r w:rsidRPr="00F03917">
              <w:t>Temporary increase in sea level induced by winds and barometric pressure associated with weather systems.</w:t>
            </w:r>
          </w:p>
        </w:tc>
      </w:tr>
      <w:tr w:rsidR="00D17EF7" w:rsidRPr="00F03917" w14:paraId="54A096BE" w14:textId="77777777" w:rsidTr="00496CF4">
        <w:trPr>
          <w:gridAfter w:val="1"/>
          <w:wAfter w:w="142" w:type="dxa"/>
          <w:trHeight w:val="300"/>
        </w:trPr>
        <w:tc>
          <w:tcPr>
            <w:tcW w:w="2268" w:type="dxa"/>
            <w:tcMar>
              <w:top w:w="57" w:type="dxa"/>
              <w:left w:w="108" w:type="dxa"/>
              <w:bottom w:w="57" w:type="dxa"/>
              <w:right w:w="108" w:type="dxa"/>
            </w:tcMar>
          </w:tcPr>
          <w:p w14:paraId="03878FC3" w14:textId="6A59A665" w:rsidR="00D17EF7" w:rsidRPr="00F03917" w:rsidRDefault="00D17EF7" w:rsidP="00D17EF7">
            <w:pPr>
              <w:pStyle w:val="Glossary"/>
            </w:pPr>
            <w:r w:rsidRPr="00F03917">
              <w:t>Storm tide</w:t>
            </w:r>
          </w:p>
        </w:tc>
        <w:tc>
          <w:tcPr>
            <w:tcW w:w="6237" w:type="dxa"/>
            <w:tcMar>
              <w:top w:w="57" w:type="dxa"/>
              <w:left w:w="108" w:type="dxa"/>
              <w:bottom w:w="57" w:type="dxa"/>
              <w:right w:w="108" w:type="dxa"/>
            </w:tcMar>
          </w:tcPr>
          <w:p w14:paraId="44AE8A9B" w14:textId="7C47E0A3" w:rsidR="00D17EF7" w:rsidRPr="00F03917" w:rsidRDefault="00D17EF7" w:rsidP="00D17EF7">
            <w:pPr>
              <w:pStyle w:val="Glossary"/>
            </w:pPr>
            <w:r w:rsidRPr="00F03917">
              <w:t>Combination of MSL, high tide, storm surge and MSL anomaly (monthly to seasonal variation in MSL), normally includes wave setup, but excludes wave runup.</w:t>
            </w:r>
          </w:p>
        </w:tc>
      </w:tr>
      <w:tr w:rsidR="00D17EF7" w:rsidRPr="00F03917" w14:paraId="2DA9D131" w14:textId="77777777" w:rsidTr="00496CF4">
        <w:trPr>
          <w:gridAfter w:val="1"/>
          <w:wAfter w:w="142" w:type="dxa"/>
          <w:trHeight w:val="300"/>
        </w:trPr>
        <w:tc>
          <w:tcPr>
            <w:tcW w:w="2268" w:type="dxa"/>
            <w:tcMar>
              <w:top w:w="57" w:type="dxa"/>
              <w:left w:w="108" w:type="dxa"/>
              <w:bottom w:w="57" w:type="dxa"/>
              <w:right w:w="108" w:type="dxa"/>
            </w:tcMar>
          </w:tcPr>
          <w:p w14:paraId="1D014B45" w14:textId="512A3EA0" w:rsidR="00D17EF7" w:rsidRPr="00F03917" w:rsidRDefault="00D17EF7" w:rsidP="00D17EF7">
            <w:pPr>
              <w:pStyle w:val="Glossary"/>
            </w:pPr>
            <w:r w:rsidRPr="00F03917">
              <w:t>Stress-testing</w:t>
            </w:r>
          </w:p>
        </w:tc>
        <w:tc>
          <w:tcPr>
            <w:tcW w:w="6237" w:type="dxa"/>
            <w:tcMar>
              <w:top w:w="57" w:type="dxa"/>
              <w:left w:w="108" w:type="dxa"/>
              <w:bottom w:w="57" w:type="dxa"/>
              <w:right w:w="108" w:type="dxa"/>
            </w:tcMar>
          </w:tcPr>
          <w:p w14:paraId="1D188019" w14:textId="25B61AE4" w:rsidR="00D17EF7" w:rsidRPr="00F03917" w:rsidRDefault="00D17EF7" w:rsidP="00D17EF7">
            <w:pPr>
              <w:pStyle w:val="Glossary"/>
              <w:rPr>
                <w:rFonts w:cstheme="minorHAnsi"/>
              </w:rPr>
            </w:pPr>
            <w:r w:rsidRPr="00F03917">
              <w:t>Analysis approach used to anticipate the potential impact of surprises and unknowns, especially elements or place-based risks with high uncertainty from cascading impacts (Logan et al, 2023). It is a method to increasingly stress a system and determine its breaking point. This improves understanding of how and why a system or design may fail (Lempert, 2019).</w:t>
            </w:r>
          </w:p>
        </w:tc>
      </w:tr>
      <w:tr w:rsidR="00D17EF7" w:rsidRPr="00F03917" w14:paraId="1FFA49CE" w14:textId="77777777" w:rsidTr="00496CF4">
        <w:trPr>
          <w:gridAfter w:val="1"/>
          <w:wAfter w:w="142" w:type="dxa"/>
          <w:trHeight w:val="300"/>
        </w:trPr>
        <w:tc>
          <w:tcPr>
            <w:tcW w:w="2268" w:type="dxa"/>
            <w:tcMar>
              <w:top w:w="57" w:type="dxa"/>
              <w:left w:w="108" w:type="dxa"/>
              <w:bottom w:w="57" w:type="dxa"/>
              <w:right w:w="108" w:type="dxa"/>
            </w:tcMar>
          </w:tcPr>
          <w:p w14:paraId="5D291E78" w14:textId="4399E07E" w:rsidR="00D17EF7" w:rsidRPr="00F03917" w:rsidRDefault="00D17EF7" w:rsidP="00D17EF7">
            <w:pPr>
              <w:pStyle w:val="Glossary"/>
            </w:pPr>
            <w:r w:rsidRPr="00F03917">
              <w:t>System</w:t>
            </w:r>
          </w:p>
        </w:tc>
        <w:tc>
          <w:tcPr>
            <w:tcW w:w="6237" w:type="dxa"/>
            <w:tcMar>
              <w:top w:w="57" w:type="dxa"/>
              <w:left w:w="108" w:type="dxa"/>
              <w:bottom w:w="57" w:type="dxa"/>
              <w:right w:w="108" w:type="dxa"/>
            </w:tcMar>
          </w:tcPr>
          <w:p w14:paraId="3F9924E6" w14:textId="1781434E" w:rsidR="00D17EF7" w:rsidRPr="00F03917" w:rsidRDefault="00D17EF7" w:rsidP="00D17EF7">
            <w:pPr>
              <w:pStyle w:val="Glossary"/>
              <w:rPr>
                <w:rFonts w:asciiTheme="minorHAnsi" w:hAnsiTheme="minorHAnsi" w:cstheme="minorHAnsi"/>
              </w:rPr>
            </w:pPr>
            <w:r w:rsidRPr="00F03917">
              <w:rPr>
                <w:rFonts w:asciiTheme="minorHAnsi" w:hAnsiTheme="minorHAnsi" w:cstheme="minorHAnsi"/>
              </w:rPr>
              <w:t>A set of inter</w:t>
            </w:r>
            <w:r w:rsidR="00E6277B" w:rsidRPr="00F03917">
              <w:rPr>
                <w:rFonts w:asciiTheme="minorHAnsi" w:hAnsiTheme="minorHAnsi" w:cstheme="minorHAnsi"/>
              </w:rPr>
              <w:t>-</w:t>
            </w:r>
            <w:r w:rsidRPr="00F03917">
              <w:rPr>
                <w:rFonts w:asciiTheme="minorHAnsi" w:hAnsiTheme="minorHAnsi" w:cstheme="minorHAnsi"/>
              </w:rPr>
              <w:t>related or interacting elements (ISO 14091:2021, Adaptation to Climate Change: Guidelines on risk assessment).</w:t>
            </w:r>
          </w:p>
        </w:tc>
      </w:tr>
      <w:tr w:rsidR="00D17EF7" w:rsidRPr="00F03917" w14:paraId="42A1AFE2" w14:textId="77777777" w:rsidTr="00496CF4">
        <w:trPr>
          <w:gridAfter w:val="1"/>
          <w:wAfter w:w="142" w:type="dxa"/>
          <w:trHeight w:val="300"/>
        </w:trPr>
        <w:tc>
          <w:tcPr>
            <w:tcW w:w="2268" w:type="dxa"/>
            <w:tcMar>
              <w:top w:w="57" w:type="dxa"/>
              <w:left w:w="108" w:type="dxa"/>
              <w:bottom w:w="57" w:type="dxa"/>
              <w:right w:w="108" w:type="dxa"/>
            </w:tcMar>
          </w:tcPr>
          <w:p w14:paraId="6D73B985" w14:textId="0E41D8DC" w:rsidR="00D17EF7" w:rsidRPr="00F03917" w:rsidRDefault="00D17EF7" w:rsidP="00D17EF7">
            <w:pPr>
              <w:pStyle w:val="Glossary"/>
            </w:pPr>
            <w:r w:rsidRPr="00F03917">
              <w:t>Territorial authority</w:t>
            </w:r>
          </w:p>
        </w:tc>
        <w:tc>
          <w:tcPr>
            <w:tcW w:w="6237" w:type="dxa"/>
            <w:tcMar>
              <w:top w:w="57" w:type="dxa"/>
              <w:left w:w="108" w:type="dxa"/>
              <w:bottom w:w="57" w:type="dxa"/>
              <w:right w:w="108" w:type="dxa"/>
            </w:tcMar>
          </w:tcPr>
          <w:p w14:paraId="161E2BBD" w14:textId="47807022" w:rsidR="00D17EF7" w:rsidRPr="00F03917" w:rsidRDefault="00D17EF7" w:rsidP="00D17EF7">
            <w:pPr>
              <w:pStyle w:val="Glossary"/>
            </w:pPr>
            <w:r w:rsidRPr="00F03917">
              <w:t>A city or district council primarily responsible for managing the effects of activities on land. Refer to section 31 of the RMA.</w:t>
            </w:r>
          </w:p>
        </w:tc>
      </w:tr>
      <w:tr w:rsidR="00D17EF7" w:rsidRPr="00F03917" w14:paraId="3CD8C5C3" w14:textId="77777777" w:rsidTr="00496CF4">
        <w:trPr>
          <w:gridAfter w:val="1"/>
          <w:wAfter w:w="142" w:type="dxa"/>
          <w:trHeight w:val="300"/>
        </w:trPr>
        <w:tc>
          <w:tcPr>
            <w:tcW w:w="2268" w:type="dxa"/>
            <w:tcMar>
              <w:top w:w="57" w:type="dxa"/>
              <w:left w:w="108" w:type="dxa"/>
              <w:bottom w:w="57" w:type="dxa"/>
              <w:right w:w="108" w:type="dxa"/>
            </w:tcMar>
          </w:tcPr>
          <w:p w14:paraId="32242559" w14:textId="5829E7BB" w:rsidR="00D17EF7" w:rsidRPr="00F03917" w:rsidRDefault="00D17EF7" w:rsidP="00D17EF7">
            <w:pPr>
              <w:pStyle w:val="Glossary"/>
            </w:pPr>
            <w:r w:rsidRPr="00F03917">
              <w:t>Trigger (decision point)</w:t>
            </w:r>
          </w:p>
        </w:tc>
        <w:tc>
          <w:tcPr>
            <w:tcW w:w="6237" w:type="dxa"/>
            <w:tcMar>
              <w:top w:w="57" w:type="dxa"/>
              <w:left w:w="108" w:type="dxa"/>
              <w:bottom w:w="57" w:type="dxa"/>
              <w:right w:w="108" w:type="dxa"/>
            </w:tcMar>
          </w:tcPr>
          <w:p w14:paraId="760F3B40" w14:textId="022109B2" w:rsidR="00D17EF7" w:rsidRPr="00F03917" w:rsidRDefault="00D17EF7" w:rsidP="00D17EF7">
            <w:pPr>
              <w:pStyle w:val="Glossary"/>
            </w:pPr>
            <w:r w:rsidRPr="00F03917">
              <w:t xml:space="preserve">A derived indicator value, which when reached, provides sufficient lead time to cover community engagement, consenting, design and construction and funding arrangements, to ensure a new adaptation action or pathway can be implemented before the adaptation threshold is reached (see figure </w:t>
            </w:r>
            <w:r w:rsidR="00C2005E" w:rsidRPr="00F03917">
              <w:t>22</w:t>
            </w:r>
            <w:r w:rsidRPr="00F03917">
              <w:t xml:space="preserve">). The trigger is not </w:t>
            </w:r>
            <w:r w:rsidRPr="00F03917">
              <w:lastRenderedPageBreak/>
              <w:t>tied to a particular time but to a condition – it will be a bracketed time window derived using a SLR increment, or scenarios in the dynamic adaptive pathways planning approach</w:t>
            </w:r>
            <w:r w:rsidR="00914F33" w:rsidRPr="00F03917">
              <w:t>.</w:t>
            </w:r>
          </w:p>
        </w:tc>
      </w:tr>
      <w:tr w:rsidR="00D17EF7" w:rsidRPr="00F03917" w14:paraId="35BA8A98" w14:textId="77777777" w:rsidTr="00496CF4">
        <w:trPr>
          <w:gridAfter w:val="1"/>
          <w:wAfter w:w="142" w:type="dxa"/>
          <w:trHeight w:val="300"/>
        </w:trPr>
        <w:tc>
          <w:tcPr>
            <w:tcW w:w="2268" w:type="dxa"/>
            <w:tcMar>
              <w:top w:w="57" w:type="dxa"/>
              <w:left w:w="108" w:type="dxa"/>
              <w:bottom w:w="57" w:type="dxa"/>
              <w:right w:w="108" w:type="dxa"/>
            </w:tcMar>
          </w:tcPr>
          <w:p w14:paraId="04951FF8" w14:textId="5647E3D9" w:rsidR="00D17EF7" w:rsidRPr="00F03917" w:rsidRDefault="00D17EF7" w:rsidP="00D17EF7">
            <w:pPr>
              <w:pStyle w:val="Glossary"/>
            </w:pPr>
            <w:r w:rsidRPr="00F03917">
              <w:lastRenderedPageBreak/>
              <w:t>Uncertainty</w:t>
            </w:r>
          </w:p>
        </w:tc>
        <w:tc>
          <w:tcPr>
            <w:tcW w:w="6237" w:type="dxa"/>
            <w:tcMar>
              <w:top w:w="57" w:type="dxa"/>
              <w:left w:w="108" w:type="dxa"/>
              <w:bottom w:w="57" w:type="dxa"/>
              <w:right w:w="108" w:type="dxa"/>
            </w:tcMar>
          </w:tcPr>
          <w:p w14:paraId="5C2FDE98" w14:textId="41119CCA" w:rsidR="00D17EF7" w:rsidRPr="00F03917" w:rsidRDefault="00D17EF7" w:rsidP="00D17EF7">
            <w:pPr>
              <w:pStyle w:val="Glossary"/>
            </w:pPr>
            <w:r w:rsidRPr="00F03917">
              <w:t>A state of incomplete knowledge that can result from a lack of information or from disagreement about what is known or even knowable. It may have many sources, from imprecision in the data to ambiguously defined concepts or terminology, or uncertain projections of human behaviour (IPCC, 2014b, annex II).</w:t>
            </w:r>
          </w:p>
        </w:tc>
      </w:tr>
      <w:tr w:rsidR="00D17EF7" w:rsidRPr="00F03917" w14:paraId="2779925C" w14:textId="77777777" w:rsidTr="00496CF4">
        <w:trPr>
          <w:gridAfter w:val="1"/>
          <w:wAfter w:w="142" w:type="dxa"/>
          <w:trHeight w:val="300"/>
        </w:trPr>
        <w:tc>
          <w:tcPr>
            <w:tcW w:w="2268" w:type="dxa"/>
            <w:tcMar>
              <w:top w:w="57" w:type="dxa"/>
              <w:left w:w="108" w:type="dxa"/>
              <w:bottom w:w="57" w:type="dxa"/>
              <w:right w:w="108" w:type="dxa"/>
            </w:tcMar>
          </w:tcPr>
          <w:p w14:paraId="74FD86C1" w14:textId="1110E98A" w:rsidR="00D17EF7" w:rsidRPr="00F03917" w:rsidRDefault="00D17EF7" w:rsidP="00D17EF7">
            <w:pPr>
              <w:pStyle w:val="Glossary"/>
            </w:pPr>
            <w:r w:rsidRPr="00F03917">
              <w:t>Uncertainty (risk)</w:t>
            </w:r>
          </w:p>
        </w:tc>
        <w:tc>
          <w:tcPr>
            <w:tcW w:w="6237" w:type="dxa"/>
            <w:tcMar>
              <w:top w:w="57" w:type="dxa"/>
              <w:left w:w="108" w:type="dxa"/>
              <w:bottom w:w="57" w:type="dxa"/>
              <w:right w:w="108" w:type="dxa"/>
            </w:tcMar>
          </w:tcPr>
          <w:p w14:paraId="49B1DF43" w14:textId="48D3AFA0" w:rsidR="00D17EF7" w:rsidRPr="00F03917" w:rsidRDefault="00D17EF7" w:rsidP="00D17EF7">
            <w:pPr>
              <w:pStyle w:val="Glossary"/>
            </w:pPr>
            <w:r w:rsidRPr="00F03917">
              <w:t xml:space="preserve">The state, even partial, of deficiency of information related to, understanding or knowledge of an event, its </w:t>
            </w:r>
            <w:r w:rsidRPr="00F03917">
              <w:rPr>
                <w:i/>
                <w:iCs/>
              </w:rPr>
              <w:t>consequences</w:t>
            </w:r>
            <w:r w:rsidRPr="00F03917">
              <w:t xml:space="preserve"> or </w:t>
            </w:r>
            <w:r w:rsidRPr="00F03917">
              <w:rPr>
                <w:i/>
                <w:iCs/>
              </w:rPr>
              <w:t>likelihood</w:t>
            </w:r>
            <w:r w:rsidRPr="00F03917">
              <w:t xml:space="preserve"> (AS/NZS ISO 31000:2009, Risk management standard and ISO 14091:2021, Adaptation to Climate Change: Guidelines on risk assessment).</w:t>
            </w:r>
          </w:p>
        </w:tc>
      </w:tr>
      <w:tr w:rsidR="00D17EF7" w:rsidRPr="00F03917" w14:paraId="03260D24" w14:textId="77777777" w:rsidTr="00496CF4">
        <w:trPr>
          <w:gridAfter w:val="1"/>
          <w:wAfter w:w="142" w:type="dxa"/>
          <w:trHeight w:val="300"/>
        </w:trPr>
        <w:tc>
          <w:tcPr>
            <w:tcW w:w="2268" w:type="dxa"/>
            <w:tcMar>
              <w:top w:w="57" w:type="dxa"/>
              <w:left w:w="108" w:type="dxa"/>
              <w:bottom w:w="57" w:type="dxa"/>
              <w:right w:w="108" w:type="dxa"/>
            </w:tcMar>
          </w:tcPr>
          <w:p w14:paraId="5EF49558" w14:textId="1B8F3000" w:rsidR="00D17EF7" w:rsidRPr="00F03917" w:rsidRDefault="00D17EF7" w:rsidP="00D17EF7">
            <w:pPr>
              <w:pStyle w:val="Glossary"/>
            </w:pPr>
            <w:r w:rsidRPr="00F03917">
              <w:t>UNFCCC</w:t>
            </w:r>
          </w:p>
        </w:tc>
        <w:tc>
          <w:tcPr>
            <w:tcW w:w="6237" w:type="dxa"/>
            <w:tcMar>
              <w:top w:w="57" w:type="dxa"/>
              <w:left w:w="108" w:type="dxa"/>
              <w:bottom w:w="57" w:type="dxa"/>
              <w:right w:w="108" w:type="dxa"/>
            </w:tcMar>
          </w:tcPr>
          <w:p w14:paraId="765B838E" w14:textId="67FE1512" w:rsidR="00D17EF7" w:rsidRPr="00F03917" w:rsidRDefault="00D17EF7" w:rsidP="00D17EF7">
            <w:pPr>
              <w:pStyle w:val="Glossary"/>
            </w:pPr>
            <w:r w:rsidRPr="00F03917">
              <w:t xml:space="preserve">United Nations Framework Convention on Climate Change. Came into existence in March 1994 following the Rio Earth Summit in 1992. To date, 197 countries have ratified the Convention and are called Parties to the Convention. Preventing ‘dangerous’ human interference with the climate system is the ultimate aim of the UNFCCC. </w:t>
            </w:r>
          </w:p>
        </w:tc>
      </w:tr>
      <w:tr w:rsidR="00D17EF7" w:rsidRPr="00F03917" w14:paraId="5A26BDFD" w14:textId="77777777" w:rsidTr="00496CF4">
        <w:trPr>
          <w:gridAfter w:val="1"/>
          <w:wAfter w:w="142" w:type="dxa"/>
          <w:trHeight w:val="300"/>
        </w:trPr>
        <w:tc>
          <w:tcPr>
            <w:tcW w:w="2268" w:type="dxa"/>
            <w:tcMar>
              <w:top w:w="57" w:type="dxa"/>
              <w:left w:w="108" w:type="dxa"/>
              <w:bottom w:w="57" w:type="dxa"/>
              <w:right w:w="108" w:type="dxa"/>
            </w:tcMar>
          </w:tcPr>
          <w:p w14:paraId="21A3AC73" w14:textId="7240627D" w:rsidR="00D17EF7" w:rsidRPr="00F03917" w:rsidRDefault="00D17EF7" w:rsidP="00D17EF7">
            <w:pPr>
              <w:pStyle w:val="Glossary"/>
            </w:pPr>
            <w:r w:rsidRPr="00F03917">
              <w:t>Unitary authority</w:t>
            </w:r>
          </w:p>
        </w:tc>
        <w:tc>
          <w:tcPr>
            <w:tcW w:w="6237" w:type="dxa"/>
            <w:tcMar>
              <w:top w:w="57" w:type="dxa"/>
              <w:left w:w="108" w:type="dxa"/>
              <w:bottom w:w="57" w:type="dxa"/>
              <w:right w:w="108" w:type="dxa"/>
            </w:tcMar>
          </w:tcPr>
          <w:p w14:paraId="3D86BA8E" w14:textId="2CC17578" w:rsidR="00D17EF7" w:rsidRPr="00F03917" w:rsidRDefault="00D17EF7" w:rsidP="00D17EF7">
            <w:pPr>
              <w:pStyle w:val="Glossary"/>
            </w:pPr>
            <w:r w:rsidRPr="00F03917">
              <w:t>An entity that carries out the roles of both regional and district councils. There are currently six, for example, Auckland Council, Tasman District Council.</w:t>
            </w:r>
          </w:p>
        </w:tc>
      </w:tr>
      <w:tr w:rsidR="00D17EF7" w:rsidRPr="00F03917" w14:paraId="561CDC50" w14:textId="77777777" w:rsidTr="00496CF4">
        <w:trPr>
          <w:gridAfter w:val="1"/>
          <w:wAfter w:w="142" w:type="dxa"/>
          <w:trHeight w:val="300"/>
        </w:trPr>
        <w:tc>
          <w:tcPr>
            <w:tcW w:w="2268" w:type="dxa"/>
            <w:tcMar>
              <w:top w:w="57" w:type="dxa"/>
              <w:left w:w="108" w:type="dxa"/>
              <w:bottom w:w="57" w:type="dxa"/>
              <w:right w:w="108" w:type="dxa"/>
            </w:tcMar>
          </w:tcPr>
          <w:p w14:paraId="2DD57BB8" w14:textId="63EB36A7" w:rsidR="00D17EF7" w:rsidRPr="00F03917" w:rsidRDefault="00D17EF7" w:rsidP="00D17EF7">
            <w:pPr>
              <w:pStyle w:val="Glossary"/>
            </w:pPr>
            <w:r w:rsidRPr="00F03917">
              <w:t>Upzoning</w:t>
            </w:r>
          </w:p>
        </w:tc>
        <w:tc>
          <w:tcPr>
            <w:tcW w:w="6237" w:type="dxa"/>
            <w:tcMar>
              <w:top w:w="57" w:type="dxa"/>
              <w:left w:w="108" w:type="dxa"/>
              <w:bottom w:w="57" w:type="dxa"/>
              <w:right w:w="108" w:type="dxa"/>
            </w:tcMar>
          </w:tcPr>
          <w:p w14:paraId="71F81A7B" w14:textId="3CD5AEDA" w:rsidR="00D17EF7" w:rsidRPr="00F03917" w:rsidRDefault="00D17EF7" w:rsidP="00D17EF7">
            <w:pPr>
              <w:pStyle w:val="Glossary"/>
            </w:pPr>
            <w:r w:rsidRPr="00F03917">
              <w:t>Changing the zoning in land-use plans to increase the development capacity allowed in the future, eg, for higher-value (</w:t>
            </w:r>
            <w:r w:rsidR="00195C30" w:rsidRPr="00F03917">
              <w:t>eg</w:t>
            </w:r>
            <w:r w:rsidRPr="00F03917">
              <w:t>, from pastoral to residential) or intensification of uses.</w:t>
            </w:r>
          </w:p>
        </w:tc>
      </w:tr>
      <w:tr w:rsidR="00D17EF7" w:rsidRPr="00F03917" w14:paraId="0BDC15A6" w14:textId="77777777" w:rsidTr="00496CF4">
        <w:trPr>
          <w:gridAfter w:val="1"/>
          <w:wAfter w:w="142" w:type="dxa"/>
          <w:trHeight w:val="300"/>
        </w:trPr>
        <w:tc>
          <w:tcPr>
            <w:tcW w:w="2268" w:type="dxa"/>
            <w:tcMar>
              <w:top w:w="57" w:type="dxa"/>
              <w:left w:w="108" w:type="dxa"/>
              <w:bottom w:w="57" w:type="dxa"/>
              <w:right w:w="108" w:type="dxa"/>
            </w:tcMar>
          </w:tcPr>
          <w:p w14:paraId="2DC803C5" w14:textId="7EBEAF26" w:rsidR="00D17EF7" w:rsidRPr="00F03917" w:rsidRDefault="00D17EF7" w:rsidP="00D17EF7">
            <w:pPr>
              <w:pStyle w:val="Glossary"/>
            </w:pPr>
            <w:r w:rsidRPr="00F03917">
              <w:t>VLM</w:t>
            </w:r>
          </w:p>
        </w:tc>
        <w:tc>
          <w:tcPr>
            <w:tcW w:w="6237" w:type="dxa"/>
            <w:tcMar>
              <w:top w:w="57" w:type="dxa"/>
              <w:left w:w="108" w:type="dxa"/>
              <w:bottom w:w="57" w:type="dxa"/>
              <w:right w:w="108" w:type="dxa"/>
            </w:tcMar>
          </w:tcPr>
          <w:p w14:paraId="78884687" w14:textId="42997639" w:rsidR="00D17EF7" w:rsidRPr="00F03917" w:rsidRDefault="00D17EF7" w:rsidP="00D17EF7">
            <w:pPr>
              <w:pStyle w:val="Glossary"/>
            </w:pPr>
            <w:r w:rsidRPr="00F03917">
              <w:t>Vertical land movement, which contributes to the relative sea-level rise experienced locally.</w:t>
            </w:r>
          </w:p>
        </w:tc>
      </w:tr>
      <w:tr w:rsidR="00D17EF7" w:rsidRPr="00F03917" w14:paraId="277892ED" w14:textId="77777777" w:rsidTr="00496CF4">
        <w:trPr>
          <w:gridAfter w:val="1"/>
          <w:wAfter w:w="142" w:type="dxa"/>
          <w:trHeight w:val="300"/>
        </w:trPr>
        <w:tc>
          <w:tcPr>
            <w:tcW w:w="2268" w:type="dxa"/>
            <w:tcMar>
              <w:top w:w="57" w:type="dxa"/>
              <w:left w:w="108" w:type="dxa"/>
              <w:bottom w:w="57" w:type="dxa"/>
              <w:right w:w="108" w:type="dxa"/>
            </w:tcMar>
          </w:tcPr>
          <w:p w14:paraId="00CF4A94" w14:textId="47C95C83" w:rsidR="00D17EF7" w:rsidRPr="00F03917" w:rsidRDefault="00D17EF7" w:rsidP="00D17EF7">
            <w:pPr>
              <w:pStyle w:val="Glossary"/>
            </w:pPr>
            <w:r w:rsidRPr="00F03917">
              <w:t>Vulnerability</w:t>
            </w:r>
          </w:p>
        </w:tc>
        <w:tc>
          <w:tcPr>
            <w:tcW w:w="6237" w:type="dxa"/>
            <w:tcMar>
              <w:top w:w="57" w:type="dxa"/>
              <w:left w:w="108" w:type="dxa"/>
              <w:bottom w:w="57" w:type="dxa"/>
              <w:right w:w="108" w:type="dxa"/>
            </w:tcMar>
          </w:tcPr>
          <w:p w14:paraId="46D235B7" w14:textId="38474AA6" w:rsidR="00D17EF7" w:rsidRPr="00F03917" w:rsidRDefault="00D17EF7" w:rsidP="00D17EF7">
            <w:pPr>
              <w:pStyle w:val="Glossary"/>
            </w:pPr>
            <w:r w:rsidRPr="00F03917">
              <w:t>The predisposition to be adversely affected. Encompasses a variety of concepts and elements, including exposure, sensitivity or susceptibility to harm or damage, and lack of capacity to cope and adapt (adaptive capacity) (adapted from IPCC, 2014b, annex II).</w:t>
            </w:r>
          </w:p>
        </w:tc>
      </w:tr>
      <w:tr w:rsidR="00D17EF7" w:rsidRPr="00F03917" w14:paraId="3D4D3C24" w14:textId="77777777" w:rsidTr="00496CF4">
        <w:trPr>
          <w:gridAfter w:val="1"/>
          <w:wAfter w:w="142" w:type="dxa"/>
          <w:trHeight w:val="300"/>
        </w:trPr>
        <w:tc>
          <w:tcPr>
            <w:tcW w:w="2268" w:type="dxa"/>
            <w:tcMar>
              <w:top w:w="57" w:type="dxa"/>
              <w:left w:w="108" w:type="dxa"/>
              <w:bottom w:w="57" w:type="dxa"/>
              <w:right w:w="108" w:type="dxa"/>
            </w:tcMar>
          </w:tcPr>
          <w:p w14:paraId="6A4AAEFF" w14:textId="245394EA" w:rsidR="00D17EF7" w:rsidRPr="00F03917" w:rsidRDefault="00D17EF7" w:rsidP="00D17EF7">
            <w:pPr>
              <w:pStyle w:val="Glossary"/>
            </w:pPr>
            <w:r w:rsidRPr="00F03917">
              <w:t>Vulnerability assessment</w:t>
            </w:r>
          </w:p>
        </w:tc>
        <w:tc>
          <w:tcPr>
            <w:tcW w:w="6237" w:type="dxa"/>
            <w:tcMar>
              <w:top w:w="57" w:type="dxa"/>
              <w:left w:w="108" w:type="dxa"/>
              <w:bottom w:w="57" w:type="dxa"/>
              <w:right w:w="108" w:type="dxa"/>
            </w:tcMar>
          </w:tcPr>
          <w:p w14:paraId="2A323AED" w14:textId="4F050084" w:rsidR="00D17EF7" w:rsidRPr="00F03917" w:rsidRDefault="00D17EF7" w:rsidP="00D17EF7">
            <w:pPr>
              <w:pStyle w:val="Glossary"/>
            </w:pPr>
            <w:r w:rsidRPr="00F03917">
              <w:t>As part of a climate risk assessment (</w:t>
            </w:r>
            <w:hyperlink w:anchor="_Step_4:_Assess" w:history="1">
              <w:r w:rsidRPr="00F03917">
                <w:rPr>
                  <w:rStyle w:val="Hyperlink"/>
                </w:rPr>
                <w:t>step 4</w:t>
              </w:r>
            </w:hyperlink>
            <w:r w:rsidRPr="00F03917">
              <w:t xml:space="preserve">), the process of identifying, quantifying and prioritising (or ranking) the </w:t>
            </w:r>
            <w:r w:rsidRPr="00F03917">
              <w:rPr>
                <w:i/>
                <w:iCs/>
              </w:rPr>
              <w:t>vulnerabilities</w:t>
            </w:r>
            <w:r w:rsidRPr="00F03917">
              <w:t xml:space="preserve"> in a system, environment or community. Conducted across the political, social, economic and environmental fields, as well as those highlighted by hazard threats to community and private assets. Includes the sensitivity of people, land and assets exposed, together with </w:t>
            </w:r>
            <w:r w:rsidRPr="00F03917">
              <w:rPr>
                <w:i/>
                <w:iCs/>
              </w:rPr>
              <w:t>adaptive capacity</w:t>
            </w:r>
            <w:r w:rsidRPr="00F03917">
              <w:t>.</w:t>
            </w:r>
          </w:p>
        </w:tc>
      </w:tr>
      <w:tr w:rsidR="00D17EF7" w:rsidRPr="00F03917" w14:paraId="62998DF1" w14:textId="77777777" w:rsidTr="00496CF4">
        <w:trPr>
          <w:gridAfter w:val="1"/>
          <w:wAfter w:w="142" w:type="dxa"/>
          <w:trHeight w:val="300"/>
        </w:trPr>
        <w:tc>
          <w:tcPr>
            <w:tcW w:w="2268" w:type="dxa"/>
            <w:tcMar>
              <w:top w:w="57" w:type="dxa"/>
              <w:left w:w="108" w:type="dxa"/>
              <w:bottom w:w="57" w:type="dxa"/>
              <w:right w:w="108" w:type="dxa"/>
            </w:tcMar>
          </w:tcPr>
          <w:p w14:paraId="564217FA" w14:textId="38A5A38D" w:rsidR="00D17EF7" w:rsidRPr="00F03917" w:rsidRDefault="00D17EF7" w:rsidP="00BB4C17">
            <w:pPr>
              <w:pStyle w:val="Glossary"/>
              <w:keepNext/>
            </w:pPr>
            <w:r w:rsidRPr="00F03917">
              <w:t>Water table</w:t>
            </w:r>
          </w:p>
        </w:tc>
        <w:tc>
          <w:tcPr>
            <w:tcW w:w="6237" w:type="dxa"/>
            <w:tcMar>
              <w:top w:w="57" w:type="dxa"/>
              <w:left w:w="108" w:type="dxa"/>
              <w:bottom w:w="57" w:type="dxa"/>
              <w:right w:w="108" w:type="dxa"/>
            </w:tcMar>
          </w:tcPr>
          <w:p w14:paraId="3639EE6D" w14:textId="274AC7EB" w:rsidR="00D17EF7" w:rsidRPr="00F03917" w:rsidRDefault="00D17EF7" w:rsidP="00D17EF7">
            <w:pPr>
              <w:pStyle w:val="Glossary"/>
            </w:pPr>
            <w:r w:rsidRPr="00F03917">
              <w:t>The ‘surface’ of the sub</w:t>
            </w:r>
            <w:r w:rsidR="002D3D6E" w:rsidRPr="00F03917">
              <w:t>-</w:t>
            </w:r>
            <w:r w:rsidRPr="00F03917">
              <w:t xml:space="preserve">surface sediments that are saturated with groundwater in a given vicinity. Typically measured as the elevation that water rises to in a well screened in shallow groundwater. </w:t>
            </w:r>
          </w:p>
        </w:tc>
      </w:tr>
      <w:tr w:rsidR="00D17EF7" w:rsidRPr="00F03917" w14:paraId="11C4249C" w14:textId="77777777" w:rsidTr="00496CF4">
        <w:trPr>
          <w:gridAfter w:val="1"/>
          <w:wAfter w:w="142" w:type="dxa"/>
          <w:trHeight w:val="300"/>
        </w:trPr>
        <w:tc>
          <w:tcPr>
            <w:tcW w:w="2268" w:type="dxa"/>
            <w:tcMar>
              <w:top w:w="57" w:type="dxa"/>
              <w:left w:w="108" w:type="dxa"/>
              <w:bottom w:w="57" w:type="dxa"/>
              <w:right w:w="108" w:type="dxa"/>
            </w:tcMar>
          </w:tcPr>
          <w:p w14:paraId="1F6E4190" w14:textId="6CCADCDA" w:rsidR="00D17EF7" w:rsidRPr="00F03917" w:rsidRDefault="00D17EF7" w:rsidP="00D17EF7">
            <w:pPr>
              <w:pStyle w:val="Glossary"/>
            </w:pPr>
            <w:r w:rsidRPr="00F03917">
              <w:t>Wave overtopping</w:t>
            </w:r>
          </w:p>
        </w:tc>
        <w:tc>
          <w:tcPr>
            <w:tcW w:w="6237" w:type="dxa"/>
            <w:tcMar>
              <w:top w:w="57" w:type="dxa"/>
              <w:left w:w="108" w:type="dxa"/>
              <w:bottom w:w="57" w:type="dxa"/>
              <w:right w:w="108" w:type="dxa"/>
            </w:tcMar>
          </w:tcPr>
          <w:p w14:paraId="0914E8D2" w14:textId="54C81A1B" w:rsidR="00D17EF7" w:rsidRPr="00F03917" w:rsidRDefault="00D17EF7" w:rsidP="00D17EF7">
            <w:pPr>
              <w:pStyle w:val="Glossary"/>
            </w:pPr>
            <w:r w:rsidRPr="00F03917">
              <w:t>Occurs when the wave runup exceeds the crest elevation of the beach and flows over the top (‘overtops’) of the dune or seawall.</w:t>
            </w:r>
          </w:p>
        </w:tc>
      </w:tr>
      <w:tr w:rsidR="00D17EF7" w:rsidRPr="00F03917" w14:paraId="6A509132" w14:textId="77777777" w:rsidTr="00496CF4">
        <w:trPr>
          <w:gridAfter w:val="1"/>
          <w:wAfter w:w="142" w:type="dxa"/>
          <w:trHeight w:val="300"/>
        </w:trPr>
        <w:tc>
          <w:tcPr>
            <w:tcW w:w="2268" w:type="dxa"/>
            <w:tcMar>
              <w:top w:w="57" w:type="dxa"/>
              <w:left w:w="108" w:type="dxa"/>
              <w:bottom w:w="57" w:type="dxa"/>
              <w:right w:w="108" w:type="dxa"/>
            </w:tcMar>
          </w:tcPr>
          <w:p w14:paraId="70CBB866" w14:textId="78242E96" w:rsidR="00D17EF7" w:rsidRPr="00F03917" w:rsidRDefault="00D17EF7" w:rsidP="00D17EF7">
            <w:pPr>
              <w:pStyle w:val="Glossary"/>
            </w:pPr>
            <w:r w:rsidRPr="00F03917">
              <w:lastRenderedPageBreak/>
              <w:t xml:space="preserve">Wave runup </w:t>
            </w:r>
          </w:p>
        </w:tc>
        <w:tc>
          <w:tcPr>
            <w:tcW w:w="6237" w:type="dxa"/>
            <w:tcMar>
              <w:top w:w="57" w:type="dxa"/>
              <w:left w:w="108" w:type="dxa"/>
              <w:bottom w:w="57" w:type="dxa"/>
              <w:right w:w="108" w:type="dxa"/>
            </w:tcMar>
          </w:tcPr>
          <w:p w14:paraId="7AC87C1E" w14:textId="666F36A6" w:rsidR="00D17EF7" w:rsidRPr="00F03917" w:rsidRDefault="00D17EF7" w:rsidP="00D17EF7">
            <w:pPr>
              <w:pStyle w:val="Glossary"/>
            </w:pPr>
            <w:r w:rsidRPr="00F03917">
              <w:t>The maximum vertical extent of sporadic wave ‘up rush’ or flowing water (‘green water’) on a beach or structure above the still water or storm tide level. Constitutes only a short-term upper-bound fluctuation in water level compared with wave setup.</w:t>
            </w:r>
          </w:p>
        </w:tc>
      </w:tr>
      <w:tr w:rsidR="00D17EF7" w:rsidRPr="00F03917" w14:paraId="2E619EAC" w14:textId="77777777" w:rsidTr="00496CF4">
        <w:trPr>
          <w:gridAfter w:val="1"/>
          <w:wAfter w:w="142" w:type="dxa"/>
          <w:trHeight w:val="300"/>
        </w:trPr>
        <w:tc>
          <w:tcPr>
            <w:tcW w:w="2268" w:type="dxa"/>
            <w:tcBorders>
              <w:left w:val="nil"/>
              <w:bottom w:val="single" w:sz="8" w:space="0" w:color="1C556C" w:themeColor="accent1"/>
              <w:right w:val="nil"/>
            </w:tcBorders>
            <w:tcMar>
              <w:top w:w="57" w:type="dxa"/>
              <w:left w:w="108" w:type="dxa"/>
              <w:bottom w:w="57" w:type="dxa"/>
              <w:right w:w="108" w:type="dxa"/>
            </w:tcMar>
          </w:tcPr>
          <w:p w14:paraId="1718EB8B" w14:textId="00BB24EE" w:rsidR="00D17EF7" w:rsidRPr="00F03917" w:rsidRDefault="00D17EF7" w:rsidP="00D17EF7">
            <w:pPr>
              <w:pStyle w:val="Glossary"/>
            </w:pPr>
            <w:r w:rsidRPr="00F03917">
              <w:t>Wave setup</w:t>
            </w:r>
          </w:p>
        </w:tc>
        <w:tc>
          <w:tcPr>
            <w:tcW w:w="6237" w:type="dxa"/>
            <w:tcBorders>
              <w:left w:val="nil"/>
              <w:bottom w:val="single" w:sz="8" w:space="0" w:color="1C556C" w:themeColor="accent1"/>
              <w:right w:val="nil"/>
            </w:tcBorders>
            <w:tcMar>
              <w:top w:w="57" w:type="dxa"/>
              <w:left w:w="108" w:type="dxa"/>
              <w:bottom w:w="57" w:type="dxa"/>
              <w:right w:w="108" w:type="dxa"/>
            </w:tcMar>
          </w:tcPr>
          <w:p w14:paraId="55E762EA" w14:textId="12890C33" w:rsidR="00D17EF7" w:rsidRPr="00F03917" w:rsidRDefault="00D17EF7" w:rsidP="00D17EF7">
            <w:pPr>
              <w:pStyle w:val="Glossary"/>
            </w:pPr>
            <w:r w:rsidRPr="00F03917">
              <w:t>The increase in mean still water sea level at the coast resulting from the release of wave energy in the surf zone as waves break.</w:t>
            </w:r>
          </w:p>
        </w:tc>
      </w:tr>
    </w:tbl>
    <w:p w14:paraId="4B3701C2" w14:textId="77777777" w:rsidR="00E07B0D" w:rsidRPr="00F03917" w:rsidRDefault="00E07B0D" w:rsidP="00B9248C">
      <w:pPr>
        <w:pStyle w:val="BodyText"/>
      </w:pPr>
    </w:p>
    <w:p w14:paraId="18BD8795" w14:textId="77777777" w:rsidR="00BD03E6" w:rsidRPr="00F03917" w:rsidRDefault="00BD03E6" w:rsidP="00B9248C">
      <w:pPr>
        <w:pStyle w:val="BodyText"/>
        <w:sectPr w:rsidR="00BD03E6" w:rsidRPr="00F03917" w:rsidSect="007E5AB2">
          <w:headerReference w:type="even" r:id="rId167"/>
          <w:headerReference w:type="default" r:id="rId168"/>
          <w:footerReference w:type="default" r:id="rId169"/>
          <w:pgSz w:w="11907" w:h="16840" w:code="9"/>
          <w:pgMar w:top="1134" w:right="1701" w:bottom="1134" w:left="1701" w:header="567" w:footer="567" w:gutter="0"/>
          <w:cols w:space="720"/>
          <w:docGrid w:linePitch="299"/>
        </w:sectPr>
      </w:pPr>
    </w:p>
    <w:p w14:paraId="555CEEB5" w14:textId="5D27C788" w:rsidR="00B829FC" w:rsidRPr="00F03917" w:rsidRDefault="00B829FC" w:rsidP="00A566B6">
      <w:pPr>
        <w:pStyle w:val="Heading1"/>
        <w:spacing w:after="240"/>
      </w:pPr>
      <w:bookmarkStart w:id="232" w:name="_Appendix_A:_Coastal"/>
      <w:bookmarkStart w:id="233" w:name="_Appendix_A:_Coastal-hazard-manageme"/>
      <w:bookmarkStart w:id="234" w:name="_Toc160096272"/>
      <w:bookmarkEnd w:id="232"/>
      <w:bookmarkEnd w:id="233"/>
      <w:r w:rsidRPr="00F03917">
        <w:lastRenderedPageBreak/>
        <w:t>Appendix A: Coastal</w:t>
      </w:r>
      <w:r w:rsidR="00EC136D" w:rsidRPr="00F03917">
        <w:t xml:space="preserve"> </w:t>
      </w:r>
      <w:r w:rsidRPr="00F03917">
        <w:t>hazard</w:t>
      </w:r>
      <w:r w:rsidR="00EC136D" w:rsidRPr="00F03917">
        <w:t xml:space="preserve"> </w:t>
      </w:r>
      <w:r w:rsidRPr="00F03917">
        <w:t>management case studies</w:t>
      </w:r>
      <w:bookmarkEnd w:id="234"/>
      <w:r w:rsidRPr="00F03917">
        <w:t xml:space="preserve"> </w:t>
      </w:r>
    </w:p>
    <w:p w14:paraId="693E7CC7" w14:textId="1F111518" w:rsidR="00B829FC" w:rsidRPr="00F03917" w:rsidRDefault="00B829FC" w:rsidP="00F27244">
      <w:pPr>
        <w:pStyle w:val="Heading8"/>
      </w:pPr>
      <w:r w:rsidRPr="00F03917">
        <w:t xml:space="preserve">Coastal inundation tool </w:t>
      </w:r>
      <w:r w:rsidR="00560C67" w:rsidRPr="00F03917">
        <w:br/>
      </w:r>
      <w:r w:rsidRPr="00F03917">
        <w:t>(Waikato Regional Council)</w:t>
      </w:r>
    </w:p>
    <w:p w14:paraId="1D45D522" w14:textId="7A9CE7BD" w:rsidR="00B829FC" w:rsidRPr="00F03917" w:rsidRDefault="00B829FC" w:rsidP="00C219AC">
      <w:pPr>
        <w:pStyle w:val="BodyText"/>
      </w:pPr>
      <w:r w:rsidRPr="00F03917">
        <w:t xml:space="preserve">Waikato Regional Council has developed a tool to show the susceptibility of coastal areas to inundation from tides, storms and projected </w:t>
      </w:r>
      <w:r w:rsidR="5CA5B8F4" w:rsidRPr="00F03917">
        <w:t>relative sea-level rise (</w:t>
      </w:r>
      <w:r w:rsidR="35359DB1" w:rsidRPr="00F03917">
        <w:t>RSLR</w:t>
      </w:r>
      <w:r w:rsidR="02F7B280" w:rsidRPr="00F03917">
        <w:t>)</w:t>
      </w:r>
      <w:r w:rsidRPr="00F03917">
        <w:t xml:space="preserve"> at a regional scale. It is not designed to define actual coastal inundation hazards or minimum floor levels for specific properties. It is used for screening to identify areas where more detailed assessment might be</w:t>
      </w:r>
      <w:r w:rsidR="00A566B6" w:rsidRPr="00F03917">
        <w:t> </w:t>
      </w:r>
      <w:r w:rsidRPr="00F03917">
        <w:t xml:space="preserve">required, and for raising public awareness. </w:t>
      </w:r>
    </w:p>
    <w:p w14:paraId="1B0E2FFA" w14:textId="43259220" w:rsidR="00B829FC" w:rsidRPr="00F03917" w:rsidRDefault="00B829FC" w:rsidP="00C219AC">
      <w:pPr>
        <w:pStyle w:val="BodyText"/>
      </w:pPr>
      <w:r w:rsidRPr="00F03917">
        <w:t>The tool uses static geographic information system (GIS) mapping to show potential coastal storm inundation, given user-selected sea-level scenarios. It includes guidance on a set of plausible sea levels, based on detailed analyses of sea-level records and a tidal model. Extreme sea levels (not including</w:t>
      </w:r>
      <w:r w:rsidR="35359DB1" w:rsidRPr="00F03917">
        <w:t xml:space="preserve"> </w:t>
      </w:r>
      <w:r w:rsidR="2CF969A9" w:rsidRPr="00F03917">
        <w:t>sea-level rise</w:t>
      </w:r>
      <w:r w:rsidRPr="00F03917">
        <w:t xml:space="preserve"> </w:t>
      </w:r>
      <w:r w:rsidR="2CF969A9" w:rsidRPr="00F03917">
        <w:t>(</w:t>
      </w:r>
      <w:r w:rsidRPr="00F03917">
        <w:t>SLR</w:t>
      </w:r>
      <w:r w:rsidR="510E6B13" w:rsidRPr="00F03917">
        <w:t>)</w:t>
      </w:r>
      <w:r w:rsidR="35359DB1" w:rsidRPr="00F03917">
        <w:t>)</w:t>
      </w:r>
      <w:r w:rsidRPr="00F03917">
        <w:t xml:space="preserve"> are included in the tool, calculated using a ‘building block’ extreme sea-level method, for a lower and upper estimate of storm-tide. They</w:t>
      </w:r>
      <w:r w:rsidR="00A566B6" w:rsidRPr="00F03917">
        <w:t> </w:t>
      </w:r>
      <w:r w:rsidRPr="00F03917">
        <w:t xml:space="preserve">have an unknown likelihood of occurrence. The tool does not associate probabilities of occurrence to extreme sea levels but provides a plausible range of extreme sea levels, based on present-day conditions. </w:t>
      </w:r>
    </w:p>
    <w:p w14:paraId="0A534D42" w14:textId="5BFB96BE" w:rsidR="00B829FC" w:rsidRPr="00F03917" w:rsidRDefault="00B829FC" w:rsidP="00C219AC">
      <w:pPr>
        <w:pStyle w:val="BodyText"/>
      </w:pPr>
      <w:r w:rsidRPr="00F03917">
        <w:t xml:space="preserve">The tool allows for testing </w:t>
      </w:r>
      <w:r w:rsidR="00AB1B8C" w:rsidRPr="00F03917">
        <w:t>R</w:t>
      </w:r>
      <w:r w:rsidRPr="00F03917">
        <w:t xml:space="preserve">SLR </w:t>
      </w:r>
      <w:r w:rsidR="00AB1B8C" w:rsidRPr="00F03917">
        <w:t>projections</w:t>
      </w:r>
      <w:r w:rsidRPr="00F03917">
        <w:t xml:space="preserve"> or a range of increments relative to current mean sea level, by adding an SLR increment to the present-day extreme sea level (figure A.1). It is well suited for large-scale, long-term, scenario-based planning where consequences are being </w:t>
      </w:r>
      <w:r w:rsidRPr="00F03917">
        <w:rPr>
          <w:spacing w:val="-2"/>
        </w:rPr>
        <w:t>assessed. It could be used, for example, in pre-planning discussions and community engageme</w:t>
      </w:r>
      <w:r w:rsidRPr="00F03917">
        <w:t xml:space="preserve">nt. </w:t>
      </w:r>
    </w:p>
    <w:p w14:paraId="38C7A2BC" w14:textId="52089F4C" w:rsidR="00B829FC" w:rsidRPr="00F03917" w:rsidRDefault="00B829FC" w:rsidP="00C219AC">
      <w:pPr>
        <w:pStyle w:val="BodyText"/>
      </w:pPr>
      <w:r w:rsidRPr="00F03917">
        <w:t>User feedback shows how the tool has raised public awareness of coastal inundation in the</w:t>
      </w:r>
      <w:r w:rsidR="00A566B6" w:rsidRPr="00F03917">
        <w:t> </w:t>
      </w:r>
      <w:r w:rsidRPr="00F03917">
        <w:t xml:space="preserve">Waikato region. The level of community feedback was improved by an extensive communications effort, especially by </w:t>
      </w:r>
      <w:r w:rsidR="00355687" w:rsidRPr="00F03917">
        <w:t xml:space="preserve">the </w:t>
      </w:r>
      <w:r w:rsidRPr="00F03917">
        <w:t>regional and local councils, before the tool was launched.</w:t>
      </w:r>
    </w:p>
    <w:p w14:paraId="5DBAE441" w14:textId="4344DF82" w:rsidR="00B829FC" w:rsidRPr="00F03917" w:rsidRDefault="00B829FC" w:rsidP="00C52920">
      <w:pPr>
        <w:pStyle w:val="Figureheading"/>
      </w:pPr>
      <w:bookmarkStart w:id="235" w:name="_Toc160098440"/>
      <w:r w:rsidRPr="00F03917">
        <w:lastRenderedPageBreak/>
        <w:t>Figure A.1:</w:t>
      </w:r>
      <w:r w:rsidRPr="00F03917">
        <w:tab/>
        <w:t xml:space="preserve">Current </w:t>
      </w:r>
      <w:r w:rsidR="6EBF4B0A" w:rsidRPr="00F03917">
        <w:t xml:space="preserve">mean high water spring tide </w:t>
      </w:r>
      <w:r w:rsidRPr="00F03917">
        <w:t>and a future upper-range coastal storm inundation for a 0.5 </w:t>
      </w:r>
      <w:r w:rsidR="35359DB1" w:rsidRPr="00F03917">
        <w:t>m</w:t>
      </w:r>
      <w:r w:rsidR="0F767DC1" w:rsidRPr="00F03917">
        <w:t>etre</w:t>
      </w:r>
      <w:r w:rsidRPr="00F03917">
        <w:t xml:space="preserve"> sea-level rise at Thames using the coastal inundation tool</w:t>
      </w:r>
      <w:bookmarkEnd w:id="235"/>
    </w:p>
    <w:p w14:paraId="65D38946" w14:textId="40D4DC8B" w:rsidR="00B829FC" w:rsidRPr="00F03917" w:rsidRDefault="009B393D" w:rsidP="001E102C">
      <w:pPr>
        <w:pStyle w:val="BodyText"/>
        <w:jc w:val="center"/>
      </w:pPr>
      <w:r w:rsidRPr="00F03917">
        <w:rPr>
          <w:noProof/>
        </w:rPr>
        <w:drawing>
          <wp:inline distT="0" distB="0" distL="0" distR="0" wp14:anchorId="7DAD8829" wp14:editId="7BB31624">
            <wp:extent cx="2067287" cy="2894107"/>
            <wp:effectExtent l="0" t="0" r="9525" b="1905"/>
            <wp:docPr id="1195570349" name="Picture 1195570349" descr="A picture containing map, aerial photography, bird's-eye view,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561024" name="Picture 1" descr="A picture containing map, aerial photography, bird's-eye view, water&#10;&#10;Description automatically generated"/>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073400" cy="2902665"/>
                    </a:xfrm>
                    <a:prstGeom prst="rect">
                      <a:avLst/>
                    </a:prstGeom>
                    <a:noFill/>
                    <a:ln>
                      <a:noFill/>
                    </a:ln>
                  </pic:spPr>
                </pic:pic>
              </a:graphicData>
            </a:graphic>
          </wp:inline>
        </w:drawing>
      </w:r>
      <w:r w:rsidR="00FB7D30" w:rsidRPr="00F03917">
        <w:t xml:space="preserve"> </w:t>
      </w:r>
      <w:r w:rsidR="00B829FC" w:rsidRPr="00F03917">
        <w:rPr>
          <w:noProof/>
        </w:rPr>
        <w:drawing>
          <wp:inline distT="0" distB="0" distL="0" distR="0" wp14:anchorId="3D2C6CFC" wp14:editId="58149D53">
            <wp:extent cx="1990725" cy="2886207"/>
            <wp:effectExtent l="0" t="0" r="0" b="9525"/>
            <wp:docPr id="22124423" name="Picture 22124423" descr="A picture containing map, water, aerial photography, water resour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80980" name="Picture 2" descr="A picture containing map, water, aerial photography, water resources&#10;&#10;Description automatically generated"/>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034276" cy="2949348"/>
                    </a:xfrm>
                    <a:prstGeom prst="rect">
                      <a:avLst/>
                    </a:prstGeom>
                    <a:noFill/>
                    <a:ln>
                      <a:noFill/>
                    </a:ln>
                  </pic:spPr>
                </pic:pic>
              </a:graphicData>
            </a:graphic>
          </wp:inline>
        </w:drawing>
      </w:r>
    </w:p>
    <w:p w14:paraId="402D2F70" w14:textId="161B56F8" w:rsidR="00B829FC" w:rsidRPr="00F03917" w:rsidRDefault="00B829FC" w:rsidP="00776785">
      <w:pPr>
        <w:pStyle w:val="Source"/>
        <w:tabs>
          <w:tab w:val="clear" w:pos="680"/>
        </w:tabs>
        <w:spacing w:before="60" w:after="60" w:line="220" w:lineRule="atLeast"/>
      </w:pPr>
      <w:r w:rsidRPr="00F03917">
        <w:t>Left: mean high water spring tide elevation at present-day mean sea level (1.8 m</w:t>
      </w:r>
      <w:r w:rsidR="008752E0" w:rsidRPr="00F03917">
        <w:t>etre</w:t>
      </w:r>
      <w:r w:rsidRPr="00F03917">
        <w:t xml:space="preserve"> MVD-53). Right: upper storm tide elevation plus 0.5</w:t>
      </w:r>
      <w:r w:rsidR="009F1517" w:rsidRPr="00F03917">
        <w:t xml:space="preserve"> </w:t>
      </w:r>
      <w:r w:rsidRPr="00F03917">
        <w:t>m</w:t>
      </w:r>
      <w:r w:rsidR="008752E0" w:rsidRPr="00F03917">
        <w:t>etre sea-level rise</w:t>
      </w:r>
      <w:r w:rsidRPr="00F03917">
        <w:t xml:space="preserve"> (3.6 m</w:t>
      </w:r>
      <w:r w:rsidR="009F1517" w:rsidRPr="00F03917">
        <w:t>etre</w:t>
      </w:r>
      <w:r w:rsidRPr="00F03917">
        <w:t xml:space="preserve"> MVD-53).</w:t>
      </w:r>
      <w:r w:rsidR="00776785" w:rsidRPr="00F03917">
        <w:t xml:space="preserve"> </w:t>
      </w:r>
      <w:r w:rsidRPr="00F03917">
        <w:t xml:space="preserve">Blue shading = areas of direct inundation; green </w:t>
      </w:r>
      <w:r w:rsidRPr="00F03917">
        <w:rPr>
          <w:spacing w:val="-2"/>
        </w:rPr>
        <w:t xml:space="preserve">shading = areas lower than the relevant sea level but not directly connected to the sea. Dark brown lines = </w:t>
      </w:r>
      <w:r w:rsidR="35359DB1" w:rsidRPr="00F03917">
        <w:rPr>
          <w:spacing w:val="-2"/>
        </w:rPr>
        <w:t>stop</w:t>
      </w:r>
      <w:r w:rsidR="6251DA02" w:rsidRPr="00F03917">
        <w:rPr>
          <w:spacing w:val="-2"/>
        </w:rPr>
        <w:t xml:space="preserve"> </w:t>
      </w:r>
      <w:r w:rsidR="35359DB1" w:rsidRPr="00F03917">
        <w:rPr>
          <w:spacing w:val="-2"/>
        </w:rPr>
        <w:t>banks</w:t>
      </w:r>
      <w:r w:rsidRPr="00F03917">
        <w:t xml:space="preserve">. </w:t>
      </w:r>
    </w:p>
    <w:p w14:paraId="2081A5A5" w14:textId="13950733" w:rsidR="00B829FC" w:rsidRPr="00F03917" w:rsidRDefault="00B829FC" w:rsidP="00B16026">
      <w:pPr>
        <w:pStyle w:val="Source"/>
        <w:tabs>
          <w:tab w:val="clear" w:pos="680"/>
        </w:tabs>
        <w:spacing w:before="0" w:after="0" w:line="220" w:lineRule="atLeast"/>
        <w:rPr>
          <w:color w:val="1C556C"/>
        </w:rPr>
      </w:pPr>
      <w:r w:rsidRPr="00F03917">
        <w:t xml:space="preserve">Source: Waikato Regional Council: </w:t>
      </w:r>
      <w:hyperlink r:id="rId172" w:history="1">
        <w:r w:rsidRPr="00F03917">
          <w:rPr>
            <w:rStyle w:val="Hyperlink"/>
          </w:rPr>
          <w:t>https://coastalinundation.waikatoregion.govt.nz/</w:t>
        </w:r>
      </w:hyperlink>
      <w:r w:rsidRPr="00F03917">
        <w:rPr>
          <w:color w:val="1C556C"/>
        </w:rPr>
        <w:t xml:space="preserve"> </w:t>
      </w:r>
    </w:p>
    <w:p w14:paraId="28BC6922" w14:textId="463A9C97" w:rsidR="00B829FC" w:rsidRPr="00F03917" w:rsidRDefault="00B829FC" w:rsidP="00F27244">
      <w:pPr>
        <w:pStyle w:val="Heading8"/>
      </w:pPr>
      <w:r w:rsidRPr="00F03917">
        <w:t>Coastal calculator (NIWA)</w:t>
      </w:r>
    </w:p>
    <w:p w14:paraId="5F1A0E0C" w14:textId="7C809618" w:rsidR="00B829FC" w:rsidRPr="00F03917" w:rsidRDefault="2C5773CA" w:rsidP="00B16026">
      <w:pPr>
        <w:pStyle w:val="BodyText"/>
        <w:spacing w:after="100"/>
      </w:pPr>
      <w:r w:rsidRPr="00F03917">
        <w:t xml:space="preserve">The </w:t>
      </w:r>
      <w:r w:rsidRPr="00F03917">
        <w:rPr>
          <w:rFonts w:eastAsia="Calibri" w:cs="Calibri"/>
        </w:rPr>
        <w:t>National Institute of Water and Atmospheric Research’s (</w:t>
      </w:r>
      <w:r w:rsidR="00B829FC" w:rsidRPr="00F03917">
        <w:t>NIWA’s</w:t>
      </w:r>
      <w:r w:rsidR="4E2DF43A" w:rsidRPr="00F03917">
        <w:t>)</w:t>
      </w:r>
      <w:r w:rsidR="00B829FC" w:rsidRPr="00F03917">
        <w:t xml:space="preserve"> coastal calculator was developed to provide coastal hazard source elevations, along with their likelihood of occurrence, for coastal hazard </w:t>
      </w:r>
      <w:r w:rsidR="000B14DE" w:rsidRPr="00F03917">
        <w:t xml:space="preserve">and </w:t>
      </w:r>
      <w:r w:rsidR="00B829FC" w:rsidRPr="00F03917">
        <w:t>risk assessment</w:t>
      </w:r>
      <w:r w:rsidR="000B14DE" w:rsidRPr="00F03917">
        <w:t>s</w:t>
      </w:r>
      <w:r w:rsidR="00B829FC" w:rsidRPr="00F03917">
        <w:t xml:space="preserve"> (Allis et al, 2015). The information is suitable for either storm inundation or erosion assessments. </w:t>
      </w:r>
    </w:p>
    <w:p w14:paraId="0599D441" w14:textId="77777777" w:rsidR="00B829FC" w:rsidRPr="00F03917" w:rsidRDefault="00B829FC" w:rsidP="00B16026">
      <w:pPr>
        <w:pStyle w:val="BodyText"/>
        <w:spacing w:after="100"/>
      </w:pPr>
      <w:r w:rsidRPr="00F03917">
        <w:t xml:space="preserve">The calculator is a user-friendly way to present complex information, and it can serve as a database, a computer and an interactive presentation tool. Rather than presenting hazard information in written form, it allows the user to explore the sensitivity of hazards to location, SLR and beach state (figure A.2). </w:t>
      </w:r>
    </w:p>
    <w:p w14:paraId="797078AF" w14:textId="77777777" w:rsidR="00B829FC" w:rsidRPr="00F03917" w:rsidRDefault="00B829FC" w:rsidP="00B16026">
      <w:pPr>
        <w:pStyle w:val="BodyText"/>
        <w:spacing w:after="100"/>
      </w:pPr>
      <w:r w:rsidRPr="00F03917">
        <w:t>The calculator includes extreme sea level and wave analyses from monitoring data; storm tide and wave hindcast models verified against data; joint probability analyses of storm tides and waves; analysis of beach profiles; empirical wave setup; and runup models verified against historical observations. It provides coastal hazard information in a way that meets the recommended requirements for risk-based coastal adaptation:</w:t>
      </w:r>
    </w:p>
    <w:p w14:paraId="6AD2BED1" w14:textId="77777777" w:rsidR="00B829FC" w:rsidRPr="00F03917" w:rsidRDefault="01AA2E7F" w:rsidP="007F2DAE">
      <w:pPr>
        <w:pStyle w:val="BulletFIX"/>
      </w:pPr>
      <w:r w:rsidRPr="00F03917">
        <w:t>output clearly related to local vertical datum</w:t>
      </w:r>
    </w:p>
    <w:p w14:paraId="31EF51D6" w14:textId="00179F02" w:rsidR="00B829FC" w:rsidRPr="00F03917" w:rsidRDefault="01AA2E7F" w:rsidP="007F2DAE">
      <w:pPr>
        <w:pStyle w:val="BulletFIX"/>
      </w:pPr>
      <w:r w:rsidRPr="00F03917">
        <w:t>high level of modelling detail in a probabilistic framework, including multi-year wave and storm tide hindcasts, statistically robust extreme</w:t>
      </w:r>
      <w:r w:rsidR="00F7726C" w:rsidRPr="00F03917">
        <w:t xml:space="preserve"> </w:t>
      </w:r>
      <w:r w:rsidRPr="00F03917">
        <w:t>value modelling and joint probability modelling of both storm tides and waves</w:t>
      </w:r>
    </w:p>
    <w:p w14:paraId="45234699" w14:textId="77777777" w:rsidR="00B829FC" w:rsidRPr="00F03917" w:rsidRDefault="01AA2E7F" w:rsidP="007F2DAE">
      <w:pPr>
        <w:pStyle w:val="BulletFIX"/>
      </w:pPr>
      <w:r w:rsidRPr="00F03917">
        <w:t>models are underpinned by monitoring data</w:t>
      </w:r>
    </w:p>
    <w:p w14:paraId="75583CD6" w14:textId="77777777" w:rsidR="00B829FC" w:rsidRPr="00F03917" w:rsidRDefault="01AA2E7F" w:rsidP="007F2DAE">
      <w:pPr>
        <w:pStyle w:val="BulletFIX"/>
      </w:pPr>
      <w:r w:rsidRPr="00F03917">
        <w:t>clear presentation of the expected frequency and magnitude of hazard sources, and of the statistical uncertainties of the frequency and magnitude</w:t>
      </w:r>
    </w:p>
    <w:p w14:paraId="5522D51A" w14:textId="7591C083" w:rsidR="00B829FC" w:rsidRPr="00F03917" w:rsidRDefault="01AA2E7F" w:rsidP="007F2DAE">
      <w:pPr>
        <w:pStyle w:val="BulletFIX"/>
      </w:pPr>
      <w:r w:rsidRPr="00F03917">
        <w:t xml:space="preserve">reporting in several likelihood terms: </w:t>
      </w:r>
      <w:r w:rsidR="5391014D" w:rsidRPr="00F03917">
        <w:t>a</w:t>
      </w:r>
      <w:r w:rsidR="5391014D" w:rsidRPr="00F03917">
        <w:rPr>
          <w:rFonts w:eastAsia="Calibri"/>
        </w:rPr>
        <w:t>nnual exceedance probability (</w:t>
      </w:r>
      <w:r w:rsidRPr="00F03917">
        <w:t>AEP</w:t>
      </w:r>
      <w:r w:rsidR="155A4787" w:rsidRPr="00F03917">
        <w:t>)</w:t>
      </w:r>
      <w:r w:rsidR="02E9D415" w:rsidRPr="00F03917">
        <w:t>,</w:t>
      </w:r>
      <w:r w:rsidRPr="00F03917">
        <w:t xml:space="preserve"> average recurrence interval and expected number of exceedances</w:t>
      </w:r>
    </w:p>
    <w:p w14:paraId="34562DEC" w14:textId="77777777" w:rsidR="00B829FC" w:rsidRPr="00F03917" w:rsidRDefault="01AA2E7F" w:rsidP="007F2DAE">
      <w:pPr>
        <w:pStyle w:val="BulletFIX"/>
      </w:pPr>
      <w:r w:rsidRPr="00F03917">
        <w:lastRenderedPageBreak/>
        <w:t>likelihood clearly related to (user-selected) planning timeframe</w:t>
      </w:r>
    </w:p>
    <w:p w14:paraId="692C8AA7" w14:textId="77777777" w:rsidR="00B829FC" w:rsidRPr="00F03917" w:rsidRDefault="01AA2E7F" w:rsidP="007F2DAE">
      <w:pPr>
        <w:pStyle w:val="BulletFIX"/>
      </w:pPr>
      <w:r w:rsidRPr="00F03917">
        <w:t xml:space="preserve">flexible treatment of SLR, which can include a range of scenarios or increments of SLR. </w:t>
      </w:r>
    </w:p>
    <w:p w14:paraId="0580E9EF" w14:textId="24267CB5" w:rsidR="00B829FC" w:rsidRPr="00F03917" w:rsidRDefault="00B829FC" w:rsidP="00485F15">
      <w:pPr>
        <w:pStyle w:val="BodyText"/>
      </w:pPr>
      <w:r w:rsidRPr="00F03917">
        <w:t xml:space="preserve">A coastal calculator has been built for the Bay of Plenty, Gisborne, Nelson, Tasman and </w:t>
      </w:r>
      <w:r w:rsidRPr="00F03917">
        <w:rPr>
          <w:spacing w:val="-2"/>
        </w:rPr>
        <w:t>Canterbury regions to provide information for coastal hazard assessment (Goodhue et al, 2015; Robinson et al, 2014; Robinson and Stephens, 2015; Stephens</w:t>
      </w:r>
      <w:r w:rsidR="0A0BCB90" w:rsidRPr="00F03917">
        <w:rPr>
          <w:spacing w:val="-2"/>
        </w:rPr>
        <w:t xml:space="preserve">, 2015; </w:t>
      </w:r>
      <w:r w:rsidR="35359DB1" w:rsidRPr="00F03917">
        <w:rPr>
          <w:spacing w:val="-2"/>
        </w:rPr>
        <w:t>Stephens</w:t>
      </w:r>
      <w:r w:rsidRPr="00F03917">
        <w:rPr>
          <w:spacing w:val="-2"/>
        </w:rPr>
        <w:t xml:space="preserve"> et al, 2014</w:t>
      </w:r>
      <w:r w:rsidRPr="00F03917">
        <w:rPr>
          <w:lang w:eastAsia="zh-CN"/>
        </w:rPr>
        <w:t>).</w:t>
      </w:r>
      <w:r w:rsidRPr="00F03917">
        <w:t xml:space="preserve"> </w:t>
      </w:r>
    </w:p>
    <w:p w14:paraId="3D9B269A" w14:textId="77777777" w:rsidR="00B829FC" w:rsidRPr="00F03917" w:rsidRDefault="00B829FC" w:rsidP="00C52920">
      <w:pPr>
        <w:pStyle w:val="Figureheading"/>
      </w:pPr>
      <w:bookmarkStart w:id="236" w:name="_Toc160098441"/>
      <w:r w:rsidRPr="00F03917">
        <w:t xml:space="preserve">Figure A.2: </w:t>
      </w:r>
      <w:r w:rsidRPr="00F03917">
        <w:tab/>
        <w:t>Combined (joint probability) storm tide and wave setup and runup elevations</w:t>
      </w:r>
      <w:bookmarkEnd w:id="236"/>
      <w:r w:rsidRPr="00F03917">
        <w:t xml:space="preserve"> </w:t>
      </w:r>
    </w:p>
    <w:p w14:paraId="0424C54E" w14:textId="77777777" w:rsidR="00B829FC" w:rsidRPr="00F03917" w:rsidRDefault="00B829FC" w:rsidP="00485F15">
      <w:pPr>
        <w:pStyle w:val="BodyText"/>
      </w:pPr>
      <w:r w:rsidRPr="00F03917">
        <w:rPr>
          <w:noProof/>
        </w:rPr>
        <w:drawing>
          <wp:inline distT="0" distB="0" distL="0" distR="0" wp14:anchorId="685DD1A4" wp14:editId="59ED4E1E">
            <wp:extent cx="5488322" cy="1343025"/>
            <wp:effectExtent l="0" t="0" r="0" b="0"/>
            <wp:docPr id="452136367" name="Picture 45213636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812544" name="Picture 3" descr="A screenshot of a computer&#10;&#10;Description automatically generated with medium confidence"/>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506241" cy="1347410"/>
                    </a:xfrm>
                    <a:prstGeom prst="rect">
                      <a:avLst/>
                    </a:prstGeom>
                    <a:noFill/>
                    <a:ln>
                      <a:noFill/>
                    </a:ln>
                  </pic:spPr>
                </pic:pic>
              </a:graphicData>
            </a:graphic>
          </wp:inline>
        </w:drawing>
      </w:r>
    </w:p>
    <w:p w14:paraId="11B1EF45" w14:textId="3D5CD97A" w:rsidR="00B829FC" w:rsidRPr="00F03917" w:rsidRDefault="00B829FC" w:rsidP="00B16026">
      <w:pPr>
        <w:pStyle w:val="Source"/>
        <w:spacing w:before="0"/>
      </w:pPr>
      <w:r w:rsidRPr="00F03917">
        <w:t xml:space="preserve">A worked example for a single user-specified </w:t>
      </w:r>
      <w:r w:rsidR="1985E14F" w:rsidRPr="00F03917">
        <w:t>annual</w:t>
      </w:r>
      <w:r w:rsidR="1EC2753D" w:rsidRPr="00F03917">
        <w:t xml:space="preserve"> exceedance </w:t>
      </w:r>
      <w:r w:rsidR="1985E14F" w:rsidRPr="00F03917">
        <w:t>probability (</w:t>
      </w:r>
      <w:r w:rsidR="35359DB1" w:rsidRPr="00F03917">
        <w:t>AEP</w:t>
      </w:r>
      <w:r w:rsidR="1EB03A0C" w:rsidRPr="00F03917">
        <w:t>)</w:t>
      </w:r>
      <w:r w:rsidRPr="00F03917">
        <w:t xml:space="preserve"> (10</w:t>
      </w:r>
      <w:r w:rsidR="0010641B" w:rsidRPr="00F03917">
        <w:t xml:space="preserve"> per cent</w:t>
      </w:r>
      <w:r w:rsidRPr="00F03917">
        <w:t xml:space="preserve"> AEP in this case), and maximum combined storm tide plus wave setup elevation (red shading) and wave runup (orange shading) for a range of AEPs. </w:t>
      </w:r>
    </w:p>
    <w:p w14:paraId="7320B846" w14:textId="4BB65F40" w:rsidR="00B829FC" w:rsidRPr="00F03917" w:rsidRDefault="00B829FC" w:rsidP="00F27244">
      <w:pPr>
        <w:pStyle w:val="Heading8"/>
      </w:pPr>
      <w:r w:rsidRPr="00F03917">
        <w:t>Coastal inundation by storm tides and</w:t>
      </w:r>
      <w:r w:rsidR="00B866A5" w:rsidRPr="00F03917">
        <w:t> </w:t>
      </w:r>
      <w:r w:rsidRPr="00F03917">
        <w:t>waves (Auckland Council)</w:t>
      </w:r>
    </w:p>
    <w:p w14:paraId="494A54BC" w14:textId="56819C9D" w:rsidR="00B829FC" w:rsidRPr="00F03917" w:rsidRDefault="00B829FC" w:rsidP="00485F15">
      <w:pPr>
        <w:pStyle w:val="BodyText"/>
      </w:pPr>
      <w:r w:rsidRPr="00F03917">
        <w:t>Auckland Council commissioned mapping of coastal storm inundation areas and depths for the entire Auckland region, to inform emergency management and natural hazard planning in the Auckland Unitary Plan (</w:t>
      </w:r>
      <w:r w:rsidR="753B3DBE" w:rsidRPr="00F03917">
        <w:t xml:space="preserve">Carpenter et al, 2021; </w:t>
      </w:r>
      <w:r w:rsidRPr="00F03917">
        <w:t xml:space="preserve">Stephens et al, 2016). </w:t>
      </w:r>
    </w:p>
    <w:p w14:paraId="43A17B26" w14:textId="63C5DF0C" w:rsidR="00B829FC" w:rsidRPr="00F03917" w:rsidRDefault="00B829FC" w:rsidP="00485F15">
      <w:pPr>
        <w:pStyle w:val="BodyText"/>
      </w:pPr>
      <w:r w:rsidRPr="00F03917">
        <w:t>Figure A.3</w:t>
      </w:r>
      <w:r w:rsidR="00E112DF" w:rsidRPr="00F03917" w:rsidDel="00B01983">
        <w:t>.1</w:t>
      </w:r>
      <w:r w:rsidRPr="00F03917">
        <w:t xml:space="preserve"> shows the relationships between the study requirements, types of uncertainty, scenarios and modelling complexity. The mapping was not commissioned to explicitly consider all scenarios recommended in this guidance. The study, however, included and clearly differentiated statistical and scenario uncertainty, plus an allowance for the deep uncertainty surrounding SLR. It therefore had the ingredients needed for decision-making. </w:t>
      </w:r>
    </w:p>
    <w:p w14:paraId="6DAF676C" w14:textId="373E56A1" w:rsidR="00255D1C" w:rsidRPr="00F03917" w:rsidRDefault="00255D1C" w:rsidP="00776785">
      <w:pPr>
        <w:pStyle w:val="Figureheading"/>
        <w:spacing w:line="240" w:lineRule="atLeast"/>
      </w:pPr>
      <w:bookmarkStart w:id="237" w:name="_Toc160098442"/>
      <w:r w:rsidRPr="00F03917">
        <w:t>Figure A.3</w:t>
      </w:r>
      <w:r w:rsidRPr="00F03917" w:rsidDel="00B01983">
        <w:t>.1</w:t>
      </w:r>
      <w:r w:rsidRPr="00F03917">
        <w:t>:</w:t>
      </w:r>
      <w:r w:rsidRPr="00F03917">
        <w:tab/>
        <w:t>Relationships among study requirement, type of uncertainty, scenarios and</w:t>
      </w:r>
      <w:r w:rsidR="00A12B83" w:rsidRPr="00F03917">
        <w:t> </w:t>
      </w:r>
      <w:r w:rsidRPr="00F03917">
        <w:t>modelling complexity, arising from developing the Auckland coastal inundation layers</w:t>
      </w:r>
      <w:bookmarkEnd w:id="237"/>
    </w:p>
    <w:p w14:paraId="7D1F92F1" w14:textId="176A3C85" w:rsidR="00255D1C" w:rsidRPr="00F03917" w:rsidRDefault="00255D1C" w:rsidP="00776785">
      <w:pPr>
        <w:pStyle w:val="BodyText"/>
        <w:spacing w:before="80" w:after="80"/>
        <w:jc w:val="center"/>
      </w:pPr>
      <w:r w:rsidRPr="00F03917">
        <w:rPr>
          <w:noProof/>
        </w:rPr>
        <w:drawing>
          <wp:inline distT="0" distB="0" distL="0" distR="0" wp14:anchorId="3EBB01B1" wp14:editId="28296401">
            <wp:extent cx="5537202" cy="2330506"/>
            <wp:effectExtent l="0" t="0" r="6350" b="0"/>
            <wp:docPr id="1531250779" name="Picture 1531250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250779" name="Picture 1531250779"/>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a:stretch/>
                  </pic:blipFill>
                  <pic:spPr bwMode="auto">
                    <a:xfrm>
                      <a:off x="0" y="0"/>
                      <a:ext cx="5539807" cy="2331603"/>
                    </a:xfrm>
                    <a:prstGeom prst="rect">
                      <a:avLst/>
                    </a:prstGeom>
                    <a:noFill/>
                    <a:ln>
                      <a:noFill/>
                    </a:ln>
                    <a:extLst>
                      <a:ext uri="{53640926-AAD7-44D8-BBD7-CCE9431645EC}">
                        <a14:shadowObscured xmlns:a14="http://schemas.microsoft.com/office/drawing/2010/main"/>
                      </a:ext>
                    </a:extLst>
                  </pic:spPr>
                </pic:pic>
              </a:graphicData>
            </a:graphic>
          </wp:inline>
        </w:drawing>
      </w:r>
    </w:p>
    <w:p w14:paraId="3F55195E" w14:textId="7CBE0E65" w:rsidR="00255D1C" w:rsidRPr="00F03917" w:rsidRDefault="00255D1C" w:rsidP="00B01C75">
      <w:pPr>
        <w:pStyle w:val="Source"/>
      </w:pPr>
      <w:r w:rsidRPr="00F03917">
        <w:t xml:space="preserve">AEP = annual exceedance probability; MSL = mean sea level; SLR = sea-level rise. </w:t>
      </w:r>
    </w:p>
    <w:p w14:paraId="24FE4C41" w14:textId="5D2A5D8D" w:rsidR="00B829FC" w:rsidRPr="00F03917" w:rsidRDefault="00B829FC" w:rsidP="004470D8">
      <w:pPr>
        <w:pStyle w:val="BodyText"/>
      </w:pPr>
      <w:r w:rsidRPr="00F03917">
        <w:lastRenderedPageBreak/>
        <w:t xml:space="preserve">The study used median AEP values to model the statistical probabilities of coastal storm inundation. The confidence intervals were not presented because the study considered relatively long timeframes (at least 100 years) with high (plus 1, plus 2 metre) SLR </w:t>
      </w:r>
      <w:r w:rsidR="00C0360D" w:rsidRPr="00F03917">
        <w:t>projections</w:t>
      </w:r>
      <w:r w:rsidRPr="00F03917">
        <w:t xml:space="preserve">. Over this timeframe, the </w:t>
      </w:r>
      <w:r w:rsidR="37A4EF79" w:rsidRPr="00F03917">
        <w:t>s</w:t>
      </w:r>
      <w:r w:rsidR="37A4EF79" w:rsidRPr="00F03917">
        <w:rPr>
          <w:rFonts w:eastAsia="Calibri" w:cs="Calibri"/>
        </w:rPr>
        <w:t>hared socio-economic pathway</w:t>
      </w:r>
      <w:r w:rsidRPr="00F03917">
        <w:t xml:space="preserve"> scenario uncertainty of </w:t>
      </w:r>
      <w:r w:rsidR="00C0360D" w:rsidRPr="00F03917">
        <w:t xml:space="preserve">the </w:t>
      </w:r>
      <w:r w:rsidRPr="00F03917">
        <w:t>SLR</w:t>
      </w:r>
      <w:r w:rsidR="00C0360D" w:rsidRPr="00F03917">
        <w:t xml:space="preserve"> projections</w:t>
      </w:r>
      <w:r w:rsidRPr="00F03917">
        <w:t xml:space="preserve"> would dominate the statistical (AEP) uncertainty, meaning that the extra effort of mapping confidence intervals would provide limited additional benefit for decision-making. </w:t>
      </w:r>
    </w:p>
    <w:p w14:paraId="4AC01F39" w14:textId="75F8136B" w:rsidR="00B829FC" w:rsidRPr="00F03917" w:rsidRDefault="00B829FC" w:rsidP="004470D8">
      <w:pPr>
        <w:pStyle w:val="BodyText"/>
      </w:pPr>
      <w:r w:rsidRPr="00F03917">
        <w:t>The supporting maps are a useful tool for the council to understand and communicate the potential hazard from coastal storm inundation and SLR through their online geographic information system</w:t>
      </w:r>
      <w:r w:rsidRPr="00F03917">
        <w:rPr>
          <w:rFonts w:cs="Calibri"/>
        </w:rPr>
        <w:t xml:space="preserve"> viewer.</w:t>
      </w:r>
      <w:r w:rsidRPr="00F03917">
        <w:rPr>
          <w:rStyle w:val="FootnoteReference"/>
          <w:rFonts w:cs="Calibri"/>
        </w:rPr>
        <w:footnoteReference w:id="93"/>
      </w:r>
      <w:r w:rsidRPr="00F03917">
        <w:rPr>
          <w:rFonts w:cs="Calibri"/>
        </w:rPr>
        <w:t xml:space="preserve"> As a planning tool, the 1</w:t>
      </w:r>
      <w:r w:rsidR="0010641B" w:rsidRPr="00F03917">
        <w:rPr>
          <w:rFonts w:cs="Calibri"/>
        </w:rPr>
        <w:t xml:space="preserve"> per cent</w:t>
      </w:r>
      <w:r w:rsidRPr="00F03917">
        <w:rPr>
          <w:rFonts w:cs="Calibri"/>
        </w:rPr>
        <w:t xml:space="preserve"> AEP plus 1 metre SLR for coastal storm inundation was selected as a management control overlay, with activities and works subject to policies and rules in chapter E36 (Natural hazards and flooding)</w:t>
      </w:r>
      <w:r w:rsidRPr="00F03917">
        <w:rPr>
          <w:rStyle w:val="FootnoteReference"/>
          <w:rFonts w:cs="Calibri"/>
        </w:rPr>
        <w:footnoteReference w:id="94"/>
      </w:r>
      <w:r w:rsidRPr="00F03917">
        <w:rPr>
          <w:rFonts w:cs="Calibri"/>
        </w:rPr>
        <w:t xml:space="preserve"> of the Auckland Unitary Plan. </w:t>
      </w:r>
    </w:p>
    <w:p w14:paraId="477A9DBB" w14:textId="0CF7A249" w:rsidR="00B829FC" w:rsidRPr="00F03917" w:rsidRDefault="00B829FC" w:rsidP="004470D8">
      <w:pPr>
        <w:pStyle w:val="BodyText"/>
      </w:pPr>
      <w:r w:rsidRPr="00F03917">
        <w:t>Figure A.</w:t>
      </w:r>
      <w:r w:rsidR="00F33EA8" w:rsidRPr="00F03917" w:rsidDel="00B01983">
        <w:t>3</w:t>
      </w:r>
      <w:r w:rsidR="00E112DF" w:rsidRPr="00F03917" w:rsidDel="00B01983">
        <w:t>.2</w:t>
      </w:r>
      <w:r w:rsidRPr="00F03917">
        <w:t xml:space="preserve"> shows an example of the coastal storm inundation mapping at Mission Bay. Coastal storm inundation elevations from storm tides and waves were calculated using a probabilistic framework (at present-day </w:t>
      </w:r>
      <w:r w:rsidR="679557A8" w:rsidRPr="00F03917">
        <w:t>mean sea level (</w:t>
      </w:r>
      <w:r w:rsidRPr="00F03917">
        <w:t>MSL</w:t>
      </w:r>
      <w:r w:rsidR="58140BE8" w:rsidRPr="00F03917">
        <w:t>)</w:t>
      </w:r>
      <w:r w:rsidR="66FA6430" w:rsidRPr="00F03917">
        <w:t>).</w:t>
      </w:r>
      <w:r w:rsidRPr="00F03917">
        <w:t xml:space="preserve"> SLR </w:t>
      </w:r>
      <w:r w:rsidR="00D411BA" w:rsidRPr="00F03917">
        <w:t>increments</w:t>
      </w:r>
      <w:r w:rsidRPr="00F03917">
        <w:t xml:space="preserve"> of plus 1 metre and plus 2 metres were added to the 1</w:t>
      </w:r>
      <w:r w:rsidR="00627C4D" w:rsidRPr="00F03917">
        <w:t xml:space="preserve"> per cent</w:t>
      </w:r>
      <w:r w:rsidRPr="00F03917">
        <w:t xml:space="preserve"> AEP elevations at present-day MSL, and inundation was</w:t>
      </w:r>
      <w:r w:rsidR="00C50DCA" w:rsidRPr="00F03917">
        <w:t> </w:t>
      </w:r>
      <w:r w:rsidRPr="00F03917">
        <w:t xml:space="preserve">mapped. </w:t>
      </w:r>
    </w:p>
    <w:p w14:paraId="4601E879" w14:textId="0C744442" w:rsidR="00B829FC" w:rsidRPr="00F03917" w:rsidRDefault="00B829FC" w:rsidP="004470D8">
      <w:pPr>
        <w:pStyle w:val="BodyText"/>
      </w:pPr>
      <w:r w:rsidRPr="00F03917">
        <w:t>This example shows that developed, low-lying areas like Mission Bay are likely to reach decision points before an SLR of 1 metre is reached (the modelled scenario). In this way, the mapping has also acted as a hazard screening tool. For areas susceptible to present-day coastal</w:t>
      </w:r>
      <w:r w:rsidR="00C50DCA" w:rsidRPr="00F03917">
        <w:t> </w:t>
      </w:r>
      <w:r w:rsidRPr="00F03917">
        <w:t xml:space="preserve">storm inundation like Mission Bay, further modelling of other SLR </w:t>
      </w:r>
      <w:r w:rsidR="00D411BA" w:rsidRPr="00F03917">
        <w:t xml:space="preserve">increments </w:t>
      </w:r>
      <w:r w:rsidRPr="00F03917">
        <w:t xml:space="preserve">(small increments) and statistical uncertainties could be used to further determine vulnerability and risk and to support planning strategies and future adaptation decisions. </w:t>
      </w:r>
    </w:p>
    <w:p w14:paraId="5240461E" w14:textId="787A6F4C" w:rsidR="00B829FC" w:rsidRPr="00F03917" w:rsidRDefault="00B829FC" w:rsidP="004470D8">
      <w:pPr>
        <w:pStyle w:val="BodyText"/>
      </w:pPr>
      <w:r w:rsidRPr="00F03917">
        <w:t>The maps from this study efficiently defined coastal storm inundation areas at a regional scale, as required for regional policy development. They also identified areas where further work could improve the hazard assessment, such as more detailed assessment of the extreme sea levels or consideration of overland flow paths. Parakai in West Auckland was identified as one</w:t>
      </w:r>
      <w:r w:rsidR="004470D8" w:rsidRPr="00F03917">
        <w:t> </w:t>
      </w:r>
      <w:r w:rsidRPr="00F03917">
        <w:t>such area. The coastal storm inundation maps were revised using local water-level measurements and a dynamic inundation model (</w:t>
      </w:r>
      <w:r w:rsidR="70B78B44" w:rsidRPr="00F03917">
        <w:t xml:space="preserve">Carpenter et al, 2021; </w:t>
      </w:r>
      <w:r w:rsidRPr="00F03917">
        <w:t xml:space="preserve">Stephens et al, 2016), which is also discussed in the next case study. </w:t>
      </w:r>
    </w:p>
    <w:p w14:paraId="6F0CD0AE" w14:textId="7E477F41" w:rsidR="00B829FC" w:rsidRPr="00F03917" w:rsidRDefault="00B829FC" w:rsidP="00C52920">
      <w:pPr>
        <w:pStyle w:val="Figureheading"/>
      </w:pPr>
      <w:bookmarkStart w:id="238" w:name="_Toc160098443"/>
      <w:r w:rsidRPr="00F03917">
        <w:lastRenderedPageBreak/>
        <w:t>Figure A.</w:t>
      </w:r>
      <w:r w:rsidRPr="00F03917" w:rsidDel="00B01983">
        <w:t>3.2</w:t>
      </w:r>
      <w:r w:rsidRPr="00F03917">
        <w:t>:</w:t>
      </w:r>
      <w:r w:rsidRPr="00F03917">
        <w:tab/>
        <w:t>Coastal storm inundation mapping and planning overlay at Mission Bay, Auckland</w:t>
      </w:r>
      <w:bookmarkEnd w:id="238"/>
    </w:p>
    <w:p w14:paraId="59AEA31D" w14:textId="77777777" w:rsidR="00B829FC" w:rsidRPr="00F03917" w:rsidRDefault="00B829FC" w:rsidP="00B16026">
      <w:pPr>
        <w:pStyle w:val="BodyText"/>
        <w:keepNext/>
        <w:tabs>
          <w:tab w:val="left" w:pos="4196"/>
        </w:tabs>
        <w:spacing w:before="80" w:after="80"/>
        <w:ind w:left="113"/>
      </w:pPr>
      <w:r w:rsidRPr="00F03917">
        <w:rPr>
          <w:noProof/>
        </w:rPr>
        <w:drawing>
          <wp:inline distT="0" distB="0" distL="0" distR="0" wp14:anchorId="0D7330A7" wp14:editId="171E2B32">
            <wp:extent cx="2540000" cy="2166470"/>
            <wp:effectExtent l="0" t="0" r="0" b="5715"/>
            <wp:docPr id="1806882985" name="Picture 1806882985" descr="A picture containing aerial photography, text, bird's-eye view,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137537" name="Picture 4" descr="A picture containing aerial photography, text, bird's-eye view, map&#10;&#10;Description automatically generated"/>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549153" cy="2174277"/>
                    </a:xfrm>
                    <a:prstGeom prst="rect">
                      <a:avLst/>
                    </a:prstGeom>
                    <a:noFill/>
                    <a:ln>
                      <a:noFill/>
                    </a:ln>
                  </pic:spPr>
                </pic:pic>
              </a:graphicData>
            </a:graphic>
          </wp:inline>
        </w:drawing>
      </w:r>
      <w:r w:rsidRPr="00F03917">
        <w:tab/>
      </w:r>
      <w:r w:rsidRPr="00F03917">
        <w:rPr>
          <w:noProof/>
        </w:rPr>
        <w:drawing>
          <wp:inline distT="0" distB="0" distL="0" distR="0" wp14:anchorId="7B6BDD4D" wp14:editId="7415BF64">
            <wp:extent cx="2584450" cy="2164856"/>
            <wp:effectExtent l="0" t="0" r="6350" b="6985"/>
            <wp:docPr id="1367612495" name="Picture 136761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603552" cy="2180857"/>
                    </a:xfrm>
                    <a:prstGeom prst="rect">
                      <a:avLst/>
                    </a:prstGeom>
                    <a:noFill/>
                    <a:ln>
                      <a:noFill/>
                    </a:ln>
                  </pic:spPr>
                </pic:pic>
              </a:graphicData>
            </a:graphic>
          </wp:inline>
        </w:drawing>
      </w:r>
    </w:p>
    <w:p w14:paraId="1BB46BC6" w14:textId="33C14252" w:rsidR="00B829FC" w:rsidRPr="00F03917" w:rsidRDefault="00B829FC" w:rsidP="004470D8">
      <w:pPr>
        <w:pStyle w:val="Source"/>
        <w:spacing w:after="0"/>
      </w:pPr>
      <w:r w:rsidRPr="00F03917">
        <w:t>Left: aerial photograph of Mission Bay with the coastal storm inundation management control layer (vertical hatching) from the Auckland Unitary Plan. Right: with present-day 1</w:t>
      </w:r>
      <w:r w:rsidR="004941BF" w:rsidRPr="00F03917">
        <w:t xml:space="preserve"> per cent</w:t>
      </w:r>
      <w:r w:rsidRPr="00F03917">
        <w:t xml:space="preserve"> </w:t>
      </w:r>
      <w:r w:rsidR="31981940" w:rsidRPr="00F03917">
        <w:t>annual exceedance probability</w:t>
      </w:r>
      <w:r w:rsidRPr="00F03917">
        <w:t xml:space="preserve"> storm tide, plus wave setup elevation (purple shading), plus 1 metre SLR (light</w:t>
      </w:r>
      <w:r w:rsidR="07DAE985" w:rsidRPr="00F03917">
        <w:t>-</w:t>
      </w:r>
      <w:r w:rsidRPr="00F03917">
        <w:t xml:space="preserve">blue shading) and 2 metre SLR (white shading). </w:t>
      </w:r>
    </w:p>
    <w:p w14:paraId="73975568" w14:textId="77777777" w:rsidR="00B829FC" w:rsidRPr="00F03917" w:rsidRDefault="00B829FC" w:rsidP="004470D8">
      <w:pPr>
        <w:pStyle w:val="Source"/>
      </w:pPr>
      <w:r w:rsidRPr="00F03917">
        <w:t>Source: Auckland Council GeoMaps viewer</w:t>
      </w:r>
    </w:p>
    <w:p w14:paraId="16B0510B" w14:textId="7EFF9A90" w:rsidR="00B829FC" w:rsidRPr="00F03917" w:rsidRDefault="00B829FC" w:rsidP="00F27244">
      <w:pPr>
        <w:pStyle w:val="Heading8"/>
        <w:keepLines w:val="0"/>
      </w:pPr>
      <w:r w:rsidRPr="00F03917">
        <w:t>Static versus dynamic coastal inundation mapping (</w:t>
      </w:r>
      <w:r w:rsidR="00E15E9C" w:rsidRPr="00F03917">
        <w:t xml:space="preserve">Parakai, West </w:t>
      </w:r>
      <w:r w:rsidR="00024C92" w:rsidRPr="00F03917">
        <w:t>Auckland</w:t>
      </w:r>
      <w:r w:rsidR="004C2817" w:rsidRPr="00F03917">
        <w:t>;</w:t>
      </w:r>
      <w:r w:rsidR="00024C92" w:rsidRPr="00F03917">
        <w:t xml:space="preserve"> </w:t>
      </w:r>
      <w:r w:rsidRPr="00F03917">
        <w:t>Tauranga City</w:t>
      </w:r>
      <w:r w:rsidR="004C2817" w:rsidRPr="00F03917">
        <w:t xml:space="preserve">; </w:t>
      </w:r>
      <w:r w:rsidRPr="00F03917">
        <w:t xml:space="preserve">South Wellington </w:t>
      </w:r>
      <w:r w:rsidR="00A6287A" w:rsidRPr="00F03917">
        <w:t>Coast</w:t>
      </w:r>
      <w:r w:rsidRPr="00F03917">
        <w:t>)</w:t>
      </w:r>
    </w:p>
    <w:p w14:paraId="0521C1C1" w14:textId="43115F0F" w:rsidR="00B829FC" w:rsidRPr="00F03917" w:rsidRDefault="00B829FC" w:rsidP="00343324">
      <w:pPr>
        <w:pStyle w:val="BodyText"/>
      </w:pPr>
      <w:r w:rsidRPr="00F03917">
        <w:t>Static ‘bathtub’ coastal inundation overlays (often done as a GIS analysis) are usually sufficient to provide a reliable overview of the extent of coastal flooding for various SLR increments or scenarios. The static approach assumes the extreme storm sea level, including wave setup (eg,</w:t>
      </w:r>
      <w:r w:rsidR="003737CD" w:rsidRPr="00F03917">
        <w:t> </w:t>
      </w:r>
      <w:r w:rsidRPr="00F03917">
        <w:t>1</w:t>
      </w:r>
      <w:r w:rsidR="004941BF" w:rsidRPr="00F03917">
        <w:t xml:space="preserve"> per cent</w:t>
      </w:r>
      <w:r w:rsidRPr="00F03917">
        <w:t xml:space="preserve"> AEP water level at the shoreline), floods all the land with an elevation at or below that level, over the </w:t>
      </w:r>
      <w:r w:rsidR="76CECDE5" w:rsidRPr="00F03917">
        <w:t>one to two</w:t>
      </w:r>
      <w:r w:rsidRPr="00F03917">
        <w:t xml:space="preserve"> hours straddling high tide when the event occurs.</w:t>
      </w:r>
      <w:r w:rsidR="00FB7D30" w:rsidRPr="00F03917">
        <w:t xml:space="preserve"> </w:t>
      </w:r>
    </w:p>
    <w:p w14:paraId="7B12C9C6" w14:textId="15B38A2A" w:rsidR="00B829FC" w:rsidRPr="00F03917" w:rsidRDefault="00B829FC" w:rsidP="00343324">
      <w:pPr>
        <w:pStyle w:val="BodyText"/>
      </w:pPr>
      <w:r w:rsidRPr="00F03917">
        <w:t>However, for situations with a large flat coastal plain extending well inland, the static approach tends to overestimate flooding. In areas exposed to high wave runup and wave surging, the static approach tends to under</w:t>
      </w:r>
      <w:r w:rsidR="002D3D6E" w:rsidRPr="00F03917">
        <w:t>-</w:t>
      </w:r>
      <w:r w:rsidRPr="00F03917">
        <w:t xml:space="preserve">estimate flooding. In these situations, therefore, it is prudent to also run a hydrodynamic model with wave runup to check the veracity of the static inundation overlays. Tauranga City and the south coast of Wellington are two examples of places where a dynamic approach has been used. </w:t>
      </w:r>
    </w:p>
    <w:p w14:paraId="7EE9257A" w14:textId="6D305DB5" w:rsidR="00E15E9C" w:rsidRPr="00F03917" w:rsidRDefault="00E15E9C" w:rsidP="00B16026">
      <w:pPr>
        <w:pStyle w:val="Heading4"/>
        <w:spacing w:before="120"/>
      </w:pPr>
      <w:r w:rsidRPr="00F03917">
        <w:t>Parakai, West Auckland</w:t>
      </w:r>
    </w:p>
    <w:p w14:paraId="3C26947D" w14:textId="177E46D9" w:rsidR="00F437E3" w:rsidRPr="00F03917" w:rsidRDefault="00F437E3" w:rsidP="00F114B6">
      <w:pPr>
        <w:pStyle w:val="BodyText"/>
      </w:pPr>
      <w:r w:rsidRPr="00F03917">
        <w:t>This case study compares static and dynamic inundation mapping results over a wide floodplain at Parakai, West Auckland (Stephens et al, 2016).</w:t>
      </w:r>
    </w:p>
    <w:p w14:paraId="2F1B4ACA" w14:textId="314850BC" w:rsidR="00F437E3" w:rsidRPr="00F03917" w:rsidRDefault="00F437E3" w:rsidP="00F114B6">
      <w:pPr>
        <w:pStyle w:val="BodyText"/>
      </w:pPr>
      <w:r w:rsidRPr="00F03917">
        <w:t>Coastal storm inundation areas in the Auckland region were mapped in 2013 (Stephens et al, 2013) using a static level or ‘bathtub’ inundation-mapping technique. In this method, all land lying below the coastal storm inundation elevation is assumed to be flooded in its entirety if</w:t>
      </w:r>
      <w:r w:rsidR="00D97C32" w:rsidRPr="00F03917">
        <w:t> </w:t>
      </w:r>
      <w:r w:rsidRPr="00F03917">
        <w:t>there is a direct flow path to the sea or harbour waters. The static inundation maps are created in a GIS and do not fully capture the dynamic and time-variant processes that occur during a coastal storm hazard event (eg, through tidal fluctuations and flow paths).</w:t>
      </w:r>
    </w:p>
    <w:p w14:paraId="4510F6E2" w14:textId="7DE0C053" w:rsidR="00F437E3" w:rsidRPr="00F03917" w:rsidRDefault="00F437E3" w:rsidP="00F114B6">
      <w:pPr>
        <w:pStyle w:val="BodyText"/>
      </w:pPr>
      <w:r w:rsidRPr="00F03917">
        <w:t xml:space="preserve">The static method is efficient, which makes it useful for region-wide application (as per the 2013 Auckland study scope), and for risk screening, such as applied in Waikato Regional </w:t>
      </w:r>
      <w:r w:rsidRPr="00F03917">
        <w:lastRenderedPageBreak/>
        <w:t>Council’s coastal inundation tool (Waikato Regional Council, n.d). The static method is conservative because it tends to over predict rather than under predict inundation by the high</w:t>
      </w:r>
      <w:r w:rsidR="00D97C32" w:rsidRPr="00F03917">
        <w:noBreakHyphen/>
      </w:r>
      <w:r w:rsidRPr="00F03917">
        <w:t>water period of storm tides that may last for one to three hours. The over prediction applies more for wider coastal plains, whereas</w:t>
      </w:r>
      <w:r w:rsidR="63D42EDA" w:rsidRPr="00F03917">
        <w:t>,</w:t>
      </w:r>
      <w:r w:rsidRPr="00F03917">
        <w:t xml:space="preserve"> for narrower coastal margins, the mapped inundation level will be much closer to the expected inundation extent.</w:t>
      </w:r>
    </w:p>
    <w:p w14:paraId="36DC0B3A" w14:textId="3CE3E62F" w:rsidR="00F437E3" w:rsidRPr="00F03917" w:rsidRDefault="00F437E3" w:rsidP="00F114B6">
      <w:pPr>
        <w:pStyle w:val="BodyText"/>
      </w:pPr>
      <w:r w:rsidRPr="00F03917">
        <w:t>Dynamic inundation modelling uses detailed numerical hydrodynamic models to simulate the incursion of the sea over the land surface. This is detailed, data-intensive, time-consuming and relatively costly work, which is easier to apply over small areas, where more certainty is required.</w:t>
      </w:r>
    </w:p>
    <w:p w14:paraId="32A782B8" w14:textId="1077DBBE" w:rsidR="00F437E3" w:rsidRPr="00F03917" w:rsidRDefault="00F437E3" w:rsidP="00F114B6">
      <w:pPr>
        <w:pStyle w:val="BodyText"/>
      </w:pPr>
      <w:r w:rsidRPr="00F03917">
        <w:t>Parakai has a wide, low-lying coastal plain that is intersected by the Kaipara River above its confluence with the Kaipara Harbour. This was an area identified from the 2013 study where further sea-level data and dynamic inundation modelling could improve Auckland Council’s understanding of coastal storm inundation.</w:t>
      </w:r>
    </w:p>
    <w:p w14:paraId="5F4E8DBB" w14:textId="636C22AE" w:rsidR="00F437E3" w:rsidRPr="00F03917" w:rsidRDefault="00F437E3" w:rsidP="00F114B6">
      <w:pPr>
        <w:pStyle w:val="BodyText"/>
      </w:pPr>
      <w:r w:rsidRPr="00F03917">
        <w:t xml:space="preserve">Figure </w:t>
      </w:r>
      <w:r w:rsidR="00896AC9" w:rsidRPr="00F03917">
        <w:t>A.</w:t>
      </w:r>
      <w:r w:rsidRPr="00F03917" w:rsidDel="00B01983">
        <w:t>4</w:t>
      </w:r>
      <w:r w:rsidRPr="00F03917">
        <w:t xml:space="preserve"> shows the difference in the 1 per cent annual exceedance probability coastal storm inundation elevations mapped using the static and dynamic (Stephens et al, </w:t>
      </w:r>
      <w:r w:rsidR="00454BA7" w:rsidRPr="00F03917">
        <w:t xml:space="preserve">2013, </w:t>
      </w:r>
      <w:r w:rsidRPr="00F03917">
        <w:t>2016) methods. Both methods gave similar elevations at the confluence of the Kaipara River and Kaipara Harbour. The calibrated hydrodynamic model predicted considerable frictional attenuation, however, causing the storm tide elevation to drop inland, while no attenuation is</w:t>
      </w:r>
      <w:r w:rsidR="001D7CE8" w:rsidRPr="00F03917">
        <w:t> </w:t>
      </w:r>
      <w:r w:rsidRPr="00F03917">
        <w:t>modelled using the static GIS-mapping technique. As a result, the difference in predicted inundation elevation between the two methods increases inland. The dynamic model predicted water levels that were up to 0.</w:t>
      </w:r>
      <w:r w:rsidR="4EFDAF4D" w:rsidRPr="00F03917">
        <w:t>5 metres</w:t>
      </w:r>
      <w:r w:rsidRPr="00F03917">
        <w:t xml:space="preserve"> lower than the static method over most of</w:t>
      </w:r>
      <w:r w:rsidR="001D7CE8" w:rsidRPr="00F03917">
        <w:t> </w:t>
      </w:r>
      <w:r w:rsidRPr="00F03917">
        <w:t xml:space="preserve">the seaward flood plain, and up to about </w:t>
      </w:r>
      <w:r w:rsidR="4EFDAF4D" w:rsidRPr="00F03917">
        <w:t>2 metres</w:t>
      </w:r>
      <w:r w:rsidRPr="00F03917">
        <w:t xml:space="preserve"> lower further inland. The total area of coastal storm inundation was predicted to be 60 per cent less using the dynamic modelling.</w:t>
      </w:r>
    </w:p>
    <w:p w14:paraId="63A0244F" w14:textId="64EB54BB" w:rsidR="00F437E3" w:rsidRPr="00F03917" w:rsidRDefault="00F437E3" w:rsidP="00F114B6">
      <w:pPr>
        <w:pStyle w:val="BodyText"/>
      </w:pPr>
      <w:r w:rsidRPr="00F03917">
        <w:t>The original static inundation model of the area assumed local stopbanks that were identifiable in the topographic data were fixed structures. In the refined dynamic inundation model, the coastal inundation areas were considered independent of the presence of these structures, given their dynamic nature and potential to change over time. This maintains a degree of conservatism in line with the precautionary principles adopted by the Auckland Unitary Plan.</w:t>
      </w:r>
    </w:p>
    <w:p w14:paraId="63BBE821" w14:textId="33646C62" w:rsidR="00BD4F90" w:rsidRPr="00F03917" w:rsidRDefault="00BD4F90" w:rsidP="00F114B6">
      <w:pPr>
        <w:pStyle w:val="BodyText"/>
      </w:pPr>
      <w:r w:rsidRPr="00F03917">
        <w:t xml:space="preserve">The difference between the static and dynamic methods was much less for the SLR: for the plus </w:t>
      </w:r>
      <w:r w:rsidR="5C69F6F2" w:rsidRPr="00F03917">
        <w:t>1 metre</w:t>
      </w:r>
      <w:r w:rsidRPr="00F03917">
        <w:t xml:space="preserve"> SLR </w:t>
      </w:r>
      <w:r w:rsidR="003739B0" w:rsidRPr="00F03917">
        <w:t>increment</w:t>
      </w:r>
      <w:r w:rsidRPr="00F03917">
        <w:t xml:space="preserve">, the total area of coastal storm inundation was predicted to be just </w:t>
      </w:r>
      <w:r w:rsidR="5C69F6F2" w:rsidRPr="00F03917">
        <w:t>9 per</w:t>
      </w:r>
      <w:r w:rsidRPr="00F03917">
        <w:t xml:space="preserve"> cent less using the dynamic modelling, and both methods gave approximately the same results for the plus </w:t>
      </w:r>
      <w:r w:rsidR="5C69F6F2" w:rsidRPr="00F03917">
        <w:t>2 metre</w:t>
      </w:r>
      <w:r w:rsidRPr="00F03917">
        <w:t xml:space="preserve"> SLR </w:t>
      </w:r>
      <w:r w:rsidR="003739B0" w:rsidRPr="00F03917">
        <w:t>increment</w:t>
      </w:r>
      <w:r w:rsidRPr="00F03917">
        <w:t>. Large SLR will inundate the floodplain and fill the basin in which the Parakai–Helensville region is located. Dynamic frictional effects that hold back the flood wave at present-day MSL (when the water is shallow) will be reduced after significant SLR (when the water is deep</w:t>
      </w:r>
      <w:r w:rsidR="5BC0F857" w:rsidRPr="00F03917">
        <w:t>,</w:t>
      </w:r>
      <w:r w:rsidRPr="00F03917">
        <w:t xml:space="preserve"> assuming no change in the floodplain topography).</w:t>
      </w:r>
    </w:p>
    <w:p w14:paraId="3AC53505" w14:textId="2E9EB555" w:rsidR="00BD4F90" w:rsidRPr="00F03917" w:rsidRDefault="00BD4F90" w:rsidP="00F114B6">
      <w:pPr>
        <w:pStyle w:val="BodyText"/>
      </w:pPr>
      <w:r w:rsidRPr="00F03917">
        <w:t xml:space="preserve">These results suggest the static mapping method is likely to be adequate for risk-screening exercises or coastal hazard assessments using high SLR </w:t>
      </w:r>
      <w:r w:rsidR="0070055C" w:rsidRPr="00F03917">
        <w:t>increments</w:t>
      </w:r>
      <w:r w:rsidRPr="00F03917">
        <w:t xml:space="preserve"> (associated with longer planning timeframes). The dynamic mapping method is best used for site-specific hazard assessments where high accuracy is required at the property scale and where smaller SLR </w:t>
      </w:r>
      <w:r w:rsidR="0070055C" w:rsidRPr="00F03917">
        <w:t>increments</w:t>
      </w:r>
      <w:r w:rsidRPr="00F03917">
        <w:t xml:space="preserve"> are being modelled.</w:t>
      </w:r>
    </w:p>
    <w:p w14:paraId="3A8FE466" w14:textId="3E7AED6B" w:rsidR="00BD4F90" w:rsidRPr="00F03917" w:rsidRDefault="00BD4F90" w:rsidP="00C52920">
      <w:pPr>
        <w:pStyle w:val="Figureheading"/>
      </w:pPr>
      <w:bookmarkStart w:id="239" w:name="_Toc160098444"/>
      <w:r w:rsidRPr="00F03917">
        <w:lastRenderedPageBreak/>
        <w:t xml:space="preserve">Figure </w:t>
      </w:r>
      <w:r w:rsidR="00EF10C1" w:rsidRPr="00F03917">
        <w:t>A.</w:t>
      </w:r>
      <w:r w:rsidRPr="00F03917" w:rsidDel="00B01983">
        <w:t>4</w:t>
      </w:r>
      <w:r w:rsidRPr="00F03917">
        <w:t>:</w:t>
      </w:r>
      <w:r w:rsidRPr="00F03917">
        <w:tab/>
        <w:t xml:space="preserve">Comparison of static (left) and dynamic (right) maps of 1 per cent annual exceedance probability (AEP) coastal storm inundation at present-day </w:t>
      </w:r>
      <w:r w:rsidR="3AB957A7" w:rsidRPr="00F03917">
        <w:t>mean sea level</w:t>
      </w:r>
      <w:r w:rsidRPr="00F03917">
        <w:t>, Parakai, West</w:t>
      </w:r>
      <w:r w:rsidR="00C50DCA" w:rsidRPr="00F03917">
        <w:t> </w:t>
      </w:r>
      <w:r w:rsidRPr="00F03917">
        <w:t>Auckland</w:t>
      </w:r>
      <w:bookmarkEnd w:id="239"/>
      <w:r w:rsidRPr="00F03917">
        <w:t> </w:t>
      </w:r>
    </w:p>
    <w:p w14:paraId="3D39DFE4" w14:textId="75871E10" w:rsidR="00BD4F90" w:rsidRPr="00F03917" w:rsidRDefault="00BD4F90" w:rsidP="00BD4F90">
      <w:pPr>
        <w:ind w:left="165"/>
        <w:textAlignment w:val="baseline"/>
        <w:rPr>
          <w:rFonts w:ascii="Segoe UI" w:hAnsi="Segoe UI" w:cs="Segoe UI"/>
          <w:sz w:val="18"/>
          <w:szCs w:val="18"/>
        </w:rPr>
      </w:pPr>
      <w:r w:rsidRPr="00F03917">
        <w:rPr>
          <w:rFonts w:ascii="Segoe UI" w:hAnsi="Segoe UI" w:cs="Segoe UI"/>
          <w:noProof/>
          <w:sz w:val="18"/>
          <w:szCs w:val="18"/>
        </w:rPr>
        <w:drawing>
          <wp:inline distT="0" distB="0" distL="0" distR="0" wp14:anchorId="1EA07FEB" wp14:editId="73EA107A">
            <wp:extent cx="2524125" cy="3457575"/>
            <wp:effectExtent l="0" t="0" r="9525" b="9525"/>
            <wp:docPr id="815553165" name="Picture 815553165" descr="A map of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553165" name="Picture 5" descr="A map of a lake&#10;&#10;Description automatically generated"/>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524125" cy="3457575"/>
                    </a:xfrm>
                    <a:prstGeom prst="rect">
                      <a:avLst/>
                    </a:prstGeom>
                    <a:noFill/>
                    <a:ln>
                      <a:noFill/>
                    </a:ln>
                  </pic:spPr>
                </pic:pic>
              </a:graphicData>
            </a:graphic>
          </wp:inline>
        </w:drawing>
      </w:r>
      <w:r w:rsidRPr="00F03917">
        <w:rPr>
          <w:rFonts w:ascii="Calibri" w:hAnsi="Calibri" w:cs="Calibri"/>
          <w:sz w:val="20"/>
        </w:rPr>
        <w:tab/>
      </w:r>
      <w:r w:rsidRPr="00F03917">
        <w:rPr>
          <w:rFonts w:ascii="Segoe UI" w:hAnsi="Segoe UI" w:cs="Segoe UI"/>
          <w:noProof/>
          <w:sz w:val="18"/>
          <w:szCs w:val="18"/>
        </w:rPr>
        <w:drawing>
          <wp:inline distT="0" distB="0" distL="0" distR="0" wp14:anchorId="0E58121F" wp14:editId="69D54218">
            <wp:extent cx="2381250" cy="3457575"/>
            <wp:effectExtent l="0" t="0" r="0" b="9525"/>
            <wp:docPr id="86113622" name="Picture 86113622" descr="A map of a large scale of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3622" name="Picture 4" descr="A map of a large scale of water&#10;&#10;Description automatically generated with medium confidence"/>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381250" cy="3457575"/>
                    </a:xfrm>
                    <a:prstGeom prst="rect">
                      <a:avLst/>
                    </a:prstGeom>
                    <a:noFill/>
                    <a:ln>
                      <a:noFill/>
                    </a:ln>
                  </pic:spPr>
                </pic:pic>
              </a:graphicData>
            </a:graphic>
          </wp:inline>
        </w:drawing>
      </w:r>
      <w:r w:rsidRPr="00F03917">
        <w:rPr>
          <w:rFonts w:ascii="Calibri" w:hAnsi="Calibri" w:cs="Calibri"/>
          <w:sz w:val="20"/>
          <w:szCs w:val="20"/>
        </w:rPr>
        <w:t> </w:t>
      </w:r>
    </w:p>
    <w:p w14:paraId="704F0890" w14:textId="77777777" w:rsidR="00BD4F90" w:rsidRPr="00F03917" w:rsidRDefault="00BD4F90" w:rsidP="00EF10C1">
      <w:pPr>
        <w:pStyle w:val="Source"/>
      </w:pPr>
      <w:r w:rsidRPr="00F03917">
        <w:t>Source: Stephens et al (2016) </w:t>
      </w:r>
    </w:p>
    <w:p w14:paraId="1AD3A7C5" w14:textId="104D41FC" w:rsidR="00B829FC" w:rsidRPr="00F03917" w:rsidRDefault="00B829FC" w:rsidP="00B16026">
      <w:pPr>
        <w:pStyle w:val="Heading4"/>
        <w:spacing w:before="120"/>
      </w:pPr>
      <w:r w:rsidRPr="00F03917">
        <w:t xml:space="preserve">Tauranga City </w:t>
      </w:r>
    </w:p>
    <w:p w14:paraId="44D7E757" w14:textId="515CE0D4" w:rsidR="00B829FC" w:rsidRPr="00F03917" w:rsidRDefault="00B829FC" w:rsidP="00343324">
      <w:pPr>
        <w:pStyle w:val="BodyText"/>
      </w:pPr>
      <w:r w:rsidRPr="00F03917">
        <w:rPr>
          <w:spacing w:val="-2"/>
        </w:rPr>
        <w:t>To inform adaptation planning in Tauranga City, the effects of incremental RSLR were quantified</w:t>
      </w:r>
      <w:r w:rsidRPr="00F03917">
        <w:t xml:space="preserve"> on exposed land area and on the number and replacement value of buildings within Tauranga Harbour (as a combined hazard and risk assessment) (Stephens et al, 2021). The assessment compared three coastal hazards: ﬂooding, progressive permanent inundation (high tide) and</w:t>
      </w:r>
      <w:r w:rsidR="003737CD" w:rsidRPr="00F03917">
        <w:t> </w:t>
      </w:r>
      <w:r w:rsidRPr="00F03917">
        <w:t xml:space="preserve">coastal erosion. Increasingly frequent coastal ﬂooding will be the dominant trigger for adaptation in Tauranga. </w:t>
      </w:r>
    </w:p>
    <w:p w14:paraId="29D2C5FB" w14:textId="382E1ADA" w:rsidR="00B829FC" w:rsidRPr="00F03917" w:rsidRDefault="00B829FC" w:rsidP="00343324">
      <w:pPr>
        <w:pStyle w:val="BodyText"/>
      </w:pPr>
      <w:r w:rsidRPr="00F03917">
        <w:t>The hazard assessment in Tauranga compared the performance of simple static-planar</w:t>
      </w:r>
      <w:r w:rsidRPr="00F03917">
        <w:rPr>
          <w:rStyle w:val="FootnoteReference"/>
        </w:rPr>
        <w:footnoteReference w:id="95"/>
      </w:r>
      <w:r w:rsidRPr="00F03917">
        <w:t xml:space="preserve"> versus complex dynamic models for assessing coastal ﬂooding exposure. Differences between the dynamic and static models were largest below 0.8-metre RSLR. The static approach generally underpredicted the ﬂooding risk exposure relative to the dynamic model. Relevant to setting an adaptation threshold, the static-planar model estimated that 0.2 metres more RSLR would be required to reach 1,500 buildings impacted by 1</w:t>
      </w:r>
      <w:r w:rsidR="004941BF" w:rsidRPr="00F03917">
        <w:t xml:space="preserve"> per cent</w:t>
      </w:r>
      <w:r w:rsidRPr="00F03917">
        <w:t xml:space="preserve"> AEP storm</w:t>
      </w:r>
      <w:r w:rsidR="4751C519" w:rsidRPr="00F03917">
        <w:t xml:space="preserve"> </w:t>
      </w:r>
      <w:r w:rsidRPr="00F03917">
        <w:t xml:space="preserve">tides, compared with the dynamic model. This is compelling evidence to use dynamic models to support adaptation planning in Tauranga. </w:t>
      </w:r>
    </w:p>
    <w:p w14:paraId="1601EBB4" w14:textId="77777777" w:rsidR="00B829FC" w:rsidRPr="00F03917" w:rsidRDefault="00B829FC" w:rsidP="00B16026">
      <w:pPr>
        <w:pStyle w:val="Heading4"/>
        <w:spacing w:before="120"/>
      </w:pPr>
      <w:r w:rsidRPr="00F03917">
        <w:t xml:space="preserve">Wellington South Coast </w:t>
      </w:r>
    </w:p>
    <w:p w14:paraId="62BC10BC" w14:textId="5AC35E3E" w:rsidR="00B829FC" w:rsidRPr="00F03917" w:rsidRDefault="00B829FC" w:rsidP="002349A4">
      <w:pPr>
        <w:pStyle w:val="BodyText"/>
      </w:pPr>
      <w:r w:rsidRPr="00F03917">
        <w:t>To support the review and update of the District Plan for Wellington City, NIWA assessed the</w:t>
      </w:r>
      <w:r w:rsidR="003737CD" w:rsidRPr="00F03917">
        <w:t> </w:t>
      </w:r>
      <w:r w:rsidRPr="00F03917">
        <w:t xml:space="preserve">coastal erosion and inundation hazards for three </w:t>
      </w:r>
      <w:r w:rsidR="001C794D" w:rsidRPr="00F03917">
        <w:t xml:space="preserve">climate </w:t>
      </w:r>
      <w:r w:rsidRPr="00F03917">
        <w:t xml:space="preserve">scenarios </w:t>
      </w:r>
      <w:r w:rsidR="001C794D" w:rsidRPr="00F03917">
        <w:t>and SLR projections</w:t>
      </w:r>
      <w:r w:rsidRPr="00F03917">
        <w:t xml:space="preserve"> from the 2017 guidance</w:t>
      </w:r>
      <w:r w:rsidR="00D56929" w:rsidRPr="00F03917">
        <w:t xml:space="preserve"> (MfE, 2017)</w:t>
      </w:r>
      <w:r w:rsidRPr="00F03917">
        <w:t xml:space="preserve"> (present day, RCP 8.5 (median) and RCP 8.5 H+), including the effect of subsidence on RSLR in the two future scenarios (Allis et al, 2021). </w:t>
      </w:r>
    </w:p>
    <w:p w14:paraId="63DAECEA" w14:textId="19F311B4" w:rsidR="00B829FC" w:rsidRPr="00F03917" w:rsidRDefault="00B829FC" w:rsidP="006A1EF1">
      <w:pPr>
        <w:pStyle w:val="BodyText"/>
        <w:spacing w:after="100"/>
      </w:pPr>
      <w:r w:rsidRPr="00F03917">
        <w:lastRenderedPageBreak/>
        <w:t>For inner harbour shorelines, the static approach was used. The secondary effects of climate change were accounted for by increasing the storm surge elevation, wind speeds and offshore waves according to the 2017 guidance</w:t>
      </w:r>
      <w:r w:rsidR="00CA4998" w:rsidRPr="00F03917">
        <w:t xml:space="preserve"> (MfE, 2017)</w:t>
      </w:r>
      <w:r w:rsidRPr="00F03917">
        <w:t>. These were included as a single ‘storm’ scenario (derived from multi-variate modelling). This included storm-tide + wave-setup elevations (1</w:t>
      </w:r>
      <w:r w:rsidR="004941BF" w:rsidRPr="00F03917">
        <w:t xml:space="preserve"> per cent</w:t>
      </w:r>
      <w:r w:rsidRPr="00F03917">
        <w:t xml:space="preserve"> AEP only) at about 25 output points around Wellington Harbour, added to the RSLR </w:t>
      </w:r>
      <w:r w:rsidR="00FA4703" w:rsidRPr="00F03917">
        <w:t>projections</w:t>
      </w:r>
      <w:r w:rsidRPr="00F03917">
        <w:t>.</w:t>
      </w:r>
    </w:p>
    <w:p w14:paraId="60BFA712" w14:textId="77777777" w:rsidR="00B829FC" w:rsidRPr="00F03917" w:rsidRDefault="00B829FC" w:rsidP="006A1EF1">
      <w:pPr>
        <w:pStyle w:val="BodyText"/>
        <w:spacing w:after="100"/>
      </w:pPr>
      <w:r w:rsidRPr="00F03917">
        <w:t xml:space="preserve">On the Wellington South Coast and Mākara Beach, wave runup and setup were modelled using a ‘dynamic’ model, XBeach GPU. This model quantifies the complex interactions of waves, currents and water levels with the intricate bathymetric and topographic features in the surf </w:t>
      </w:r>
      <w:r w:rsidRPr="00F03917">
        <w:rPr>
          <w:spacing w:val="-2"/>
        </w:rPr>
        <w:t>zone (eg, rocky reefs). The output is a time history of MSL (averaged over multiple wave periods</w:t>
      </w:r>
      <w:r w:rsidRPr="00F03917">
        <w:t xml:space="preserve">), which is increased by wave setup and ‘surf beat’ in addition to extreme storm tides. The model was validated against inundation from recent storms. </w:t>
      </w:r>
    </w:p>
    <w:p w14:paraId="3379441E" w14:textId="2CE7F825" w:rsidR="00B829FC" w:rsidRPr="00F03917" w:rsidRDefault="00B829FC" w:rsidP="006A1EF1">
      <w:pPr>
        <w:pStyle w:val="BodyText"/>
        <w:spacing w:after="100"/>
      </w:pPr>
      <w:r w:rsidRPr="00F03917">
        <w:t xml:space="preserve">The benefit of using this dynamic approach is </w:t>
      </w:r>
      <w:r w:rsidR="00480F36" w:rsidRPr="00F03917">
        <w:t xml:space="preserve">the </w:t>
      </w:r>
      <w:r w:rsidR="009B5345" w:rsidRPr="00F03917">
        <w:t>ability to</w:t>
      </w:r>
      <w:r w:rsidRPr="00F03917">
        <w:t xml:space="preserve"> then combine the maximum inland reach of the runup for individual storms into an inundation envelope across all storms. This represents the maximum extent of inundation across all modelled scenarios at the 1</w:t>
      </w:r>
      <w:r w:rsidR="004941BF" w:rsidRPr="00F03917">
        <w:t xml:space="preserve"> per cent</w:t>
      </w:r>
      <w:r w:rsidRPr="00F03917">
        <w:t xml:space="preserve"> </w:t>
      </w:r>
      <w:r w:rsidRPr="00F03917">
        <w:rPr>
          <w:spacing w:val="-2"/>
        </w:rPr>
        <w:t>AEP level. It provides a more realistic inland extent of wave surging than from a static approach</w:t>
      </w:r>
      <w:r w:rsidRPr="00F03917">
        <w:t>.</w:t>
      </w:r>
    </w:p>
    <w:p w14:paraId="4E36FFED" w14:textId="73ECD25D" w:rsidR="00B829FC" w:rsidRPr="00F03917" w:rsidRDefault="00B829FC" w:rsidP="006A1EF1">
      <w:pPr>
        <w:pStyle w:val="Heading8"/>
        <w:spacing w:before="320"/>
      </w:pPr>
      <w:r w:rsidRPr="00F03917">
        <w:t>Probabilistic coastal erosion hazard assessment (Northland)</w:t>
      </w:r>
    </w:p>
    <w:p w14:paraId="2F04F673" w14:textId="7DC2FF0A" w:rsidR="00B829FC" w:rsidRPr="00F03917" w:rsidRDefault="00B829FC" w:rsidP="006A1EF1">
      <w:pPr>
        <w:pStyle w:val="BodyText"/>
        <w:spacing w:after="100"/>
      </w:pPr>
      <w:r w:rsidRPr="00F03917">
        <w:t>This project assessed and mapped coastal erosion hazards in detail for selected high</w:t>
      </w:r>
      <w:r w:rsidR="3EA48E7B" w:rsidRPr="00F03917">
        <w:t>-</w:t>
      </w:r>
      <w:r w:rsidRPr="00F03917">
        <w:t>priority sites in Northland. The methodology (Shand et al, 2014) combined standard and well-tested approaches for defining coastal erosion hazard zones. It added component parameters, with new techniques for defining and combining parameter ranges</w:t>
      </w:r>
      <w:r w:rsidR="0743D102" w:rsidRPr="00F03917">
        <w:t>,</w:t>
      </w:r>
      <w:r w:rsidRPr="00F03917">
        <w:t xml:space="preserve"> to allow for natural variation and uncertainty in individual parameters (Cowell et al, 2006). </w:t>
      </w:r>
    </w:p>
    <w:p w14:paraId="6C6F5AF6" w14:textId="733388C8" w:rsidR="00B829FC" w:rsidRPr="00F03917" w:rsidRDefault="00B829FC" w:rsidP="006A1EF1">
      <w:pPr>
        <w:pStyle w:val="BodyText"/>
        <w:spacing w:after="100"/>
      </w:pPr>
      <w:r w:rsidRPr="00F03917">
        <w:t>The resulting distribution provided a probabilistic forecast of potential hazard zone width for</w:t>
      </w:r>
      <w:r w:rsidR="003737CD" w:rsidRPr="00F03917">
        <w:t> </w:t>
      </w:r>
      <w:r w:rsidRPr="00F03917">
        <w:t xml:space="preserve">differing likelihoods, in accordance with Policy 24 of </w:t>
      </w:r>
      <w:r w:rsidR="49A640A7" w:rsidRPr="00F03917">
        <w:t xml:space="preserve">the New Zealand Coastal Policy Statement </w:t>
      </w:r>
      <w:r w:rsidRPr="00F03917">
        <w:t xml:space="preserve">2010 </w:t>
      </w:r>
      <w:r w:rsidR="084B25D9" w:rsidRPr="00F03917">
        <w:t>(NZCPS)</w:t>
      </w:r>
      <w:r w:rsidRPr="00F03917">
        <w:t xml:space="preserve"> </w:t>
      </w:r>
      <w:r w:rsidR="2EFC9EE8" w:rsidRPr="00F03917">
        <w:rPr>
          <w:rFonts w:cs="Calibri"/>
        </w:rPr>
        <w:t>(DOC, 2010)</w:t>
      </w:r>
      <w:r w:rsidR="2EFC9EE8" w:rsidRPr="00F03917">
        <w:t xml:space="preserve"> </w:t>
      </w:r>
      <w:r w:rsidRPr="00F03917">
        <w:t>and supported by best practice guidelines (eg, Ramsay et</w:t>
      </w:r>
      <w:r w:rsidR="007C39C9" w:rsidRPr="00F03917">
        <w:t> </w:t>
      </w:r>
      <w:r w:rsidRPr="00F03917">
        <w:t>al, 2012).</w:t>
      </w:r>
    </w:p>
    <w:p w14:paraId="0701909F" w14:textId="6E3573F7" w:rsidR="00B829FC" w:rsidRPr="00F03917" w:rsidRDefault="00B829FC" w:rsidP="006A1EF1">
      <w:pPr>
        <w:pStyle w:val="BodyText"/>
        <w:spacing w:after="100"/>
      </w:pPr>
      <w:r w:rsidRPr="00F03917">
        <w:t>Models were derived for different coastal types, including unconsolidated beaches, hard and</w:t>
      </w:r>
      <w:r w:rsidR="003737CD" w:rsidRPr="00F03917">
        <w:t> </w:t>
      </w:r>
      <w:r w:rsidRPr="00F03917">
        <w:t xml:space="preserve">soft cliffs, and estuarine shorelines, with component values determined using statistical, empirical and numerical methods. Component ranges tended to be narrower where processes were better understood or natural variation was small (eg, storm cut). The ranges were wider where processes were less understood (eg, coastal response to SLR) or natural variation was high (eg, long-term fluctuations around river mouths). </w:t>
      </w:r>
    </w:p>
    <w:p w14:paraId="6215E3F9" w14:textId="03A69DA7" w:rsidR="00B829FC" w:rsidRPr="00F03917" w:rsidRDefault="00B829FC" w:rsidP="005271BC">
      <w:pPr>
        <w:pStyle w:val="BodyText"/>
      </w:pPr>
      <w:r w:rsidRPr="00F03917">
        <w:t>Multiple planning timeframes were applied to provide information on current hazards at timescales for planning and accommodating future development. The potential hazard zone was defined based on the probabilistic forecast (figure A.</w:t>
      </w:r>
      <w:r w:rsidRPr="00F03917" w:rsidDel="00B01983">
        <w:t>5</w:t>
      </w:r>
      <w:r w:rsidRPr="00F03917">
        <w:t>), with coastal erosion hazard zone (CEHZ) values. A 66 per cent probability of being exceeded (P</w:t>
      </w:r>
      <w:r w:rsidRPr="00F03917">
        <w:rPr>
          <w:vertAlign w:val="subscript"/>
        </w:rPr>
        <w:t>66%</w:t>
      </w:r>
      <w:r w:rsidRPr="00F03917">
        <w:t>) and a 5 per cent probability of being exceeded (P</w:t>
      </w:r>
      <w:r w:rsidRPr="00F03917">
        <w:rPr>
          <w:vertAlign w:val="subscript"/>
        </w:rPr>
        <w:t>5%</w:t>
      </w:r>
      <w:r w:rsidRPr="00F03917">
        <w:t xml:space="preserve">) were adopted as prudent </w:t>
      </w:r>
      <w:r w:rsidRPr="00F03917">
        <w:rPr>
          <w:i/>
        </w:rPr>
        <w:t>likely</w:t>
      </w:r>
      <w:r w:rsidRPr="00F03917">
        <w:t xml:space="preserve"> and </w:t>
      </w:r>
      <w:r w:rsidRPr="00F03917">
        <w:rPr>
          <w:i/>
        </w:rPr>
        <w:t>potential</w:t>
      </w:r>
      <w:r w:rsidRPr="00F03917">
        <w:t xml:space="preserve"> CEHZ values, respectively, and mapped from the current shoreline (figure A.5; Shand et al, 2014).</w:t>
      </w:r>
    </w:p>
    <w:p w14:paraId="7CD7BAD8" w14:textId="22CC25B3" w:rsidR="00B829FC" w:rsidRPr="00F03917" w:rsidRDefault="00B829FC" w:rsidP="005271BC">
      <w:pPr>
        <w:pStyle w:val="BodyText"/>
      </w:pPr>
      <w:r w:rsidRPr="00F03917">
        <w:t>Due to the uncertainly of some components (eg, beach response to SLR), the output is a quasi</w:t>
      </w:r>
      <w:r w:rsidR="003737CD" w:rsidRPr="00F03917">
        <w:noBreakHyphen/>
      </w:r>
      <w:r w:rsidRPr="00F03917">
        <w:t>quantitative exceedance probability. Still, it provides valuable insight into the range and</w:t>
      </w:r>
      <w:r w:rsidR="003737CD" w:rsidRPr="00F03917">
        <w:t> </w:t>
      </w:r>
      <w:r w:rsidRPr="00F03917">
        <w:t xml:space="preserve">likelihood of potential hazard extent, which improves our understanding of hazard </w:t>
      </w:r>
      <w:r w:rsidR="00F7585D" w:rsidRPr="00F03917">
        <w:t xml:space="preserve">and </w:t>
      </w:r>
      <w:r w:rsidRPr="00F03917">
        <w:t>risk. While certain likelihoods (P</w:t>
      </w:r>
      <w:r w:rsidRPr="00F03917">
        <w:rPr>
          <w:vertAlign w:val="subscript"/>
        </w:rPr>
        <w:t>66%</w:t>
      </w:r>
      <w:r w:rsidRPr="00F03917">
        <w:t xml:space="preserve"> and P</w:t>
      </w:r>
      <w:r w:rsidRPr="00F03917">
        <w:rPr>
          <w:vertAlign w:val="subscript"/>
        </w:rPr>
        <w:t>5%</w:t>
      </w:r>
      <w:r w:rsidRPr="00F03917">
        <w:t>) were selected for mapping, the method allows any</w:t>
      </w:r>
      <w:r w:rsidR="006A1EF1" w:rsidRPr="00F03917">
        <w:t> </w:t>
      </w:r>
      <w:r w:rsidRPr="00F03917">
        <w:t xml:space="preserve">other hazard likelihood to be defined and mapped. </w:t>
      </w:r>
    </w:p>
    <w:p w14:paraId="7B27E62E" w14:textId="4FAB86B1" w:rsidR="00B829FC" w:rsidRPr="00F03917" w:rsidRDefault="00B829FC" w:rsidP="005271BC">
      <w:pPr>
        <w:pStyle w:val="BodyText"/>
      </w:pPr>
      <w:r w:rsidRPr="00F03917">
        <w:lastRenderedPageBreak/>
        <w:t xml:space="preserve">This assessment provided the CEHZ likelihood for a particular future </w:t>
      </w:r>
      <w:r w:rsidR="002C47EB" w:rsidRPr="00F03917">
        <w:t xml:space="preserve">climate </w:t>
      </w:r>
      <w:r w:rsidRPr="00F03917">
        <w:t>scenario (RCP8.5), using the scenario confidence bounds to define the SLR parameter range, rather than assessing the CEHZ for a range of potential scenarios as advocated in the</w:t>
      </w:r>
      <w:r w:rsidRPr="00F03917">
        <w:rPr>
          <w:i/>
          <w:iCs/>
        </w:rPr>
        <w:t xml:space="preserve"> Interim guidance on the use of new sea-level rise projections </w:t>
      </w:r>
      <w:r w:rsidRPr="00F03917">
        <w:t>(</w:t>
      </w:r>
      <w:r w:rsidR="007228CC" w:rsidRPr="00F03917">
        <w:t xml:space="preserve">MfE, </w:t>
      </w:r>
      <w:r w:rsidRPr="00F03917">
        <w:t>2022).</w:t>
      </w:r>
    </w:p>
    <w:p w14:paraId="44B65A56" w14:textId="7C038D91" w:rsidR="00B829FC" w:rsidRPr="00F03917" w:rsidRDefault="00B829FC" w:rsidP="005271BC">
      <w:pPr>
        <w:pStyle w:val="BodyText"/>
      </w:pPr>
      <w:r w:rsidRPr="00F03917">
        <w:t xml:space="preserve">The updated guidance here suggests modifying the method in future to more clearly separate the statistical and </w:t>
      </w:r>
      <w:r w:rsidR="00B30F00" w:rsidRPr="00F03917">
        <w:t xml:space="preserve">climate </w:t>
      </w:r>
      <w:r w:rsidRPr="00F03917">
        <w:t xml:space="preserve">scenario uncertainty. The robust statistical framework would still apply for all components other than SLR, and the modelling would use several distinct </w:t>
      </w:r>
      <w:r w:rsidR="007A60E3" w:rsidRPr="00F03917">
        <w:t xml:space="preserve">climate </w:t>
      </w:r>
      <w:r w:rsidRPr="00F03917">
        <w:t>scenarios</w:t>
      </w:r>
      <w:r w:rsidR="007A60E3" w:rsidRPr="00F03917">
        <w:t xml:space="preserve"> and SLR projections</w:t>
      </w:r>
      <w:r w:rsidRPr="00F03917">
        <w:t>. Alternatively, the present method could reasonably be applied for relatively short planning timeframes, where there is reasonable agreement between the SLR trajectories for the various concentration pathways.</w:t>
      </w:r>
    </w:p>
    <w:p w14:paraId="22B4772D" w14:textId="0681C888" w:rsidR="00B829FC" w:rsidRPr="00F03917" w:rsidRDefault="00B829FC" w:rsidP="007C39C9">
      <w:pPr>
        <w:pStyle w:val="Figureheading"/>
        <w:spacing w:after="80"/>
      </w:pPr>
      <w:bookmarkStart w:id="240" w:name="_Toc160098445"/>
      <w:r w:rsidRPr="00F03917">
        <w:t>Figure A.</w:t>
      </w:r>
      <w:r w:rsidRPr="00F03917" w:rsidDel="00B01983">
        <w:t>5</w:t>
      </w:r>
      <w:r w:rsidRPr="00F03917">
        <w:t>:</w:t>
      </w:r>
      <w:r w:rsidRPr="00F03917">
        <w:tab/>
        <w:t>Example of shoreline-change components as histograms (left), used to develop the width of a coastal erosion hazard zone (CEHZ) based on P</w:t>
      </w:r>
      <w:r w:rsidRPr="00F03917">
        <w:rPr>
          <w:vertAlign w:val="subscript"/>
        </w:rPr>
        <w:t>66%</w:t>
      </w:r>
      <w:r w:rsidRPr="00F03917">
        <w:t xml:space="preserve"> and P</w:t>
      </w:r>
      <w:r w:rsidRPr="00F03917">
        <w:rPr>
          <w:vertAlign w:val="subscript"/>
        </w:rPr>
        <w:t>5%</w:t>
      </w:r>
      <w:r w:rsidRPr="00F03917">
        <w:t xml:space="preserve"> lines overlaid on an</w:t>
      </w:r>
      <w:r w:rsidR="005271BC" w:rsidRPr="00F03917">
        <w:t> </w:t>
      </w:r>
      <w:r w:rsidRPr="00F03917">
        <w:t>aerial image (right)</w:t>
      </w:r>
      <w:bookmarkEnd w:id="240"/>
    </w:p>
    <w:p w14:paraId="004CBC56" w14:textId="77777777" w:rsidR="00B829FC" w:rsidRPr="00F03917" w:rsidRDefault="00B829FC" w:rsidP="007C39C9">
      <w:pPr>
        <w:pStyle w:val="BodyText"/>
        <w:jc w:val="center"/>
      </w:pPr>
      <w:r w:rsidRPr="00F03917">
        <w:rPr>
          <w:noProof/>
        </w:rPr>
        <w:drawing>
          <wp:inline distT="0" distB="0" distL="0" distR="0" wp14:anchorId="015C593E" wp14:editId="7FA133AC">
            <wp:extent cx="5247005" cy="3352605"/>
            <wp:effectExtent l="0" t="0" r="0" b="635"/>
            <wp:docPr id="1873757526" name="Picture 1873757526" descr="C:\Users\LemireE\AppData\Local\Microsoft\Windows\Temporary Internet Files\Content.Outlook\E36NHI9C\Figure 58_Case Study F_Cha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mireE\AppData\Local\Microsoft\Windows\Temporary Internet Files\Content.Outlook\E36NHI9C\Figure 58_Case Study F_Chap6.png"/>
                    <pic:cNvPicPr>
                      <a:picLocks noChangeAspect="1" noChangeArrowheads="1"/>
                    </pic:cNvPicPr>
                  </pic:nvPicPr>
                  <pic:blipFill rotWithShape="1">
                    <a:blip r:embed="rId179" cstate="email">
                      <a:extLst>
                        <a:ext uri="{28A0092B-C50C-407E-A947-70E740481C1C}">
                          <a14:useLocalDpi xmlns:a14="http://schemas.microsoft.com/office/drawing/2010/main"/>
                        </a:ext>
                      </a:extLst>
                    </a:blip>
                    <a:srcRect t="1950"/>
                    <a:stretch/>
                  </pic:blipFill>
                  <pic:spPr bwMode="auto">
                    <a:xfrm>
                      <a:off x="0" y="0"/>
                      <a:ext cx="5247005" cy="3352605"/>
                    </a:xfrm>
                    <a:prstGeom prst="rect">
                      <a:avLst/>
                    </a:prstGeom>
                    <a:noFill/>
                    <a:ln>
                      <a:noFill/>
                    </a:ln>
                    <a:extLst>
                      <a:ext uri="{53640926-AAD7-44D8-BBD7-CCE9431645EC}">
                        <a14:shadowObscured xmlns:a14="http://schemas.microsoft.com/office/drawing/2010/main"/>
                      </a:ext>
                    </a:extLst>
                  </pic:spPr>
                </pic:pic>
              </a:graphicData>
            </a:graphic>
          </wp:inline>
        </w:drawing>
      </w:r>
    </w:p>
    <w:p w14:paraId="1AE1F18E" w14:textId="3C6EA4A4" w:rsidR="00B829FC" w:rsidRPr="00F03917" w:rsidRDefault="00B829FC" w:rsidP="007C39C9">
      <w:pPr>
        <w:pStyle w:val="Source"/>
        <w:spacing w:before="60"/>
      </w:pPr>
      <w:r w:rsidRPr="00F03917">
        <w:t xml:space="preserve">CEHZ components (m): ST = short-term and LT = long-term shoreline change; DS = dune-stability factor; </w:t>
      </w:r>
      <w:r w:rsidR="003737CD" w:rsidRPr="00F03917">
        <w:br/>
      </w:r>
      <w:r w:rsidRPr="00F03917">
        <w:t xml:space="preserve">SLR = sea-level rise contribution to shoreline change; R = combined shoreline change used to set a CEHZ. </w:t>
      </w:r>
    </w:p>
    <w:p w14:paraId="72571C28" w14:textId="792C5A2A" w:rsidR="00E07B0D" w:rsidRPr="00F03917" w:rsidRDefault="00B829FC" w:rsidP="00E27B86">
      <w:pPr>
        <w:pStyle w:val="Source"/>
        <w:spacing w:before="0"/>
      </w:pPr>
      <w:r w:rsidRPr="00F03917">
        <w:t>Source: Shand et al (2014)</w:t>
      </w:r>
    </w:p>
    <w:p w14:paraId="794ED8DB" w14:textId="0C9A274B" w:rsidR="006B4DB2" w:rsidRPr="00F03917" w:rsidRDefault="00EE7766" w:rsidP="00F27244">
      <w:pPr>
        <w:pStyle w:val="Heading8"/>
      </w:pPr>
      <w:bookmarkStart w:id="241" w:name="_Current_good_practice:"/>
      <w:bookmarkEnd w:id="241"/>
      <w:r w:rsidRPr="00F03917">
        <w:t>Current good practice: Mapua and Ruby</w:t>
      </w:r>
      <w:r w:rsidR="007C39C9" w:rsidRPr="00F03917">
        <w:t> </w:t>
      </w:r>
      <w:r w:rsidRPr="00F03917">
        <w:t>Bay</w:t>
      </w:r>
      <w:r w:rsidR="00862406" w:rsidRPr="00F03917">
        <w:t xml:space="preserve"> (Plan Change 22, Tasman District Council)</w:t>
      </w:r>
    </w:p>
    <w:p w14:paraId="3769C3E6" w14:textId="10E22371" w:rsidR="00E5761D" w:rsidRPr="00F03917" w:rsidRDefault="00E5761D" w:rsidP="000358D5">
      <w:pPr>
        <w:pStyle w:val="BodyText"/>
        <w:rPr>
          <w:rFonts w:ascii="Georgia" w:eastAsiaTheme="majorEastAsia" w:hAnsi="Georgia" w:cs="Calibri"/>
          <w:b/>
          <w:szCs w:val="28"/>
        </w:rPr>
      </w:pPr>
      <w:r w:rsidRPr="00F03917">
        <w:rPr>
          <w:rFonts w:cs="Calibri"/>
        </w:rPr>
        <w:t>Detailed planning for the small coastal communities of</w:t>
      </w:r>
      <w:r w:rsidRPr="00F03917">
        <w:rPr>
          <w:rFonts w:eastAsiaTheme="majorEastAsia" w:cs="Calibri"/>
        </w:rPr>
        <w:t xml:space="preserve"> </w:t>
      </w:r>
      <w:r w:rsidRPr="00F03917">
        <w:rPr>
          <w:rFonts w:cs="Calibri"/>
        </w:rPr>
        <w:t>Mapua</w:t>
      </w:r>
      <w:r w:rsidRPr="00F03917">
        <w:rPr>
          <w:rFonts w:eastAsiaTheme="majorEastAsia" w:cs="Calibri"/>
        </w:rPr>
        <w:t xml:space="preserve"> and Ruby Bay began in the late 1990s. It was undertaken in an environment of considerable pressure for coastal development across the whole of the Tasman coastal area, from Richmond to Motueka, including in the settlements themselves. The approach to plan preparation was an integrated one, identifying and addressing the multiple challenges faced by the two communities, which ranged from natural hazards issues to management of a major contaminated site, and appropriate provision for residential and business land and associated servicing.</w:t>
      </w:r>
    </w:p>
    <w:p w14:paraId="6F8D3295" w14:textId="4E766C8F" w:rsidR="00E5761D" w:rsidRPr="00F03917" w:rsidRDefault="00E5761D" w:rsidP="000358D5">
      <w:pPr>
        <w:pStyle w:val="BodyText"/>
        <w:rPr>
          <w:rFonts w:cs="Calibri"/>
        </w:rPr>
      </w:pPr>
      <w:r w:rsidRPr="00F03917">
        <w:rPr>
          <w:rFonts w:cs="Calibri"/>
        </w:rPr>
        <w:lastRenderedPageBreak/>
        <w:t>The plan evolved over more than a decade, involving</w:t>
      </w:r>
      <w:r w:rsidRPr="00F03917">
        <w:rPr>
          <w:rFonts w:eastAsiaTheme="majorEastAsia" w:cs="Calibri"/>
        </w:rPr>
        <w:t xml:space="preserve"> an initial stage of information collection and analysis and a structure planning process. </w:t>
      </w:r>
      <w:r w:rsidR="0A42C4EE" w:rsidRPr="00F03917">
        <w:rPr>
          <w:rFonts w:eastAsiaTheme="majorEastAsia" w:cs="Calibri"/>
        </w:rPr>
        <w:t>Important</w:t>
      </w:r>
      <w:r w:rsidRPr="00F03917">
        <w:rPr>
          <w:rFonts w:eastAsiaTheme="majorEastAsia" w:cs="Calibri"/>
        </w:rPr>
        <w:t xml:space="preserve"> elements were the intention to provide for future expansion “away from low-lying land and the inundation and erosion-prone coastline between </w:t>
      </w:r>
      <w:r w:rsidRPr="00F03917">
        <w:rPr>
          <w:rFonts w:cs="Calibri"/>
        </w:rPr>
        <w:t>Mapua</w:t>
      </w:r>
      <w:r w:rsidRPr="00F03917">
        <w:rPr>
          <w:rFonts w:eastAsiaTheme="majorEastAsia" w:cs="Calibri"/>
        </w:rPr>
        <w:t xml:space="preserve"> and Ruby Bay”. It involved revising the pre-existing coastal hazard area to take into account coastal erosion, coastal and freshwater inundation, climate change and sea-level rise, and activities that could increase risk. Further subdivision on the coastal plain and sand spit areas was to be prevented, and erection of new buildings in identified hazard areas was also to be avoided</w:t>
      </w:r>
      <w:r w:rsidR="006B20A6" w:rsidRPr="00F03917">
        <w:rPr>
          <w:rFonts w:eastAsiaTheme="majorEastAsia" w:cs="Calibri"/>
        </w:rPr>
        <w:t>. This is</w:t>
      </w:r>
      <w:r w:rsidRPr="00F03917">
        <w:rPr>
          <w:rFonts w:eastAsiaTheme="majorEastAsia" w:cs="Calibri"/>
        </w:rPr>
        <w:t xml:space="preserve"> to avoid the long-term adverse effects of coastal erosion and inundation.</w:t>
      </w:r>
    </w:p>
    <w:p w14:paraId="16DA6AC7" w14:textId="75895C50" w:rsidR="00E5761D" w:rsidRPr="00F03917" w:rsidRDefault="00E5761D" w:rsidP="007C39C9">
      <w:pPr>
        <w:pStyle w:val="BodyText"/>
        <w:keepLines/>
        <w:rPr>
          <w:rFonts w:cs="Calibri"/>
          <w:szCs w:val="24"/>
        </w:rPr>
      </w:pPr>
      <w:r w:rsidRPr="00F03917">
        <w:rPr>
          <w:rFonts w:cs="Calibri"/>
        </w:rPr>
        <w:t xml:space="preserve">With a clearly expressed policy framework, elements of the plan included the identification </w:t>
      </w:r>
      <w:r w:rsidRPr="00F03917">
        <w:rPr>
          <w:rFonts w:eastAsiaTheme="majorEastAsia" w:cs="Calibri"/>
        </w:rPr>
        <w:t>of a Residential Closed Zone (further subdivision prohibited, no land filling, no new habitable buildings and no extension or replacement of existing habitable buildings closer to the shore) based on the then-current national guidance for sea-level rise and climate change effects. Coastal protection structures became restricted discretionary activities, with effects on the natural environment, adjoining properties and coastal processes being considered.</w:t>
      </w:r>
      <w:r w:rsidRPr="00F03917">
        <w:rPr>
          <w:rFonts w:cs="Calibri"/>
        </w:rPr>
        <w:t> </w:t>
      </w:r>
    </w:p>
    <w:p w14:paraId="543F1674" w14:textId="43F8BAB1" w:rsidR="00E5761D" w:rsidRPr="00F03917" w:rsidRDefault="00E5761D" w:rsidP="000358D5">
      <w:pPr>
        <w:pStyle w:val="BodyText"/>
        <w:rPr>
          <w:rFonts w:cs="Calibri"/>
        </w:rPr>
      </w:pPr>
      <w:r w:rsidRPr="00F03917">
        <w:rPr>
          <w:rFonts w:cs="Calibri"/>
        </w:rPr>
        <w:t>The plan went through several stages of engagement and a draft statutory plan process, allowing for detailed comments on policy and regulatory components. The formal processes of Plan Change 22</w:t>
      </w:r>
      <w:r w:rsidRPr="00F03917">
        <w:rPr>
          <w:rFonts w:eastAsiaTheme="majorEastAsia" w:cs="Calibri"/>
        </w:rPr>
        <w:t xml:space="preserve"> proceeded with wide public interest and debate, submissions, and a council hearing and decisions. The council had successfully sought a declaration from the Environment Court that the subdivision rules should have immediate effect, which the court granted on the basis of the circumstances (see </w:t>
      </w:r>
      <w:hyperlink w:anchor="_Appendix_B:_Relevant" w:history="1">
        <w:r w:rsidR="00A1517D" w:rsidRPr="00F03917">
          <w:rPr>
            <w:rStyle w:val="Hyperlink"/>
            <w:rFonts w:eastAsiaTheme="majorEastAsia" w:cs="Calibri"/>
          </w:rPr>
          <w:t>a</w:t>
        </w:r>
        <w:r w:rsidRPr="00F03917">
          <w:rPr>
            <w:rStyle w:val="Hyperlink"/>
            <w:rFonts w:eastAsiaTheme="majorEastAsia" w:cs="Calibri"/>
          </w:rPr>
          <w:t>ppendix B</w:t>
        </w:r>
      </w:hyperlink>
      <w:r w:rsidRPr="00F03917">
        <w:rPr>
          <w:rFonts w:eastAsiaTheme="majorEastAsia" w:cs="Calibri"/>
        </w:rPr>
        <w:t>). Part of the area was subject to appeal to the Environment Court in 2014</w:t>
      </w:r>
      <w:r w:rsidR="00A204A5" w:rsidRPr="00F03917">
        <w:rPr>
          <w:rFonts w:eastAsiaTheme="majorEastAsia" w:cs="Calibri"/>
        </w:rPr>
        <w:t>,</w:t>
      </w:r>
      <w:r w:rsidR="00146C6E" w:rsidRPr="00F03917">
        <w:rPr>
          <w:rStyle w:val="FootnoteReference"/>
          <w:rFonts w:eastAsiaTheme="majorEastAsia" w:cs="Calibri"/>
        </w:rPr>
        <w:footnoteReference w:id="96"/>
      </w:r>
      <w:r w:rsidRPr="00F03917">
        <w:rPr>
          <w:rFonts w:eastAsiaTheme="majorEastAsia" w:cs="Calibri"/>
        </w:rPr>
        <w:t xml:space="preserve"> which was </w:t>
      </w:r>
      <w:r w:rsidR="0002268E" w:rsidRPr="00F03917">
        <w:rPr>
          <w:rFonts w:eastAsiaTheme="majorEastAsia" w:cs="Calibri"/>
        </w:rPr>
        <w:t xml:space="preserve">dismissed </w:t>
      </w:r>
      <w:r w:rsidRPr="00F03917">
        <w:rPr>
          <w:rFonts w:eastAsiaTheme="majorEastAsia" w:cs="Calibri"/>
        </w:rPr>
        <w:t xml:space="preserve">in favour of Tasman District Council. </w:t>
      </w:r>
      <w:r w:rsidR="00CD3C73" w:rsidRPr="00F03917">
        <w:rPr>
          <w:rFonts w:eastAsiaTheme="majorEastAsia" w:cs="Calibri"/>
        </w:rPr>
        <w:t>A</w:t>
      </w:r>
      <w:r w:rsidR="00E5144A" w:rsidRPr="00F03917">
        <w:rPr>
          <w:rFonts w:eastAsiaTheme="majorEastAsia" w:cs="Calibri"/>
        </w:rPr>
        <w:t>t the time</w:t>
      </w:r>
      <w:r w:rsidR="00CD3C73" w:rsidRPr="00F03917">
        <w:rPr>
          <w:rFonts w:eastAsiaTheme="majorEastAsia" w:cs="Calibri"/>
        </w:rPr>
        <w:t xml:space="preserve"> of the hearing</w:t>
      </w:r>
      <w:r w:rsidR="00E5144A" w:rsidRPr="00F03917">
        <w:rPr>
          <w:rFonts w:eastAsiaTheme="majorEastAsia" w:cs="Calibri"/>
        </w:rPr>
        <w:t>,</w:t>
      </w:r>
      <w:r w:rsidRPr="00F03917">
        <w:rPr>
          <w:rFonts w:eastAsiaTheme="majorEastAsia" w:cs="Calibri"/>
        </w:rPr>
        <w:t xml:space="preserve"> </w:t>
      </w:r>
      <w:r w:rsidR="00A63925" w:rsidRPr="00F03917">
        <w:rPr>
          <w:rFonts w:eastAsiaTheme="majorEastAsia" w:cs="Calibri"/>
        </w:rPr>
        <w:t>it was uncertain</w:t>
      </w:r>
      <w:r w:rsidRPr="00F03917">
        <w:rPr>
          <w:rFonts w:eastAsiaTheme="majorEastAsia" w:cs="Calibri"/>
        </w:rPr>
        <w:t xml:space="preserve"> whether the major rock revetment at Ruby Bay (</w:t>
      </w:r>
      <w:r w:rsidR="7428392F" w:rsidRPr="00F03917">
        <w:rPr>
          <w:rFonts w:eastAsiaTheme="majorEastAsia" w:cs="Calibri"/>
        </w:rPr>
        <w:t>figure A.</w:t>
      </w:r>
      <w:r w:rsidR="7428392F" w:rsidRPr="00F03917" w:rsidDel="00B01983">
        <w:rPr>
          <w:rFonts w:eastAsiaTheme="majorEastAsia" w:cs="Calibri"/>
        </w:rPr>
        <w:t>6</w:t>
      </w:r>
      <w:r w:rsidR="7428392F" w:rsidRPr="00F03917">
        <w:rPr>
          <w:rFonts w:eastAsiaTheme="majorEastAsia" w:cs="Calibri"/>
        </w:rPr>
        <w:t xml:space="preserve">, </w:t>
      </w:r>
      <w:r w:rsidRPr="00F03917">
        <w:rPr>
          <w:rFonts w:eastAsiaTheme="majorEastAsia" w:cs="Calibri"/>
        </w:rPr>
        <w:t>photo right panel) w</w:t>
      </w:r>
      <w:r w:rsidR="00C66D15" w:rsidRPr="00F03917">
        <w:rPr>
          <w:rFonts w:eastAsiaTheme="majorEastAsia" w:cs="Calibri"/>
        </w:rPr>
        <w:t>ould</w:t>
      </w:r>
      <w:r w:rsidRPr="00F03917">
        <w:rPr>
          <w:rFonts w:eastAsiaTheme="majorEastAsia" w:cs="Calibri"/>
        </w:rPr>
        <w:t xml:space="preserve"> be retained in the long term.</w:t>
      </w:r>
      <w:r w:rsidR="00EB12EA" w:rsidRPr="00F03917">
        <w:rPr>
          <w:rStyle w:val="FootnoteReference"/>
          <w:rFonts w:eastAsiaTheme="majorEastAsia" w:cs="Calibri"/>
        </w:rPr>
        <w:footnoteReference w:id="97"/>
      </w:r>
    </w:p>
    <w:p w14:paraId="134D48E5" w14:textId="0CA18A8F" w:rsidR="00E5761D" w:rsidRPr="00F03917" w:rsidRDefault="00E5761D" w:rsidP="000358D5">
      <w:pPr>
        <w:pStyle w:val="BodyText"/>
        <w:rPr>
          <w:rFonts w:eastAsiaTheme="majorEastAsia" w:cs="Calibri"/>
        </w:rPr>
      </w:pPr>
      <w:r w:rsidRPr="00F03917">
        <w:rPr>
          <w:rFonts w:cs="Calibri"/>
        </w:rPr>
        <w:t>This is an example of planning that is current good practice for coastal hazards and that has</w:t>
      </w:r>
      <w:r w:rsidRPr="00F03917">
        <w:rPr>
          <w:rFonts w:eastAsiaTheme="majorEastAsia" w:cs="Calibri"/>
        </w:rPr>
        <w:t xml:space="preserve"> retained options for future decision-making. In the meantime, the robustness of the provisions has been subject to testing through the Environment Court. The council is monitoring the wider plan as well as the continuing coastal processes.</w:t>
      </w:r>
    </w:p>
    <w:p w14:paraId="7976070D" w14:textId="6EA9CC8E" w:rsidR="00095F63" w:rsidRPr="00F03917" w:rsidRDefault="00095F63" w:rsidP="00C52920">
      <w:pPr>
        <w:pStyle w:val="Figureheading"/>
        <w:rPr>
          <w:rFonts w:ascii="Segoe UI" w:hAnsi="Segoe UI" w:cs="Segoe UI"/>
          <w:szCs w:val="20"/>
        </w:rPr>
      </w:pPr>
      <w:bookmarkStart w:id="242" w:name="_Toc160098446"/>
      <w:r w:rsidRPr="00F03917">
        <w:t>Figure A.</w:t>
      </w:r>
      <w:r w:rsidR="00C870BF" w:rsidRPr="00F03917" w:rsidDel="00B01983">
        <w:t>6</w:t>
      </w:r>
      <w:r w:rsidR="284E76C3" w:rsidRPr="00F03917">
        <w:t xml:space="preserve">: </w:t>
      </w:r>
      <w:r w:rsidR="00FC15CD" w:rsidRPr="00F03917">
        <w:tab/>
      </w:r>
      <w:r w:rsidR="00553F2A" w:rsidRPr="00F03917">
        <w:t>Photographs at the Mapua foreshore (left) and Ruby Bay rock re</w:t>
      </w:r>
      <w:r w:rsidR="008E6A89" w:rsidRPr="00F03917">
        <w:t>vetment after a wave</w:t>
      </w:r>
      <w:r w:rsidR="00A369AB" w:rsidRPr="00F03917">
        <w:t xml:space="preserve"> </w:t>
      </w:r>
      <w:r w:rsidR="008E6A89" w:rsidRPr="00F03917">
        <w:t>overtopping event</w:t>
      </w:r>
      <w:bookmarkEnd w:id="242"/>
    </w:p>
    <w:p w14:paraId="280B2F13" w14:textId="652D983F" w:rsidR="00AB0907" w:rsidRPr="00F03917" w:rsidRDefault="00AB0907" w:rsidP="00C870BF">
      <w:pPr>
        <w:ind w:left="270" w:right="270"/>
        <w:jc w:val="center"/>
        <w:textAlignment w:val="baseline"/>
        <w:rPr>
          <w:rFonts w:ascii="Segoe UI" w:hAnsi="Segoe UI" w:cs="Segoe UI"/>
          <w:sz w:val="18"/>
          <w:szCs w:val="18"/>
        </w:rPr>
      </w:pPr>
      <w:r w:rsidRPr="00F03917">
        <w:rPr>
          <w:noProof/>
        </w:rPr>
        <w:drawing>
          <wp:inline distT="0" distB="0" distL="0" distR="0" wp14:anchorId="627FACF7" wp14:editId="2869E4DE">
            <wp:extent cx="2067560" cy="1431290"/>
            <wp:effectExtent l="0" t="0" r="8890" b="0"/>
            <wp:docPr id="975008569" name="Picture 975008569" descr="A 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80">
                      <a:extLst>
                        <a:ext uri="{28A0092B-C50C-407E-A947-70E740481C1C}">
                          <a14:useLocalDpi xmlns:a14="http://schemas.microsoft.com/office/drawing/2010/main" val="0"/>
                        </a:ext>
                      </a:extLst>
                    </a:blip>
                    <a:stretch>
                      <a:fillRect/>
                    </a:stretch>
                  </pic:blipFill>
                  <pic:spPr>
                    <a:xfrm>
                      <a:off x="0" y="0"/>
                      <a:ext cx="2067560" cy="1431290"/>
                    </a:xfrm>
                    <a:prstGeom prst="rect">
                      <a:avLst/>
                    </a:prstGeom>
                  </pic:spPr>
                </pic:pic>
              </a:graphicData>
            </a:graphic>
          </wp:inline>
        </w:drawing>
      </w:r>
      <w:r w:rsidR="00977ED4" w:rsidRPr="00F03917">
        <w:rPr>
          <w:rFonts w:ascii="Segoe UI" w:hAnsi="Segoe UI" w:cs="Segoe UI"/>
          <w:sz w:val="18"/>
          <w:szCs w:val="18"/>
        </w:rPr>
        <w:t xml:space="preserve"> </w:t>
      </w:r>
      <w:r w:rsidRPr="00F03917">
        <w:rPr>
          <w:noProof/>
        </w:rPr>
        <w:drawing>
          <wp:inline distT="0" distB="0" distL="0" distR="0" wp14:anchorId="2CC9AE52" wp14:editId="45E29AB2">
            <wp:extent cx="2250440" cy="1431290"/>
            <wp:effectExtent l="0" t="0" r="0" b="0"/>
            <wp:docPr id="1371944773" name="Picture 1371944773" descr="A rocky beach with water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81">
                      <a:extLst>
                        <a:ext uri="{28A0092B-C50C-407E-A947-70E740481C1C}">
                          <a14:useLocalDpi xmlns:a14="http://schemas.microsoft.com/office/drawing/2010/main" val="0"/>
                        </a:ext>
                      </a:extLst>
                    </a:blip>
                    <a:stretch>
                      <a:fillRect/>
                    </a:stretch>
                  </pic:blipFill>
                  <pic:spPr>
                    <a:xfrm>
                      <a:off x="0" y="0"/>
                      <a:ext cx="2250440" cy="1431290"/>
                    </a:xfrm>
                    <a:prstGeom prst="rect">
                      <a:avLst/>
                    </a:prstGeom>
                  </pic:spPr>
                </pic:pic>
              </a:graphicData>
            </a:graphic>
          </wp:inline>
        </w:drawing>
      </w:r>
    </w:p>
    <w:p w14:paraId="5019C1C5" w14:textId="29546273" w:rsidR="00AB0907" w:rsidRPr="00F03917" w:rsidRDefault="001E516A" w:rsidP="007F2DAE">
      <w:pPr>
        <w:pStyle w:val="Source"/>
        <w:rPr>
          <w:rFonts w:ascii="Segoe UI" w:hAnsi="Segoe UI" w:cs="Segoe UI"/>
          <w:szCs w:val="18"/>
        </w:rPr>
      </w:pPr>
      <w:r w:rsidRPr="00F03917">
        <w:rPr>
          <w:rFonts w:cs="Calibri"/>
          <w:szCs w:val="18"/>
        </w:rPr>
        <w:t>Source</w:t>
      </w:r>
      <w:r w:rsidR="00AB0907" w:rsidRPr="00F03917">
        <w:rPr>
          <w:rFonts w:cs="Calibri"/>
          <w:szCs w:val="18"/>
        </w:rPr>
        <w:t>: E Verstappen, Tasman District Council </w:t>
      </w:r>
    </w:p>
    <w:p w14:paraId="4B0601BA" w14:textId="6C24F0AE" w:rsidR="00AB0907" w:rsidRPr="00F03917" w:rsidRDefault="00B8679C" w:rsidP="00F27244">
      <w:pPr>
        <w:pStyle w:val="Heading8"/>
      </w:pPr>
      <w:bookmarkStart w:id="243" w:name="_Proposed_Marlborough_Environment"/>
      <w:bookmarkEnd w:id="243"/>
      <w:r w:rsidRPr="00F03917">
        <w:lastRenderedPageBreak/>
        <w:t xml:space="preserve">Proposed </w:t>
      </w:r>
      <w:r w:rsidR="00D52273" w:rsidRPr="00F03917">
        <w:t>Marlborough</w:t>
      </w:r>
      <w:r w:rsidR="00EA2462" w:rsidRPr="00F03917">
        <w:t xml:space="preserve"> </w:t>
      </w:r>
      <w:r w:rsidR="00232AC4" w:rsidRPr="00F03917">
        <w:t xml:space="preserve">Environment </w:t>
      </w:r>
      <w:r w:rsidR="00EA2462" w:rsidRPr="00F03917">
        <w:t>plan</w:t>
      </w:r>
    </w:p>
    <w:p w14:paraId="7E49B238" w14:textId="4F3E6D57" w:rsidR="0052248F" w:rsidRPr="00F03917" w:rsidRDefault="0052248F" w:rsidP="0052248F">
      <w:pPr>
        <w:pStyle w:val="BodyText"/>
        <w:rPr>
          <w:i/>
          <w:iCs/>
          <w:sz w:val="20"/>
          <w:szCs w:val="20"/>
        </w:rPr>
      </w:pPr>
      <w:r w:rsidRPr="00F03917">
        <w:rPr>
          <w:i/>
          <w:iCs/>
          <w:sz w:val="20"/>
          <w:szCs w:val="20"/>
        </w:rPr>
        <w:t>Compiled according to the Proposed Marlborough Environmental Plan, Volume 1, Appeal version, Policy – Chapter 19 – Climate Change and Lawrence et al (2021a).</w:t>
      </w:r>
    </w:p>
    <w:p w14:paraId="61936EE9" w14:textId="54381A90" w:rsidR="003B71E6" w:rsidRPr="00F03917" w:rsidRDefault="00D45725" w:rsidP="00765F54">
      <w:pPr>
        <w:pStyle w:val="BodyText"/>
        <w:rPr>
          <w:rFonts w:cs="Calibri"/>
        </w:rPr>
      </w:pPr>
      <w:r w:rsidRPr="00F03917">
        <w:rPr>
          <w:rFonts w:cs="Calibri"/>
        </w:rPr>
        <w:t xml:space="preserve">Marlborough District Council has reviewed the Marlborough Regional Policy Statement, the Marlborough Sounds Resource Management Plan and the Wairau/Awatere Resource Management Plan to create a single resource management document for the district. </w:t>
      </w:r>
      <w:r w:rsidR="00AB0907" w:rsidRPr="00F03917">
        <w:rPr>
          <w:rFonts w:cs="Calibri"/>
        </w:rPr>
        <w:t>Th</w:t>
      </w:r>
      <w:r w:rsidR="005A75C9" w:rsidRPr="00F03917">
        <w:rPr>
          <w:rFonts w:cs="Calibri"/>
        </w:rPr>
        <w:t>e Proposed Marlborough Environment Plan</w:t>
      </w:r>
      <w:r w:rsidR="0018391E" w:rsidRPr="00F03917">
        <w:rPr>
          <w:rStyle w:val="FootnoteReference"/>
          <w:rFonts w:cs="Calibri"/>
        </w:rPr>
        <w:footnoteReference w:id="98"/>
      </w:r>
      <w:r w:rsidR="00AB0907" w:rsidRPr="00F03917">
        <w:rPr>
          <w:rFonts w:cs="Calibri"/>
        </w:rPr>
        <w:t xml:space="preserve"> includes the </w:t>
      </w:r>
      <w:r w:rsidR="16E91E8A" w:rsidRPr="00F03917">
        <w:rPr>
          <w:rFonts w:cs="Calibri"/>
        </w:rPr>
        <w:t>r</w:t>
      </w:r>
      <w:r w:rsidR="16E91E8A" w:rsidRPr="00F03917">
        <w:rPr>
          <w:rFonts w:eastAsia="Calibri" w:cs="Calibri"/>
        </w:rPr>
        <w:t>egional policy statement</w:t>
      </w:r>
      <w:r w:rsidR="00AB0907" w:rsidRPr="00F03917">
        <w:t>,</w:t>
      </w:r>
      <w:r w:rsidR="00AB0907" w:rsidRPr="00F03917">
        <w:rPr>
          <w:rFonts w:cs="Calibri"/>
        </w:rPr>
        <w:t xml:space="preserve"> as well as regional and district plan provisions and has a prominent chapter on climate change</w:t>
      </w:r>
      <w:r w:rsidR="639F4AB6" w:rsidRPr="00F03917">
        <w:rPr>
          <w:rFonts w:cs="Calibri"/>
        </w:rPr>
        <w:t>:</w:t>
      </w:r>
      <w:r w:rsidR="00AB0907" w:rsidRPr="00F03917" w:rsidDel="00EA2462">
        <w:rPr>
          <w:rFonts w:cs="Calibri"/>
        </w:rPr>
        <w:t xml:space="preserve"> </w:t>
      </w:r>
      <w:r w:rsidR="1C34BF62" w:rsidRPr="00F03917">
        <w:rPr>
          <w:rFonts w:cs="Calibri"/>
        </w:rPr>
        <w:t>‘</w:t>
      </w:r>
      <w:r w:rsidR="00AB0907" w:rsidRPr="00F03917">
        <w:rPr>
          <w:rFonts w:cs="Calibri"/>
        </w:rPr>
        <w:t xml:space="preserve">Climate </w:t>
      </w:r>
      <w:r w:rsidR="00765F54" w:rsidRPr="00F03917">
        <w:rPr>
          <w:rFonts w:cs="Calibri"/>
        </w:rPr>
        <w:t>c</w:t>
      </w:r>
      <w:r w:rsidR="00AB0907" w:rsidRPr="00F03917">
        <w:rPr>
          <w:rFonts w:cs="Calibri"/>
        </w:rPr>
        <w:t>hange could affect natural hazards and create a coastal inundation hazard associated with sea-level rise</w:t>
      </w:r>
      <w:r w:rsidR="1BD503A2" w:rsidRPr="00F03917">
        <w:rPr>
          <w:rFonts w:cs="Calibri"/>
        </w:rPr>
        <w:t>’</w:t>
      </w:r>
      <w:r w:rsidR="3EEBF89A" w:rsidRPr="00F03917">
        <w:rPr>
          <w:rFonts w:cs="Calibri"/>
        </w:rPr>
        <w:t>.</w:t>
      </w:r>
      <w:r w:rsidR="00AB0907" w:rsidRPr="00F03917">
        <w:rPr>
          <w:rFonts w:cs="Calibri"/>
        </w:rPr>
        <w:t xml:space="preserve"> </w:t>
      </w:r>
      <w:r w:rsidR="00D35B79" w:rsidRPr="00F03917">
        <w:rPr>
          <w:rFonts w:cs="Calibri"/>
        </w:rPr>
        <w:t>Note that all of V1, Chapter 19 (Climate Change); V1, most of Chapter 13 (Use of the Coastal Environment); and all of V2, Chapter 16 Coastal Marine Zone rules are treated as operative in accordance with S86F of the RMA.</w:t>
      </w:r>
    </w:p>
    <w:p w14:paraId="407D26D2" w14:textId="35808F66" w:rsidR="00AB0907" w:rsidRPr="00F03917" w:rsidRDefault="65470173" w:rsidP="007C39C9">
      <w:pPr>
        <w:pStyle w:val="BodyText"/>
        <w:keepNext/>
        <w:rPr>
          <w:rFonts w:cs="Calibri"/>
        </w:rPr>
      </w:pPr>
      <w:r w:rsidRPr="00F03917">
        <w:rPr>
          <w:rFonts w:cs="Calibri"/>
        </w:rPr>
        <w:t>T</w:t>
      </w:r>
      <w:r w:rsidR="00AB0907" w:rsidRPr="00F03917">
        <w:rPr>
          <w:rFonts w:cs="Calibri"/>
        </w:rPr>
        <w:t>he plan contains the following</w:t>
      </w:r>
      <w:r w:rsidR="007B0F2D" w:rsidRPr="00F03917">
        <w:rPr>
          <w:rFonts w:cs="Calibri"/>
        </w:rPr>
        <w:t>.</w:t>
      </w:r>
    </w:p>
    <w:p w14:paraId="1C470F7F" w14:textId="0602412A" w:rsidR="00AB0907" w:rsidRPr="00F03917" w:rsidRDefault="00AB0907" w:rsidP="00AB0907">
      <w:pPr>
        <w:ind w:right="570"/>
        <w:jc w:val="both"/>
        <w:textAlignment w:val="baseline"/>
        <w:rPr>
          <w:rFonts w:ascii="Calibri" w:eastAsiaTheme="minorEastAsia" w:hAnsi="Calibri" w:cs="Calibri"/>
          <w:sz w:val="22"/>
          <w:szCs w:val="22"/>
        </w:rPr>
      </w:pPr>
      <w:r w:rsidRPr="00F03917">
        <w:rPr>
          <w:rFonts w:ascii="Calibri" w:eastAsiaTheme="minorEastAsia" w:hAnsi="Calibri" w:cs="Calibri"/>
          <w:b/>
          <w:bCs/>
          <w:sz w:val="22"/>
          <w:szCs w:val="22"/>
        </w:rPr>
        <w:t>Issue statement</w:t>
      </w:r>
      <w:r w:rsidRPr="00F03917">
        <w:rPr>
          <w:rFonts w:ascii="Calibri" w:eastAsiaTheme="minorEastAsia" w:hAnsi="Calibri" w:cs="Calibri"/>
          <w:sz w:val="22"/>
          <w:szCs w:val="22"/>
        </w:rPr>
        <w:t xml:space="preserve"> – </w:t>
      </w:r>
      <w:r w:rsidR="49BF8F15" w:rsidRPr="00F03917">
        <w:rPr>
          <w:rFonts w:ascii="Calibri" w:eastAsiaTheme="minorEastAsia" w:hAnsi="Calibri" w:cs="Calibri"/>
          <w:sz w:val="22"/>
          <w:szCs w:val="22"/>
        </w:rPr>
        <w:t xml:space="preserve">this </w:t>
      </w:r>
      <w:r w:rsidRPr="00F03917">
        <w:rPr>
          <w:rFonts w:ascii="Calibri" w:eastAsiaTheme="minorEastAsia" w:hAnsi="Calibri" w:cs="Calibri"/>
          <w:sz w:val="22"/>
          <w:szCs w:val="22"/>
        </w:rPr>
        <w:t xml:space="preserve">acknowledges the range of sea-level rises within the 2017 guidance </w:t>
      </w:r>
      <w:r w:rsidR="000E0132" w:rsidRPr="00F03917">
        <w:rPr>
          <w:rFonts w:ascii="Calibri" w:eastAsiaTheme="minorEastAsia" w:hAnsi="Calibri" w:cs="Calibri"/>
          <w:sz w:val="22"/>
          <w:szCs w:val="22"/>
        </w:rPr>
        <w:t>(MfE, 2017)</w:t>
      </w:r>
      <w:r w:rsidRPr="00F03917">
        <w:rPr>
          <w:rFonts w:ascii="Calibri" w:eastAsiaTheme="minorEastAsia" w:hAnsi="Calibri" w:cs="Calibri"/>
          <w:sz w:val="22"/>
          <w:szCs w:val="22"/>
        </w:rPr>
        <w:t xml:space="preserve"> and localised influences on sea-level rise, including natural coastal protection and land subsidence. It notes the potential for increased frequency of extreme weather events and the effects of this on settlement</w:t>
      </w:r>
      <w:r w:rsidR="003722E6" w:rsidRPr="00F03917">
        <w:rPr>
          <w:rFonts w:ascii="Calibri" w:eastAsiaTheme="minorEastAsia" w:hAnsi="Calibri" w:cs="Calibri"/>
          <w:sz w:val="22"/>
          <w:szCs w:val="22"/>
        </w:rPr>
        <w:t>s</w:t>
      </w:r>
      <w:r w:rsidRPr="00F03917">
        <w:rPr>
          <w:rFonts w:ascii="Calibri" w:eastAsiaTheme="minorEastAsia" w:hAnsi="Calibri" w:cs="Calibri"/>
          <w:sz w:val="22"/>
          <w:szCs w:val="22"/>
        </w:rPr>
        <w:t xml:space="preserve"> and regionally important infrastructure.</w:t>
      </w:r>
      <w:r w:rsidR="00977ED4" w:rsidRPr="00F03917">
        <w:rPr>
          <w:rFonts w:eastAsiaTheme="minorEastAsia"/>
          <w:sz w:val="22"/>
          <w:szCs w:val="22"/>
        </w:rPr>
        <w:t xml:space="preserve"> </w:t>
      </w:r>
    </w:p>
    <w:p w14:paraId="6D2A405E" w14:textId="4FF21DA8" w:rsidR="00AB0907" w:rsidRPr="00F03917" w:rsidRDefault="00AB0907" w:rsidP="00125B8C">
      <w:pPr>
        <w:pStyle w:val="BodyText"/>
        <w:rPr>
          <w:rFonts w:cs="Calibri"/>
        </w:rPr>
      </w:pPr>
      <w:r w:rsidRPr="00F03917">
        <w:rPr>
          <w:rFonts w:cs="Calibri"/>
          <w:b/>
          <w:bCs/>
        </w:rPr>
        <w:t>Objective</w:t>
      </w:r>
      <w:r w:rsidRPr="00F03917">
        <w:rPr>
          <w:rFonts w:cs="Calibri"/>
        </w:rPr>
        <w:t xml:space="preserve"> – the single objective is: </w:t>
      </w:r>
      <w:r w:rsidRPr="00F03917">
        <w:rPr>
          <w:rFonts w:cs="Calibri"/>
          <w:i/>
          <w:iCs/>
        </w:rPr>
        <w:t>Avoid and mitigate the adverse effects of natural hazards influenced by climate change.</w:t>
      </w:r>
      <w:r w:rsidRPr="00F03917">
        <w:rPr>
          <w:rFonts w:cs="Calibri"/>
        </w:rPr>
        <w:t xml:space="preserve"> It is a</w:t>
      </w:r>
      <w:r w:rsidR="635607DB" w:rsidRPr="00F03917">
        <w:rPr>
          <w:rFonts w:cs="Calibri"/>
        </w:rPr>
        <w:t xml:space="preserve"> r</w:t>
      </w:r>
      <w:r w:rsidR="635607DB" w:rsidRPr="00F03917">
        <w:rPr>
          <w:rFonts w:eastAsia="Calibri" w:cs="Calibri"/>
        </w:rPr>
        <w:t>egional policy statement</w:t>
      </w:r>
      <w:r w:rsidRPr="00F03917">
        <w:rPr>
          <w:rFonts w:cs="Calibri"/>
        </w:rPr>
        <w:t>, regional, coastal and district objective.</w:t>
      </w:r>
    </w:p>
    <w:p w14:paraId="08F4500F" w14:textId="166893EB" w:rsidR="00AB0907" w:rsidRPr="00F03917" w:rsidRDefault="00AB0907" w:rsidP="00125B8C">
      <w:pPr>
        <w:pStyle w:val="BodyText"/>
        <w:rPr>
          <w:rFonts w:cs="Calibri"/>
        </w:rPr>
      </w:pPr>
      <w:r w:rsidRPr="00F03917">
        <w:rPr>
          <w:rFonts w:cs="Calibri"/>
          <w:b/>
          <w:bCs/>
        </w:rPr>
        <w:t>Policies</w:t>
      </w:r>
      <w:r w:rsidRPr="00F03917">
        <w:rPr>
          <w:rFonts w:cs="Calibri"/>
        </w:rPr>
        <w:t xml:space="preserve"> – two policies (regional, coastal and district) </w:t>
      </w:r>
      <w:r w:rsidR="1285BCEF" w:rsidRPr="00F03917">
        <w:rPr>
          <w:rFonts w:cs="Calibri"/>
        </w:rPr>
        <w:t>are in place</w:t>
      </w:r>
      <w:r w:rsidRPr="00F03917">
        <w:rPr>
          <w:rFonts w:cs="Calibri"/>
        </w:rPr>
        <w:t xml:space="preserve"> relating to coastal inundation. </w:t>
      </w:r>
      <w:r w:rsidR="00020253" w:rsidRPr="00F03917">
        <w:rPr>
          <w:rFonts w:cs="Calibri"/>
        </w:rPr>
        <w:t>Policy 19.2.2</w:t>
      </w:r>
      <w:r w:rsidRPr="00F03917">
        <w:rPr>
          <w:rFonts w:cs="Calibri"/>
        </w:rPr>
        <w:t xml:space="preserve"> sets out interim SLR allowances to be used (until the second policy has been applied in any area) for different planning situations, as follows:</w:t>
      </w:r>
    </w:p>
    <w:p w14:paraId="1FB0174F" w14:textId="57FF00D8" w:rsidR="00AB0907" w:rsidRPr="00F03917" w:rsidRDefault="007C39C9" w:rsidP="007C39C9">
      <w:pPr>
        <w:pStyle w:val="Quote"/>
        <w:spacing w:after="0" w:line="260" w:lineRule="atLeast"/>
        <w:ind w:left="964" w:hanging="397"/>
      </w:pPr>
      <w:r w:rsidRPr="00F03917">
        <w:t>a)</w:t>
      </w:r>
      <w:r w:rsidRPr="00F03917">
        <w:tab/>
      </w:r>
      <w:r w:rsidR="00AB0907" w:rsidRPr="00F03917">
        <w:t>Coastal subdivision, greenfield developments, and major new infrastructure – use a minimum 1.52 m sea-level rise: and </w:t>
      </w:r>
    </w:p>
    <w:p w14:paraId="417AEC98" w14:textId="6A2F13EA" w:rsidR="00AB0907" w:rsidRPr="00F03917" w:rsidRDefault="007C39C9" w:rsidP="007C39C9">
      <w:pPr>
        <w:pStyle w:val="Quote"/>
        <w:spacing w:after="0" w:line="260" w:lineRule="atLeast"/>
        <w:ind w:left="964" w:hanging="397"/>
      </w:pPr>
      <w:r w:rsidRPr="00F03917">
        <w:t>b)</w:t>
      </w:r>
      <w:r w:rsidRPr="00F03917">
        <w:tab/>
      </w:r>
      <w:r w:rsidR="00AB0907" w:rsidRPr="00F03917">
        <w:t>Changes in land use and redevelopment (involving intensification or use of land beyond the existing footprint of built development or structures) – use a minimum 1.52 m sea-level rise; and</w:t>
      </w:r>
      <w:r w:rsidR="00977ED4" w:rsidRPr="00F03917">
        <w:t xml:space="preserve"> </w:t>
      </w:r>
    </w:p>
    <w:p w14:paraId="23D35438" w14:textId="1A8F97E1" w:rsidR="00AB0907" w:rsidRPr="00F03917" w:rsidRDefault="007C39C9" w:rsidP="007C39C9">
      <w:pPr>
        <w:pStyle w:val="Quote"/>
        <w:spacing w:after="0" w:line="260" w:lineRule="atLeast"/>
        <w:ind w:left="964" w:hanging="397"/>
      </w:pPr>
      <w:r w:rsidRPr="00F03917">
        <w:t>c)</w:t>
      </w:r>
      <w:r w:rsidRPr="00F03917">
        <w:tab/>
      </w:r>
      <w:r w:rsidR="00AB0907" w:rsidRPr="00F03917">
        <w:t>Existing coastal development and assets within their existing footprint – use a minimum 1.0 m sea-level rise; and </w:t>
      </w:r>
    </w:p>
    <w:p w14:paraId="7D52A961" w14:textId="57F4AF61" w:rsidR="00AB0907" w:rsidRPr="00F03917" w:rsidRDefault="007C39C9" w:rsidP="007C39C9">
      <w:pPr>
        <w:pStyle w:val="Quote"/>
        <w:spacing w:line="260" w:lineRule="atLeast"/>
        <w:ind w:left="964" w:hanging="397"/>
      </w:pPr>
      <w:r w:rsidRPr="00F03917">
        <w:t>d)</w:t>
      </w:r>
      <w:r w:rsidRPr="00F03917">
        <w:tab/>
      </w:r>
      <w:r w:rsidR="00AB0907" w:rsidRPr="00F03917">
        <w:t>Non-habitable short-lived assets with a functional need to be at the coast, and which either have low consequences or are readily adaptable (including services) - use a minimum 0.65m sea-level rise.</w:t>
      </w:r>
    </w:p>
    <w:p w14:paraId="6738E18D" w14:textId="1BDC3E71" w:rsidR="00AB0907" w:rsidRPr="00F03917" w:rsidRDefault="00AB0907" w:rsidP="00FC15CD">
      <w:pPr>
        <w:pStyle w:val="BodyText"/>
      </w:pPr>
      <w:r w:rsidRPr="00F03917">
        <w:t>A single figure is used to give certainty for resource users, rather than the range recommended in the 2017 guidance</w:t>
      </w:r>
      <w:r w:rsidR="009D1943" w:rsidRPr="00F03917">
        <w:t xml:space="preserve"> (MfE, 2017)</w:t>
      </w:r>
      <w:r w:rsidRPr="00F03917">
        <w:t>. They are</w:t>
      </w:r>
      <w:r w:rsidR="397A82AF" w:rsidRPr="00F03917">
        <w:t>,</w:t>
      </w:r>
      <w:r w:rsidRPr="00F03917">
        <w:t xml:space="preserve"> however, based on a precautionary approach out to </w:t>
      </w:r>
      <w:r w:rsidR="00D2744D" w:rsidRPr="00F03917">
        <w:t>‘</w:t>
      </w:r>
      <w:r w:rsidRPr="00F03917">
        <w:t>at least 100-years</w:t>
      </w:r>
      <w:r w:rsidR="00D2744D" w:rsidRPr="00F03917">
        <w:t>’</w:t>
      </w:r>
      <w:r w:rsidRPr="00F03917">
        <w:t xml:space="preserve"> that accounts for the ongoing progressive SLR changes, thus giving effect to the NZCPS. In particular, the explanation notes that the plan has a life of only 10 years but subdivisions and new property titles </w:t>
      </w:r>
      <w:r w:rsidR="5DE88D34" w:rsidRPr="00F03917">
        <w:t>that</w:t>
      </w:r>
      <w:r w:rsidRPr="00F03917">
        <w:t xml:space="preserve"> may be approved within the plan’s lifetime have an indefinite life, and buildings and infrastructure have a minimum design life of 50 years. The policy is to be applied to resource consent applications, plan changes and designations. </w:t>
      </w:r>
      <w:r w:rsidR="78BC4C3B" w:rsidRPr="00F03917">
        <w:t>N</w:t>
      </w:r>
      <w:r w:rsidRPr="00F03917">
        <w:t xml:space="preserve">o specific rules </w:t>
      </w:r>
      <w:r w:rsidR="0E4667C5" w:rsidRPr="00F03917">
        <w:t xml:space="preserve">are </w:t>
      </w:r>
      <w:r w:rsidRPr="00F03917">
        <w:t>associated with this policy. However, the plan</w:t>
      </w:r>
      <w:r w:rsidR="6B5A7AE3" w:rsidRPr="00F03917">
        <w:t xml:space="preserve"> has a setback rule</w:t>
      </w:r>
      <w:r w:rsidRPr="00F03917">
        <w:t>, and applications within this setback area will trigger this policy. </w:t>
      </w:r>
    </w:p>
    <w:p w14:paraId="0C31CD0C" w14:textId="4CBFE539" w:rsidR="00AB0907" w:rsidRPr="00F03917" w:rsidRDefault="00232AC4" w:rsidP="002008A5">
      <w:pPr>
        <w:pStyle w:val="BodyText"/>
        <w:keepNext/>
      </w:pPr>
      <w:r w:rsidRPr="00F03917">
        <w:lastRenderedPageBreak/>
        <w:t>P</w:t>
      </w:r>
      <w:r w:rsidR="00AB0907" w:rsidRPr="00F03917">
        <w:t xml:space="preserve">olicy </w:t>
      </w:r>
      <w:r w:rsidRPr="00F03917">
        <w:t xml:space="preserve">19.2.3 </w:t>
      </w:r>
      <w:r w:rsidR="00AB0907" w:rsidRPr="00F03917">
        <w:t>adopts a process for future more detailed planning in specific circumstances, which is fully aligned with the 2017 guidance, as follows: </w:t>
      </w:r>
    </w:p>
    <w:p w14:paraId="6D93EB45" w14:textId="7BBDD614" w:rsidR="00AB0907" w:rsidRPr="00F03917" w:rsidRDefault="00AB0907" w:rsidP="002008A5">
      <w:pPr>
        <w:pStyle w:val="Quote"/>
        <w:keepNext/>
        <w:keepLines/>
        <w:spacing w:line="260" w:lineRule="atLeast"/>
      </w:pPr>
      <w:r w:rsidRPr="00F03917">
        <w:t>Using a collaborative community engagement model, identify and prioritise areas, assets,</w:t>
      </w:r>
      <w:r w:rsidR="007C39C9" w:rsidRPr="00F03917">
        <w:t> </w:t>
      </w:r>
      <w:r w:rsidRPr="00F03917">
        <w:t>and infrastructure (e.g. roads) where the coastal environment is under threat of</w:t>
      </w:r>
      <w:r w:rsidR="007C39C9" w:rsidRPr="00F03917">
        <w:t> </w:t>
      </w:r>
      <w:r w:rsidRPr="00F03917">
        <w:t>inundation from rising sea levels and associated storm surges. Using that process develop an implementation plan to avoid or mitigate the adverse effects of such outcomes on the community.</w:t>
      </w:r>
    </w:p>
    <w:p w14:paraId="5EB5B2D2" w14:textId="34DF21B8" w:rsidR="00AB0907" w:rsidRPr="00F03917" w:rsidRDefault="00AB0907" w:rsidP="00FC15CD">
      <w:pPr>
        <w:pStyle w:val="BodyText"/>
      </w:pPr>
      <w:r w:rsidRPr="00F03917">
        <w:t xml:space="preserve">The council will undertake a </w:t>
      </w:r>
      <w:r w:rsidR="570713E6" w:rsidRPr="00F03917">
        <w:t>d</w:t>
      </w:r>
      <w:r w:rsidR="570713E6" w:rsidRPr="00F03917">
        <w:rPr>
          <w:rFonts w:eastAsia="Calibri"/>
        </w:rPr>
        <w:t xml:space="preserve">ynamic adaptive </w:t>
      </w:r>
      <w:r w:rsidR="280DBD17" w:rsidRPr="00F03917">
        <w:rPr>
          <w:rFonts w:eastAsia="Calibri"/>
        </w:rPr>
        <w:t>pathway</w:t>
      </w:r>
      <w:r w:rsidR="0384C624" w:rsidRPr="00F03917">
        <w:rPr>
          <w:rFonts w:eastAsia="Calibri"/>
        </w:rPr>
        <w:t>s</w:t>
      </w:r>
      <w:r w:rsidR="570713E6" w:rsidRPr="00F03917">
        <w:rPr>
          <w:rFonts w:eastAsia="Calibri"/>
        </w:rPr>
        <w:t xml:space="preserve"> planning </w:t>
      </w:r>
      <w:r w:rsidRPr="00F03917">
        <w:t>process with the communities potentially affected by SLR</w:t>
      </w:r>
      <w:r w:rsidR="095A6890" w:rsidRPr="00F03917">
        <w:t>,</w:t>
      </w:r>
      <w:r w:rsidRPr="00F03917">
        <w:t xml:space="preserve"> in accordance with the 2017 guidance</w:t>
      </w:r>
      <w:r w:rsidR="63350F04" w:rsidRPr="00F03917">
        <w:t xml:space="preserve"> (MfE, 2017)</w:t>
      </w:r>
      <w:r w:rsidRPr="00F03917">
        <w:t>.</w:t>
      </w:r>
    </w:p>
    <w:p w14:paraId="7D5ACF13" w14:textId="183BF2E9" w:rsidR="006F0E1F" w:rsidRPr="00F03917" w:rsidRDefault="00AB0907" w:rsidP="00FC15CD">
      <w:pPr>
        <w:pStyle w:val="BodyText"/>
      </w:pPr>
      <w:r w:rsidRPr="00F03917">
        <w:rPr>
          <w:b/>
          <w:bCs/>
        </w:rPr>
        <w:t xml:space="preserve">Methods </w:t>
      </w:r>
      <w:r w:rsidRPr="00F03917">
        <w:t xml:space="preserve">– the methods involve </w:t>
      </w:r>
      <w:r w:rsidR="65611930" w:rsidRPr="00F03917">
        <w:t>c</w:t>
      </w:r>
      <w:r w:rsidRPr="00F03917">
        <w:t xml:space="preserve">ouncil-led research, </w:t>
      </w:r>
      <w:r w:rsidR="44C570E3" w:rsidRPr="00F03917">
        <w:t>and</w:t>
      </w:r>
      <w:r w:rsidRPr="00F03917">
        <w:t xml:space="preserve"> planning processes include an action plan to be developed with affected communities using the 10-step decision cycle to determine long-term strategic plans and decision-making for coastal areas. District rules </w:t>
      </w:r>
      <w:r w:rsidR="1E1AAE27" w:rsidRPr="00F03917">
        <w:t>that</w:t>
      </w:r>
      <w:r w:rsidRPr="00F03917">
        <w:t xml:space="preserve"> apply a horizontal setback are to be used to reduce the potential for structures and infrastructure to be inundated until research and community engagement is completed. It is anticipated these steps may prompt the need for additional rules for ensuring the objective and first policy continue to be met.</w:t>
      </w:r>
    </w:p>
    <w:p w14:paraId="5FE872F3" w14:textId="022B6314" w:rsidR="00AB0907" w:rsidRPr="00F03917" w:rsidRDefault="00AB0907" w:rsidP="00FC15CD">
      <w:pPr>
        <w:pStyle w:val="Heading4"/>
      </w:pPr>
      <w:r w:rsidRPr="00F03917">
        <w:t xml:space="preserve">Anticipated </w:t>
      </w:r>
      <w:r w:rsidR="6CAD2A9C" w:rsidRPr="00F03917">
        <w:t>e</w:t>
      </w:r>
      <w:r w:rsidRPr="00F03917">
        <w:t xml:space="preserve">nvironmental </w:t>
      </w:r>
      <w:r w:rsidR="3065EFA6" w:rsidRPr="00F03917">
        <w:t>r</w:t>
      </w:r>
      <w:r w:rsidRPr="00F03917">
        <w:t>esult</w:t>
      </w:r>
    </w:p>
    <w:p w14:paraId="738EB382" w14:textId="0F1D1423" w:rsidR="00AB0907" w:rsidRPr="00F03917" w:rsidRDefault="00AB0907" w:rsidP="00FC15CD">
      <w:pPr>
        <w:pStyle w:val="BodyText"/>
        <w:rPr>
          <w:i/>
          <w:iCs/>
        </w:rPr>
      </w:pPr>
      <w:r w:rsidRPr="00F03917">
        <w:rPr>
          <w:i/>
          <w:iCs/>
        </w:rPr>
        <w:t xml:space="preserve">Buildings and infrastructure established after the notification of the </w:t>
      </w:r>
      <w:r w:rsidR="007B0F2D" w:rsidRPr="00F03917">
        <w:rPr>
          <w:i/>
          <w:iCs/>
        </w:rPr>
        <w:t>Proposed Marlborough Environment Plan</w:t>
      </w:r>
      <w:r w:rsidRPr="00F03917">
        <w:rPr>
          <w:i/>
          <w:iCs/>
        </w:rPr>
        <w:t xml:space="preserve"> are not inundated by the sea.</w:t>
      </w:r>
    </w:p>
    <w:p w14:paraId="44897D42" w14:textId="63B9454B" w:rsidR="00AB0907" w:rsidRPr="00F03917" w:rsidRDefault="00AB0907" w:rsidP="00FC15CD">
      <w:pPr>
        <w:pStyle w:val="BodyText"/>
      </w:pPr>
      <w:r w:rsidRPr="00F03917">
        <w:t>Monitoring of effectiveness is based on reports of inundation and/or damage to buildings and infrastructure.</w:t>
      </w:r>
    </w:p>
    <w:p w14:paraId="699730B4" w14:textId="02C7A9F8" w:rsidR="00AB0907" w:rsidRPr="00F03917" w:rsidRDefault="00AB0907" w:rsidP="00FC15CD">
      <w:pPr>
        <w:pStyle w:val="BodyText"/>
      </w:pPr>
      <w:r w:rsidRPr="00F03917">
        <w:t xml:space="preserve">The main settlement areas are within the </w:t>
      </w:r>
      <w:r w:rsidR="00E96C87" w:rsidRPr="00F03917">
        <w:t>c</w:t>
      </w:r>
      <w:r w:rsidRPr="00F03917">
        <w:t xml:space="preserve">oastal </w:t>
      </w:r>
      <w:r w:rsidR="0E34D627" w:rsidRPr="00F03917">
        <w:t>s</w:t>
      </w:r>
      <w:r w:rsidRPr="00F03917">
        <w:t>ettlement zone, and here buildings are not permitted within 28</w:t>
      </w:r>
      <w:r w:rsidR="46DB6569" w:rsidRPr="00F03917">
        <w:t xml:space="preserve"> </w:t>
      </w:r>
      <w:r w:rsidRPr="00F03917">
        <w:t>m</w:t>
      </w:r>
      <w:r w:rsidR="691D65C2" w:rsidRPr="00F03917">
        <w:t>etres</w:t>
      </w:r>
      <w:r w:rsidRPr="00F03917">
        <w:t xml:space="preserve"> of </w:t>
      </w:r>
      <w:r w:rsidR="2A47EFEF" w:rsidRPr="00F03917">
        <w:t>the m</w:t>
      </w:r>
      <w:r w:rsidR="2A47EFEF" w:rsidRPr="00F03917">
        <w:rPr>
          <w:rFonts w:eastAsia="Calibri"/>
        </w:rPr>
        <w:t>ean high water spring tide</w:t>
      </w:r>
      <w:r w:rsidRPr="00F03917">
        <w:t xml:space="preserve">. In the other zones, limited opportunity </w:t>
      </w:r>
      <w:r w:rsidR="5DB30BDD" w:rsidRPr="00F03917">
        <w:t xml:space="preserve">is available </w:t>
      </w:r>
      <w:r w:rsidRPr="00F03917">
        <w:t>for subdivision and new development, but a coastal setback of only 8</w:t>
      </w:r>
      <w:r w:rsidR="00AB1E31" w:rsidRPr="00F03917">
        <w:t> </w:t>
      </w:r>
      <w:r w:rsidRPr="00F03917">
        <w:t>m</w:t>
      </w:r>
      <w:r w:rsidR="4A5EB9EC" w:rsidRPr="00F03917">
        <w:t>etres</w:t>
      </w:r>
      <w:r w:rsidRPr="00F03917">
        <w:t xml:space="preserve"> is typically required. Filling of land is not permitted within 20</w:t>
      </w:r>
      <w:r w:rsidR="6ED9EE1E" w:rsidRPr="00F03917">
        <w:t xml:space="preserve"> </w:t>
      </w:r>
      <w:r w:rsidRPr="00F03917">
        <w:t>m</w:t>
      </w:r>
      <w:r w:rsidR="6ED9EE1E" w:rsidRPr="00F03917">
        <w:t>etres</w:t>
      </w:r>
      <w:r w:rsidRPr="00F03917">
        <w:t xml:space="preserve"> of the coast in any of the zones, ensuring new buildings closer to the coast can accommodate the ongoing progressive SLR</w:t>
      </w:r>
      <w:r w:rsidR="67C949B2" w:rsidRPr="00F03917">
        <w:t>, for example</w:t>
      </w:r>
      <w:r w:rsidRPr="00F03917">
        <w:t>, built on piles or poles or potentially relocatable.</w:t>
      </w:r>
    </w:p>
    <w:p w14:paraId="68346086" w14:textId="08F25627" w:rsidR="00AB0907" w:rsidRPr="00F03917" w:rsidRDefault="00AB0907" w:rsidP="00FC15CD">
      <w:pPr>
        <w:pStyle w:val="BodyText"/>
      </w:pPr>
      <w:r w:rsidRPr="00F03917">
        <w:t>All land</w:t>
      </w:r>
      <w:r w:rsidR="5A8E0D96" w:rsidRPr="00F03917">
        <w:t>-</w:t>
      </w:r>
      <w:r w:rsidRPr="00F03917">
        <w:t>use rules are district rules, whereas rules on filling are district and regional (the regional rules mean any consent granted has a limited life, with a maximum of 35 years). The</w:t>
      </w:r>
      <w:r w:rsidR="00AB1E31" w:rsidRPr="00F03917">
        <w:t> </w:t>
      </w:r>
      <w:r w:rsidRPr="00F03917">
        <w:t>default status for all activities that do not meet permitted standards is discretionary, enabling relevant policy considerations to be brought into play. </w:t>
      </w:r>
    </w:p>
    <w:p w14:paraId="3C67ED8A" w14:textId="2D7126E0" w:rsidR="00AB0907" w:rsidRPr="00F03917" w:rsidRDefault="00AB0907" w:rsidP="00FC15CD">
      <w:pPr>
        <w:pStyle w:val="BodyText"/>
      </w:pPr>
      <w:r w:rsidRPr="00F03917">
        <w:t>While these provisions do not take into account topographic variability, or exposure of parts of</w:t>
      </w:r>
      <w:r w:rsidR="00AB1E31" w:rsidRPr="00F03917">
        <w:t> </w:t>
      </w:r>
      <w:r w:rsidRPr="00F03917">
        <w:t xml:space="preserve">the coast to adverse sea conditions, the </w:t>
      </w:r>
      <w:r w:rsidR="6C8045FA" w:rsidRPr="00F03917">
        <w:t>regional policy statement</w:t>
      </w:r>
      <w:r w:rsidRPr="00F03917">
        <w:t xml:space="preserve"> provisions set in place an</w:t>
      </w:r>
      <w:r w:rsidR="00AB1E31" w:rsidRPr="00F03917">
        <w:t> </w:t>
      </w:r>
      <w:r w:rsidRPr="00F03917">
        <w:t>undertaking to progress the detailed DAPP planning needed to adequately address risk. </w:t>
      </w:r>
    </w:p>
    <w:p w14:paraId="206DE324" w14:textId="4EA85B02" w:rsidR="006815E4" w:rsidRPr="00F03917" w:rsidRDefault="008766C4" w:rsidP="00F27244">
      <w:pPr>
        <w:pStyle w:val="Heading8"/>
      </w:pPr>
      <w:r w:rsidRPr="00F03917">
        <w:t>Assess</w:t>
      </w:r>
      <w:r w:rsidR="006815E4" w:rsidRPr="00F03917">
        <w:t xml:space="preserve"> areas potentially affected by coastal erosion (Gisborne</w:t>
      </w:r>
      <w:r w:rsidR="006815E4" w:rsidRPr="00F03917">
        <w:rPr>
          <w:rFonts w:ascii="Times New Roman" w:hAnsi="Times New Roman"/>
        </w:rPr>
        <w:t> </w:t>
      </w:r>
      <w:r w:rsidR="006815E4" w:rsidRPr="00F03917">
        <w:t>District) </w:t>
      </w:r>
    </w:p>
    <w:p w14:paraId="32AF93C0" w14:textId="63555C77" w:rsidR="006815E4" w:rsidRPr="00F03917" w:rsidRDefault="006815E4" w:rsidP="00095F63">
      <w:pPr>
        <w:pStyle w:val="BodyText"/>
        <w:rPr>
          <w:rFonts w:cs="Calibri"/>
        </w:rPr>
      </w:pPr>
      <w:r w:rsidRPr="00F03917">
        <w:rPr>
          <w:rFonts w:cs="Calibri"/>
        </w:rPr>
        <w:t xml:space="preserve">The Gisborne District coastline extends from Takararoa in the south to Omaruparoa in the north. It comprises 138 kilometres of sandy and gravel beaches and 202 kilometres of cliffed coastline. This study first used region-wide screening to identify parts of the coast that could potentially be affected by coastal erosion hazards and to show these on maps at a broad scale. This information can now be used by the </w:t>
      </w:r>
      <w:r w:rsidR="22AFF977" w:rsidRPr="00F03917">
        <w:rPr>
          <w:rFonts w:cs="Calibri"/>
        </w:rPr>
        <w:t>c</w:t>
      </w:r>
      <w:r w:rsidRPr="00F03917">
        <w:rPr>
          <w:rFonts w:cs="Calibri"/>
        </w:rPr>
        <w:t xml:space="preserve">ouncil to identify areas along the coast where </w:t>
      </w:r>
      <w:r w:rsidRPr="00F03917">
        <w:rPr>
          <w:rFonts w:cs="Calibri"/>
        </w:rPr>
        <w:lastRenderedPageBreak/>
        <w:t xml:space="preserve">natural, built and/or cultural features </w:t>
      </w:r>
      <w:r w:rsidR="0419F29E" w:rsidRPr="00F03917">
        <w:rPr>
          <w:rFonts w:cs="Calibri"/>
        </w:rPr>
        <w:t xml:space="preserve">exist </w:t>
      </w:r>
      <w:r w:rsidRPr="00F03917">
        <w:rPr>
          <w:rFonts w:cs="Calibri"/>
        </w:rPr>
        <w:t>that are of value and at high risk of being adversely affected by coastal erosion. Those areas of high risk can be prioritised for more detailed assessment of the effects that could occur.</w:t>
      </w:r>
    </w:p>
    <w:p w14:paraId="14C40505" w14:textId="6DB34F8A" w:rsidR="006815E4" w:rsidRPr="00F03917" w:rsidRDefault="006815E4" w:rsidP="00095F63">
      <w:pPr>
        <w:pStyle w:val="BodyText"/>
        <w:rPr>
          <w:rFonts w:cs="Calibri"/>
        </w:rPr>
      </w:pPr>
      <w:r w:rsidRPr="00F03917">
        <w:rPr>
          <w:rFonts w:cs="Calibri"/>
        </w:rPr>
        <w:t xml:space="preserve">The assessment addressed the </w:t>
      </w:r>
      <w:r w:rsidR="0EF8AD4F" w:rsidRPr="00F03917">
        <w:rPr>
          <w:rFonts w:cs="Calibri"/>
        </w:rPr>
        <w:t>matters</w:t>
      </w:r>
      <w:r w:rsidRPr="00F03917">
        <w:rPr>
          <w:rFonts w:cs="Calibri"/>
        </w:rPr>
        <w:t xml:space="preserve"> identified in Policy 24 of the NZCPS </w:t>
      </w:r>
      <w:r w:rsidR="2682F7AD" w:rsidRPr="00F03917">
        <w:rPr>
          <w:rFonts w:cs="Calibri"/>
        </w:rPr>
        <w:t>for assessing hazard risk</w:t>
      </w:r>
      <w:r w:rsidRPr="00F03917">
        <w:rPr>
          <w:rFonts w:cs="Calibri"/>
        </w:rPr>
        <w:t xml:space="preserve"> (</w:t>
      </w:r>
      <w:r w:rsidR="00357866" w:rsidRPr="00F03917">
        <w:rPr>
          <w:rFonts w:cs="Calibri"/>
        </w:rPr>
        <w:t>DOC</w:t>
      </w:r>
      <w:r w:rsidRPr="00F03917">
        <w:rPr>
          <w:rFonts w:cs="Calibri"/>
        </w:rPr>
        <w:t>, 2010). The geomorphological character of the coastline was assessed using an aerial survey by fixed wing aircraft, and the coastline was categorised into unconsolidated beach and</w:t>
      </w:r>
      <w:r w:rsidR="001116E2" w:rsidRPr="00F03917">
        <w:rPr>
          <w:rFonts w:cs="Calibri"/>
        </w:rPr>
        <w:t> </w:t>
      </w:r>
      <w:r w:rsidRPr="00F03917">
        <w:rPr>
          <w:rFonts w:cs="Calibri"/>
        </w:rPr>
        <w:t xml:space="preserve">cliff coastal types, with conceptual models developed for each to describe the erosion processes. An area susceptible to, or potentially affected by, coastal erosion was assessed using similar methods to Gibb (1998) and Reinen-Hamill et al (2006). For unconsolidated beaches (figure </w:t>
      </w:r>
      <w:r w:rsidR="00790286" w:rsidRPr="00F03917">
        <w:rPr>
          <w:rFonts w:cs="Calibri"/>
        </w:rPr>
        <w:t>A</w:t>
      </w:r>
      <w:r w:rsidR="00531844" w:rsidRPr="00F03917">
        <w:rPr>
          <w:rFonts w:cs="Calibri"/>
        </w:rPr>
        <w:t>.</w:t>
      </w:r>
      <w:r w:rsidR="0B316B3A" w:rsidRPr="00F03917">
        <w:rPr>
          <w:rFonts w:cs="Calibri"/>
        </w:rPr>
        <w:t>8</w:t>
      </w:r>
      <w:r w:rsidR="00531844" w:rsidRPr="00F03917" w:rsidDel="00B01983">
        <w:rPr>
          <w:rFonts w:cs="Calibri"/>
        </w:rPr>
        <w:t>.1</w:t>
      </w:r>
      <w:r w:rsidRPr="00F03917">
        <w:rPr>
          <w:rFonts w:cs="Calibri"/>
        </w:rPr>
        <w:t>), this included terms for:</w:t>
      </w:r>
    </w:p>
    <w:p w14:paraId="3F01433E" w14:textId="4BE8E44B" w:rsidR="006815E4" w:rsidRPr="00F03917" w:rsidRDefault="006815E4" w:rsidP="00975E9C">
      <w:pPr>
        <w:pStyle w:val="BulletFIX"/>
      </w:pPr>
      <w:r w:rsidRPr="00F03917">
        <w:t xml:space="preserve">short-term changes in horizontal shoreline position related to storm erosion due to a singular </w:t>
      </w:r>
      <w:r w:rsidR="42DB43EC" w:rsidRPr="00F03917">
        <w:t xml:space="preserve">storm event </w:t>
      </w:r>
      <w:r w:rsidRPr="00F03917">
        <w:t>or cluster of storm events</w:t>
      </w:r>
    </w:p>
    <w:p w14:paraId="2E7D84BB" w14:textId="408AE7F0" w:rsidR="006815E4" w:rsidRPr="00F03917" w:rsidRDefault="418946B6" w:rsidP="00975E9C">
      <w:pPr>
        <w:pStyle w:val="BulletFIX"/>
      </w:pPr>
      <w:r w:rsidRPr="00F03917">
        <w:t xml:space="preserve">a </w:t>
      </w:r>
      <w:r w:rsidR="006815E4" w:rsidRPr="00F03917">
        <w:t>dune stability allowance to allow for the collapse of over-steepened dune scarp following erosion</w:t>
      </w:r>
    </w:p>
    <w:p w14:paraId="2059C04B" w14:textId="4E52FFBD" w:rsidR="006815E4" w:rsidRPr="00F03917" w:rsidRDefault="495A8C89" w:rsidP="00975E9C">
      <w:pPr>
        <w:pStyle w:val="BulletFIX"/>
      </w:pPr>
      <w:r w:rsidRPr="00F03917">
        <w:t xml:space="preserve">a </w:t>
      </w:r>
      <w:r w:rsidR="006815E4" w:rsidRPr="00F03917">
        <w:t>long-term rate of horizontal coastline movement</w:t>
      </w:r>
    </w:p>
    <w:p w14:paraId="2E32C63A" w14:textId="1DB0C02A" w:rsidR="006815E4" w:rsidRPr="00F03917" w:rsidRDefault="006815E4" w:rsidP="00975E9C">
      <w:pPr>
        <w:pStyle w:val="BulletFIX"/>
      </w:pPr>
      <w:r w:rsidRPr="00F03917">
        <w:t>horizontal coastline retreat due to the effects of increased mean sea level.</w:t>
      </w:r>
    </w:p>
    <w:p w14:paraId="6CEB75C3" w14:textId="45A09A8C" w:rsidR="006815E4" w:rsidRPr="00F03917" w:rsidRDefault="006815E4" w:rsidP="00C92158">
      <w:pPr>
        <w:pStyle w:val="BodyText"/>
        <w:spacing w:before="100" w:after="100"/>
        <w:rPr>
          <w:rFonts w:cs="Calibri"/>
        </w:rPr>
      </w:pPr>
      <w:r w:rsidRPr="00F03917">
        <w:rPr>
          <w:rFonts w:cs="Calibri"/>
        </w:rPr>
        <w:t xml:space="preserve">For consolidated cliffs (figure </w:t>
      </w:r>
      <w:r w:rsidR="0024207A" w:rsidRPr="00F03917">
        <w:rPr>
          <w:rFonts w:cs="Calibri"/>
        </w:rPr>
        <w:t>A.</w:t>
      </w:r>
      <w:r w:rsidR="00531844" w:rsidRPr="00F03917" w:rsidDel="00B01983">
        <w:rPr>
          <w:rFonts w:cs="Calibri"/>
        </w:rPr>
        <w:t>8.2</w:t>
      </w:r>
      <w:r w:rsidRPr="00F03917">
        <w:rPr>
          <w:rFonts w:cs="Calibri"/>
        </w:rPr>
        <w:t xml:space="preserve">), this included terms for the characteristic stable angle of repose, the historic long-term rate of cliff toe retreat and potential increase in future long-term retreat due to </w:t>
      </w:r>
      <w:r w:rsidR="0F0670D8" w:rsidRPr="00F03917">
        <w:rPr>
          <w:rFonts w:cs="Calibri"/>
        </w:rPr>
        <w:t>SLR</w:t>
      </w:r>
      <w:r w:rsidRPr="00F03917">
        <w:rPr>
          <w:rFonts w:cs="Calibri"/>
        </w:rPr>
        <w:t xml:space="preserve"> effects. Component values were derived from existing and new data, and hazards assessed over a 100-year timeframe. Offsets from a current shoreline were mapped continually around the coastline.</w:t>
      </w:r>
    </w:p>
    <w:p w14:paraId="4CC21B5F" w14:textId="5CC9348B" w:rsidR="00B77D65" w:rsidRPr="00F03917" w:rsidRDefault="006815E4" w:rsidP="00C92158">
      <w:pPr>
        <w:pStyle w:val="BodyText"/>
        <w:spacing w:before="100" w:after="100"/>
      </w:pPr>
      <w:r w:rsidRPr="00F03917">
        <w:rPr>
          <w:rFonts w:cs="Calibri"/>
        </w:rPr>
        <w:t xml:space="preserve">The building block approach of combining components typically produces a maximum hazard extent. This was considered suitable for identifying areas potentially affected by coastal hazard </w:t>
      </w:r>
      <w:r w:rsidRPr="00F03917">
        <w:rPr>
          <w:rFonts w:cs="Calibri"/>
          <w:spacing w:val="-2"/>
        </w:rPr>
        <w:t xml:space="preserve">on a regional scale. The study used the continuing high emissions </w:t>
      </w:r>
      <w:r w:rsidR="06E8B9E3" w:rsidRPr="00F03917">
        <w:rPr>
          <w:rFonts w:cs="Calibri"/>
          <w:spacing w:val="-2"/>
        </w:rPr>
        <w:t>SLR</w:t>
      </w:r>
      <w:r w:rsidRPr="00F03917">
        <w:rPr>
          <w:rFonts w:cs="Calibri"/>
          <w:spacing w:val="-2"/>
        </w:rPr>
        <w:t xml:space="preserve"> scenario (RCP8.5 media</w:t>
      </w:r>
      <w:r w:rsidRPr="00F03917">
        <w:rPr>
          <w:rFonts w:cs="Calibri"/>
        </w:rPr>
        <w:t>n) allowing for local tectonic movements. This was considered appropriate for defining the potential areas affected by erosion hazard based on available national guidance (M</w:t>
      </w:r>
      <w:r w:rsidR="04C61969" w:rsidRPr="00F03917">
        <w:rPr>
          <w:rFonts w:cs="Calibri"/>
        </w:rPr>
        <w:t>f</w:t>
      </w:r>
      <w:r w:rsidRPr="00F03917">
        <w:rPr>
          <w:rFonts w:cs="Calibri"/>
        </w:rPr>
        <w:t>E, 2008) but did not assess hazard for multiple scenarios or an upper-bound scenario as proposed in this guidance update.</w:t>
      </w:r>
    </w:p>
    <w:p w14:paraId="1F98911F" w14:textId="30764C96" w:rsidR="00F042E9" w:rsidRPr="00F03917" w:rsidRDefault="00F042E9" w:rsidP="00C92158">
      <w:pPr>
        <w:pStyle w:val="Figureheading"/>
        <w:spacing w:after="80"/>
      </w:pPr>
      <w:bookmarkStart w:id="244" w:name="_Toc160098447"/>
      <w:r w:rsidRPr="00F03917">
        <w:t xml:space="preserve">Figure </w:t>
      </w:r>
      <w:r w:rsidR="00095F63" w:rsidRPr="00F03917">
        <w:t>A.</w:t>
      </w:r>
      <w:r w:rsidR="00A2074C" w:rsidRPr="00F03917">
        <w:t>8</w:t>
      </w:r>
      <w:r w:rsidRPr="00F03917" w:rsidDel="00B01983">
        <w:t>.1</w:t>
      </w:r>
      <w:r w:rsidRPr="00F03917">
        <w:t>:</w:t>
      </w:r>
      <w:r w:rsidRPr="00F03917">
        <w:tab/>
        <w:t>Definition sketch for open coast coastal erosion hazard setback</w:t>
      </w:r>
      <w:bookmarkEnd w:id="244"/>
    </w:p>
    <w:p w14:paraId="3B040DE8" w14:textId="27A0F03D" w:rsidR="00F042E9" w:rsidRPr="00F03917" w:rsidRDefault="00F042E9" w:rsidP="00C92158">
      <w:pPr>
        <w:pStyle w:val="BodyText"/>
        <w:spacing w:after="80"/>
        <w:jc w:val="center"/>
      </w:pPr>
      <w:r w:rsidRPr="00F03917">
        <w:rPr>
          <w:noProof/>
        </w:rPr>
        <w:drawing>
          <wp:inline distT="0" distB="0" distL="0" distR="0" wp14:anchorId="3834B15D" wp14:editId="19BF0FCE">
            <wp:extent cx="3864334" cy="1950395"/>
            <wp:effectExtent l="0" t="0" r="3175" b="0"/>
            <wp:docPr id="1559078148" name="Picture 1559078148" descr="A diagram of a 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078148"/>
                    <pic:cNvPicPr/>
                  </pic:nvPicPr>
                  <pic:blipFill>
                    <a:blip r:embed="rId182">
                      <a:extLst>
                        <a:ext uri="{28A0092B-C50C-407E-A947-70E740481C1C}">
                          <a14:useLocalDpi xmlns:a14="http://schemas.microsoft.com/office/drawing/2010/main" val="0"/>
                        </a:ext>
                      </a:extLst>
                    </a:blip>
                    <a:stretch>
                      <a:fillRect/>
                    </a:stretch>
                  </pic:blipFill>
                  <pic:spPr>
                    <a:xfrm>
                      <a:off x="0" y="0"/>
                      <a:ext cx="3872332" cy="1954432"/>
                    </a:xfrm>
                    <a:prstGeom prst="rect">
                      <a:avLst/>
                    </a:prstGeom>
                  </pic:spPr>
                </pic:pic>
              </a:graphicData>
            </a:graphic>
          </wp:inline>
        </w:drawing>
      </w:r>
    </w:p>
    <w:p w14:paraId="3C261AEC" w14:textId="2C795BAB" w:rsidR="00F042E9" w:rsidRPr="00F03917" w:rsidRDefault="00F042E9" w:rsidP="00C92158">
      <w:pPr>
        <w:pStyle w:val="Source"/>
        <w:spacing w:after="80"/>
      </w:pPr>
      <w:r w:rsidRPr="00F03917">
        <w:t>Note: CEHZ = coastal erosion hazard zone.</w:t>
      </w:r>
    </w:p>
    <w:p w14:paraId="25965E3E" w14:textId="46BE87D6" w:rsidR="00F042E9" w:rsidRPr="00F03917" w:rsidRDefault="00F042E9" w:rsidP="00C92158">
      <w:pPr>
        <w:pStyle w:val="Source"/>
        <w:spacing w:before="0"/>
      </w:pPr>
      <w:r w:rsidRPr="00F03917">
        <w:t>Source: Shand et al (2014)</w:t>
      </w:r>
    </w:p>
    <w:p w14:paraId="14AA25A7" w14:textId="4728BB43" w:rsidR="00F042E9" w:rsidRPr="00F03917" w:rsidRDefault="00F042E9" w:rsidP="00C92158">
      <w:pPr>
        <w:pStyle w:val="Figureheading"/>
        <w:spacing w:after="0"/>
      </w:pPr>
      <w:bookmarkStart w:id="245" w:name="_Toc160098448"/>
      <w:r w:rsidRPr="00F03917">
        <w:lastRenderedPageBreak/>
        <w:t xml:space="preserve">Figure </w:t>
      </w:r>
      <w:r w:rsidR="00095F63" w:rsidRPr="00F03917">
        <w:t>A.</w:t>
      </w:r>
      <w:r w:rsidRPr="00F03917" w:rsidDel="00B01983">
        <w:t>8.2</w:t>
      </w:r>
      <w:r w:rsidRPr="00F03917">
        <w:t>:</w:t>
      </w:r>
      <w:r w:rsidRPr="00F03917">
        <w:tab/>
        <w:t>Definition sketch for cliff coastal erosion hazard setback</w:t>
      </w:r>
      <w:bookmarkEnd w:id="245"/>
      <w:r w:rsidRPr="00F03917">
        <w:t> </w:t>
      </w:r>
    </w:p>
    <w:p w14:paraId="5E7322D3" w14:textId="4F7757F6" w:rsidR="00F042E9" w:rsidRPr="00F03917" w:rsidRDefault="00F042E9" w:rsidP="00DB69F5">
      <w:pPr>
        <w:pStyle w:val="BodyText"/>
        <w:spacing w:after="0"/>
        <w:jc w:val="center"/>
      </w:pPr>
      <w:r w:rsidRPr="00F03917">
        <w:rPr>
          <w:noProof/>
        </w:rPr>
        <w:drawing>
          <wp:inline distT="0" distB="0" distL="0" distR="0" wp14:anchorId="58850B3C" wp14:editId="7F44CE59">
            <wp:extent cx="2209122" cy="2488758"/>
            <wp:effectExtent l="0" t="0" r="0" b="0"/>
            <wp:docPr id="140073647" name="Picture 140073647" descr="A diagram of a water lev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73647"/>
                    <pic:cNvPicPr/>
                  </pic:nvPicPr>
                  <pic:blipFill>
                    <a:blip r:embed="rId183">
                      <a:extLst>
                        <a:ext uri="{28A0092B-C50C-407E-A947-70E740481C1C}">
                          <a14:useLocalDpi xmlns:a14="http://schemas.microsoft.com/office/drawing/2010/main" val="0"/>
                        </a:ext>
                      </a:extLst>
                    </a:blip>
                    <a:stretch>
                      <a:fillRect/>
                    </a:stretch>
                  </pic:blipFill>
                  <pic:spPr>
                    <a:xfrm>
                      <a:off x="0" y="0"/>
                      <a:ext cx="2211880" cy="2491865"/>
                    </a:xfrm>
                    <a:prstGeom prst="rect">
                      <a:avLst/>
                    </a:prstGeom>
                  </pic:spPr>
                </pic:pic>
              </a:graphicData>
            </a:graphic>
          </wp:inline>
        </w:drawing>
      </w:r>
      <w:r w:rsidRPr="00F03917">
        <w:rPr>
          <w:noProof/>
        </w:rPr>
        <w:drawing>
          <wp:inline distT="0" distB="0" distL="0" distR="0" wp14:anchorId="030CDD75" wp14:editId="377CBC97">
            <wp:extent cx="2369488" cy="2126942"/>
            <wp:effectExtent l="0" t="0" r="0" b="6985"/>
            <wp:docPr id="881503100" name="Picture 881503100" descr="A diagram of water lev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503100"/>
                    <pic:cNvPicPr/>
                  </pic:nvPicPr>
                  <pic:blipFill>
                    <a:blip r:embed="rId184">
                      <a:extLst>
                        <a:ext uri="{28A0092B-C50C-407E-A947-70E740481C1C}">
                          <a14:useLocalDpi xmlns:a14="http://schemas.microsoft.com/office/drawing/2010/main" val="0"/>
                        </a:ext>
                      </a:extLst>
                    </a:blip>
                    <a:stretch>
                      <a:fillRect/>
                    </a:stretch>
                  </pic:blipFill>
                  <pic:spPr>
                    <a:xfrm>
                      <a:off x="0" y="0"/>
                      <a:ext cx="2370386" cy="2127748"/>
                    </a:xfrm>
                    <a:prstGeom prst="rect">
                      <a:avLst/>
                    </a:prstGeom>
                  </pic:spPr>
                </pic:pic>
              </a:graphicData>
            </a:graphic>
          </wp:inline>
        </w:drawing>
      </w:r>
    </w:p>
    <w:p w14:paraId="722B40A3" w14:textId="719AB72B" w:rsidR="00F042E9" w:rsidRPr="00F03917" w:rsidRDefault="00F042E9" w:rsidP="00C92158">
      <w:pPr>
        <w:pStyle w:val="Source"/>
      </w:pPr>
      <w:r w:rsidRPr="00F03917">
        <w:t xml:space="preserve">Note: CEHZ = coastal erosion hazard zone. </w:t>
      </w:r>
    </w:p>
    <w:p w14:paraId="7CFDBA20" w14:textId="77777777" w:rsidR="00DB1FA0" w:rsidRPr="00F03917" w:rsidRDefault="00F042E9" w:rsidP="00DB69F5">
      <w:pPr>
        <w:pStyle w:val="Source"/>
        <w:spacing w:before="0"/>
      </w:pPr>
      <w:r w:rsidRPr="00F03917">
        <w:t>Source: Shand et al (2014)</w:t>
      </w:r>
      <w:r w:rsidR="00C92158" w:rsidRPr="00F03917">
        <w:t xml:space="preserve"> </w:t>
      </w:r>
    </w:p>
    <w:p w14:paraId="183B45CE" w14:textId="3F2C2BFC" w:rsidR="005E2312" w:rsidRPr="00F03917" w:rsidRDefault="003308E2" w:rsidP="00F27244">
      <w:pPr>
        <w:pStyle w:val="Heading8"/>
      </w:pPr>
      <w:bookmarkStart w:id="246" w:name="_Application__of"/>
      <w:bookmarkEnd w:id="246"/>
      <w:r w:rsidRPr="00F03917">
        <w:t>Applying</w:t>
      </w:r>
      <w:r w:rsidR="005E2312" w:rsidRPr="00F03917">
        <w:t xml:space="preserve"> the </w:t>
      </w:r>
      <w:r w:rsidR="00622620" w:rsidRPr="00F03917">
        <w:t>d</w:t>
      </w:r>
      <w:r w:rsidR="005E2312" w:rsidRPr="00F03917">
        <w:t xml:space="preserve">ynamic </w:t>
      </w:r>
      <w:r w:rsidR="00622620" w:rsidRPr="00F03917">
        <w:t>a</w:t>
      </w:r>
      <w:r w:rsidR="005E2312" w:rsidRPr="00F03917">
        <w:t xml:space="preserve">daptive </w:t>
      </w:r>
      <w:r w:rsidR="00622620" w:rsidRPr="00F03917">
        <w:t>p</w:t>
      </w:r>
      <w:r w:rsidR="005E2312" w:rsidRPr="00F03917">
        <w:t xml:space="preserve">athways </w:t>
      </w:r>
      <w:r w:rsidR="00622620" w:rsidRPr="00F03917">
        <w:t>p</w:t>
      </w:r>
      <w:r w:rsidR="005E2312" w:rsidRPr="00F03917">
        <w:t>lanning approach to Tangoio</w:t>
      </w:r>
      <w:r w:rsidR="00DB69F5" w:rsidRPr="00F03917">
        <w:t> </w:t>
      </w:r>
      <w:r w:rsidR="005E2312" w:rsidRPr="00F03917">
        <w:t>Marae</w:t>
      </w:r>
    </w:p>
    <w:p w14:paraId="34F1A76F" w14:textId="2468A0D9" w:rsidR="005E2312" w:rsidRPr="00F03917" w:rsidRDefault="005E2312" w:rsidP="00DB69F5">
      <w:pPr>
        <w:pStyle w:val="BodyText"/>
        <w:rPr>
          <w:i/>
          <w:iCs/>
          <w:sz w:val="20"/>
          <w:szCs w:val="20"/>
        </w:rPr>
      </w:pPr>
      <w:r w:rsidRPr="00F03917">
        <w:rPr>
          <w:i/>
          <w:iCs/>
          <w:sz w:val="20"/>
          <w:szCs w:val="20"/>
        </w:rPr>
        <w:t>Compiled by Paula Blackett</w:t>
      </w:r>
      <w:r w:rsidR="00C90522" w:rsidRPr="00F03917">
        <w:rPr>
          <w:i/>
          <w:iCs/>
          <w:sz w:val="20"/>
          <w:szCs w:val="20"/>
        </w:rPr>
        <w:t>,</w:t>
      </w:r>
      <w:r w:rsidRPr="00F03917">
        <w:rPr>
          <w:i/>
          <w:iCs/>
          <w:sz w:val="20"/>
          <w:szCs w:val="20"/>
        </w:rPr>
        <w:t xml:space="preserve"> N</w:t>
      </w:r>
      <w:r w:rsidR="00C90522" w:rsidRPr="00F03917">
        <w:rPr>
          <w:i/>
          <w:iCs/>
          <w:sz w:val="20"/>
          <w:szCs w:val="20"/>
        </w:rPr>
        <w:t xml:space="preserve">ational </w:t>
      </w:r>
      <w:r w:rsidRPr="00F03917">
        <w:rPr>
          <w:i/>
          <w:iCs/>
          <w:sz w:val="20"/>
          <w:szCs w:val="20"/>
        </w:rPr>
        <w:t>I</w:t>
      </w:r>
      <w:r w:rsidR="00C90522" w:rsidRPr="00F03917">
        <w:rPr>
          <w:i/>
          <w:iCs/>
          <w:sz w:val="20"/>
          <w:szCs w:val="20"/>
        </w:rPr>
        <w:t xml:space="preserve">nstitute of </w:t>
      </w:r>
      <w:r w:rsidRPr="00F03917">
        <w:rPr>
          <w:i/>
          <w:iCs/>
          <w:sz w:val="20"/>
          <w:szCs w:val="20"/>
        </w:rPr>
        <w:t>W</w:t>
      </w:r>
      <w:r w:rsidR="00C90522" w:rsidRPr="00F03917">
        <w:rPr>
          <w:i/>
          <w:iCs/>
          <w:sz w:val="20"/>
          <w:szCs w:val="20"/>
        </w:rPr>
        <w:t xml:space="preserve">ater and </w:t>
      </w:r>
      <w:r w:rsidRPr="00F03917">
        <w:rPr>
          <w:i/>
          <w:iCs/>
          <w:sz w:val="20"/>
          <w:szCs w:val="20"/>
        </w:rPr>
        <w:t>A</w:t>
      </w:r>
      <w:r w:rsidR="00C90522" w:rsidRPr="00F03917">
        <w:rPr>
          <w:i/>
          <w:iCs/>
          <w:sz w:val="20"/>
          <w:szCs w:val="20"/>
        </w:rPr>
        <w:t>tmospheric Research,</w:t>
      </w:r>
      <w:r w:rsidRPr="00F03917">
        <w:rPr>
          <w:i/>
          <w:iCs/>
          <w:sz w:val="20"/>
          <w:szCs w:val="20"/>
        </w:rPr>
        <w:t xml:space="preserve"> and Tania Hopmans and Kelly May</w:t>
      </w:r>
      <w:r w:rsidR="00981E19" w:rsidRPr="00F03917">
        <w:rPr>
          <w:i/>
          <w:iCs/>
          <w:sz w:val="20"/>
          <w:szCs w:val="20"/>
        </w:rPr>
        <w:t>,</w:t>
      </w:r>
      <w:r w:rsidRPr="00F03917" w:rsidDel="00981E19">
        <w:rPr>
          <w:i/>
          <w:iCs/>
          <w:sz w:val="20"/>
          <w:szCs w:val="20"/>
        </w:rPr>
        <w:t xml:space="preserve"> </w:t>
      </w:r>
      <w:r w:rsidRPr="00F03917">
        <w:rPr>
          <w:i/>
          <w:iCs/>
          <w:sz w:val="20"/>
          <w:szCs w:val="20"/>
        </w:rPr>
        <w:t>Maungaharuru-Tangitu Trust </w:t>
      </w:r>
    </w:p>
    <w:p w14:paraId="35B11E9F" w14:textId="679F4152" w:rsidR="005E2312" w:rsidRPr="00F03917" w:rsidRDefault="005E2312" w:rsidP="003A32C3">
      <w:pPr>
        <w:pStyle w:val="BodyText"/>
      </w:pPr>
      <w:r w:rsidRPr="00F03917">
        <w:t xml:space="preserve">As a direct result of disputed purchases and raupatu, the hapū of Tangoio Marae (Marangatūhetaua/Ngati Tū, Ngāti Whakaari, Ngāi Tauira, Ngāti Kurumōkihi, Ngāi Te Ruruku, and Ngāi Tahu (the Hapū) were reduced to 1.6 hectare of whenua, adjacent to Te Ngarue Stream, to use for the benefit of the </w:t>
      </w:r>
      <w:r w:rsidR="00F135D6" w:rsidRPr="00F03917">
        <w:t>h</w:t>
      </w:r>
      <w:r w:rsidRPr="00F03917">
        <w:t xml:space="preserve">apū and situate the </w:t>
      </w:r>
      <w:r w:rsidR="00F135D6" w:rsidRPr="00F03917">
        <w:t>m</w:t>
      </w:r>
      <w:r w:rsidRPr="00F03917">
        <w:t>arae.</w:t>
      </w:r>
    </w:p>
    <w:p w14:paraId="66F096AC" w14:textId="51391249" w:rsidR="005E2312" w:rsidRPr="00F03917" w:rsidRDefault="005E2312" w:rsidP="003A32C3">
      <w:pPr>
        <w:pStyle w:val="BodyText"/>
      </w:pPr>
      <w:r w:rsidRPr="00F03917">
        <w:t>Maungaharuru-Tangitū Trust (MTT) is a Treaty of Waitangi Post Settlement Governance Entity and its object</w:t>
      </w:r>
      <w:r w:rsidR="00F135D6" w:rsidRPr="00F03917">
        <w:t>ive</w:t>
      </w:r>
      <w:r w:rsidRPr="00F03917">
        <w:t xml:space="preserve">s include being the voice and representative body for the </w:t>
      </w:r>
      <w:r w:rsidR="00F135D6" w:rsidRPr="00F03917">
        <w:t>h</w:t>
      </w:r>
      <w:r w:rsidRPr="00F03917">
        <w:t xml:space="preserve">apū.  Their Treaty </w:t>
      </w:r>
      <w:r w:rsidR="00F135D6" w:rsidRPr="00F03917">
        <w:t>s</w:t>
      </w:r>
      <w:r w:rsidRPr="00F03917">
        <w:t>ettlement has expanded their land ownership, however</w:t>
      </w:r>
      <w:r w:rsidR="00675492" w:rsidRPr="00F03917">
        <w:t>,</w:t>
      </w:r>
      <w:r w:rsidRPr="00F03917">
        <w:t xml:space="preserve"> none of the land was suitable for a </w:t>
      </w:r>
      <w:r w:rsidR="00675492" w:rsidRPr="00F03917">
        <w:t>m</w:t>
      </w:r>
      <w:r w:rsidRPr="00F03917">
        <w:t xml:space="preserve">arae, so the </w:t>
      </w:r>
      <w:r w:rsidR="00675492" w:rsidRPr="00F03917">
        <w:t>m</w:t>
      </w:r>
      <w:r w:rsidRPr="00F03917">
        <w:t>arae remains on a flood plain. Importantly, Te Ngarue Stream has a history of flood events that could potentially be exacerbated by a changing climate. As a result</w:t>
      </w:r>
      <w:r w:rsidR="00675492" w:rsidRPr="00F03917">
        <w:t>,</w:t>
      </w:r>
      <w:r w:rsidRPr="00F03917">
        <w:t xml:space="preserve"> the </w:t>
      </w:r>
      <w:r w:rsidR="00675492" w:rsidRPr="00F03917">
        <w:t>h</w:t>
      </w:r>
      <w:r w:rsidRPr="00F03917">
        <w:t xml:space="preserve">apū face difficult adaptation choices regarding the future of their </w:t>
      </w:r>
      <w:r w:rsidR="00675492" w:rsidRPr="00F03917">
        <w:t>m</w:t>
      </w:r>
      <w:r w:rsidRPr="00F03917">
        <w:t>arae.</w:t>
      </w:r>
    </w:p>
    <w:p w14:paraId="36D12751" w14:textId="29583152" w:rsidR="005E2312" w:rsidRPr="00F03917" w:rsidRDefault="005E2312" w:rsidP="003A32C3">
      <w:pPr>
        <w:pStyle w:val="BodyText"/>
      </w:pPr>
      <w:r w:rsidRPr="00F03917">
        <w:t>One of the early stages in the decision-making process (see Te Huringa ki Te Rangi</w:t>
      </w:r>
      <w:r w:rsidR="00ED43D6" w:rsidRPr="00F03917">
        <w:t xml:space="preserve"> – </w:t>
      </w:r>
      <w:r w:rsidRPr="00F03917">
        <w:t>He Rautaki Tāwariwari</w:t>
      </w:r>
      <w:r w:rsidR="00BF43B6" w:rsidRPr="00F03917">
        <w:rPr>
          <w:rStyle w:val="FootnoteReference"/>
          <w:rFonts w:eastAsia="Times New Roman" w:cs="Calibri"/>
        </w:rPr>
        <w:footnoteReference w:id="99"/>
      </w:r>
      <w:r w:rsidRPr="00F03917">
        <w:t xml:space="preserve">) was to articulate a shared vison for the future and to understand the diversity of aspirations and outcomes desired by the </w:t>
      </w:r>
      <w:r w:rsidR="008D5C1E" w:rsidRPr="00F03917">
        <w:t>h</w:t>
      </w:r>
      <w:r w:rsidRPr="00F03917">
        <w:t xml:space="preserve">apū. This was done by reviewing existing documentation and strategic plans to confirm their continued relevance; interactive group discussions (hui) at the </w:t>
      </w:r>
      <w:r w:rsidR="008D5C1E" w:rsidRPr="00F03917">
        <w:t>m</w:t>
      </w:r>
      <w:r w:rsidRPr="00F03917">
        <w:t>arae; and two online surveys.</w:t>
      </w:r>
    </w:p>
    <w:p w14:paraId="10DE184F" w14:textId="0061EA1D" w:rsidR="005E2312" w:rsidRPr="00F03917" w:rsidRDefault="005E2312" w:rsidP="003A32C3">
      <w:pPr>
        <w:pStyle w:val="BodyText"/>
      </w:pPr>
      <w:r w:rsidRPr="00F03917">
        <w:t>This provided information</w:t>
      </w:r>
      <w:r w:rsidR="008D5C1E" w:rsidRPr="00F03917">
        <w:t xml:space="preserve"> and </w:t>
      </w:r>
      <w:r w:rsidRPr="00F03917">
        <w:t>knowledge on three key subject areas: </w:t>
      </w:r>
    </w:p>
    <w:p w14:paraId="335745EC" w14:textId="7D5D7E89" w:rsidR="005E2312" w:rsidRPr="00F03917" w:rsidRDefault="008D5C1E" w:rsidP="00975E9C">
      <w:pPr>
        <w:pStyle w:val="BulletFIX"/>
      </w:pPr>
      <w:r w:rsidRPr="00F03917">
        <w:rPr>
          <w:b/>
        </w:rPr>
        <w:t>a</w:t>
      </w:r>
      <w:r w:rsidR="005E2312" w:rsidRPr="00F03917">
        <w:rPr>
          <w:b/>
        </w:rPr>
        <w:t>spirations</w:t>
      </w:r>
      <w:r w:rsidRPr="00F03917">
        <w:t xml:space="preserve"> – </w:t>
      </w:r>
      <w:r w:rsidR="005E2312" w:rsidRPr="00F03917">
        <w:t>dreams or hopes for the marae</w:t>
      </w:r>
    </w:p>
    <w:p w14:paraId="3622438E" w14:textId="6B454980" w:rsidR="005E2312" w:rsidRPr="00F03917" w:rsidRDefault="008D5C1E" w:rsidP="00975E9C">
      <w:pPr>
        <w:pStyle w:val="BulletFIX"/>
      </w:pPr>
      <w:r w:rsidRPr="00F03917">
        <w:rPr>
          <w:b/>
        </w:rPr>
        <w:t>a</w:t>
      </w:r>
      <w:r w:rsidR="005E2312" w:rsidRPr="00F03917">
        <w:rPr>
          <w:b/>
        </w:rPr>
        <w:t>ctivities</w:t>
      </w:r>
      <w:r w:rsidRPr="00F03917">
        <w:t xml:space="preserve"> – </w:t>
      </w:r>
      <w:r w:rsidR="005E2312" w:rsidRPr="00F03917">
        <w:t>behaviours and things the people wanted to do at the marae to achieve their aspirations</w:t>
      </w:r>
    </w:p>
    <w:p w14:paraId="5B8669BD" w14:textId="0192C191" w:rsidR="005E2312" w:rsidRPr="00F03917" w:rsidRDefault="008D5C1E" w:rsidP="00975E9C">
      <w:pPr>
        <w:pStyle w:val="BulletFIX"/>
      </w:pPr>
      <w:r w:rsidRPr="00F03917">
        <w:rPr>
          <w:b/>
        </w:rPr>
        <w:lastRenderedPageBreak/>
        <w:t>t</w:t>
      </w:r>
      <w:r w:rsidR="005E2312" w:rsidRPr="00F03917">
        <w:rPr>
          <w:b/>
        </w:rPr>
        <w:t>he types of built-form</w:t>
      </w:r>
      <w:r w:rsidRPr="00F03917">
        <w:t xml:space="preserve"> – </w:t>
      </w:r>
      <w:r w:rsidR="005E2312" w:rsidRPr="00F03917">
        <w:t>spaces, structures, physical things and design features that support activities and aspirations.</w:t>
      </w:r>
    </w:p>
    <w:p w14:paraId="4E93589E" w14:textId="50238BEA" w:rsidR="005E2312" w:rsidRPr="00F03917" w:rsidRDefault="005E2312" w:rsidP="003A32C3">
      <w:pPr>
        <w:pStyle w:val="BodyText"/>
      </w:pPr>
      <w:r w:rsidRPr="00F03917">
        <w:t>A hui with whānau was organised and hosted by MTT and for those unable to attend in person, a follow-up online survey was constructed and made available, which contained questions to enable participation.</w:t>
      </w:r>
      <w:r w:rsidR="00182801" w:rsidRPr="00F03917">
        <w:t xml:space="preserve"> </w:t>
      </w:r>
      <w:r w:rsidRPr="00F03917">
        <w:t xml:space="preserve">All </w:t>
      </w:r>
      <w:r w:rsidR="00FF2108" w:rsidRPr="00F03917">
        <w:t xml:space="preserve">of </w:t>
      </w:r>
      <w:r w:rsidRPr="00F03917">
        <w:t xml:space="preserve">the information gathered through hui and online survey </w:t>
      </w:r>
      <w:r w:rsidR="00FF2108" w:rsidRPr="00F03917">
        <w:t xml:space="preserve">was </w:t>
      </w:r>
      <w:r w:rsidRPr="00F03917">
        <w:t>combined to establish the top priorities and aspirations for the Tangoio Marae community (see</w:t>
      </w:r>
      <w:r w:rsidR="003A32C3" w:rsidRPr="00F03917">
        <w:t> </w:t>
      </w:r>
      <w:r w:rsidRPr="00F03917">
        <w:t>Blackett et al, 2022). </w:t>
      </w:r>
    </w:p>
    <w:p w14:paraId="05BB80E4" w14:textId="60EFFDA2" w:rsidR="005E2312" w:rsidRPr="00F03917" w:rsidRDefault="005E2312" w:rsidP="003A32C3">
      <w:pPr>
        <w:pStyle w:val="Heading5"/>
      </w:pPr>
      <w:r w:rsidRPr="00F03917">
        <w:t>Thread 1 – Understanding the past</w:t>
      </w:r>
    </w:p>
    <w:p w14:paraId="054C55FE" w14:textId="7DEF23E0" w:rsidR="005E2312" w:rsidRPr="00F03917" w:rsidRDefault="005E2312" w:rsidP="003A32C3">
      <w:pPr>
        <w:pStyle w:val="BodyText"/>
      </w:pPr>
      <w:r w:rsidRPr="00F03917">
        <w:t xml:space="preserve">A detailed understanding of the physical extent of historical flooding and the experiences of </w:t>
      </w:r>
      <w:r w:rsidR="00C11368" w:rsidRPr="00F03917">
        <w:t>h</w:t>
      </w:r>
      <w:r w:rsidRPr="00F03917">
        <w:t>apū and local residents were collected via interviews and surveys collated into a timeline and short video.</w:t>
      </w:r>
      <w:r w:rsidR="00C11368" w:rsidRPr="00F03917">
        <w:t xml:space="preserve"> </w:t>
      </w:r>
      <w:r w:rsidRPr="00F03917">
        <w:t>Council documents and local media reports provided the basis of the timeline, while interviews with kaumātua and others with a long history of association with the valley provided knowledge (mātauranga ā-Hapū), stories and experience of historical events.</w:t>
      </w:r>
      <w:r w:rsidR="00C11368" w:rsidRPr="00F03917">
        <w:t xml:space="preserve"> </w:t>
      </w:r>
      <w:r w:rsidRPr="00F03917">
        <w:t xml:space="preserve">The interviews delved into what floods the interviewees had experienced, what happened, what it was like to be in a flood, how it affected them and their surroundings, what the damage was and how the clean-up proceeded. In addition, physical information on water depth (eg, relative to door frames) and the extent and duration of flood waters </w:t>
      </w:r>
      <w:r w:rsidR="00646772" w:rsidRPr="00F03917">
        <w:t xml:space="preserve">was </w:t>
      </w:r>
      <w:r w:rsidRPr="00F03917">
        <w:t>obtained to help calibrate the</w:t>
      </w:r>
      <w:r w:rsidR="000C3DEA" w:rsidRPr="00F03917">
        <w:t> </w:t>
      </w:r>
      <w:r w:rsidRPr="00F03917">
        <w:t>hydrological-hydrodynamic models. All this information created a picture of what flooding was like for those who ha</w:t>
      </w:r>
      <w:r w:rsidR="000C3DEA" w:rsidRPr="00F03917">
        <w:t>d</w:t>
      </w:r>
      <w:r w:rsidRPr="00F03917">
        <w:t xml:space="preserve"> never experienced one to enable the potential impacts and implications to be visualised.</w:t>
      </w:r>
    </w:p>
    <w:p w14:paraId="5C8B965D" w14:textId="7CF0E77F" w:rsidR="005E2312" w:rsidRPr="00F03917" w:rsidRDefault="005E2312" w:rsidP="003A32C3">
      <w:pPr>
        <w:pStyle w:val="Heading5"/>
      </w:pPr>
      <w:r w:rsidRPr="00F03917">
        <w:t>Thread 2 – Modelling the past and the present</w:t>
      </w:r>
    </w:p>
    <w:p w14:paraId="72144440" w14:textId="2D21F9CA" w:rsidR="005E2312" w:rsidRPr="00F03917" w:rsidRDefault="005E2312" w:rsidP="003A32C3">
      <w:pPr>
        <w:pStyle w:val="BodyText"/>
      </w:pPr>
      <w:r w:rsidRPr="00F03917">
        <w:t>The present hazard and risk were constructed through hydrological-hydrodynamic modelling of Cyclone Bola in 1988, a well-remembered, historical, extreme weather event. The peak water depths were calibrated using photographs in the Tangoio Valley during and after Cyclone Bola and compared with oral observations collected during a hikoi (walk) with whānau present at the marae either during Cyclone Bola or soon after the flood waters receded.</w:t>
      </w:r>
    </w:p>
    <w:p w14:paraId="0E8B3C9F" w14:textId="727365CF" w:rsidR="005E2312" w:rsidRPr="00F03917" w:rsidRDefault="005E2312" w:rsidP="003A32C3">
      <w:pPr>
        <w:pStyle w:val="Heading5"/>
      </w:pPr>
      <w:r w:rsidRPr="00F03917">
        <w:t>Thread 3 – Modelling possible futures</w:t>
      </w:r>
    </w:p>
    <w:p w14:paraId="0EA14C7F" w14:textId="5247B993" w:rsidR="005E2312" w:rsidRPr="00F03917" w:rsidRDefault="005E2312" w:rsidP="003A32C3">
      <w:pPr>
        <w:pStyle w:val="BodyText"/>
      </w:pPr>
      <w:r w:rsidRPr="00F03917">
        <w:t xml:space="preserve">The calibrated model developed in thread 2 was used to produce a range of possible futures from which to start a conversation around the potential impacts of climate change on Tangoio Marae and surrounding areas (see table </w:t>
      </w:r>
      <w:r w:rsidR="00846C66" w:rsidRPr="00F03917">
        <w:t>A.1</w:t>
      </w:r>
      <w:r w:rsidRPr="00F03917">
        <w:t>). Not all possible future projections were explored, the purpose was to provide a variety of alternatives.</w:t>
      </w:r>
    </w:p>
    <w:p w14:paraId="5D006878" w14:textId="39F45365" w:rsidR="005E2312" w:rsidRPr="00F03917" w:rsidRDefault="005E2312" w:rsidP="00053197">
      <w:pPr>
        <w:pStyle w:val="Tableheading"/>
        <w:numPr>
          <w:ilvl w:val="0"/>
          <w:numId w:val="0"/>
        </w:numPr>
        <w:ind w:left="1134" w:hanging="1134"/>
        <w:rPr>
          <w:rFonts w:ascii="Segoe UI" w:hAnsi="Segoe UI" w:cs="Segoe UI"/>
          <w:sz w:val="18"/>
          <w:szCs w:val="18"/>
        </w:rPr>
      </w:pPr>
      <w:bookmarkStart w:id="247" w:name="_Toc160098412"/>
      <w:r w:rsidRPr="00F03917">
        <w:t xml:space="preserve">Table </w:t>
      </w:r>
      <w:r w:rsidR="00DB1FA0" w:rsidRPr="00F03917">
        <w:t>A.</w:t>
      </w:r>
      <w:r w:rsidR="00311441" w:rsidRPr="00F03917">
        <w:t>1</w:t>
      </w:r>
      <w:r w:rsidRPr="00F03917">
        <w:t xml:space="preserve">: </w:t>
      </w:r>
      <w:r w:rsidR="00053197" w:rsidRPr="00F03917">
        <w:tab/>
      </w:r>
      <w:r w:rsidRPr="00F03917">
        <w:t>Climate change scenarios used to investigate potential peak flood water levels in the valley and around Tangoio Marae</w:t>
      </w:r>
      <w:bookmarkEnd w:id="247"/>
    </w:p>
    <w:tbl>
      <w:tblPr>
        <w:tblW w:w="8505" w:type="dxa"/>
        <w:tblBorders>
          <w:top w:val="single" w:sz="6" w:space="0" w:color="1B556B" w:themeColor="text2"/>
          <w:bottom w:val="single" w:sz="6" w:space="0" w:color="1B556B" w:themeColor="text2"/>
          <w:insideH w:val="single" w:sz="6" w:space="0" w:color="1B556B" w:themeColor="text2"/>
          <w:insideV w:val="single" w:sz="6" w:space="0" w:color="1B556B" w:themeColor="text2"/>
        </w:tblBorders>
        <w:tblCellMar>
          <w:left w:w="85" w:type="dxa"/>
          <w:right w:w="85" w:type="dxa"/>
        </w:tblCellMar>
        <w:tblLook w:val="04A0" w:firstRow="1" w:lastRow="0" w:firstColumn="1" w:lastColumn="0" w:noHBand="0" w:noVBand="1"/>
      </w:tblPr>
      <w:tblGrid>
        <w:gridCol w:w="1560"/>
        <w:gridCol w:w="800"/>
        <w:gridCol w:w="937"/>
        <w:gridCol w:w="1049"/>
        <w:gridCol w:w="1350"/>
        <w:gridCol w:w="1259"/>
        <w:gridCol w:w="1550"/>
      </w:tblGrid>
      <w:tr w:rsidR="003A32C3" w:rsidRPr="00F03917" w14:paraId="0B637FA4" w14:textId="77777777" w:rsidTr="00F15150">
        <w:trPr>
          <w:trHeight w:val="300"/>
        </w:trPr>
        <w:tc>
          <w:tcPr>
            <w:tcW w:w="1560" w:type="dxa"/>
            <w:shd w:val="clear" w:color="auto" w:fill="1B556B"/>
            <w:vAlign w:val="bottom"/>
            <w:hideMark/>
          </w:tcPr>
          <w:p w14:paraId="73B4B69B" w14:textId="1DDDDD14" w:rsidR="005E2312" w:rsidRPr="00F03917" w:rsidRDefault="005E2312" w:rsidP="003A32C3">
            <w:pPr>
              <w:pStyle w:val="TableTextbold"/>
              <w:rPr>
                <w:color w:val="FFFFFF" w:themeColor="background1"/>
              </w:rPr>
            </w:pPr>
            <w:r w:rsidRPr="00F03917">
              <w:rPr>
                <w:color w:val="FFFFFF" w:themeColor="background1"/>
              </w:rPr>
              <w:t>Scenario </w:t>
            </w:r>
          </w:p>
        </w:tc>
        <w:tc>
          <w:tcPr>
            <w:tcW w:w="800" w:type="dxa"/>
            <w:shd w:val="clear" w:color="auto" w:fill="1B556B"/>
            <w:vAlign w:val="bottom"/>
            <w:hideMark/>
          </w:tcPr>
          <w:p w14:paraId="76CE518A" w14:textId="63771178" w:rsidR="005E2312" w:rsidRPr="00F03917" w:rsidRDefault="005E2312" w:rsidP="003A32C3">
            <w:pPr>
              <w:pStyle w:val="TableTextbold"/>
              <w:rPr>
                <w:color w:val="FFFFFF" w:themeColor="background1"/>
              </w:rPr>
            </w:pPr>
            <w:r w:rsidRPr="00F03917">
              <w:rPr>
                <w:color w:val="FFFFFF" w:themeColor="background1"/>
              </w:rPr>
              <w:t>Year </w:t>
            </w:r>
          </w:p>
        </w:tc>
        <w:tc>
          <w:tcPr>
            <w:tcW w:w="937" w:type="dxa"/>
            <w:shd w:val="clear" w:color="auto" w:fill="1B556B"/>
            <w:vAlign w:val="bottom"/>
            <w:hideMark/>
          </w:tcPr>
          <w:p w14:paraId="641B1770" w14:textId="3269D26B" w:rsidR="005E2312" w:rsidRPr="00F03917" w:rsidRDefault="005E2312" w:rsidP="003A32C3">
            <w:pPr>
              <w:pStyle w:val="TableTextbold"/>
              <w:rPr>
                <w:color w:val="FFFFFF" w:themeColor="background1"/>
              </w:rPr>
            </w:pPr>
            <w:r w:rsidRPr="00F03917">
              <w:rPr>
                <w:color w:val="FFFFFF" w:themeColor="background1"/>
              </w:rPr>
              <w:t>Climate change scenario</w:t>
            </w:r>
          </w:p>
        </w:tc>
        <w:tc>
          <w:tcPr>
            <w:tcW w:w="1049" w:type="dxa"/>
            <w:shd w:val="clear" w:color="auto" w:fill="1B556B"/>
            <w:vAlign w:val="bottom"/>
            <w:hideMark/>
          </w:tcPr>
          <w:p w14:paraId="7E5F0AB6" w14:textId="54D2F25F" w:rsidR="005E2312" w:rsidRPr="00F03917" w:rsidRDefault="005E2312" w:rsidP="003A32C3">
            <w:pPr>
              <w:pStyle w:val="TableTextbold"/>
              <w:rPr>
                <w:color w:val="FFFFFF" w:themeColor="background1"/>
              </w:rPr>
            </w:pPr>
            <w:r w:rsidRPr="00F03917">
              <w:rPr>
                <w:color w:val="FFFFFF" w:themeColor="background1"/>
              </w:rPr>
              <w:t>Assumed sea-level rise (m</w:t>
            </w:r>
            <w:r w:rsidR="000C16A9" w:rsidRPr="00F03917">
              <w:rPr>
                <w:color w:val="FFFFFF" w:themeColor="background1"/>
              </w:rPr>
              <w:t>etres</w:t>
            </w:r>
            <w:r w:rsidRPr="00F03917">
              <w:rPr>
                <w:color w:val="FFFFFF" w:themeColor="background1"/>
              </w:rPr>
              <w:t>)</w:t>
            </w:r>
          </w:p>
        </w:tc>
        <w:tc>
          <w:tcPr>
            <w:tcW w:w="1350" w:type="dxa"/>
            <w:shd w:val="clear" w:color="auto" w:fill="1B556B"/>
            <w:vAlign w:val="bottom"/>
            <w:hideMark/>
          </w:tcPr>
          <w:p w14:paraId="1F2ADEF5" w14:textId="1F43CC2D" w:rsidR="005E2312" w:rsidRPr="00F03917" w:rsidRDefault="005E2312" w:rsidP="003A32C3">
            <w:pPr>
              <w:pStyle w:val="TableTextbold"/>
              <w:rPr>
                <w:color w:val="FFFFFF" w:themeColor="background1"/>
              </w:rPr>
            </w:pPr>
            <w:r w:rsidRPr="00F03917">
              <w:rPr>
                <w:color w:val="FFFFFF" w:themeColor="background1"/>
              </w:rPr>
              <w:t>Peak discharge (at marae) (</w:t>
            </w:r>
            <w:r w:rsidR="00A34396" w:rsidRPr="00F03917">
              <w:rPr>
                <w:color w:val="FFFFFF" w:themeColor="background1"/>
              </w:rPr>
              <w:t>cubic metre per second</w:t>
            </w:r>
            <w:r w:rsidRPr="00F03917">
              <w:rPr>
                <w:color w:val="FFFFFF" w:themeColor="background1"/>
              </w:rPr>
              <w:t>)</w:t>
            </w:r>
          </w:p>
        </w:tc>
        <w:tc>
          <w:tcPr>
            <w:tcW w:w="1259" w:type="dxa"/>
            <w:shd w:val="clear" w:color="auto" w:fill="1B556B"/>
            <w:vAlign w:val="bottom"/>
            <w:hideMark/>
          </w:tcPr>
          <w:p w14:paraId="4AB813C7" w14:textId="2E33AA98" w:rsidR="005E2312" w:rsidRPr="00F03917" w:rsidRDefault="005E2312" w:rsidP="003A32C3">
            <w:pPr>
              <w:pStyle w:val="TableTextbold"/>
              <w:rPr>
                <w:color w:val="FFFFFF" w:themeColor="background1"/>
              </w:rPr>
            </w:pPr>
            <w:r w:rsidRPr="00F03917">
              <w:rPr>
                <w:color w:val="FFFFFF" w:themeColor="background1"/>
              </w:rPr>
              <w:t>Elevation model </w:t>
            </w:r>
          </w:p>
        </w:tc>
        <w:tc>
          <w:tcPr>
            <w:tcW w:w="1550" w:type="dxa"/>
            <w:shd w:val="clear" w:color="auto" w:fill="1B556B"/>
            <w:vAlign w:val="bottom"/>
            <w:hideMark/>
          </w:tcPr>
          <w:p w14:paraId="12DB8AAB" w14:textId="0091B84A" w:rsidR="005E2312" w:rsidRPr="00F03917" w:rsidRDefault="005E2312" w:rsidP="003A32C3">
            <w:pPr>
              <w:pStyle w:val="TableTextbold"/>
              <w:rPr>
                <w:color w:val="FFFFFF" w:themeColor="background1"/>
              </w:rPr>
            </w:pPr>
            <w:r w:rsidRPr="00F03917">
              <w:rPr>
                <w:color w:val="FFFFFF" w:themeColor="background1"/>
              </w:rPr>
              <w:t>Assumptions</w:t>
            </w:r>
          </w:p>
        </w:tc>
      </w:tr>
      <w:tr w:rsidR="00291B01" w:rsidRPr="00F03917" w14:paraId="1F8460D7" w14:textId="77777777" w:rsidTr="00F15150">
        <w:trPr>
          <w:trHeight w:val="300"/>
        </w:trPr>
        <w:tc>
          <w:tcPr>
            <w:tcW w:w="1560" w:type="dxa"/>
            <w:shd w:val="clear" w:color="auto" w:fill="auto"/>
            <w:hideMark/>
          </w:tcPr>
          <w:p w14:paraId="03246EEE" w14:textId="7318794E" w:rsidR="005E2312" w:rsidRPr="00F03917" w:rsidRDefault="005E2312" w:rsidP="00623D3B">
            <w:pPr>
              <w:pStyle w:val="TableText"/>
            </w:pPr>
            <w:r w:rsidRPr="00F03917">
              <w:t>Bola</w:t>
            </w:r>
          </w:p>
        </w:tc>
        <w:tc>
          <w:tcPr>
            <w:tcW w:w="800" w:type="dxa"/>
            <w:shd w:val="clear" w:color="auto" w:fill="auto"/>
            <w:hideMark/>
          </w:tcPr>
          <w:p w14:paraId="27C0445A" w14:textId="3E505F44" w:rsidR="005E2312" w:rsidRPr="00F03917" w:rsidRDefault="005E2312" w:rsidP="00623D3B">
            <w:pPr>
              <w:pStyle w:val="TableText"/>
            </w:pPr>
            <w:r w:rsidRPr="00F03917">
              <w:t>Present</w:t>
            </w:r>
          </w:p>
        </w:tc>
        <w:tc>
          <w:tcPr>
            <w:tcW w:w="937" w:type="dxa"/>
            <w:shd w:val="clear" w:color="auto" w:fill="auto"/>
            <w:hideMark/>
          </w:tcPr>
          <w:p w14:paraId="160B0AC4" w14:textId="776A5E3E" w:rsidR="005E2312" w:rsidRPr="00F03917" w:rsidRDefault="005E2312" w:rsidP="00623D3B">
            <w:pPr>
              <w:pStyle w:val="TableText"/>
            </w:pPr>
            <w:r w:rsidRPr="00F03917">
              <w:t>None</w:t>
            </w:r>
          </w:p>
        </w:tc>
        <w:tc>
          <w:tcPr>
            <w:tcW w:w="1049" w:type="dxa"/>
            <w:shd w:val="clear" w:color="auto" w:fill="auto"/>
            <w:hideMark/>
          </w:tcPr>
          <w:p w14:paraId="40A8B20F" w14:textId="2A960FD5" w:rsidR="005E2312" w:rsidRPr="00F03917" w:rsidRDefault="005E2312" w:rsidP="00623D3B">
            <w:pPr>
              <w:pStyle w:val="TableText"/>
            </w:pPr>
            <w:r w:rsidRPr="00F03917">
              <w:t>None</w:t>
            </w:r>
          </w:p>
        </w:tc>
        <w:tc>
          <w:tcPr>
            <w:tcW w:w="1350" w:type="dxa"/>
            <w:shd w:val="clear" w:color="auto" w:fill="auto"/>
            <w:hideMark/>
          </w:tcPr>
          <w:p w14:paraId="22C3AD69" w14:textId="54972F5E" w:rsidR="005E2312" w:rsidRPr="00F03917" w:rsidRDefault="005E2312" w:rsidP="00623D3B">
            <w:pPr>
              <w:pStyle w:val="TableText"/>
            </w:pPr>
            <w:r w:rsidRPr="00F03917">
              <w:t>146</w:t>
            </w:r>
          </w:p>
        </w:tc>
        <w:tc>
          <w:tcPr>
            <w:tcW w:w="1259" w:type="dxa"/>
            <w:shd w:val="clear" w:color="auto" w:fill="auto"/>
            <w:hideMark/>
          </w:tcPr>
          <w:p w14:paraId="47E06551" w14:textId="24B097C8" w:rsidR="005E2312" w:rsidRPr="00F03917" w:rsidRDefault="005E2312" w:rsidP="00623D3B">
            <w:pPr>
              <w:pStyle w:val="TableText"/>
            </w:pPr>
            <w:r w:rsidRPr="00F03917">
              <w:t>No stopbank</w:t>
            </w:r>
            <w:r w:rsidRPr="00F03917">
              <w:rPr>
                <w:vertAlign w:val="superscript"/>
              </w:rPr>
              <w:t>a</w:t>
            </w:r>
          </w:p>
        </w:tc>
        <w:tc>
          <w:tcPr>
            <w:tcW w:w="1550" w:type="dxa"/>
            <w:shd w:val="clear" w:color="auto" w:fill="auto"/>
            <w:hideMark/>
          </w:tcPr>
          <w:p w14:paraId="069BBBE8" w14:textId="1C83F270" w:rsidR="005E2312" w:rsidRPr="00F03917" w:rsidRDefault="005E2312" w:rsidP="00623D3B">
            <w:pPr>
              <w:pStyle w:val="TableText"/>
            </w:pPr>
            <w:r w:rsidRPr="00F03917">
              <w:t>Bridge blocked</w:t>
            </w:r>
            <w:r w:rsidRPr="00F03917">
              <w:rPr>
                <w:vertAlign w:val="superscript"/>
              </w:rPr>
              <w:t>b</w:t>
            </w:r>
          </w:p>
        </w:tc>
      </w:tr>
      <w:tr w:rsidR="00291B01" w:rsidRPr="00F03917" w14:paraId="1810944C" w14:textId="77777777" w:rsidTr="00F15150">
        <w:trPr>
          <w:trHeight w:val="300"/>
        </w:trPr>
        <w:tc>
          <w:tcPr>
            <w:tcW w:w="1560" w:type="dxa"/>
            <w:shd w:val="clear" w:color="auto" w:fill="auto"/>
            <w:hideMark/>
          </w:tcPr>
          <w:p w14:paraId="3483DC5E" w14:textId="5346F692" w:rsidR="005E2312" w:rsidRPr="00F03917" w:rsidRDefault="005E2312" w:rsidP="00623D3B">
            <w:pPr>
              <w:pStyle w:val="TableText"/>
            </w:pPr>
            <w:r w:rsidRPr="00F03917">
              <w:t>Bola + Climate Change Scenario 1</w:t>
            </w:r>
          </w:p>
        </w:tc>
        <w:tc>
          <w:tcPr>
            <w:tcW w:w="800" w:type="dxa"/>
            <w:shd w:val="clear" w:color="auto" w:fill="auto"/>
            <w:hideMark/>
          </w:tcPr>
          <w:p w14:paraId="41A9C7D5" w14:textId="7FE6D9EF" w:rsidR="005E2312" w:rsidRPr="00F03917" w:rsidRDefault="005E2312" w:rsidP="00623D3B">
            <w:pPr>
              <w:pStyle w:val="TableText"/>
            </w:pPr>
            <w:r w:rsidRPr="00F03917">
              <w:t>2040</w:t>
            </w:r>
          </w:p>
        </w:tc>
        <w:tc>
          <w:tcPr>
            <w:tcW w:w="937" w:type="dxa"/>
            <w:shd w:val="clear" w:color="auto" w:fill="auto"/>
            <w:hideMark/>
          </w:tcPr>
          <w:p w14:paraId="29640D5F" w14:textId="2BAED22F" w:rsidR="005E2312" w:rsidRPr="00F03917" w:rsidRDefault="005E2312" w:rsidP="00623D3B">
            <w:pPr>
              <w:pStyle w:val="TableText"/>
            </w:pPr>
            <w:r w:rsidRPr="00F03917">
              <w:t>RCP 6.0</w:t>
            </w:r>
          </w:p>
        </w:tc>
        <w:tc>
          <w:tcPr>
            <w:tcW w:w="1049" w:type="dxa"/>
            <w:shd w:val="clear" w:color="auto" w:fill="auto"/>
            <w:hideMark/>
          </w:tcPr>
          <w:p w14:paraId="7E61CAED" w14:textId="0745477F" w:rsidR="005E2312" w:rsidRPr="00F03917" w:rsidRDefault="005E2312" w:rsidP="00623D3B">
            <w:pPr>
              <w:pStyle w:val="TableText"/>
            </w:pPr>
            <w:r w:rsidRPr="00F03917">
              <w:t>0.2</w:t>
            </w:r>
          </w:p>
        </w:tc>
        <w:tc>
          <w:tcPr>
            <w:tcW w:w="1350" w:type="dxa"/>
            <w:shd w:val="clear" w:color="auto" w:fill="auto"/>
            <w:hideMark/>
          </w:tcPr>
          <w:p w14:paraId="08B2E900" w14:textId="0F1B5BB8" w:rsidR="005E2312" w:rsidRPr="00F03917" w:rsidRDefault="005E2312" w:rsidP="00623D3B">
            <w:pPr>
              <w:pStyle w:val="TableText"/>
            </w:pPr>
            <w:r w:rsidRPr="00F03917">
              <w:t>154</w:t>
            </w:r>
          </w:p>
        </w:tc>
        <w:tc>
          <w:tcPr>
            <w:tcW w:w="1259" w:type="dxa"/>
            <w:shd w:val="clear" w:color="auto" w:fill="auto"/>
            <w:hideMark/>
          </w:tcPr>
          <w:p w14:paraId="52A16510" w14:textId="2AB9C14B" w:rsidR="005E2312" w:rsidRPr="00F03917" w:rsidRDefault="005E2312" w:rsidP="00623D3B">
            <w:pPr>
              <w:pStyle w:val="TableText"/>
            </w:pPr>
            <w:r w:rsidRPr="00F03917">
              <w:t>With existing stopbank</w:t>
            </w:r>
          </w:p>
        </w:tc>
        <w:tc>
          <w:tcPr>
            <w:tcW w:w="1550" w:type="dxa"/>
            <w:shd w:val="clear" w:color="auto" w:fill="auto"/>
            <w:hideMark/>
          </w:tcPr>
          <w:p w14:paraId="14AEFC45" w14:textId="3450FE71" w:rsidR="005E2312" w:rsidRPr="00F03917" w:rsidRDefault="005E2312" w:rsidP="00623D3B">
            <w:pPr>
              <w:pStyle w:val="TableText"/>
            </w:pPr>
            <w:r w:rsidRPr="00F03917">
              <w:t>Bridge blocked</w:t>
            </w:r>
          </w:p>
        </w:tc>
      </w:tr>
      <w:tr w:rsidR="00291B01" w:rsidRPr="00F03917" w14:paraId="633B1C1C" w14:textId="77777777" w:rsidTr="00F15150">
        <w:trPr>
          <w:trHeight w:val="300"/>
        </w:trPr>
        <w:tc>
          <w:tcPr>
            <w:tcW w:w="1560" w:type="dxa"/>
            <w:shd w:val="clear" w:color="auto" w:fill="auto"/>
            <w:hideMark/>
          </w:tcPr>
          <w:p w14:paraId="4F15E80C" w14:textId="6E24E843" w:rsidR="005E2312" w:rsidRPr="00F03917" w:rsidRDefault="005E2312" w:rsidP="00623D3B">
            <w:pPr>
              <w:pStyle w:val="TableText"/>
            </w:pPr>
            <w:r w:rsidRPr="00F03917">
              <w:t>Bola + Climate Change Scenario 2</w:t>
            </w:r>
          </w:p>
        </w:tc>
        <w:tc>
          <w:tcPr>
            <w:tcW w:w="800" w:type="dxa"/>
            <w:shd w:val="clear" w:color="auto" w:fill="auto"/>
            <w:hideMark/>
          </w:tcPr>
          <w:p w14:paraId="1673F64B" w14:textId="7D8FBD7D" w:rsidR="005E2312" w:rsidRPr="00F03917" w:rsidRDefault="005E2312" w:rsidP="00623D3B">
            <w:pPr>
              <w:pStyle w:val="TableText"/>
            </w:pPr>
            <w:r w:rsidRPr="00F03917">
              <w:t>2090</w:t>
            </w:r>
          </w:p>
        </w:tc>
        <w:tc>
          <w:tcPr>
            <w:tcW w:w="937" w:type="dxa"/>
            <w:shd w:val="clear" w:color="auto" w:fill="auto"/>
            <w:hideMark/>
          </w:tcPr>
          <w:p w14:paraId="79BC5E3B" w14:textId="70E7B4AB" w:rsidR="005E2312" w:rsidRPr="00F03917" w:rsidRDefault="005E2312" w:rsidP="00623D3B">
            <w:pPr>
              <w:pStyle w:val="TableText"/>
            </w:pPr>
            <w:r w:rsidRPr="00F03917">
              <w:t>RCP 6.0</w:t>
            </w:r>
          </w:p>
        </w:tc>
        <w:tc>
          <w:tcPr>
            <w:tcW w:w="1049" w:type="dxa"/>
            <w:shd w:val="clear" w:color="auto" w:fill="auto"/>
            <w:hideMark/>
          </w:tcPr>
          <w:p w14:paraId="4A77E61C" w14:textId="001A5CC1" w:rsidR="005E2312" w:rsidRPr="00F03917" w:rsidRDefault="005E2312" w:rsidP="00623D3B">
            <w:pPr>
              <w:pStyle w:val="TableText"/>
            </w:pPr>
            <w:r w:rsidRPr="00F03917">
              <w:t>0.5</w:t>
            </w:r>
          </w:p>
        </w:tc>
        <w:tc>
          <w:tcPr>
            <w:tcW w:w="1350" w:type="dxa"/>
            <w:shd w:val="clear" w:color="auto" w:fill="auto"/>
            <w:hideMark/>
          </w:tcPr>
          <w:p w14:paraId="74C39091" w14:textId="69AD9B18" w:rsidR="005E2312" w:rsidRPr="00F03917" w:rsidRDefault="005E2312" w:rsidP="00623D3B">
            <w:pPr>
              <w:pStyle w:val="TableText"/>
            </w:pPr>
            <w:r w:rsidRPr="00F03917">
              <w:t>164</w:t>
            </w:r>
          </w:p>
        </w:tc>
        <w:tc>
          <w:tcPr>
            <w:tcW w:w="1259" w:type="dxa"/>
            <w:shd w:val="clear" w:color="auto" w:fill="auto"/>
            <w:hideMark/>
          </w:tcPr>
          <w:p w14:paraId="0D8E070F" w14:textId="34ACC05F" w:rsidR="005E2312" w:rsidRPr="00F03917" w:rsidRDefault="005E2312" w:rsidP="00623D3B">
            <w:pPr>
              <w:pStyle w:val="TableText"/>
            </w:pPr>
            <w:r w:rsidRPr="00F03917">
              <w:t>With existing stopbank</w:t>
            </w:r>
          </w:p>
        </w:tc>
        <w:tc>
          <w:tcPr>
            <w:tcW w:w="1550" w:type="dxa"/>
            <w:shd w:val="clear" w:color="auto" w:fill="auto"/>
            <w:hideMark/>
          </w:tcPr>
          <w:p w14:paraId="1CB19202" w14:textId="4201D02C" w:rsidR="005E2312" w:rsidRPr="00F03917" w:rsidRDefault="005E2312" w:rsidP="00623D3B">
            <w:pPr>
              <w:pStyle w:val="TableText"/>
            </w:pPr>
            <w:r w:rsidRPr="00F03917">
              <w:t>Bridge blocked</w:t>
            </w:r>
          </w:p>
        </w:tc>
      </w:tr>
      <w:tr w:rsidR="00291B01" w:rsidRPr="00F03917" w14:paraId="3D9698E2" w14:textId="77777777" w:rsidTr="00F15150">
        <w:trPr>
          <w:trHeight w:val="300"/>
        </w:trPr>
        <w:tc>
          <w:tcPr>
            <w:tcW w:w="1560" w:type="dxa"/>
            <w:shd w:val="clear" w:color="auto" w:fill="auto"/>
            <w:hideMark/>
          </w:tcPr>
          <w:p w14:paraId="6DB23FA7" w14:textId="2E69E540" w:rsidR="005E2312" w:rsidRPr="00F03917" w:rsidRDefault="005E2312" w:rsidP="00623D3B">
            <w:pPr>
              <w:pStyle w:val="TableText"/>
            </w:pPr>
            <w:r w:rsidRPr="00F03917">
              <w:lastRenderedPageBreak/>
              <w:t>Bola + Climate Change Scenario 3</w:t>
            </w:r>
          </w:p>
        </w:tc>
        <w:tc>
          <w:tcPr>
            <w:tcW w:w="800" w:type="dxa"/>
            <w:shd w:val="clear" w:color="auto" w:fill="auto"/>
            <w:hideMark/>
          </w:tcPr>
          <w:p w14:paraId="6A40CF91" w14:textId="62CECCFC" w:rsidR="005E2312" w:rsidRPr="00F03917" w:rsidRDefault="005E2312" w:rsidP="00623D3B">
            <w:pPr>
              <w:pStyle w:val="TableText"/>
            </w:pPr>
            <w:r w:rsidRPr="00F03917">
              <w:t>2120</w:t>
            </w:r>
          </w:p>
        </w:tc>
        <w:tc>
          <w:tcPr>
            <w:tcW w:w="937" w:type="dxa"/>
            <w:shd w:val="clear" w:color="auto" w:fill="auto"/>
            <w:hideMark/>
          </w:tcPr>
          <w:p w14:paraId="5367EF13" w14:textId="33BD8C67" w:rsidR="005E2312" w:rsidRPr="00F03917" w:rsidRDefault="005E2312" w:rsidP="00623D3B">
            <w:pPr>
              <w:pStyle w:val="TableText"/>
            </w:pPr>
            <w:r w:rsidRPr="00F03917">
              <w:t>RCP 8.5</w:t>
            </w:r>
          </w:p>
        </w:tc>
        <w:tc>
          <w:tcPr>
            <w:tcW w:w="1049" w:type="dxa"/>
            <w:shd w:val="clear" w:color="auto" w:fill="auto"/>
            <w:hideMark/>
          </w:tcPr>
          <w:p w14:paraId="554BA057" w14:textId="53D9A448" w:rsidR="005E2312" w:rsidRPr="00F03917" w:rsidRDefault="005E2312" w:rsidP="00623D3B">
            <w:pPr>
              <w:pStyle w:val="TableText"/>
            </w:pPr>
            <w:r w:rsidRPr="00F03917">
              <w:t>1.36</w:t>
            </w:r>
          </w:p>
        </w:tc>
        <w:tc>
          <w:tcPr>
            <w:tcW w:w="1350" w:type="dxa"/>
            <w:shd w:val="clear" w:color="auto" w:fill="auto"/>
            <w:hideMark/>
          </w:tcPr>
          <w:p w14:paraId="51530DC9" w14:textId="2C57CA84" w:rsidR="005E2312" w:rsidRPr="00F03917" w:rsidRDefault="005E2312" w:rsidP="00623D3B">
            <w:pPr>
              <w:pStyle w:val="TableText"/>
            </w:pPr>
            <w:r w:rsidRPr="00F03917">
              <w:t>160</w:t>
            </w:r>
          </w:p>
        </w:tc>
        <w:tc>
          <w:tcPr>
            <w:tcW w:w="1259" w:type="dxa"/>
            <w:shd w:val="clear" w:color="auto" w:fill="auto"/>
            <w:hideMark/>
          </w:tcPr>
          <w:p w14:paraId="7A44AC3C" w14:textId="1E19920F" w:rsidR="005E2312" w:rsidRPr="00F03917" w:rsidRDefault="005E2312" w:rsidP="00623D3B">
            <w:pPr>
              <w:pStyle w:val="TableText"/>
            </w:pPr>
            <w:r w:rsidRPr="00F03917">
              <w:t>With existing stopbank</w:t>
            </w:r>
          </w:p>
        </w:tc>
        <w:tc>
          <w:tcPr>
            <w:tcW w:w="1550" w:type="dxa"/>
            <w:shd w:val="clear" w:color="auto" w:fill="auto"/>
            <w:hideMark/>
          </w:tcPr>
          <w:p w14:paraId="3790804B" w14:textId="2E4F49B4" w:rsidR="005E2312" w:rsidRPr="00F03917" w:rsidRDefault="005E2312" w:rsidP="00623D3B">
            <w:pPr>
              <w:pStyle w:val="TableText"/>
            </w:pPr>
            <w:r w:rsidRPr="00F03917">
              <w:t>Bridge blocked</w:t>
            </w:r>
          </w:p>
        </w:tc>
      </w:tr>
    </w:tbl>
    <w:p w14:paraId="5573F58F" w14:textId="19E4A2DF" w:rsidR="005E2312" w:rsidRPr="00F03917" w:rsidRDefault="005E2312" w:rsidP="005420FF">
      <w:pPr>
        <w:pStyle w:val="Source"/>
        <w:spacing w:after="0"/>
        <w:ind w:left="340" w:hanging="340"/>
      </w:pPr>
      <w:r w:rsidRPr="00F03917">
        <w:rPr>
          <w:szCs w:val="18"/>
          <w:vertAlign w:val="superscript"/>
        </w:rPr>
        <w:t>a</w:t>
      </w:r>
      <w:r w:rsidR="005420FF" w:rsidRPr="00F03917">
        <w:rPr>
          <w:sz w:val="14"/>
          <w:szCs w:val="14"/>
          <w:vertAlign w:val="superscript"/>
        </w:rPr>
        <w:tab/>
      </w:r>
      <w:r w:rsidRPr="00F03917">
        <w:t xml:space="preserve">The Bola modelling simulation assumed that the existing stopbank constructed around the </w:t>
      </w:r>
      <w:r w:rsidR="00536C5D" w:rsidRPr="00F03917">
        <w:t>m</w:t>
      </w:r>
      <w:r w:rsidRPr="00F03917">
        <w:t>arae site was not in place. Future model</w:t>
      </w:r>
      <w:r w:rsidR="00536C5D" w:rsidRPr="00F03917">
        <w:t>ling</w:t>
      </w:r>
      <w:r w:rsidRPr="00F03917">
        <w:t xml:space="preserve"> scenarios retain the existing stopbank around the </w:t>
      </w:r>
      <w:r w:rsidR="00536C5D" w:rsidRPr="00F03917">
        <w:t>m</w:t>
      </w:r>
      <w:r w:rsidRPr="00F03917">
        <w:t>arae site.</w:t>
      </w:r>
    </w:p>
    <w:p w14:paraId="5CA05886" w14:textId="3AB76F1E" w:rsidR="005E2312" w:rsidRPr="00F03917" w:rsidRDefault="005E2312" w:rsidP="005420FF">
      <w:pPr>
        <w:pStyle w:val="Source"/>
        <w:spacing w:after="0"/>
        <w:ind w:left="340" w:hanging="340"/>
      </w:pPr>
      <w:r w:rsidRPr="00F03917">
        <w:rPr>
          <w:szCs w:val="18"/>
          <w:vertAlign w:val="superscript"/>
        </w:rPr>
        <w:t>b</w:t>
      </w:r>
      <w:r w:rsidR="005420FF" w:rsidRPr="00F03917">
        <w:rPr>
          <w:sz w:val="14"/>
          <w:szCs w:val="14"/>
          <w:vertAlign w:val="superscript"/>
        </w:rPr>
        <w:tab/>
      </w:r>
      <w:r w:rsidRPr="00F03917">
        <w:t>The modelling assumes the main Te Ngarue Stream channel is blocked at the Tangoio Settlement Road bridge crossing. Stream channel blockage was observed at the crossing during the Cyclone Bola event and following smaller flood events as a result of forestry slash, logs and debris conveyed by runoff, erosion and flood waters from the catchment.</w:t>
      </w:r>
    </w:p>
    <w:p w14:paraId="0E70E3E6" w14:textId="03DB9496" w:rsidR="005E2312" w:rsidRPr="00F03917" w:rsidRDefault="005E2312" w:rsidP="00291B01">
      <w:pPr>
        <w:pStyle w:val="Source"/>
      </w:pPr>
      <w:r w:rsidRPr="00F03917">
        <w:t>Source: Blackett et al (2022)</w:t>
      </w:r>
    </w:p>
    <w:p w14:paraId="1BE3B284" w14:textId="7D547662" w:rsidR="005E2312" w:rsidRPr="00F03917" w:rsidRDefault="005E2312" w:rsidP="00536C5D">
      <w:pPr>
        <w:pStyle w:val="Heading5"/>
      </w:pPr>
      <w:r w:rsidRPr="00F03917">
        <w:t xml:space="preserve">Thread 4 </w:t>
      </w:r>
      <w:r w:rsidR="00536C5D" w:rsidRPr="00F03917">
        <w:t xml:space="preserve">– </w:t>
      </w:r>
      <w:r w:rsidRPr="00F03917">
        <w:t>Communicating with whānau</w:t>
      </w:r>
    </w:p>
    <w:p w14:paraId="09444221" w14:textId="651A69A8" w:rsidR="005E2312" w:rsidRPr="00F03917" w:rsidRDefault="005E2312" w:rsidP="00F15150">
      <w:pPr>
        <w:pStyle w:val="BodyText"/>
      </w:pPr>
      <w:r w:rsidRPr="00F03917">
        <w:t xml:space="preserve">A hui was organised by MTT to present the timeline, short video and model information back </w:t>
      </w:r>
      <w:r w:rsidRPr="00F03917">
        <w:rPr>
          <w:spacing w:val="-2"/>
        </w:rPr>
        <w:t xml:space="preserve">to the </w:t>
      </w:r>
      <w:r w:rsidR="00313F3B" w:rsidRPr="00F03917">
        <w:rPr>
          <w:spacing w:val="-2"/>
        </w:rPr>
        <w:t>h</w:t>
      </w:r>
      <w:r w:rsidRPr="00F03917">
        <w:rPr>
          <w:spacing w:val="-2"/>
        </w:rPr>
        <w:t>apū. Participants were asked for their thoughts and concerns for the future.</w:t>
      </w:r>
      <w:r w:rsidR="00F15150" w:rsidRPr="00F03917">
        <w:rPr>
          <w:spacing w:val="-2"/>
        </w:rPr>
        <w:t xml:space="preserve"> </w:t>
      </w:r>
      <w:r w:rsidRPr="00F03917">
        <w:rPr>
          <w:spacing w:val="-2"/>
        </w:rPr>
        <w:t>Importantly, this hui was finished with a brainstorming session on possible adaptation options</w:t>
      </w:r>
      <w:r w:rsidRPr="00F03917">
        <w:t xml:space="preserve"> and future aspirations for the </w:t>
      </w:r>
      <w:r w:rsidR="00313F3B" w:rsidRPr="00F03917">
        <w:t>m</w:t>
      </w:r>
      <w:r w:rsidRPr="00F03917">
        <w:t>arae so as not to leave participants with feelings of helplessness</w:t>
      </w:r>
      <w:r w:rsidR="007831DE" w:rsidRPr="00F03917">
        <w:t>.</w:t>
      </w:r>
      <w:r w:rsidRPr="00F03917">
        <w:t xml:space="preserve"> </w:t>
      </w:r>
    </w:p>
    <w:p w14:paraId="1AA9AD1B" w14:textId="739657A9" w:rsidR="005E2312" w:rsidRPr="00F03917" w:rsidRDefault="005E2312" w:rsidP="00F15150">
      <w:pPr>
        <w:pStyle w:val="BodyText"/>
      </w:pPr>
      <w:r w:rsidRPr="00F03917">
        <w:t xml:space="preserve">The adaptation discussion for the </w:t>
      </w:r>
      <w:r w:rsidR="00313F3B" w:rsidRPr="00F03917">
        <w:t>h</w:t>
      </w:r>
      <w:r w:rsidRPr="00F03917">
        <w:t>apū of Tangoio Marae had two parts, first exploring the full range of adaptation options and understanding the limits of each option and</w:t>
      </w:r>
      <w:r w:rsidR="00B62DFD" w:rsidRPr="00F03917">
        <w:t>,</w:t>
      </w:r>
      <w:r w:rsidRPr="00F03917">
        <w:t xml:space="preserve"> second, creating </w:t>
      </w:r>
      <w:r w:rsidR="00313F3B" w:rsidRPr="00F03917">
        <w:t>d</w:t>
      </w:r>
      <w:r w:rsidRPr="00F03917">
        <w:t xml:space="preserve">ynamic </w:t>
      </w:r>
      <w:r w:rsidR="00313F3B" w:rsidRPr="00F03917">
        <w:t>a</w:t>
      </w:r>
      <w:r w:rsidRPr="00F03917">
        <w:t>daptat</w:t>
      </w:r>
      <w:r w:rsidR="008B17B4" w:rsidRPr="00F03917">
        <w:t>ive</w:t>
      </w:r>
      <w:r w:rsidRPr="00F03917">
        <w:t xml:space="preserve"> </w:t>
      </w:r>
      <w:r w:rsidR="00313F3B" w:rsidRPr="00F03917">
        <w:t>p</w:t>
      </w:r>
      <w:r w:rsidRPr="00F03917">
        <w:t>athways</w:t>
      </w:r>
      <w:r w:rsidR="008B17B4" w:rsidRPr="00F03917">
        <w:t xml:space="preserve"> plan</w:t>
      </w:r>
      <w:r w:rsidRPr="00F03917">
        <w:t xml:space="preserve"> (DAPP).</w:t>
      </w:r>
    </w:p>
    <w:p w14:paraId="7A62925D" w14:textId="59086F56" w:rsidR="005E2312" w:rsidRPr="00F03917" w:rsidRDefault="005E2312" w:rsidP="00F15150">
      <w:pPr>
        <w:pStyle w:val="BodyText"/>
      </w:pPr>
      <w:r w:rsidRPr="00F03917">
        <w:t xml:space="preserve">Adaptation options and aspirations (eg, new kitchen or building upgrades) for Tangoio Marae were generated by the </w:t>
      </w:r>
      <w:r w:rsidR="00B62DFD" w:rsidRPr="00F03917">
        <w:t>h</w:t>
      </w:r>
      <w:r w:rsidRPr="00F03917">
        <w:t xml:space="preserve">apū during a short hikoi (walk) around the </w:t>
      </w:r>
      <w:r w:rsidR="00B62DFD" w:rsidRPr="00F03917">
        <w:t>m</w:t>
      </w:r>
      <w:r w:rsidRPr="00F03917">
        <w:t xml:space="preserve">arae complex with </w:t>
      </w:r>
      <w:r w:rsidR="00B62DFD" w:rsidRPr="00F03917">
        <w:t>k</w:t>
      </w:r>
      <w:r w:rsidRPr="00F03917">
        <w:t xml:space="preserve">aumātua and the hui described in </w:t>
      </w:r>
      <w:hyperlink w:anchor="_Step_4:_Assess" w:history="1">
        <w:r w:rsidR="00124D82" w:rsidRPr="00F03917">
          <w:rPr>
            <w:rStyle w:val="Hyperlink"/>
            <w:rFonts w:eastAsia="Times New Roman" w:cs="Calibri"/>
          </w:rPr>
          <w:t>step 4</w:t>
        </w:r>
      </w:hyperlink>
      <w:r w:rsidR="00124D82" w:rsidRPr="00F03917">
        <w:t xml:space="preserve"> </w:t>
      </w:r>
      <w:r w:rsidRPr="00F03917">
        <w:t>(</w:t>
      </w:r>
      <w:r w:rsidR="00124D82" w:rsidRPr="00F03917">
        <w:t xml:space="preserve">assessing </w:t>
      </w:r>
      <w:r w:rsidRPr="00F03917">
        <w:t xml:space="preserve">vulnerability and risk). The original </w:t>
      </w:r>
      <w:r w:rsidR="00E10ED1" w:rsidRPr="00F03917">
        <w:t>h</w:t>
      </w:r>
      <w:r w:rsidRPr="00F03917">
        <w:t xml:space="preserve">apū list was extended by expert opinion, and no options were removed so that participants could recognise their contribution. Further, other factors of relevance to the decision-making process were explored with members of </w:t>
      </w:r>
      <w:r w:rsidR="0021433B" w:rsidRPr="00F03917">
        <w:t>MTT</w:t>
      </w:r>
      <w:r w:rsidRPr="00F03917">
        <w:t>, for example, access to financial resources, costs of insurance, returns on other investment options, land cost and building costs. Each option and aspiration were costed approximately</w:t>
      </w:r>
      <w:r w:rsidR="0021433B" w:rsidRPr="00F03917">
        <w:t>,</w:t>
      </w:r>
      <w:r w:rsidRPr="00F03917">
        <w:t xml:space="preserve"> and the point at which options would fail to protect against flood events was estimated.</w:t>
      </w:r>
    </w:p>
    <w:p w14:paraId="3295E469" w14:textId="7EB0F70E" w:rsidR="005E2312" w:rsidRPr="00F03917" w:rsidRDefault="005E2312" w:rsidP="00F15150">
      <w:pPr>
        <w:pStyle w:val="Heading4"/>
      </w:pPr>
      <w:r w:rsidRPr="00F03917">
        <w:t>Creating a</w:t>
      </w:r>
      <w:r w:rsidRPr="00F03917">
        <w:rPr>
          <w:rFonts w:ascii="Times New Roman" w:hAnsi="Times New Roman" w:cs="Times New Roman"/>
        </w:rPr>
        <w:t> </w:t>
      </w:r>
      <w:r w:rsidRPr="00F03917">
        <w:t>DAPP</w:t>
      </w:r>
      <w:r w:rsidRPr="00F03917">
        <w:rPr>
          <w:rFonts w:ascii="Times New Roman" w:hAnsi="Times New Roman" w:cs="Times New Roman"/>
        </w:rPr>
        <w:t> </w:t>
      </w:r>
    </w:p>
    <w:p w14:paraId="3B6855E7" w14:textId="2C50A87E" w:rsidR="005E2312" w:rsidRPr="00F03917" w:rsidRDefault="005E2312" w:rsidP="00F15150">
      <w:pPr>
        <w:pStyle w:val="BodyText"/>
      </w:pPr>
      <w:r w:rsidRPr="00F03917">
        <w:t>The information collected throughout the project was used to design a serious game (Marae-opoly) that mimicked the adaptation challenge in order to provide an experience of flood adaptation decision</w:t>
      </w:r>
      <w:r w:rsidR="00F81E64" w:rsidRPr="00F03917">
        <w:t>-</w:t>
      </w:r>
      <w:r w:rsidRPr="00F03917">
        <w:t xml:space="preserve">making for the </w:t>
      </w:r>
      <w:r w:rsidR="0021433B" w:rsidRPr="00F03917">
        <w:t>m</w:t>
      </w:r>
      <w:r w:rsidRPr="00F03917">
        <w:t>arae over a 100-year timeframe. For more detail on the game</w:t>
      </w:r>
      <w:r w:rsidR="00F81E64" w:rsidRPr="00F03917">
        <w:t>,</w:t>
      </w:r>
      <w:r w:rsidRPr="00F03917">
        <w:t xml:space="preserve"> see Blackett et al (2022). The facilitated game was played in a hui with six self-selected groups each making different choices on the preferred adaptation strategy. An amalgamation of the different group strategies provided the foundations for a DAPP to be developed. The pathway identified the preferred options within the constraints faced by the </w:t>
      </w:r>
      <w:r w:rsidR="00F81E64" w:rsidRPr="00F03917">
        <w:t>h</w:t>
      </w:r>
      <w:r w:rsidRPr="00F03917">
        <w:t>apū.</w:t>
      </w:r>
      <w:r w:rsidR="00F15150" w:rsidRPr="00F03917">
        <w:t xml:space="preserve"> </w:t>
      </w:r>
      <w:r w:rsidRPr="00F03917">
        <w:t xml:space="preserve">More detailed investigations of the preferred options – improved stopbanks and moving the </w:t>
      </w:r>
      <w:r w:rsidR="00F81E64" w:rsidRPr="00F03917">
        <w:t>m</w:t>
      </w:r>
      <w:r w:rsidRPr="00F03917">
        <w:t>arae – were then explored.</w:t>
      </w:r>
    </w:p>
    <w:p w14:paraId="2CB45CE1" w14:textId="5BA24BD1" w:rsidR="005E2312" w:rsidRPr="00F03917" w:rsidRDefault="00F81E64" w:rsidP="00333BD9">
      <w:pPr>
        <w:pStyle w:val="BodyText"/>
      </w:pPr>
      <w:r w:rsidRPr="00F03917">
        <w:t>MTT was</w:t>
      </w:r>
      <w:r w:rsidR="005E2312" w:rsidRPr="00F03917">
        <w:t xml:space="preserve"> responsible for the detailed exploration of pathways and implementation of the DAPP. The ‘Marae Options Committee’ comprised 16 </w:t>
      </w:r>
      <w:r w:rsidR="000E1B53" w:rsidRPr="00F03917">
        <w:t>h</w:t>
      </w:r>
      <w:r w:rsidR="005E2312" w:rsidRPr="00F03917">
        <w:t xml:space="preserve">apū members representing kaumātua, Tangoio Marae </w:t>
      </w:r>
      <w:r w:rsidR="000E1B53" w:rsidRPr="00F03917">
        <w:t>t</w:t>
      </w:r>
      <w:r w:rsidR="005E2312" w:rsidRPr="00F03917">
        <w:t xml:space="preserve">rustees, Maungaharuru-Tangitū </w:t>
      </w:r>
      <w:r w:rsidR="000E1B53" w:rsidRPr="00F03917">
        <w:t>t</w:t>
      </w:r>
      <w:r w:rsidR="005E2312" w:rsidRPr="00F03917">
        <w:t xml:space="preserve">rustees, </w:t>
      </w:r>
      <w:r w:rsidR="000E1B53" w:rsidRPr="00F03917">
        <w:t>k</w:t>
      </w:r>
      <w:r w:rsidR="005E2312" w:rsidRPr="00F03917">
        <w:t xml:space="preserve">ōhanga </w:t>
      </w:r>
      <w:r w:rsidR="000E1B53" w:rsidRPr="00F03917">
        <w:t>r</w:t>
      </w:r>
      <w:r w:rsidR="005E2312" w:rsidRPr="00F03917">
        <w:t>eo and representatives of the whānau and rangatahi. The Committee explored two options</w:t>
      </w:r>
      <w:r w:rsidR="000E1B53" w:rsidRPr="00F03917">
        <w:t>:</w:t>
      </w:r>
      <w:r w:rsidR="005E2312" w:rsidRPr="00F03917" w:rsidDel="000E1B53">
        <w:t xml:space="preserve"> </w:t>
      </w:r>
      <w:r w:rsidR="005E2312" w:rsidRPr="00F03917">
        <w:t>relocate Tangoio Marae or protect and develop at the current location. When considering offsite options</w:t>
      </w:r>
      <w:r w:rsidR="00F24389" w:rsidRPr="00F03917">
        <w:t>,</w:t>
      </w:r>
      <w:r w:rsidR="005E2312" w:rsidRPr="00F03917">
        <w:t xml:space="preserve"> the Committee evaluated sites that were:</w:t>
      </w:r>
    </w:p>
    <w:p w14:paraId="1E5BF50A" w14:textId="743D37F3" w:rsidR="005E2312" w:rsidRPr="00F03917" w:rsidRDefault="005E2312" w:rsidP="00975E9C">
      <w:pPr>
        <w:pStyle w:val="BulletFIX"/>
      </w:pPr>
      <w:r w:rsidRPr="00F03917">
        <w:t xml:space="preserve">within 40 minutes’ drive from Napier (and within the </w:t>
      </w:r>
      <w:r w:rsidR="00F24389" w:rsidRPr="00F03917">
        <w:t>h</w:t>
      </w:r>
      <w:r w:rsidRPr="00F03917">
        <w:t>apū Takiwā)</w:t>
      </w:r>
    </w:p>
    <w:p w14:paraId="48D4372E" w14:textId="7FE4C5EF" w:rsidR="005E2312" w:rsidRPr="00F03917" w:rsidRDefault="005E2312" w:rsidP="00975E9C">
      <w:pPr>
        <w:pStyle w:val="BulletFIX"/>
      </w:pPr>
      <w:r w:rsidRPr="00F03917">
        <w:t>at least 0.8 h</w:t>
      </w:r>
      <w:r w:rsidR="00F24389" w:rsidRPr="00F03917">
        <w:t>ectares</w:t>
      </w:r>
      <w:r w:rsidRPr="00F03917">
        <w:t xml:space="preserve"> of land </w:t>
      </w:r>
    </w:p>
    <w:p w14:paraId="1055C28B" w14:textId="0E5124E3" w:rsidR="005E2312" w:rsidRPr="00F03917" w:rsidRDefault="005E2312" w:rsidP="00975E9C">
      <w:pPr>
        <w:pStyle w:val="BulletFIX"/>
      </w:pPr>
      <w:r w:rsidRPr="00F03917">
        <w:lastRenderedPageBreak/>
        <w:t>not exposed to risks of flooding, coastal inundation and liquefaction (unless the liquefaction risk could be mitigated) and did not have more than a low risk of tsunami.</w:t>
      </w:r>
    </w:p>
    <w:p w14:paraId="45151860" w14:textId="16672E29" w:rsidR="005E2312" w:rsidRPr="00F03917" w:rsidRDefault="005E2312" w:rsidP="00333BD9">
      <w:pPr>
        <w:pStyle w:val="BodyText"/>
        <w:rPr>
          <w:rFonts w:ascii="Segoe UI" w:hAnsi="Segoe UI" w:cs="Segoe UI"/>
          <w:sz w:val="18"/>
          <w:szCs w:val="18"/>
        </w:rPr>
      </w:pPr>
      <w:r w:rsidRPr="00F03917">
        <w:t>An initial 74 properties that were identified as possibilities were narrowed down to just three (for various reasons including access and high level of earthworks). However, the owners of these three properties, which were deemed suitable, were approached but not interested in selling. Various onsite options were also explored and</w:t>
      </w:r>
      <w:r w:rsidR="00F24389" w:rsidRPr="00F03917">
        <w:t>,</w:t>
      </w:r>
      <w:r w:rsidRPr="00F03917">
        <w:t xml:space="preserve"> in December 2018</w:t>
      </w:r>
      <w:r w:rsidR="00D77E8F" w:rsidRPr="00F03917">
        <w:t>,</w:t>
      </w:r>
      <w:r w:rsidRPr="00F03917">
        <w:t xml:space="preserve"> </w:t>
      </w:r>
      <w:r w:rsidR="00D77E8F" w:rsidRPr="00F03917">
        <w:t>t</w:t>
      </w:r>
      <w:r w:rsidRPr="00F03917">
        <w:t xml:space="preserve">he Committee reported to the </w:t>
      </w:r>
      <w:r w:rsidR="00D77E8F" w:rsidRPr="00F03917">
        <w:t>h</w:t>
      </w:r>
      <w:r w:rsidRPr="00F03917">
        <w:t>apū that there was only one feasible option</w:t>
      </w:r>
      <w:r w:rsidR="00D77E8F" w:rsidRPr="00F03917">
        <w:t>:</w:t>
      </w:r>
      <w:r w:rsidRPr="00F03917" w:rsidDel="00D77E8F">
        <w:t xml:space="preserve"> </w:t>
      </w:r>
      <w:r w:rsidRPr="00F03917">
        <w:t>to rebuild the existing, western stopbank.   </w:t>
      </w:r>
    </w:p>
    <w:p w14:paraId="5554F876" w14:textId="617D32D0" w:rsidR="005E2312" w:rsidRPr="00F03917" w:rsidRDefault="005E2312" w:rsidP="00333BD9">
      <w:pPr>
        <w:pStyle w:val="BodyText"/>
      </w:pPr>
      <w:r w:rsidRPr="00F03917">
        <w:t xml:space="preserve">A new ‘Marae Development Committee’ was established in 2019 to implement the development of the </w:t>
      </w:r>
      <w:r w:rsidR="00D77E8F" w:rsidRPr="00F03917">
        <w:t>m</w:t>
      </w:r>
      <w:r w:rsidRPr="00F03917">
        <w:t>arae and undertake detailed stopbank design and flood modelling.  Whil</w:t>
      </w:r>
      <w:r w:rsidR="00A054FF" w:rsidRPr="00F03917">
        <w:t>e</w:t>
      </w:r>
      <w:r w:rsidRPr="00F03917">
        <w:t xml:space="preserve"> modelling was under</w:t>
      </w:r>
      <w:r w:rsidR="00D77E8F" w:rsidRPr="00F03917">
        <w:t xml:space="preserve"> </w:t>
      </w:r>
      <w:r w:rsidRPr="00F03917">
        <w:t>way (this identified floodwaters from three sources</w:t>
      </w:r>
      <w:r w:rsidR="00F47A46" w:rsidRPr="00F03917">
        <w:t>:</w:t>
      </w:r>
      <w:r w:rsidRPr="00F03917" w:rsidDel="00F47A46">
        <w:t xml:space="preserve"> </w:t>
      </w:r>
      <w:r w:rsidRPr="00F03917">
        <w:t>Te Ngarue Stream, runoff from the hills and overland from the upper valley)</w:t>
      </w:r>
      <w:r w:rsidR="00F47A46" w:rsidRPr="00F03917">
        <w:t>,</w:t>
      </w:r>
      <w:r w:rsidRPr="00F03917">
        <w:t xml:space="preserve"> MTT learnt of the upcoming sale of the farm neighbouring the </w:t>
      </w:r>
      <w:r w:rsidR="00F47A46" w:rsidRPr="00F03917">
        <w:t>m</w:t>
      </w:r>
      <w:r w:rsidRPr="00F03917">
        <w:t>arae</w:t>
      </w:r>
      <w:r w:rsidR="00EE6FFA" w:rsidRPr="00F03917">
        <w:t>,</w:t>
      </w:r>
      <w:r w:rsidRPr="00F03917">
        <w:t xml:space="preserve"> and one of the purchased </w:t>
      </w:r>
      <w:r w:rsidR="00F47A46" w:rsidRPr="00F03917">
        <w:t>b</w:t>
      </w:r>
      <w:r w:rsidRPr="00F03917">
        <w:t xml:space="preserve">locks was a metre higher than the existing </w:t>
      </w:r>
      <w:r w:rsidR="00F47A46" w:rsidRPr="00F03917">
        <w:t>m</w:t>
      </w:r>
      <w:r w:rsidRPr="00F03917">
        <w:t>arae. The modelling showed that</w:t>
      </w:r>
      <w:r w:rsidR="00EE6FFA" w:rsidRPr="00F03917">
        <w:t>,</w:t>
      </w:r>
      <w:r w:rsidRPr="00F03917">
        <w:t xml:space="preserve"> if a platform was raised on the </w:t>
      </w:r>
      <w:r w:rsidR="00EE6FFA" w:rsidRPr="00F03917">
        <w:t>b</w:t>
      </w:r>
      <w:r w:rsidRPr="00F03917">
        <w:t xml:space="preserve">lock, it could provide adequate protection for </w:t>
      </w:r>
      <w:r w:rsidR="00EE6FFA" w:rsidRPr="00F03917">
        <w:t>m</w:t>
      </w:r>
      <w:r w:rsidRPr="00F03917">
        <w:t>arae development with minimal impacts on neighbours. Overall, it had more advantages than the stopbank options.</w:t>
      </w:r>
    </w:p>
    <w:p w14:paraId="37CC9BB0" w14:textId="10E942D9" w:rsidR="005E2312" w:rsidRPr="00F03917" w:rsidRDefault="005E2312" w:rsidP="00333BD9">
      <w:pPr>
        <w:pStyle w:val="BodyText"/>
      </w:pPr>
      <w:r w:rsidRPr="00F03917">
        <w:t xml:space="preserve">In 2021, the Marae Development Committee recommended the </w:t>
      </w:r>
      <w:r w:rsidR="00EE6FFA" w:rsidRPr="00F03917">
        <w:t>b</w:t>
      </w:r>
      <w:r w:rsidRPr="00F03917">
        <w:t xml:space="preserve">lock ‘raised platform’ option to the </w:t>
      </w:r>
      <w:r w:rsidR="00EE6FFA" w:rsidRPr="00F03917">
        <w:t>h</w:t>
      </w:r>
      <w:r w:rsidRPr="00F03917">
        <w:t xml:space="preserve">apū and after two hui ā-Hapū, the </w:t>
      </w:r>
      <w:r w:rsidR="00EE6FFA" w:rsidRPr="00F03917">
        <w:t>h</w:t>
      </w:r>
      <w:r w:rsidRPr="00F03917">
        <w:t xml:space="preserve">apū decided to relocate the </w:t>
      </w:r>
      <w:r w:rsidR="00EE6FFA" w:rsidRPr="00F03917">
        <w:t>m</w:t>
      </w:r>
      <w:r w:rsidRPr="00F03917">
        <w:t>arae 300</w:t>
      </w:r>
      <w:r w:rsidR="00EE6FFA" w:rsidRPr="00F03917">
        <w:t> </w:t>
      </w:r>
      <w:r w:rsidRPr="00F03917">
        <w:t>m</w:t>
      </w:r>
      <w:r w:rsidR="00EE6FFA" w:rsidRPr="00F03917">
        <w:t>etres</w:t>
      </w:r>
      <w:r w:rsidRPr="00F03917">
        <w:t xml:space="preserve"> from the current site. A development plan had been agreed by the </w:t>
      </w:r>
      <w:r w:rsidR="00EA74AC" w:rsidRPr="00F03917">
        <w:t>h</w:t>
      </w:r>
      <w:r w:rsidRPr="00F03917">
        <w:t xml:space="preserve">apū, and resource consent applications lodged with the appropriate </w:t>
      </w:r>
      <w:r w:rsidR="00EA74AC" w:rsidRPr="00F03917">
        <w:t>c</w:t>
      </w:r>
      <w:r w:rsidRPr="00F03917">
        <w:t>ouncils in the months just prior to Cyclone Gabrielle. In mid-February 2023, Cyclone Gabrielle struck at a scale well in excess of Cyclone Bola</w:t>
      </w:r>
      <w:r w:rsidRPr="00F03917" w:rsidDel="00EA74AC">
        <w:t xml:space="preserve"> </w:t>
      </w:r>
      <w:r w:rsidRPr="00F03917">
        <w:t xml:space="preserve">causing significant damage, disruption and grief to the </w:t>
      </w:r>
      <w:r w:rsidR="005E6C23" w:rsidRPr="00F03917">
        <w:t>h</w:t>
      </w:r>
      <w:r w:rsidRPr="00F03917">
        <w:t>apū. Floodwater, silt and forestry debris caused considerable damage leaving 0.5 m</w:t>
      </w:r>
      <w:r w:rsidR="005E6C23" w:rsidRPr="00F03917">
        <w:t>etres</w:t>
      </w:r>
      <w:r w:rsidRPr="00F03917">
        <w:t xml:space="preserve"> of silt through the whare tīpuna, Punanga Te Wao and significant damage to all </w:t>
      </w:r>
      <w:r w:rsidR="005E6C23" w:rsidRPr="00F03917">
        <w:t xml:space="preserve">of </w:t>
      </w:r>
      <w:r w:rsidRPr="00F03917">
        <w:t>the other buildings.</w:t>
      </w:r>
    </w:p>
    <w:p w14:paraId="3F7D7A17" w14:textId="782A339A" w:rsidR="005E2312" w:rsidRPr="00F03917" w:rsidRDefault="005E2312" w:rsidP="00463290">
      <w:pPr>
        <w:pStyle w:val="BodyText"/>
      </w:pPr>
      <w:r w:rsidRPr="00F03917">
        <w:t xml:space="preserve">After the cyclone, questions have been asked regarding the wisdom of redeveloping the </w:t>
      </w:r>
      <w:r w:rsidR="005E6C23" w:rsidRPr="00F03917">
        <w:t>m</w:t>
      </w:r>
      <w:r w:rsidRPr="00F03917">
        <w:t xml:space="preserve">arae at the new site </w:t>
      </w:r>
      <w:r w:rsidR="003A07F0" w:rsidRPr="00F03917">
        <w:t xml:space="preserve">that, </w:t>
      </w:r>
      <w:r w:rsidRPr="00F03917">
        <w:t>though elevated, remains on a flood plain. At the time this document was finalised</w:t>
      </w:r>
      <w:r w:rsidR="003A07F0" w:rsidRPr="00F03917">
        <w:t>,</w:t>
      </w:r>
      <w:r w:rsidRPr="00F03917">
        <w:t xml:space="preserve"> the investigations were under</w:t>
      </w:r>
      <w:r w:rsidR="003A07F0" w:rsidRPr="00F03917">
        <w:t xml:space="preserve"> </w:t>
      </w:r>
      <w:r w:rsidRPr="00F03917">
        <w:t>way.</w:t>
      </w:r>
    </w:p>
    <w:p w14:paraId="4BC1A550" w14:textId="2BAA84C1" w:rsidR="005E2312" w:rsidRPr="00F03917" w:rsidRDefault="000B19D4" w:rsidP="00463290">
      <w:pPr>
        <w:pStyle w:val="BodyText"/>
      </w:pPr>
      <w:r w:rsidRPr="00F03917">
        <w:t>As of December 2023</w:t>
      </w:r>
      <w:r w:rsidR="00D8569C" w:rsidRPr="00F03917">
        <w:t xml:space="preserve">, the Tangoio floodplain has been categorised as </w:t>
      </w:r>
      <w:r w:rsidR="00021F44" w:rsidRPr="00F03917">
        <w:t xml:space="preserve">Category </w:t>
      </w:r>
      <w:r w:rsidR="00D8569C" w:rsidRPr="00F03917">
        <w:t xml:space="preserve">3, being land where </w:t>
      </w:r>
      <w:r w:rsidR="00021F44" w:rsidRPr="00F03917">
        <w:t>“</w:t>
      </w:r>
      <w:r w:rsidR="00D8569C" w:rsidRPr="00F03917">
        <w:t xml:space="preserve">future severe weather event risk cannot be sufficiently mitigated … [and] there is the intolerable risk of injury or </w:t>
      </w:r>
      <w:r w:rsidR="00021F44" w:rsidRPr="00F03917">
        <w:t>death”</w:t>
      </w:r>
      <w:r w:rsidR="00D8569C" w:rsidRPr="00F03917">
        <w:t xml:space="preserve">. Voluntary buy-out of properties in Category 3 areas is being offered, and discussions are underway regarding future use of the Tangoio Marae. </w:t>
      </w:r>
      <w:r w:rsidR="005E2312" w:rsidRPr="00F03917">
        <w:t xml:space="preserve">In addition, the </w:t>
      </w:r>
      <w:r w:rsidR="00F10D26" w:rsidRPr="00F03917">
        <w:t>h</w:t>
      </w:r>
      <w:r w:rsidR="005E2312" w:rsidRPr="00F03917">
        <w:t xml:space="preserve">apū have created a </w:t>
      </w:r>
      <w:r w:rsidR="00021F44" w:rsidRPr="00F03917">
        <w:t>twelve</w:t>
      </w:r>
      <w:r w:rsidR="005E2312" w:rsidRPr="00F03917">
        <w:t xml:space="preserve">-month recovery plan to lay the foundation for a strong recovery, including identifying alternative, safe, resilient land as an option for the </w:t>
      </w:r>
      <w:r w:rsidR="00F10D26" w:rsidRPr="00F03917">
        <w:t>m</w:t>
      </w:r>
      <w:r w:rsidR="005E2312" w:rsidRPr="00F03917">
        <w:t xml:space="preserve">arae and a papakāinga (village) for the </w:t>
      </w:r>
      <w:r w:rsidR="00F10D26" w:rsidRPr="00F03917">
        <w:t>h</w:t>
      </w:r>
      <w:r w:rsidR="005E2312" w:rsidRPr="00F03917">
        <w:t>apū (Maungaharuru-Tangitū Trust</w:t>
      </w:r>
      <w:r w:rsidR="00BA77C4" w:rsidRPr="00F03917">
        <w:t>’s</w:t>
      </w:r>
      <w:r w:rsidR="005E2312" w:rsidRPr="00F03917">
        <w:t xml:space="preserve"> </w:t>
      </w:r>
      <w:r w:rsidR="005E2312" w:rsidRPr="00F03917">
        <w:rPr>
          <w:i/>
          <w:iCs/>
          <w:shd w:val="clear" w:color="auto" w:fill="FFFFFF"/>
        </w:rPr>
        <w:t>Locality Plan</w:t>
      </w:r>
      <w:r w:rsidR="00622772" w:rsidRPr="00F03917">
        <w:rPr>
          <w:shd w:val="clear" w:color="auto" w:fill="FFFFFF"/>
        </w:rPr>
        <w:t xml:space="preserve">, </w:t>
      </w:r>
      <w:r w:rsidR="00622772" w:rsidRPr="00F03917">
        <w:t>2023</w:t>
      </w:r>
      <w:r w:rsidR="005E2312" w:rsidRPr="00F03917">
        <w:t>).</w:t>
      </w:r>
    </w:p>
    <w:p w14:paraId="3A503995" w14:textId="47B3B8FA" w:rsidR="005E2312" w:rsidRPr="00F03917" w:rsidRDefault="005E2312" w:rsidP="00E7747C">
      <w:pPr>
        <w:pStyle w:val="Heading3"/>
      </w:pPr>
      <w:r w:rsidRPr="00F03917">
        <w:t>Reference documents</w:t>
      </w:r>
    </w:p>
    <w:p w14:paraId="1D4A9E98" w14:textId="54CC38FE" w:rsidR="00D82278" w:rsidRPr="00F03917" w:rsidRDefault="00D82278" w:rsidP="00B510D9">
      <w:pPr>
        <w:pStyle w:val="BodyText"/>
        <w:rPr>
          <w:sz w:val="21"/>
          <w:szCs w:val="21"/>
          <w:shd w:val="clear" w:color="auto" w:fill="FFFFFF"/>
        </w:rPr>
      </w:pPr>
      <w:r w:rsidRPr="00F03917">
        <w:t>Maungaharuru-Tangitū Trust</w:t>
      </w:r>
      <w:r w:rsidR="00BA77C4" w:rsidRPr="00F03917">
        <w:t>’s</w:t>
      </w:r>
      <w:r w:rsidRPr="00F03917">
        <w:t xml:space="preserve"> </w:t>
      </w:r>
      <w:r w:rsidRPr="00F03917">
        <w:rPr>
          <w:i/>
          <w:iCs/>
          <w:shd w:val="clear" w:color="auto" w:fill="FFFFFF"/>
        </w:rPr>
        <w:t>Locality Plan</w:t>
      </w:r>
      <w:r w:rsidR="008C4744" w:rsidRPr="00F03917">
        <w:rPr>
          <w:shd w:val="clear" w:color="auto" w:fill="FFFFFF"/>
        </w:rPr>
        <w:t>,</w:t>
      </w:r>
      <w:r w:rsidR="008C4744" w:rsidRPr="00F03917">
        <w:rPr>
          <w:sz w:val="21"/>
          <w:szCs w:val="21"/>
          <w:shd w:val="clear" w:color="auto" w:fill="FFFFFF"/>
        </w:rPr>
        <w:t xml:space="preserve"> </w:t>
      </w:r>
      <w:r w:rsidR="008C4744" w:rsidRPr="00F03917">
        <w:t>2023</w:t>
      </w:r>
      <w:r w:rsidRPr="00F03917">
        <w:rPr>
          <w:sz w:val="21"/>
          <w:szCs w:val="21"/>
          <w:shd w:val="clear" w:color="auto" w:fill="FFFFFF"/>
        </w:rPr>
        <w:t xml:space="preserve">: </w:t>
      </w:r>
      <w:hyperlink r:id="rId185" w:history="1">
        <w:r w:rsidRPr="00F03917">
          <w:rPr>
            <w:rStyle w:val="Hyperlink"/>
            <w:sz w:val="21"/>
            <w:szCs w:val="21"/>
            <w:shd w:val="clear" w:color="auto" w:fill="FFFFFF"/>
          </w:rPr>
          <w:t>https://tangoio.maori.nz/wp-content/uploads/2023/05/MTT_Locality_Plan_version-1.2_compressed.pdf</w:t>
        </w:r>
      </w:hyperlink>
      <w:r w:rsidRPr="00F03917">
        <w:rPr>
          <w:sz w:val="21"/>
          <w:szCs w:val="21"/>
          <w:shd w:val="clear" w:color="auto" w:fill="FFFFFF"/>
        </w:rPr>
        <w:t xml:space="preserve"> </w:t>
      </w:r>
    </w:p>
    <w:p w14:paraId="5BC41847" w14:textId="133C77FC" w:rsidR="009071C6" w:rsidRPr="00F03917" w:rsidRDefault="002B6996" w:rsidP="00E7747C">
      <w:pPr>
        <w:pStyle w:val="BodyText"/>
        <w:rPr>
          <w:rStyle w:val="Hyperlink"/>
        </w:rPr>
      </w:pPr>
      <w:r w:rsidRPr="00F03917">
        <w:t>Public Not</w:t>
      </w:r>
      <w:r w:rsidR="00B510D9" w:rsidRPr="00F03917">
        <w:t>ic</w:t>
      </w:r>
      <w:r w:rsidRPr="00F03917">
        <w:t>e: Invitation to whenua Māori landow</w:t>
      </w:r>
      <w:r w:rsidR="00490578" w:rsidRPr="00F03917">
        <w:t xml:space="preserve">ners and Trustees in Tangoio and surrounding areas: </w:t>
      </w:r>
      <w:hyperlink r:id="rId186" w:history="1">
        <w:r w:rsidR="00490578" w:rsidRPr="00F03917">
          <w:rPr>
            <w:rStyle w:val="Hyperlink"/>
          </w:rPr>
          <w:t>https://tangoio.maori.nz/recovery/</w:t>
        </w:r>
      </w:hyperlink>
    </w:p>
    <w:p w14:paraId="3013F7BF" w14:textId="450B68AD" w:rsidR="005E2312" w:rsidRPr="00F03917" w:rsidRDefault="00BD05DB" w:rsidP="00E7747C">
      <w:pPr>
        <w:pStyle w:val="BodyText"/>
      </w:pPr>
      <w:r w:rsidRPr="00F03917">
        <w:t xml:space="preserve">Land Categorisation Hawke’s Bay: </w:t>
      </w:r>
      <w:hyperlink r:id="rId187" w:anchor="initiallandcategorisations" w:history="1">
        <w:r w:rsidRPr="00F03917">
          <w:rPr>
            <w:rStyle w:val="Hyperlink"/>
          </w:rPr>
          <w:t>https://www.hastingsdc.govt.nz/land-categorisation-hb/#initiallandcategorisations</w:t>
        </w:r>
      </w:hyperlink>
      <w:r w:rsidR="00DE561A" w:rsidRPr="00F03917">
        <w:t xml:space="preserve"> </w:t>
      </w:r>
    </w:p>
    <w:p w14:paraId="1FA9DF99" w14:textId="17B440B6" w:rsidR="00231DEB" w:rsidRPr="00F03917" w:rsidRDefault="0000688B" w:rsidP="00DE561A">
      <w:pPr>
        <w:pStyle w:val="BodyText"/>
      </w:pPr>
      <w:r w:rsidRPr="00F03917">
        <w:t xml:space="preserve">Kia Tipu te Mauri Ora </w:t>
      </w:r>
      <w:r w:rsidR="005E2312" w:rsidRPr="00F03917">
        <w:t>video:</w:t>
      </w:r>
      <w:r w:rsidR="00DE561A" w:rsidRPr="00F03917">
        <w:t xml:space="preserve"> </w:t>
      </w:r>
      <w:hyperlink r:id="rId188" w:history="1">
        <w:r w:rsidR="00DE561A" w:rsidRPr="00F03917">
          <w:rPr>
            <w:rStyle w:val="Hyperlink"/>
          </w:rPr>
          <w:t>https://www.youtube.com/watch?v=rlIOSOuIdMo</w:t>
        </w:r>
      </w:hyperlink>
      <w:r w:rsidR="00DE561A" w:rsidRPr="00F03917">
        <w:t xml:space="preserve"> </w:t>
      </w:r>
    </w:p>
    <w:p w14:paraId="491C38B3" w14:textId="77777777" w:rsidR="00231DEB" w:rsidRPr="00F03917" w:rsidRDefault="00231DEB" w:rsidP="00E27B86">
      <w:pPr>
        <w:rPr>
          <w:lang w:eastAsia="en-NZ"/>
        </w:rPr>
        <w:sectPr w:rsidR="00231DEB" w:rsidRPr="00F03917" w:rsidSect="007E5AB2">
          <w:footerReference w:type="even" r:id="rId189"/>
          <w:footerReference w:type="default" r:id="rId190"/>
          <w:pgSz w:w="11907" w:h="16840" w:code="9"/>
          <w:pgMar w:top="1134" w:right="1701" w:bottom="1134" w:left="1701" w:header="567" w:footer="567" w:gutter="0"/>
          <w:cols w:space="720"/>
          <w:docGrid w:linePitch="299"/>
        </w:sectPr>
      </w:pPr>
    </w:p>
    <w:p w14:paraId="08887B15" w14:textId="3BBECAA3" w:rsidR="005F1B96" w:rsidRPr="00F03917" w:rsidRDefault="005F1B96" w:rsidP="009071C6">
      <w:pPr>
        <w:pStyle w:val="Heading1"/>
      </w:pPr>
      <w:bookmarkStart w:id="248" w:name="_Appendix_B:_Relevant"/>
      <w:bookmarkStart w:id="249" w:name="_Toc160096273"/>
      <w:bookmarkEnd w:id="248"/>
      <w:r w:rsidRPr="00F03917">
        <w:lastRenderedPageBreak/>
        <w:t>Appendix B: Relevant court cases</w:t>
      </w:r>
      <w:bookmarkEnd w:id="249"/>
    </w:p>
    <w:p w14:paraId="76E68ACD" w14:textId="27389AC4" w:rsidR="005F1B96" w:rsidRPr="00F03917" w:rsidRDefault="005F1B96" w:rsidP="00DE561A">
      <w:pPr>
        <w:pStyle w:val="BodyText"/>
      </w:pPr>
      <w:r w:rsidRPr="00F03917">
        <w:t>Table B</w:t>
      </w:r>
      <w:r w:rsidR="00985192" w:rsidRPr="00F03917">
        <w:t>.1</w:t>
      </w:r>
      <w:r w:rsidRPr="00F03917">
        <w:t xml:space="preserve"> summarises some relevant court cases relating to coastal hazards, application of the New Zealand Coastal Policy Statement 2010 </w:t>
      </w:r>
      <w:r w:rsidR="006943C5" w:rsidRPr="00F03917">
        <w:t xml:space="preserve">(DOC, 2010) </w:t>
      </w:r>
      <w:r w:rsidRPr="00F03917">
        <w:t>and the effects of climate change on coastal hazards. The summary has been updated from cases covered in an earlier version of the coastal guidance (MfE, 2008, appendix 2).</w:t>
      </w:r>
    </w:p>
    <w:p w14:paraId="0567C0D4" w14:textId="1499A89E" w:rsidR="005F1B96" w:rsidRPr="00F03917" w:rsidRDefault="005F1B96" w:rsidP="00DE561A">
      <w:pPr>
        <w:pStyle w:val="BodyText"/>
      </w:pPr>
      <w:r w:rsidRPr="00F03917">
        <w:t xml:space="preserve">More detailed summaries of the main decisions and outcomes from these cases are at: </w:t>
      </w:r>
      <w:hyperlink r:id="rId191" w:tgtFrame="_blank" w:history="1">
        <w:r w:rsidRPr="00F03917">
          <w:rPr>
            <w:rStyle w:val="Hyperlink"/>
          </w:rPr>
          <w:t>https://niwa.co.nz/natural-hazards/hazards/planning-for-coastal-adaptation</w:t>
        </w:r>
      </w:hyperlink>
      <w:r w:rsidRPr="00F03917">
        <w:t>.</w:t>
      </w:r>
    </w:p>
    <w:p w14:paraId="2C05032C" w14:textId="521E0E23" w:rsidR="005F1B96" w:rsidRPr="00F03917" w:rsidRDefault="005F1B96" w:rsidP="00DE561A">
      <w:pPr>
        <w:pStyle w:val="Tableheading"/>
        <w:numPr>
          <w:ilvl w:val="0"/>
          <w:numId w:val="0"/>
        </w:numPr>
        <w:ind w:left="1134" w:hanging="1134"/>
        <w:rPr>
          <w:rFonts w:ascii="Segoe UI" w:hAnsi="Segoe UI" w:cs="Segoe UI"/>
          <w:sz w:val="18"/>
          <w:szCs w:val="18"/>
        </w:rPr>
      </w:pPr>
      <w:bookmarkStart w:id="250" w:name="_Toc160098413"/>
      <w:r w:rsidRPr="00F03917">
        <w:t>Table B</w:t>
      </w:r>
      <w:r w:rsidR="00985192" w:rsidRPr="00F03917">
        <w:t>.1</w:t>
      </w:r>
      <w:r w:rsidRPr="00F03917">
        <w:t>:</w:t>
      </w:r>
      <w:r w:rsidRPr="00F03917">
        <w:tab/>
        <w:t>Summary of relevant court cases in relation to coastal hazards, application of New Zealand Coastal Policy Statement 2010, and climate change effects</w:t>
      </w:r>
      <w:bookmarkEnd w:id="250"/>
    </w:p>
    <w:tbl>
      <w:tblPr>
        <w:tblW w:w="14515" w:type="dxa"/>
        <w:tblBorders>
          <w:top w:val="single" w:sz="6" w:space="0" w:color="1B556B" w:themeColor="text2"/>
          <w:bottom w:val="single" w:sz="6" w:space="0" w:color="1B556B" w:themeColor="text2"/>
          <w:insideH w:val="single" w:sz="6" w:space="0" w:color="1B556B" w:themeColor="text2"/>
          <w:insideV w:val="single" w:sz="6" w:space="0" w:color="1B556B" w:themeColor="text2"/>
        </w:tblBorders>
        <w:tblCellMar>
          <w:left w:w="85" w:type="dxa"/>
          <w:right w:w="85" w:type="dxa"/>
        </w:tblCellMar>
        <w:tblLook w:val="04A0" w:firstRow="1" w:lastRow="0" w:firstColumn="1" w:lastColumn="0" w:noHBand="0" w:noVBand="1"/>
      </w:tblPr>
      <w:tblGrid>
        <w:gridCol w:w="2755"/>
        <w:gridCol w:w="3260"/>
        <w:gridCol w:w="582"/>
        <w:gridCol w:w="1630"/>
        <w:gridCol w:w="2911"/>
        <w:gridCol w:w="3377"/>
      </w:tblGrid>
      <w:tr w:rsidR="00C2075E" w:rsidRPr="00F03917" w14:paraId="3B868F09" w14:textId="77777777" w:rsidTr="006171C3">
        <w:trPr>
          <w:tblHeader/>
        </w:trPr>
        <w:tc>
          <w:tcPr>
            <w:tcW w:w="2684" w:type="dxa"/>
            <w:shd w:val="clear" w:color="auto" w:fill="1B556B" w:themeFill="text2"/>
            <w:hideMark/>
          </w:tcPr>
          <w:p w14:paraId="575766F4" w14:textId="312AAC61" w:rsidR="005F1B96" w:rsidRPr="00F03917" w:rsidRDefault="005F1B96" w:rsidP="00A8581B">
            <w:pPr>
              <w:pStyle w:val="TableTextbold"/>
              <w:rPr>
                <w:rFonts w:ascii="Times New Roman" w:hAnsi="Times New Roman" w:cs="Times New Roman"/>
                <w:color w:val="FFFFFF" w:themeColor="background1"/>
              </w:rPr>
            </w:pPr>
            <w:r w:rsidRPr="00F03917">
              <w:rPr>
                <w:color w:val="FFFFFF" w:themeColor="background1"/>
              </w:rPr>
              <w:t>Case name</w:t>
            </w:r>
          </w:p>
        </w:tc>
        <w:tc>
          <w:tcPr>
            <w:tcW w:w="3175" w:type="dxa"/>
            <w:shd w:val="clear" w:color="auto" w:fill="1B556B" w:themeFill="text2"/>
            <w:hideMark/>
          </w:tcPr>
          <w:p w14:paraId="4F1592C7" w14:textId="4D23D317" w:rsidR="005F1B96" w:rsidRPr="00F03917" w:rsidRDefault="005F1B96" w:rsidP="00A8581B">
            <w:pPr>
              <w:pStyle w:val="TableTextbold"/>
              <w:rPr>
                <w:rFonts w:ascii="Times New Roman" w:hAnsi="Times New Roman" w:cs="Times New Roman"/>
                <w:color w:val="FFFFFF" w:themeColor="background1"/>
              </w:rPr>
            </w:pPr>
            <w:r w:rsidRPr="00F03917">
              <w:rPr>
                <w:color w:val="FFFFFF" w:themeColor="background1"/>
              </w:rPr>
              <w:t>Citation</w:t>
            </w:r>
          </w:p>
        </w:tc>
        <w:tc>
          <w:tcPr>
            <w:tcW w:w="567" w:type="dxa"/>
            <w:shd w:val="clear" w:color="auto" w:fill="1B556B" w:themeFill="text2"/>
            <w:hideMark/>
          </w:tcPr>
          <w:p w14:paraId="09ACCAF7" w14:textId="7265E8A0" w:rsidR="005F1B96" w:rsidRPr="00F03917" w:rsidRDefault="005F1B96" w:rsidP="00A8581B">
            <w:pPr>
              <w:pStyle w:val="TableTextbold"/>
              <w:rPr>
                <w:rFonts w:ascii="Times New Roman" w:hAnsi="Times New Roman" w:cs="Times New Roman"/>
                <w:color w:val="FFFFFF" w:themeColor="background1"/>
              </w:rPr>
            </w:pPr>
            <w:r w:rsidRPr="00F03917">
              <w:rPr>
                <w:color w:val="FFFFFF" w:themeColor="background1"/>
              </w:rPr>
              <w:t>Year</w:t>
            </w:r>
          </w:p>
        </w:tc>
        <w:tc>
          <w:tcPr>
            <w:tcW w:w="1588" w:type="dxa"/>
            <w:shd w:val="clear" w:color="auto" w:fill="1B556B" w:themeFill="text2"/>
            <w:hideMark/>
          </w:tcPr>
          <w:p w14:paraId="44F32412" w14:textId="4A9A4912" w:rsidR="005F1B96" w:rsidRPr="00F03917" w:rsidRDefault="005F1B96" w:rsidP="00A8581B">
            <w:pPr>
              <w:pStyle w:val="TableTextbold"/>
              <w:rPr>
                <w:rFonts w:ascii="Times New Roman" w:hAnsi="Times New Roman" w:cs="Times New Roman"/>
                <w:color w:val="FFFFFF" w:themeColor="background1"/>
              </w:rPr>
            </w:pPr>
            <w:r w:rsidRPr="00F03917">
              <w:rPr>
                <w:color w:val="FFFFFF" w:themeColor="background1"/>
              </w:rPr>
              <w:t>Court</w:t>
            </w:r>
          </w:p>
        </w:tc>
        <w:tc>
          <w:tcPr>
            <w:tcW w:w="2835" w:type="dxa"/>
            <w:shd w:val="clear" w:color="auto" w:fill="1B556B" w:themeFill="text2"/>
            <w:hideMark/>
          </w:tcPr>
          <w:p w14:paraId="3EBBA52D" w14:textId="1BF216A0" w:rsidR="005F1B96" w:rsidRPr="00F03917" w:rsidRDefault="005F1B96" w:rsidP="00A8581B">
            <w:pPr>
              <w:pStyle w:val="TableTextbold"/>
              <w:rPr>
                <w:rFonts w:ascii="Times New Roman" w:hAnsi="Times New Roman" w:cs="Times New Roman"/>
                <w:color w:val="FFFFFF" w:themeColor="background1"/>
              </w:rPr>
            </w:pPr>
            <w:r w:rsidRPr="00F03917">
              <w:rPr>
                <w:color w:val="FFFFFF" w:themeColor="background1"/>
              </w:rPr>
              <w:t>Key words</w:t>
            </w:r>
          </w:p>
        </w:tc>
        <w:tc>
          <w:tcPr>
            <w:tcW w:w="3289" w:type="dxa"/>
            <w:shd w:val="clear" w:color="auto" w:fill="1B556B" w:themeFill="text2"/>
            <w:hideMark/>
          </w:tcPr>
          <w:p w14:paraId="3FBC72A2" w14:textId="77777777" w:rsidR="005F1B96" w:rsidRPr="00F03917" w:rsidRDefault="005F1B96" w:rsidP="00A8581B">
            <w:pPr>
              <w:pStyle w:val="TableTextbold"/>
              <w:rPr>
                <w:rFonts w:ascii="Times New Roman" w:hAnsi="Times New Roman" w:cs="Times New Roman"/>
                <w:color w:val="FFFFFF" w:themeColor="background1"/>
              </w:rPr>
            </w:pPr>
            <w:r w:rsidRPr="00F03917">
              <w:rPr>
                <w:color w:val="FFFFFF" w:themeColor="background1"/>
              </w:rPr>
              <w:t>Issues under consideration</w:t>
            </w:r>
          </w:p>
        </w:tc>
      </w:tr>
      <w:tr w:rsidR="00C2075E" w:rsidRPr="00F03917" w14:paraId="6219C45B" w14:textId="77777777" w:rsidTr="006171C3">
        <w:tc>
          <w:tcPr>
            <w:tcW w:w="2684" w:type="dxa"/>
            <w:shd w:val="clear" w:color="auto" w:fill="auto"/>
            <w:hideMark/>
          </w:tcPr>
          <w:p w14:paraId="342A3279" w14:textId="2A6C750A" w:rsidR="005F1B96" w:rsidRPr="00F03917" w:rsidRDefault="005F1B96" w:rsidP="00A8581B">
            <w:pPr>
              <w:pStyle w:val="TableText"/>
              <w:rPr>
                <w:rFonts w:ascii="Times New Roman" w:hAnsi="Times New Roman" w:cs="Times New Roman"/>
              </w:rPr>
            </w:pPr>
            <w:r w:rsidRPr="00F03917">
              <w:rPr>
                <w:i/>
                <w:iCs/>
              </w:rPr>
              <w:t>Judges Bay Residents Association v Auckland Regional Council and Auckland City Council</w:t>
            </w:r>
          </w:p>
        </w:tc>
        <w:tc>
          <w:tcPr>
            <w:tcW w:w="3175" w:type="dxa"/>
            <w:shd w:val="clear" w:color="auto" w:fill="auto"/>
            <w:hideMark/>
          </w:tcPr>
          <w:p w14:paraId="51DF1C81" w14:textId="6584BE0E" w:rsidR="005F1B96" w:rsidRPr="00F03917" w:rsidRDefault="005F1B96" w:rsidP="00A8581B">
            <w:pPr>
              <w:pStyle w:val="TableText"/>
            </w:pPr>
            <w:r w:rsidRPr="00F03917">
              <w:t>ENC Auckland A072/98, 24 June 1998</w:t>
            </w:r>
          </w:p>
        </w:tc>
        <w:tc>
          <w:tcPr>
            <w:tcW w:w="567" w:type="dxa"/>
            <w:shd w:val="clear" w:color="auto" w:fill="auto"/>
            <w:hideMark/>
          </w:tcPr>
          <w:p w14:paraId="775564D1" w14:textId="217EB48A" w:rsidR="005F1B96" w:rsidRPr="00F03917" w:rsidRDefault="005F1B96" w:rsidP="00A8581B">
            <w:pPr>
              <w:pStyle w:val="TableText"/>
            </w:pPr>
            <w:r w:rsidRPr="00F03917">
              <w:t>1998</w:t>
            </w:r>
          </w:p>
        </w:tc>
        <w:tc>
          <w:tcPr>
            <w:tcW w:w="1588" w:type="dxa"/>
            <w:shd w:val="clear" w:color="auto" w:fill="auto"/>
            <w:hideMark/>
          </w:tcPr>
          <w:p w14:paraId="22098B9B" w14:textId="6F99FAF7" w:rsidR="005F1B96" w:rsidRPr="00F03917" w:rsidRDefault="005F1B96" w:rsidP="00A8581B">
            <w:pPr>
              <w:pStyle w:val="TableText"/>
            </w:pPr>
            <w:r w:rsidRPr="00F03917">
              <w:t>Environment Court</w:t>
            </w:r>
          </w:p>
        </w:tc>
        <w:tc>
          <w:tcPr>
            <w:tcW w:w="2835" w:type="dxa"/>
            <w:shd w:val="clear" w:color="auto" w:fill="auto"/>
            <w:hideMark/>
          </w:tcPr>
          <w:p w14:paraId="633D7F84" w14:textId="714E9DF6" w:rsidR="005F1B96" w:rsidRPr="00F03917" w:rsidRDefault="005F1B96" w:rsidP="00A8581B">
            <w:pPr>
              <w:pStyle w:val="TableText"/>
            </w:pPr>
            <w:r w:rsidRPr="00F03917">
              <w:t>Resource consent, natural hazards, sea</w:t>
            </w:r>
            <w:r w:rsidR="00AF04FA" w:rsidRPr="00F03917">
              <w:t>-</w:t>
            </w:r>
            <w:r w:rsidRPr="00F03917">
              <w:t>level rise</w:t>
            </w:r>
          </w:p>
        </w:tc>
        <w:tc>
          <w:tcPr>
            <w:tcW w:w="3289" w:type="dxa"/>
            <w:shd w:val="clear" w:color="auto" w:fill="auto"/>
            <w:hideMark/>
          </w:tcPr>
          <w:p w14:paraId="4951CC5C" w14:textId="019C9048" w:rsidR="005F1B96" w:rsidRPr="00F03917" w:rsidRDefault="005F1B96" w:rsidP="00A8581B">
            <w:pPr>
              <w:pStyle w:val="TableText"/>
            </w:pPr>
            <w:r w:rsidRPr="00F03917">
              <w:t>Hazard protection measures and port development</w:t>
            </w:r>
          </w:p>
        </w:tc>
      </w:tr>
      <w:tr w:rsidR="00C2075E" w:rsidRPr="00F03917" w14:paraId="24BC79AD" w14:textId="77777777" w:rsidTr="006171C3">
        <w:tc>
          <w:tcPr>
            <w:tcW w:w="2684" w:type="dxa"/>
            <w:shd w:val="clear" w:color="auto" w:fill="auto"/>
            <w:hideMark/>
          </w:tcPr>
          <w:p w14:paraId="118EB638" w14:textId="54D27F5A" w:rsidR="005F1B96" w:rsidRPr="00F03917" w:rsidRDefault="005F1B96" w:rsidP="00A8581B">
            <w:pPr>
              <w:pStyle w:val="TableText"/>
              <w:rPr>
                <w:rFonts w:ascii="Times New Roman" w:hAnsi="Times New Roman" w:cs="Times New Roman"/>
              </w:rPr>
            </w:pPr>
            <w:r w:rsidRPr="00F03917">
              <w:rPr>
                <w:i/>
                <w:iCs/>
              </w:rPr>
              <w:t>Auckland City Council &amp; Tranz Rail Ltd v Auckland Regional Council</w:t>
            </w:r>
          </w:p>
        </w:tc>
        <w:tc>
          <w:tcPr>
            <w:tcW w:w="3175" w:type="dxa"/>
            <w:shd w:val="clear" w:color="auto" w:fill="auto"/>
            <w:hideMark/>
          </w:tcPr>
          <w:p w14:paraId="2AF1500C" w14:textId="100959BD" w:rsidR="005F1B96" w:rsidRPr="00F03917" w:rsidRDefault="005F1B96" w:rsidP="00A8581B">
            <w:pPr>
              <w:pStyle w:val="TableText"/>
            </w:pPr>
            <w:r w:rsidRPr="00F03917">
              <w:t>ENC Auckland A028/99, 15 March 1999</w:t>
            </w:r>
          </w:p>
        </w:tc>
        <w:tc>
          <w:tcPr>
            <w:tcW w:w="567" w:type="dxa"/>
            <w:shd w:val="clear" w:color="auto" w:fill="auto"/>
            <w:hideMark/>
          </w:tcPr>
          <w:p w14:paraId="06989DB3" w14:textId="0EFE185B" w:rsidR="005F1B96" w:rsidRPr="00F03917" w:rsidRDefault="005F1B96" w:rsidP="00A8581B">
            <w:pPr>
              <w:pStyle w:val="TableText"/>
            </w:pPr>
            <w:r w:rsidRPr="00F03917">
              <w:t>1999</w:t>
            </w:r>
          </w:p>
        </w:tc>
        <w:tc>
          <w:tcPr>
            <w:tcW w:w="1588" w:type="dxa"/>
            <w:shd w:val="clear" w:color="auto" w:fill="auto"/>
            <w:hideMark/>
          </w:tcPr>
          <w:p w14:paraId="27E69E7E" w14:textId="39008921" w:rsidR="005F1B96" w:rsidRPr="00F03917" w:rsidRDefault="005F1B96" w:rsidP="00A8581B">
            <w:pPr>
              <w:pStyle w:val="TableText"/>
            </w:pPr>
            <w:r w:rsidRPr="00F03917">
              <w:t>Environment Court</w:t>
            </w:r>
          </w:p>
        </w:tc>
        <w:tc>
          <w:tcPr>
            <w:tcW w:w="2835" w:type="dxa"/>
            <w:shd w:val="clear" w:color="auto" w:fill="auto"/>
            <w:hideMark/>
          </w:tcPr>
          <w:p w14:paraId="555AFFAB" w14:textId="01629A1D" w:rsidR="005F1B96" w:rsidRPr="00F03917" w:rsidRDefault="005F1B96" w:rsidP="00A8581B">
            <w:pPr>
              <w:pStyle w:val="TableText"/>
            </w:pPr>
            <w:r w:rsidRPr="00F03917">
              <w:t>Resource consent, groundwater, earthworks</w:t>
            </w:r>
          </w:p>
        </w:tc>
        <w:tc>
          <w:tcPr>
            <w:tcW w:w="3289" w:type="dxa"/>
            <w:shd w:val="clear" w:color="auto" w:fill="auto"/>
            <w:hideMark/>
          </w:tcPr>
          <w:p w14:paraId="1F0F304B" w14:textId="6E57DC8A" w:rsidR="005F1B96" w:rsidRPr="00F03917" w:rsidRDefault="005F1B96" w:rsidP="00A8581B">
            <w:pPr>
              <w:pStyle w:val="TableText"/>
            </w:pPr>
            <w:r w:rsidRPr="00F03917">
              <w:t>Relevance of effects on the environment for seeking resource consents for excavation earthworks</w:t>
            </w:r>
          </w:p>
        </w:tc>
      </w:tr>
      <w:tr w:rsidR="00C2075E" w:rsidRPr="00F03917" w14:paraId="30AF21FE" w14:textId="77777777" w:rsidTr="006171C3">
        <w:tc>
          <w:tcPr>
            <w:tcW w:w="2684" w:type="dxa"/>
            <w:shd w:val="clear" w:color="auto" w:fill="auto"/>
            <w:hideMark/>
          </w:tcPr>
          <w:p w14:paraId="6D949FD0" w14:textId="16339B1E" w:rsidR="005F1B96" w:rsidRPr="00F03917" w:rsidRDefault="005F1B96" w:rsidP="00A8581B">
            <w:pPr>
              <w:pStyle w:val="TableText"/>
              <w:rPr>
                <w:rFonts w:ascii="Times New Roman" w:hAnsi="Times New Roman" w:cs="Times New Roman"/>
              </w:rPr>
            </w:pPr>
            <w:r w:rsidRPr="00F03917">
              <w:rPr>
                <w:i/>
                <w:iCs/>
              </w:rPr>
              <w:t>Kotuku Parks Ltd v Kāpiti Coast District Council</w:t>
            </w:r>
          </w:p>
        </w:tc>
        <w:tc>
          <w:tcPr>
            <w:tcW w:w="3175" w:type="dxa"/>
            <w:shd w:val="clear" w:color="auto" w:fill="auto"/>
            <w:hideMark/>
          </w:tcPr>
          <w:p w14:paraId="79C3D0B7" w14:textId="735F511A" w:rsidR="005F1B96" w:rsidRPr="00F03917" w:rsidRDefault="005F1B96" w:rsidP="00A8581B">
            <w:pPr>
              <w:pStyle w:val="TableText"/>
            </w:pPr>
            <w:r w:rsidRPr="00F03917">
              <w:t>ENC Auckland A73/2000, 13 June 2000</w:t>
            </w:r>
          </w:p>
        </w:tc>
        <w:tc>
          <w:tcPr>
            <w:tcW w:w="567" w:type="dxa"/>
            <w:shd w:val="clear" w:color="auto" w:fill="auto"/>
            <w:hideMark/>
          </w:tcPr>
          <w:p w14:paraId="682AFAE2" w14:textId="20DD98E2" w:rsidR="005F1B96" w:rsidRPr="00F03917" w:rsidRDefault="005F1B96" w:rsidP="00A8581B">
            <w:pPr>
              <w:pStyle w:val="TableText"/>
            </w:pPr>
            <w:r w:rsidRPr="00F03917">
              <w:t>2000</w:t>
            </w:r>
          </w:p>
        </w:tc>
        <w:tc>
          <w:tcPr>
            <w:tcW w:w="1588" w:type="dxa"/>
            <w:shd w:val="clear" w:color="auto" w:fill="auto"/>
            <w:hideMark/>
          </w:tcPr>
          <w:p w14:paraId="53E79A6D" w14:textId="73C301B9" w:rsidR="005F1B96" w:rsidRPr="00F03917" w:rsidRDefault="005F1B96" w:rsidP="00A8581B">
            <w:pPr>
              <w:pStyle w:val="TableText"/>
            </w:pPr>
            <w:r w:rsidRPr="00F03917">
              <w:t>Environment Court</w:t>
            </w:r>
          </w:p>
        </w:tc>
        <w:tc>
          <w:tcPr>
            <w:tcW w:w="2835" w:type="dxa"/>
            <w:shd w:val="clear" w:color="auto" w:fill="auto"/>
            <w:hideMark/>
          </w:tcPr>
          <w:p w14:paraId="771C17C5" w14:textId="437DC05D" w:rsidR="005F1B96" w:rsidRPr="00F03917" w:rsidRDefault="005F1B96" w:rsidP="00A8581B">
            <w:pPr>
              <w:pStyle w:val="TableText"/>
            </w:pPr>
            <w:r w:rsidRPr="00F03917">
              <w:t>Subdivision, earthworks</w:t>
            </w:r>
          </w:p>
        </w:tc>
        <w:tc>
          <w:tcPr>
            <w:tcW w:w="3289" w:type="dxa"/>
            <w:shd w:val="clear" w:color="auto" w:fill="auto"/>
            <w:hideMark/>
          </w:tcPr>
          <w:p w14:paraId="0BC8C80C" w14:textId="1A2FF6ED" w:rsidR="005F1B96" w:rsidRPr="00F03917" w:rsidRDefault="005F1B96" w:rsidP="00A8581B">
            <w:pPr>
              <w:pStyle w:val="TableText"/>
            </w:pPr>
            <w:r w:rsidRPr="00F03917">
              <w:t>Resource Management Act 1991 (RMA) section 106 (restriction on subdivision consents) and cumulative effects of damage to indigenous fauna</w:t>
            </w:r>
          </w:p>
        </w:tc>
      </w:tr>
      <w:tr w:rsidR="00C2075E" w:rsidRPr="00F03917" w14:paraId="261935DA" w14:textId="77777777" w:rsidTr="006171C3">
        <w:tc>
          <w:tcPr>
            <w:tcW w:w="2684" w:type="dxa"/>
            <w:shd w:val="clear" w:color="auto" w:fill="auto"/>
            <w:hideMark/>
          </w:tcPr>
          <w:p w14:paraId="49B7D880" w14:textId="24E5928B" w:rsidR="005F1B96" w:rsidRPr="00F03917" w:rsidRDefault="005F1B96" w:rsidP="00A8581B">
            <w:pPr>
              <w:pStyle w:val="TableText"/>
              <w:rPr>
                <w:rFonts w:ascii="Times New Roman" w:hAnsi="Times New Roman" w:cs="Times New Roman"/>
              </w:rPr>
            </w:pPr>
            <w:r w:rsidRPr="00F03917">
              <w:rPr>
                <w:i/>
                <w:iCs/>
              </w:rPr>
              <w:t>Lowry Bay Residents Association v Hutt City Council</w:t>
            </w:r>
          </w:p>
        </w:tc>
        <w:tc>
          <w:tcPr>
            <w:tcW w:w="3175" w:type="dxa"/>
            <w:shd w:val="clear" w:color="auto" w:fill="auto"/>
            <w:hideMark/>
          </w:tcPr>
          <w:p w14:paraId="2CF98E6D" w14:textId="2AB74756" w:rsidR="005F1B96" w:rsidRPr="00F03917" w:rsidRDefault="005F1B96" w:rsidP="00A8581B">
            <w:pPr>
              <w:pStyle w:val="TableText"/>
            </w:pPr>
            <w:r w:rsidRPr="00F03917">
              <w:t>ENC Wellington W45/2001, 31 May 2001</w:t>
            </w:r>
          </w:p>
        </w:tc>
        <w:tc>
          <w:tcPr>
            <w:tcW w:w="567" w:type="dxa"/>
            <w:shd w:val="clear" w:color="auto" w:fill="auto"/>
            <w:hideMark/>
          </w:tcPr>
          <w:p w14:paraId="7CD9C2F6" w14:textId="388DAD7A" w:rsidR="005F1B96" w:rsidRPr="00F03917" w:rsidRDefault="005F1B96" w:rsidP="00A8581B">
            <w:pPr>
              <w:pStyle w:val="TableText"/>
            </w:pPr>
            <w:r w:rsidRPr="00F03917">
              <w:t>2001</w:t>
            </w:r>
          </w:p>
        </w:tc>
        <w:tc>
          <w:tcPr>
            <w:tcW w:w="1588" w:type="dxa"/>
            <w:shd w:val="clear" w:color="auto" w:fill="auto"/>
            <w:hideMark/>
          </w:tcPr>
          <w:p w14:paraId="49194FA0" w14:textId="1FFFC2D7" w:rsidR="005F1B96" w:rsidRPr="00F03917" w:rsidRDefault="005F1B96" w:rsidP="00A8581B">
            <w:pPr>
              <w:pStyle w:val="TableText"/>
            </w:pPr>
            <w:r w:rsidRPr="00F03917">
              <w:t>Environment Court</w:t>
            </w:r>
          </w:p>
        </w:tc>
        <w:tc>
          <w:tcPr>
            <w:tcW w:w="2835" w:type="dxa"/>
            <w:shd w:val="clear" w:color="auto" w:fill="auto"/>
            <w:hideMark/>
          </w:tcPr>
          <w:p w14:paraId="6B109B7E" w14:textId="1E696F6B" w:rsidR="005F1B96" w:rsidRPr="00F03917" w:rsidRDefault="005F1B96" w:rsidP="00A8581B">
            <w:pPr>
              <w:pStyle w:val="TableText"/>
            </w:pPr>
            <w:r w:rsidRPr="00F03917">
              <w:t>Resource consent, land use consent, natural hazards</w:t>
            </w:r>
          </w:p>
        </w:tc>
        <w:tc>
          <w:tcPr>
            <w:tcW w:w="3289" w:type="dxa"/>
            <w:shd w:val="clear" w:color="auto" w:fill="auto"/>
            <w:hideMark/>
          </w:tcPr>
          <w:p w14:paraId="772A1FF7" w14:textId="2AA8E571" w:rsidR="005F1B96" w:rsidRPr="00F03917" w:rsidRDefault="005F1B96" w:rsidP="00A8581B">
            <w:pPr>
              <w:pStyle w:val="TableText"/>
            </w:pPr>
            <w:r w:rsidRPr="00F03917">
              <w:t>Adverse cumulative effects (including natural hazards) on grant of land use consent and coastal discharge permits</w:t>
            </w:r>
          </w:p>
        </w:tc>
      </w:tr>
      <w:tr w:rsidR="00C2075E" w:rsidRPr="00F03917" w14:paraId="26857DB3" w14:textId="77777777" w:rsidTr="006171C3">
        <w:tc>
          <w:tcPr>
            <w:tcW w:w="2684" w:type="dxa"/>
            <w:shd w:val="clear" w:color="auto" w:fill="auto"/>
            <w:hideMark/>
          </w:tcPr>
          <w:p w14:paraId="3033AE0F" w14:textId="79DCC103" w:rsidR="005F1B96" w:rsidRPr="00F03917" w:rsidRDefault="005F1B96" w:rsidP="00A8581B">
            <w:pPr>
              <w:pStyle w:val="TableText"/>
              <w:rPr>
                <w:rFonts w:ascii="Times New Roman" w:hAnsi="Times New Roman" w:cs="Times New Roman"/>
              </w:rPr>
            </w:pPr>
            <w:r w:rsidRPr="00F03917">
              <w:rPr>
                <w:i/>
                <w:iCs/>
              </w:rPr>
              <w:t>Save the Bay v Canterbury Regional Council</w:t>
            </w:r>
          </w:p>
        </w:tc>
        <w:tc>
          <w:tcPr>
            <w:tcW w:w="3175" w:type="dxa"/>
            <w:shd w:val="clear" w:color="auto" w:fill="auto"/>
            <w:hideMark/>
          </w:tcPr>
          <w:p w14:paraId="49A94253" w14:textId="1DD2D634" w:rsidR="005F1B96" w:rsidRPr="00F03917" w:rsidRDefault="005F1B96" w:rsidP="00A8581B">
            <w:pPr>
              <w:pStyle w:val="TableText"/>
              <w:rPr>
                <w:rFonts w:ascii="Times New Roman" w:hAnsi="Times New Roman" w:cs="Times New Roman"/>
              </w:rPr>
            </w:pPr>
            <w:r w:rsidRPr="00F03917">
              <w:rPr>
                <w:shd w:val="clear" w:color="auto" w:fill="FFFFFF"/>
              </w:rPr>
              <w:t>ENC Christchurch C6/2001, 19 January 2001</w:t>
            </w:r>
          </w:p>
        </w:tc>
        <w:tc>
          <w:tcPr>
            <w:tcW w:w="567" w:type="dxa"/>
            <w:shd w:val="clear" w:color="auto" w:fill="auto"/>
            <w:hideMark/>
          </w:tcPr>
          <w:p w14:paraId="7D6251ED" w14:textId="27B72C68" w:rsidR="005F1B96" w:rsidRPr="00F03917" w:rsidRDefault="005F1B96" w:rsidP="00A8581B">
            <w:pPr>
              <w:pStyle w:val="TableText"/>
              <w:rPr>
                <w:rFonts w:ascii="Times New Roman" w:hAnsi="Times New Roman" w:cs="Times New Roman"/>
              </w:rPr>
            </w:pPr>
            <w:r w:rsidRPr="00F03917">
              <w:t>2001</w:t>
            </w:r>
          </w:p>
        </w:tc>
        <w:tc>
          <w:tcPr>
            <w:tcW w:w="1588" w:type="dxa"/>
            <w:shd w:val="clear" w:color="auto" w:fill="auto"/>
            <w:hideMark/>
          </w:tcPr>
          <w:p w14:paraId="3FEDE0E4" w14:textId="6A7A2D5B"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23D964F8" w14:textId="3B9CC6F5" w:rsidR="005F1B96" w:rsidRPr="00F03917" w:rsidRDefault="005F1B96" w:rsidP="00A8581B">
            <w:pPr>
              <w:pStyle w:val="TableText"/>
              <w:rPr>
                <w:rFonts w:ascii="Times New Roman" w:hAnsi="Times New Roman" w:cs="Times New Roman"/>
              </w:rPr>
            </w:pPr>
            <w:r w:rsidRPr="00F03917">
              <w:t>Regional plan, coastal plan, coastal hazards, natural hazards</w:t>
            </w:r>
          </w:p>
        </w:tc>
        <w:tc>
          <w:tcPr>
            <w:tcW w:w="3289" w:type="dxa"/>
            <w:shd w:val="clear" w:color="auto" w:fill="auto"/>
            <w:hideMark/>
          </w:tcPr>
          <w:p w14:paraId="66034546" w14:textId="672781FF" w:rsidR="005F1B96" w:rsidRPr="00F03917" w:rsidRDefault="005F1B96" w:rsidP="00A8581B">
            <w:pPr>
              <w:pStyle w:val="TableText"/>
              <w:rPr>
                <w:rFonts w:ascii="Times New Roman" w:hAnsi="Times New Roman" w:cs="Times New Roman"/>
              </w:rPr>
            </w:pPr>
            <w:r w:rsidRPr="00F03917">
              <w:t>Hazard zone provisions within regional coastal environmental plan</w:t>
            </w:r>
          </w:p>
        </w:tc>
      </w:tr>
      <w:tr w:rsidR="00C2075E" w:rsidRPr="00F03917" w14:paraId="39123613" w14:textId="77777777" w:rsidTr="006171C3">
        <w:tc>
          <w:tcPr>
            <w:tcW w:w="2684" w:type="dxa"/>
            <w:shd w:val="clear" w:color="auto" w:fill="auto"/>
            <w:hideMark/>
          </w:tcPr>
          <w:p w14:paraId="6A340BC0" w14:textId="71B2F7E3" w:rsidR="005F1B96" w:rsidRPr="00F03917" w:rsidRDefault="005F1B96" w:rsidP="00883B03">
            <w:pPr>
              <w:pStyle w:val="TableText"/>
              <w:keepNext/>
              <w:rPr>
                <w:rFonts w:ascii="Times New Roman" w:hAnsi="Times New Roman" w:cs="Times New Roman"/>
              </w:rPr>
            </w:pPr>
            <w:r w:rsidRPr="00F03917">
              <w:rPr>
                <w:i/>
                <w:iCs/>
              </w:rPr>
              <w:lastRenderedPageBreak/>
              <w:t>McKinlay v Timaru District Council</w:t>
            </w:r>
          </w:p>
        </w:tc>
        <w:tc>
          <w:tcPr>
            <w:tcW w:w="3175" w:type="dxa"/>
            <w:shd w:val="clear" w:color="auto" w:fill="auto"/>
            <w:hideMark/>
          </w:tcPr>
          <w:p w14:paraId="69B3A8C7" w14:textId="3C704D00" w:rsidR="005F1B96" w:rsidRPr="00F03917" w:rsidRDefault="005F1B96" w:rsidP="00A8581B">
            <w:pPr>
              <w:pStyle w:val="TableText"/>
              <w:rPr>
                <w:rFonts w:ascii="Times New Roman" w:hAnsi="Times New Roman" w:cs="Times New Roman"/>
              </w:rPr>
            </w:pPr>
            <w:r w:rsidRPr="00F03917">
              <w:rPr>
                <w:shd w:val="clear" w:color="auto" w:fill="FFFFFF"/>
              </w:rPr>
              <w:t>ENC Christchurch C24/2001, 28 February 2001</w:t>
            </w:r>
          </w:p>
        </w:tc>
        <w:tc>
          <w:tcPr>
            <w:tcW w:w="567" w:type="dxa"/>
            <w:shd w:val="clear" w:color="auto" w:fill="auto"/>
            <w:hideMark/>
          </w:tcPr>
          <w:p w14:paraId="2C5EC6F1" w14:textId="7436D914" w:rsidR="005F1B96" w:rsidRPr="00F03917" w:rsidRDefault="005F1B96" w:rsidP="00A8581B">
            <w:pPr>
              <w:pStyle w:val="TableText"/>
              <w:rPr>
                <w:rFonts w:ascii="Times New Roman" w:hAnsi="Times New Roman" w:cs="Times New Roman"/>
              </w:rPr>
            </w:pPr>
            <w:r w:rsidRPr="00F03917">
              <w:t>2001</w:t>
            </w:r>
          </w:p>
        </w:tc>
        <w:tc>
          <w:tcPr>
            <w:tcW w:w="1588" w:type="dxa"/>
            <w:shd w:val="clear" w:color="auto" w:fill="auto"/>
            <w:hideMark/>
          </w:tcPr>
          <w:p w14:paraId="4B02CD90" w14:textId="44A9EFB7"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4594E820" w14:textId="22D03288" w:rsidR="005F1B96" w:rsidRPr="00F03917" w:rsidRDefault="005F1B96" w:rsidP="00A8581B">
            <w:pPr>
              <w:pStyle w:val="TableText"/>
              <w:rPr>
                <w:rFonts w:ascii="Times New Roman" w:hAnsi="Times New Roman" w:cs="Times New Roman"/>
              </w:rPr>
            </w:pPr>
            <w:r w:rsidRPr="00F03917">
              <w:t>Natural hazards, existing use rights</w:t>
            </w:r>
          </w:p>
        </w:tc>
        <w:tc>
          <w:tcPr>
            <w:tcW w:w="3289" w:type="dxa"/>
            <w:shd w:val="clear" w:color="auto" w:fill="auto"/>
            <w:hideMark/>
          </w:tcPr>
          <w:p w14:paraId="7C99F328" w14:textId="6B7BE707" w:rsidR="005F1B96" w:rsidRPr="00F03917" w:rsidRDefault="005F1B96" w:rsidP="00A8581B">
            <w:pPr>
              <w:pStyle w:val="TableText"/>
              <w:rPr>
                <w:rFonts w:ascii="Times New Roman" w:hAnsi="Times New Roman" w:cs="Times New Roman"/>
              </w:rPr>
            </w:pPr>
            <w:r w:rsidRPr="00F03917">
              <w:t>Existing use rights regarding reconstruction of a building destroyed by a natural hazard and the role of rules in regional and district plans</w:t>
            </w:r>
          </w:p>
        </w:tc>
      </w:tr>
      <w:tr w:rsidR="00C2075E" w:rsidRPr="00F03917" w14:paraId="54523D35" w14:textId="77777777" w:rsidTr="006171C3">
        <w:tc>
          <w:tcPr>
            <w:tcW w:w="2684" w:type="dxa"/>
            <w:shd w:val="clear" w:color="auto" w:fill="auto"/>
            <w:hideMark/>
          </w:tcPr>
          <w:p w14:paraId="0AB14A27" w14:textId="7732B705" w:rsidR="005F1B96" w:rsidRPr="00F03917" w:rsidRDefault="005F1B96" w:rsidP="00A8581B">
            <w:pPr>
              <w:pStyle w:val="TableText"/>
              <w:rPr>
                <w:rFonts w:ascii="Times New Roman" w:hAnsi="Times New Roman" w:cs="Times New Roman"/>
              </w:rPr>
            </w:pPr>
            <w:r w:rsidRPr="00F03917">
              <w:rPr>
                <w:i/>
                <w:iCs/>
              </w:rPr>
              <w:t>Bay of Plenty Regional Council v Western Bay of Plenty District Council</w:t>
            </w:r>
          </w:p>
        </w:tc>
        <w:tc>
          <w:tcPr>
            <w:tcW w:w="3175" w:type="dxa"/>
            <w:shd w:val="clear" w:color="auto" w:fill="auto"/>
            <w:hideMark/>
          </w:tcPr>
          <w:p w14:paraId="4E766613" w14:textId="597366E5" w:rsidR="005F1B96" w:rsidRPr="00F03917" w:rsidRDefault="005F1B96" w:rsidP="00A8581B">
            <w:pPr>
              <w:pStyle w:val="TableText"/>
              <w:rPr>
                <w:rFonts w:ascii="Times New Roman" w:hAnsi="Times New Roman" w:cs="Times New Roman"/>
              </w:rPr>
            </w:pPr>
            <w:r w:rsidRPr="00F03917">
              <w:rPr>
                <w:shd w:val="clear" w:color="auto" w:fill="FFFFFF"/>
              </w:rPr>
              <w:t>Interim decision ENC Auckland A27/02, 8</w:t>
            </w:r>
            <w:r w:rsidR="00883B03" w:rsidRPr="00F03917">
              <w:rPr>
                <w:shd w:val="clear" w:color="auto" w:fill="FFFFFF"/>
              </w:rPr>
              <w:t> </w:t>
            </w:r>
            <w:r w:rsidRPr="00F03917">
              <w:rPr>
                <w:shd w:val="clear" w:color="auto" w:fill="FFFFFF"/>
              </w:rPr>
              <w:t>February 2002; Final decision ENC Auckland A141/2002, 5 July 2002</w:t>
            </w:r>
          </w:p>
        </w:tc>
        <w:tc>
          <w:tcPr>
            <w:tcW w:w="567" w:type="dxa"/>
            <w:shd w:val="clear" w:color="auto" w:fill="auto"/>
            <w:hideMark/>
          </w:tcPr>
          <w:p w14:paraId="2F36D1AD" w14:textId="203384B0" w:rsidR="005F1B96" w:rsidRPr="00F03917" w:rsidRDefault="005F1B96" w:rsidP="00A8581B">
            <w:pPr>
              <w:pStyle w:val="TableText"/>
              <w:rPr>
                <w:rFonts w:ascii="Times New Roman" w:hAnsi="Times New Roman" w:cs="Times New Roman"/>
              </w:rPr>
            </w:pPr>
            <w:r w:rsidRPr="00F03917">
              <w:t>2002</w:t>
            </w:r>
          </w:p>
        </w:tc>
        <w:tc>
          <w:tcPr>
            <w:tcW w:w="1588" w:type="dxa"/>
            <w:shd w:val="clear" w:color="auto" w:fill="auto"/>
            <w:hideMark/>
          </w:tcPr>
          <w:p w14:paraId="6516AD77" w14:textId="4971B4D6"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3209A358" w14:textId="23EA5AA8" w:rsidR="005F1B96" w:rsidRPr="00F03917" w:rsidRDefault="005F1B96" w:rsidP="00A8581B">
            <w:pPr>
              <w:pStyle w:val="TableText"/>
              <w:rPr>
                <w:rFonts w:ascii="Times New Roman" w:hAnsi="Times New Roman" w:cs="Times New Roman"/>
              </w:rPr>
            </w:pPr>
            <w:r w:rsidRPr="00F03917">
              <w:t>Coastal protection area, sustainable management</w:t>
            </w:r>
          </w:p>
        </w:tc>
        <w:tc>
          <w:tcPr>
            <w:tcW w:w="3289" w:type="dxa"/>
            <w:shd w:val="clear" w:color="auto" w:fill="auto"/>
            <w:hideMark/>
          </w:tcPr>
          <w:p w14:paraId="36CC3D23" w14:textId="0B5AD655" w:rsidR="005F1B96" w:rsidRPr="00F03917" w:rsidRDefault="005F1B96" w:rsidP="00A8581B">
            <w:pPr>
              <w:pStyle w:val="TableText"/>
              <w:rPr>
                <w:rFonts w:ascii="Times New Roman" w:hAnsi="Times New Roman" w:cs="Times New Roman"/>
              </w:rPr>
            </w:pPr>
            <w:r w:rsidRPr="00F03917">
              <w:t>Variation to proposed district plan concerning natural hazards</w:t>
            </w:r>
          </w:p>
        </w:tc>
      </w:tr>
      <w:tr w:rsidR="00C2075E" w:rsidRPr="00F03917" w14:paraId="344A5A29" w14:textId="77777777" w:rsidTr="006171C3">
        <w:tc>
          <w:tcPr>
            <w:tcW w:w="2684" w:type="dxa"/>
            <w:shd w:val="clear" w:color="auto" w:fill="auto"/>
            <w:hideMark/>
          </w:tcPr>
          <w:p w14:paraId="7202FDC2" w14:textId="6FA4243D" w:rsidR="005F1B96" w:rsidRPr="00F03917" w:rsidRDefault="005F1B96" w:rsidP="00A8581B">
            <w:pPr>
              <w:pStyle w:val="TableText"/>
              <w:rPr>
                <w:rFonts w:ascii="Times New Roman" w:hAnsi="Times New Roman" w:cs="Times New Roman"/>
              </w:rPr>
            </w:pPr>
            <w:r w:rsidRPr="00F03917">
              <w:rPr>
                <w:i/>
                <w:iCs/>
              </w:rPr>
              <w:t>Skinner v Tauranga District Council</w:t>
            </w:r>
          </w:p>
        </w:tc>
        <w:tc>
          <w:tcPr>
            <w:tcW w:w="3175" w:type="dxa"/>
            <w:shd w:val="clear" w:color="auto" w:fill="auto"/>
            <w:hideMark/>
          </w:tcPr>
          <w:p w14:paraId="77CDDDB4" w14:textId="058F81A8" w:rsidR="005F1B96" w:rsidRPr="00F03917" w:rsidRDefault="005F1B96" w:rsidP="00A8581B">
            <w:pPr>
              <w:pStyle w:val="TableText"/>
              <w:rPr>
                <w:rFonts w:ascii="Times New Roman" w:hAnsi="Times New Roman" w:cs="Times New Roman"/>
              </w:rPr>
            </w:pPr>
            <w:r w:rsidRPr="00F03917">
              <w:rPr>
                <w:shd w:val="clear" w:color="auto" w:fill="FFFFFF"/>
              </w:rPr>
              <w:t>Interim decision ENC Auckland A163/2002, 19 August 2002; Final decision ENC Auckland A138/2004, 8</w:t>
            </w:r>
            <w:r w:rsidR="00883B03" w:rsidRPr="00F03917">
              <w:rPr>
                <w:shd w:val="clear" w:color="auto" w:fill="FFFFFF"/>
              </w:rPr>
              <w:t> </w:t>
            </w:r>
            <w:r w:rsidRPr="00F03917">
              <w:rPr>
                <w:shd w:val="clear" w:color="auto" w:fill="FFFFFF"/>
              </w:rPr>
              <w:t>November 2004</w:t>
            </w:r>
          </w:p>
        </w:tc>
        <w:tc>
          <w:tcPr>
            <w:tcW w:w="567" w:type="dxa"/>
            <w:shd w:val="clear" w:color="auto" w:fill="auto"/>
            <w:hideMark/>
          </w:tcPr>
          <w:p w14:paraId="2FBF47B0" w14:textId="1545F9CF" w:rsidR="005F1B96" w:rsidRPr="00F03917" w:rsidRDefault="005F1B96" w:rsidP="00A8581B">
            <w:pPr>
              <w:pStyle w:val="TableText"/>
              <w:rPr>
                <w:rFonts w:ascii="Times New Roman" w:hAnsi="Times New Roman" w:cs="Times New Roman"/>
              </w:rPr>
            </w:pPr>
            <w:r w:rsidRPr="00F03917">
              <w:t>2002</w:t>
            </w:r>
          </w:p>
        </w:tc>
        <w:tc>
          <w:tcPr>
            <w:tcW w:w="1588" w:type="dxa"/>
            <w:shd w:val="clear" w:color="auto" w:fill="auto"/>
            <w:hideMark/>
          </w:tcPr>
          <w:p w14:paraId="582E0A2C" w14:textId="0CC60136"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79490EA6" w14:textId="780AAF10" w:rsidR="005F1B96" w:rsidRPr="00F03917" w:rsidRDefault="005F1B96" w:rsidP="00A8581B">
            <w:pPr>
              <w:pStyle w:val="TableText"/>
              <w:rPr>
                <w:rFonts w:ascii="Times New Roman" w:hAnsi="Times New Roman" w:cs="Times New Roman"/>
              </w:rPr>
            </w:pPr>
            <w:r w:rsidRPr="00F03917">
              <w:t>District plan, coastal hazards policy, hazard risk zones</w:t>
            </w:r>
          </w:p>
        </w:tc>
        <w:tc>
          <w:tcPr>
            <w:tcW w:w="3289" w:type="dxa"/>
            <w:shd w:val="clear" w:color="auto" w:fill="auto"/>
            <w:hideMark/>
          </w:tcPr>
          <w:p w14:paraId="02C40040" w14:textId="5D007979" w:rsidR="005F1B96" w:rsidRPr="00F03917" w:rsidRDefault="005F1B96" w:rsidP="00A8581B">
            <w:pPr>
              <w:pStyle w:val="TableText"/>
              <w:rPr>
                <w:rFonts w:ascii="Times New Roman" w:hAnsi="Times New Roman" w:cs="Times New Roman"/>
              </w:rPr>
            </w:pPr>
            <w:r w:rsidRPr="00F03917">
              <w:t>Amendments to coastal hazards provisions of proposed district plan</w:t>
            </w:r>
          </w:p>
        </w:tc>
      </w:tr>
      <w:tr w:rsidR="00C2075E" w:rsidRPr="00F03917" w14:paraId="7159F6F8" w14:textId="77777777" w:rsidTr="006171C3">
        <w:tc>
          <w:tcPr>
            <w:tcW w:w="2684" w:type="dxa"/>
            <w:shd w:val="clear" w:color="auto" w:fill="auto"/>
            <w:hideMark/>
          </w:tcPr>
          <w:p w14:paraId="2371B89B" w14:textId="070F27E2" w:rsidR="005F1B96" w:rsidRPr="00F03917" w:rsidRDefault="005F1B96" w:rsidP="00A8581B">
            <w:pPr>
              <w:pStyle w:val="TableText"/>
              <w:rPr>
                <w:rFonts w:ascii="Times New Roman" w:hAnsi="Times New Roman" w:cs="Times New Roman"/>
              </w:rPr>
            </w:pPr>
            <w:r w:rsidRPr="00F03917">
              <w:rPr>
                <w:i/>
                <w:iCs/>
              </w:rPr>
              <w:t>Fore World Developments Ltd v Napier City Council</w:t>
            </w:r>
          </w:p>
        </w:tc>
        <w:tc>
          <w:tcPr>
            <w:tcW w:w="3175" w:type="dxa"/>
            <w:shd w:val="clear" w:color="auto" w:fill="auto"/>
            <w:hideMark/>
          </w:tcPr>
          <w:p w14:paraId="5CC3D764" w14:textId="7D87661F" w:rsidR="005F1B96" w:rsidRPr="00F03917" w:rsidRDefault="005F1B96" w:rsidP="00A8581B">
            <w:pPr>
              <w:pStyle w:val="TableText"/>
              <w:rPr>
                <w:rFonts w:ascii="Times New Roman" w:hAnsi="Times New Roman" w:cs="Times New Roman"/>
              </w:rPr>
            </w:pPr>
            <w:r w:rsidRPr="00F03917">
              <w:rPr>
                <w:shd w:val="clear" w:color="auto" w:fill="FFFFFF"/>
              </w:rPr>
              <w:t>ENC Wellington W29/06, 13 April 2006</w:t>
            </w:r>
          </w:p>
        </w:tc>
        <w:tc>
          <w:tcPr>
            <w:tcW w:w="567" w:type="dxa"/>
            <w:shd w:val="clear" w:color="auto" w:fill="auto"/>
            <w:hideMark/>
          </w:tcPr>
          <w:p w14:paraId="602B034C" w14:textId="1ACD9B25" w:rsidR="005F1B96" w:rsidRPr="00F03917" w:rsidRDefault="005F1B96" w:rsidP="00A8581B">
            <w:pPr>
              <w:pStyle w:val="TableText"/>
              <w:rPr>
                <w:rFonts w:ascii="Times New Roman" w:hAnsi="Times New Roman" w:cs="Times New Roman"/>
              </w:rPr>
            </w:pPr>
            <w:r w:rsidRPr="00F03917">
              <w:t>2006</w:t>
            </w:r>
          </w:p>
        </w:tc>
        <w:tc>
          <w:tcPr>
            <w:tcW w:w="1588" w:type="dxa"/>
            <w:shd w:val="clear" w:color="auto" w:fill="auto"/>
            <w:hideMark/>
          </w:tcPr>
          <w:p w14:paraId="6D2A70FE" w14:textId="7CC8D454"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103DC02E" w14:textId="6CD5E668" w:rsidR="005F1B96" w:rsidRPr="00F03917" w:rsidRDefault="005F1B96" w:rsidP="00A8581B">
            <w:pPr>
              <w:pStyle w:val="TableText"/>
              <w:rPr>
                <w:rFonts w:ascii="Times New Roman" w:hAnsi="Times New Roman" w:cs="Times New Roman"/>
              </w:rPr>
            </w:pPr>
            <w:r w:rsidRPr="00F03917">
              <w:t>Subdivision, coastal erosion</w:t>
            </w:r>
          </w:p>
        </w:tc>
        <w:tc>
          <w:tcPr>
            <w:tcW w:w="3289" w:type="dxa"/>
            <w:shd w:val="clear" w:color="auto" w:fill="auto"/>
            <w:hideMark/>
          </w:tcPr>
          <w:p w14:paraId="2C025A96" w14:textId="35BB8443" w:rsidR="005F1B96" w:rsidRPr="00F03917" w:rsidRDefault="005F1B96" w:rsidP="00A8581B">
            <w:pPr>
              <w:pStyle w:val="TableText"/>
              <w:rPr>
                <w:rFonts w:ascii="Times New Roman" w:hAnsi="Times New Roman" w:cs="Times New Roman"/>
              </w:rPr>
            </w:pPr>
            <w:r w:rsidRPr="00F03917">
              <w:t>Climate change information on coastal erosion and use of the precautionary approach to account for uncertainties</w:t>
            </w:r>
          </w:p>
        </w:tc>
      </w:tr>
      <w:tr w:rsidR="00C2075E" w:rsidRPr="00F03917" w14:paraId="50E900CF" w14:textId="77777777" w:rsidTr="006171C3">
        <w:tc>
          <w:tcPr>
            <w:tcW w:w="2684" w:type="dxa"/>
            <w:shd w:val="clear" w:color="auto" w:fill="auto"/>
            <w:hideMark/>
          </w:tcPr>
          <w:p w14:paraId="23647711" w14:textId="6B79B5FB" w:rsidR="005F1B96" w:rsidRPr="00F03917" w:rsidRDefault="005F1B96" w:rsidP="00A8581B">
            <w:pPr>
              <w:pStyle w:val="TableText"/>
              <w:rPr>
                <w:rFonts w:ascii="Times New Roman" w:hAnsi="Times New Roman" w:cs="Times New Roman"/>
              </w:rPr>
            </w:pPr>
            <w:r w:rsidRPr="00F03917">
              <w:rPr>
                <w:i/>
                <w:iCs/>
              </w:rPr>
              <w:t>Re Tasman District Council</w:t>
            </w:r>
          </w:p>
        </w:tc>
        <w:tc>
          <w:tcPr>
            <w:tcW w:w="3175" w:type="dxa"/>
            <w:shd w:val="clear" w:color="auto" w:fill="auto"/>
            <w:hideMark/>
          </w:tcPr>
          <w:p w14:paraId="60387B19" w14:textId="4E65BF9A" w:rsidR="005F1B96" w:rsidRPr="00F03917" w:rsidRDefault="005F1B96" w:rsidP="00A8581B">
            <w:pPr>
              <w:pStyle w:val="TableText"/>
              <w:rPr>
                <w:rFonts w:ascii="Times New Roman" w:hAnsi="Times New Roman" w:cs="Times New Roman"/>
              </w:rPr>
            </w:pPr>
            <w:r w:rsidRPr="00F03917">
              <w:rPr>
                <w:shd w:val="clear" w:color="auto" w:fill="FFFFFF"/>
              </w:rPr>
              <w:t>[2011] NZEnvC 47</w:t>
            </w:r>
          </w:p>
        </w:tc>
        <w:tc>
          <w:tcPr>
            <w:tcW w:w="567" w:type="dxa"/>
            <w:shd w:val="clear" w:color="auto" w:fill="auto"/>
            <w:hideMark/>
          </w:tcPr>
          <w:p w14:paraId="71D76990" w14:textId="21DC824E" w:rsidR="005F1B96" w:rsidRPr="00F03917" w:rsidRDefault="005F1B96" w:rsidP="00A8581B">
            <w:pPr>
              <w:pStyle w:val="TableText"/>
              <w:rPr>
                <w:rFonts w:ascii="Times New Roman" w:hAnsi="Times New Roman" w:cs="Times New Roman"/>
              </w:rPr>
            </w:pPr>
            <w:r w:rsidRPr="00F03917">
              <w:t>2011</w:t>
            </w:r>
          </w:p>
        </w:tc>
        <w:tc>
          <w:tcPr>
            <w:tcW w:w="1588" w:type="dxa"/>
            <w:shd w:val="clear" w:color="auto" w:fill="auto"/>
            <w:hideMark/>
          </w:tcPr>
          <w:p w14:paraId="6FF9A056" w14:textId="279D112E"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5688FA27" w14:textId="279298FD" w:rsidR="005F1B96" w:rsidRPr="00F03917" w:rsidRDefault="005F1B96" w:rsidP="00A8581B">
            <w:pPr>
              <w:pStyle w:val="TableText"/>
              <w:rPr>
                <w:rFonts w:ascii="Times New Roman" w:hAnsi="Times New Roman" w:cs="Times New Roman"/>
              </w:rPr>
            </w:pPr>
            <w:r w:rsidRPr="00F03917">
              <w:t>Plan change, coastal erosion, coastal inundation, subdivision</w:t>
            </w:r>
          </w:p>
        </w:tc>
        <w:tc>
          <w:tcPr>
            <w:tcW w:w="3289" w:type="dxa"/>
            <w:shd w:val="clear" w:color="auto" w:fill="auto"/>
            <w:hideMark/>
          </w:tcPr>
          <w:p w14:paraId="5FF18E32" w14:textId="7580A7A8" w:rsidR="005F1B96" w:rsidRPr="00F03917" w:rsidRDefault="005F1B96" w:rsidP="00A8581B">
            <w:pPr>
              <w:pStyle w:val="TableText"/>
              <w:rPr>
                <w:rFonts w:ascii="Times New Roman" w:hAnsi="Times New Roman" w:cs="Times New Roman"/>
              </w:rPr>
            </w:pPr>
            <w:r w:rsidRPr="00F03917">
              <w:t>Immediate legal effect of rule in hazard areas</w:t>
            </w:r>
          </w:p>
        </w:tc>
      </w:tr>
      <w:tr w:rsidR="00C2075E" w:rsidRPr="00F03917" w14:paraId="05C969F9" w14:textId="77777777" w:rsidTr="006171C3">
        <w:tc>
          <w:tcPr>
            <w:tcW w:w="2684" w:type="dxa"/>
            <w:shd w:val="clear" w:color="auto" w:fill="auto"/>
            <w:hideMark/>
          </w:tcPr>
          <w:p w14:paraId="19C79A63" w14:textId="374756D2" w:rsidR="005F1B96" w:rsidRPr="00F03917" w:rsidRDefault="005F1B96" w:rsidP="00A8581B">
            <w:pPr>
              <w:pStyle w:val="TableText"/>
              <w:rPr>
                <w:rFonts w:ascii="Times New Roman" w:hAnsi="Times New Roman" w:cs="Times New Roman"/>
              </w:rPr>
            </w:pPr>
            <w:r w:rsidRPr="00F03917">
              <w:rPr>
                <w:i/>
                <w:iCs/>
                <w:shd w:val="clear" w:color="auto" w:fill="FFFFFF"/>
              </w:rPr>
              <w:t>Weir v Kāpiti Coast District Council</w:t>
            </w:r>
          </w:p>
        </w:tc>
        <w:tc>
          <w:tcPr>
            <w:tcW w:w="3175" w:type="dxa"/>
            <w:shd w:val="clear" w:color="auto" w:fill="auto"/>
            <w:hideMark/>
          </w:tcPr>
          <w:p w14:paraId="197A7E5E" w14:textId="30745907" w:rsidR="005F1B96" w:rsidRPr="00F03917" w:rsidRDefault="005F1B96" w:rsidP="00A8581B">
            <w:pPr>
              <w:pStyle w:val="TableText"/>
              <w:rPr>
                <w:rFonts w:ascii="Times New Roman" w:hAnsi="Times New Roman" w:cs="Times New Roman"/>
              </w:rPr>
            </w:pPr>
            <w:r w:rsidRPr="00F03917">
              <w:rPr>
                <w:shd w:val="clear" w:color="auto" w:fill="FFFFFF"/>
              </w:rPr>
              <w:t>Interim decision [2013] NZHC 3522; Final decision [2015] NZHC 43</w:t>
            </w:r>
          </w:p>
        </w:tc>
        <w:tc>
          <w:tcPr>
            <w:tcW w:w="567" w:type="dxa"/>
            <w:shd w:val="clear" w:color="auto" w:fill="auto"/>
            <w:hideMark/>
          </w:tcPr>
          <w:p w14:paraId="0B4E8AAF" w14:textId="7300F8C8" w:rsidR="005F1B96" w:rsidRPr="00F03917" w:rsidRDefault="005F1B96" w:rsidP="00A8581B">
            <w:pPr>
              <w:pStyle w:val="TableText"/>
              <w:rPr>
                <w:rFonts w:ascii="Times New Roman" w:hAnsi="Times New Roman" w:cs="Times New Roman"/>
              </w:rPr>
            </w:pPr>
            <w:r w:rsidRPr="00F03917">
              <w:t>2013</w:t>
            </w:r>
          </w:p>
        </w:tc>
        <w:tc>
          <w:tcPr>
            <w:tcW w:w="1588" w:type="dxa"/>
            <w:shd w:val="clear" w:color="auto" w:fill="auto"/>
            <w:hideMark/>
          </w:tcPr>
          <w:p w14:paraId="5F2B0755" w14:textId="1AC69B69" w:rsidR="005F1B96" w:rsidRPr="00F03917" w:rsidRDefault="005F1B96" w:rsidP="00A8581B">
            <w:pPr>
              <w:pStyle w:val="TableText"/>
              <w:rPr>
                <w:rFonts w:ascii="Times New Roman" w:hAnsi="Times New Roman" w:cs="Times New Roman"/>
              </w:rPr>
            </w:pPr>
            <w:r w:rsidRPr="00F03917">
              <w:t>High Court</w:t>
            </w:r>
          </w:p>
        </w:tc>
        <w:tc>
          <w:tcPr>
            <w:tcW w:w="2835" w:type="dxa"/>
            <w:shd w:val="clear" w:color="auto" w:fill="auto"/>
            <w:hideMark/>
          </w:tcPr>
          <w:p w14:paraId="10C524B8" w14:textId="367C8D5A" w:rsidR="005F1B96" w:rsidRPr="00F03917" w:rsidRDefault="005F1B96" w:rsidP="00A8581B">
            <w:pPr>
              <w:pStyle w:val="TableText"/>
              <w:rPr>
                <w:rFonts w:ascii="Times New Roman" w:hAnsi="Times New Roman" w:cs="Times New Roman"/>
              </w:rPr>
            </w:pPr>
            <w:r w:rsidRPr="00F03917">
              <w:t>Natural hazards, coastal hazards, land information memorandum (LIM)</w:t>
            </w:r>
          </w:p>
        </w:tc>
        <w:tc>
          <w:tcPr>
            <w:tcW w:w="3289" w:type="dxa"/>
            <w:shd w:val="clear" w:color="auto" w:fill="auto"/>
            <w:hideMark/>
          </w:tcPr>
          <w:p w14:paraId="761E5C57" w14:textId="4157C118" w:rsidR="005F1B96" w:rsidRPr="00F03917" w:rsidRDefault="005F1B96" w:rsidP="00A8581B">
            <w:pPr>
              <w:pStyle w:val="TableText"/>
              <w:rPr>
                <w:rFonts w:ascii="Times New Roman" w:hAnsi="Times New Roman" w:cs="Times New Roman"/>
              </w:rPr>
            </w:pPr>
            <w:r w:rsidRPr="00F03917">
              <w:t>Inclusion of information on potential erosion of land in LIMs</w:t>
            </w:r>
          </w:p>
        </w:tc>
      </w:tr>
      <w:tr w:rsidR="00C2075E" w:rsidRPr="00F03917" w14:paraId="38060EE5" w14:textId="77777777" w:rsidTr="006171C3">
        <w:tc>
          <w:tcPr>
            <w:tcW w:w="2684" w:type="dxa"/>
            <w:shd w:val="clear" w:color="auto" w:fill="auto"/>
            <w:hideMark/>
          </w:tcPr>
          <w:p w14:paraId="1AF32C62" w14:textId="46DA7AD9" w:rsidR="005F1B96" w:rsidRPr="00F03917" w:rsidRDefault="005F1B96" w:rsidP="00A8581B">
            <w:pPr>
              <w:pStyle w:val="TableText"/>
              <w:rPr>
                <w:rFonts w:ascii="Times New Roman" w:hAnsi="Times New Roman" w:cs="Times New Roman"/>
              </w:rPr>
            </w:pPr>
            <w:r w:rsidRPr="00F03917">
              <w:rPr>
                <w:i/>
                <w:iCs/>
              </w:rPr>
              <w:t>Carter Holt Harvey HBU Ltd v Tasman District Council</w:t>
            </w:r>
          </w:p>
        </w:tc>
        <w:tc>
          <w:tcPr>
            <w:tcW w:w="3175" w:type="dxa"/>
            <w:shd w:val="clear" w:color="auto" w:fill="auto"/>
            <w:hideMark/>
          </w:tcPr>
          <w:p w14:paraId="7DFA648B" w14:textId="7A883276" w:rsidR="005F1B96" w:rsidRPr="00F03917" w:rsidRDefault="005F1B96" w:rsidP="00A8581B">
            <w:pPr>
              <w:pStyle w:val="TableText"/>
              <w:rPr>
                <w:rFonts w:ascii="Times New Roman" w:hAnsi="Times New Roman" w:cs="Times New Roman"/>
              </w:rPr>
            </w:pPr>
            <w:r w:rsidRPr="00F03917">
              <w:rPr>
                <w:shd w:val="clear" w:color="auto" w:fill="FFFFFF"/>
              </w:rPr>
              <w:t>[2013] NZEnvC 25</w:t>
            </w:r>
          </w:p>
        </w:tc>
        <w:tc>
          <w:tcPr>
            <w:tcW w:w="567" w:type="dxa"/>
            <w:shd w:val="clear" w:color="auto" w:fill="auto"/>
            <w:hideMark/>
          </w:tcPr>
          <w:p w14:paraId="09F02A80" w14:textId="646665D3" w:rsidR="005F1B96" w:rsidRPr="00F03917" w:rsidRDefault="005F1B96" w:rsidP="00A8581B">
            <w:pPr>
              <w:pStyle w:val="TableText"/>
              <w:rPr>
                <w:rFonts w:ascii="Times New Roman" w:hAnsi="Times New Roman" w:cs="Times New Roman"/>
              </w:rPr>
            </w:pPr>
            <w:r w:rsidRPr="00F03917">
              <w:t>2013</w:t>
            </w:r>
          </w:p>
        </w:tc>
        <w:tc>
          <w:tcPr>
            <w:tcW w:w="1588" w:type="dxa"/>
            <w:shd w:val="clear" w:color="auto" w:fill="auto"/>
            <w:hideMark/>
          </w:tcPr>
          <w:p w14:paraId="5D9B29AB" w14:textId="7B066C43"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249A75AA" w14:textId="4774D951" w:rsidR="005F1B96" w:rsidRPr="00F03917" w:rsidRDefault="005F1B96" w:rsidP="00A8581B">
            <w:pPr>
              <w:pStyle w:val="TableText"/>
              <w:rPr>
                <w:rFonts w:ascii="Times New Roman" w:hAnsi="Times New Roman" w:cs="Times New Roman"/>
              </w:rPr>
            </w:pPr>
            <w:r w:rsidRPr="00F03917">
              <w:t>Resource consent, subdivision, coastal erosion, inundation</w:t>
            </w:r>
          </w:p>
        </w:tc>
        <w:tc>
          <w:tcPr>
            <w:tcW w:w="3289" w:type="dxa"/>
            <w:shd w:val="clear" w:color="auto" w:fill="auto"/>
            <w:hideMark/>
          </w:tcPr>
          <w:p w14:paraId="54A0CDDA" w14:textId="1ACC511D" w:rsidR="005F1B96" w:rsidRPr="00F03917" w:rsidRDefault="005F1B96" w:rsidP="00A8581B">
            <w:pPr>
              <w:pStyle w:val="TableText"/>
              <w:rPr>
                <w:rFonts w:ascii="Times New Roman" w:hAnsi="Times New Roman" w:cs="Times New Roman"/>
              </w:rPr>
            </w:pPr>
            <w:r w:rsidRPr="00F03917">
              <w:t>RMA section 106 and Policy 24 of N</w:t>
            </w:r>
            <w:r w:rsidR="00CD5049" w:rsidRPr="00F03917">
              <w:t xml:space="preserve">ew </w:t>
            </w:r>
            <w:r w:rsidRPr="00F03917">
              <w:t>Z</w:t>
            </w:r>
            <w:r w:rsidR="00CD5049" w:rsidRPr="00F03917">
              <w:t xml:space="preserve">ealand </w:t>
            </w:r>
            <w:r w:rsidRPr="00F03917">
              <w:t>C</w:t>
            </w:r>
            <w:r w:rsidR="00CD5049" w:rsidRPr="00F03917">
              <w:t xml:space="preserve">oastal </w:t>
            </w:r>
            <w:r w:rsidRPr="00F03917">
              <w:t>P</w:t>
            </w:r>
            <w:r w:rsidR="00CD5049" w:rsidRPr="00F03917">
              <w:t xml:space="preserve">olicy </w:t>
            </w:r>
            <w:r w:rsidRPr="00F03917">
              <w:t>S</w:t>
            </w:r>
            <w:r w:rsidR="00CD5049" w:rsidRPr="00F03917">
              <w:t>tatement (NZCPS)</w:t>
            </w:r>
            <w:r w:rsidRPr="00F03917">
              <w:t>, hazard risk to buildings and access from coastal erosion and inundation, meaning of ‘avoidance’ of risk in relation to new development</w:t>
            </w:r>
          </w:p>
        </w:tc>
      </w:tr>
      <w:tr w:rsidR="00C2075E" w:rsidRPr="00F03917" w14:paraId="3A19C6D8" w14:textId="77777777" w:rsidTr="006171C3">
        <w:tc>
          <w:tcPr>
            <w:tcW w:w="2684" w:type="dxa"/>
            <w:shd w:val="clear" w:color="auto" w:fill="auto"/>
            <w:hideMark/>
          </w:tcPr>
          <w:p w14:paraId="5B7633D7" w14:textId="46A7B863" w:rsidR="005F1B96" w:rsidRPr="00F03917" w:rsidRDefault="005F1B96" w:rsidP="00A8581B">
            <w:pPr>
              <w:pStyle w:val="TableText"/>
              <w:rPr>
                <w:rFonts w:ascii="Times New Roman" w:hAnsi="Times New Roman" w:cs="Times New Roman"/>
              </w:rPr>
            </w:pPr>
            <w:r w:rsidRPr="00F03917">
              <w:rPr>
                <w:i/>
                <w:iCs/>
              </w:rPr>
              <w:t>Mahanga E Tu Inc v Hawkes Bay Regional Council</w:t>
            </w:r>
          </w:p>
        </w:tc>
        <w:tc>
          <w:tcPr>
            <w:tcW w:w="3175" w:type="dxa"/>
            <w:shd w:val="clear" w:color="auto" w:fill="auto"/>
            <w:hideMark/>
          </w:tcPr>
          <w:p w14:paraId="60AFB856" w14:textId="5604DFAA" w:rsidR="005F1B96" w:rsidRPr="00F03917" w:rsidRDefault="005F1B96" w:rsidP="00A8581B">
            <w:pPr>
              <w:pStyle w:val="TableText"/>
              <w:rPr>
                <w:rFonts w:ascii="Times New Roman" w:hAnsi="Times New Roman" w:cs="Times New Roman"/>
              </w:rPr>
            </w:pPr>
            <w:r w:rsidRPr="00F03917">
              <w:rPr>
                <w:shd w:val="clear" w:color="auto" w:fill="FFFFFF"/>
              </w:rPr>
              <w:t>Environment Court decision [2014] NZEnvC 83; Decision on conditions [2014] NZEnvC 248</w:t>
            </w:r>
          </w:p>
        </w:tc>
        <w:tc>
          <w:tcPr>
            <w:tcW w:w="567" w:type="dxa"/>
            <w:shd w:val="clear" w:color="auto" w:fill="auto"/>
            <w:hideMark/>
          </w:tcPr>
          <w:p w14:paraId="503FB766" w14:textId="5D9766BA" w:rsidR="005F1B96" w:rsidRPr="00F03917" w:rsidRDefault="005F1B96" w:rsidP="00A8581B">
            <w:pPr>
              <w:pStyle w:val="TableText"/>
              <w:rPr>
                <w:rFonts w:ascii="Times New Roman" w:hAnsi="Times New Roman" w:cs="Times New Roman"/>
              </w:rPr>
            </w:pPr>
            <w:r w:rsidRPr="00F03917">
              <w:t>2014</w:t>
            </w:r>
          </w:p>
        </w:tc>
        <w:tc>
          <w:tcPr>
            <w:tcW w:w="1588" w:type="dxa"/>
            <w:shd w:val="clear" w:color="auto" w:fill="auto"/>
            <w:hideMark/>
          </w:tcPr>
          <w:p w14:paraId="376B9D12" w14:textId="4855ADB9"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36758D49" w14:textId="70305AEA" w:rsidR="005F1B96" w:rsidRPr="00F03917" w:rsidRDefault="005F1B96" w:rsidP="00A8581B">
            <w:pPr>
              <w:pStyle w:val="TableText"/>
              <w:rPr>
                <w:rFonts w:ascii="Times New Roman" w:hAnsi="Times New Roman" w:cs="Times New Roman"/>
              </w:rPr>
            </w:pPr>
            <w:r w:rsidRPr="00F03917">
              <w:t>Subdivision, land use consent, coastal hazard zones</w:t>
            </w:r>
          </w:p>
        </w:tc>
        <w:tc>
          <w:tcPr>
            <w:tcW w:w="3289" w:type="dxa"/>
            <w:shd w:val="clear" w:color="auto" w:fill="auto"/>
            <w:hideMark/>
          </w:tcPr>
          <w:p w14:paraId="56BA09E0" w14:textId="24EB9A8A" w:rsidR="005F1B96" w:rsidRPr="00F03917" w:rsidRDefault="005F1B96" w:rsidP="00A8581B">
            <w:pPr>
              <w:pStyle w:val="TableText"/>
              <w:rPr>
                <w:rFonts w:ascii="Times New Roman" w:hAnsi="Times New Roman" w:cs="Times New Roman"/>
              </w:rPr>
            </w:pPr>
            <w:r w:rsidRPr="00F03917">
              <w:t>Conditions for land use and subdivision consents and discharge permits, accepting risk of natural hazards</w:t>
            </w:r>
          </w:p>
        </w:tc>
      </w:tr>
      <w:tr w:rsidR="00C2075E" w:rsidRPr="00F03917" w14:paraId="026AA533" w14:textId="77777777" w:rsidTr="006171C3">
        <w:tc>
          <w:tcPr>
            <w:tcW w:w="2684" w:type="dxa"/>
            <w:shd w:val="clear" w:color="auto" w:fill="auto"/>
            <w:hideMark/>
          </w:tcPr>
          <w:p w14:paraId="09EE1899" w14:textId="2B599AD6" w:rsidR="005F1B96" w:rsidRPr="00F03917" w:rsidRDefault="005F1B96" w:rsidP="00A8581B">
            <w:pPr>
              <w:pStyle w:val="TableText"/>
              <w:rPr>
                <w:rFonts w:ascii="Times New Roman" w:hAnsi="Times New Roman" w:cs="Times New Roman"/>
              </w:rPr>
            </w:pPr>
            <w:r w:rsidRPr="00F03917">
              <w:rPr>
                <w:i/>
                <w:iCs/>
              </w:rPr>
              <w:lastRenderedPageBreak/>
              <w:t>Gallagher v Tasman District Council</w:t>
            </w:r>
          </w:p>
        </w:tc>
        <w:tc>
          <w:tcPr>
            <w:tcW w:w="3175" w:type="dxa"/>
            <w:shd w:val="clear" w:color="auto" w:fill="auto"/>
            <w:hideMark/>
          </w:tcPr>
          <w:p w14:paraId="0E326E0B" w14:textId="14054DE8" w:rsidR="005F1B96" w:rsidRPr="00F03917" w:rsidRDefault="005F1B96" w:rsidP="00A8581B">
            <w:pPr>
              <w:pStyle w:val="TableText"/>
              <w:rPr>
                <w:rFonts w:ascii="Times New Roman" w:hAnsi="Times New Roman" w:cs="Times New Roman"/>
              </w:rPr>
            </w:pPr>
            <w:r w:rsidRPr="00F03917">
              <w:rPr>
                <w:shd w:val="clear" w:color="auto" w:fill="FFFFFF"/>
              </w:rPr>
              <w:t>[2014] NZEnvC 245</w:t>
            </w:r>
          </w:p>
        </w:tc>
        <w:tc>
          <w:tcPr>
            <w:tcW w:w="567" w:type="dxa"/>
            <w:shd w:val="clear" w:color="auto" w:fill="auto"/>
            <w:hideMark/>
          </w:tcPr>
          <w:p w14:paraId="3FB441E9" w14:textId="621A66D7" w:rsidR="005F1B96" w:rsidRPr="00F03917" w:rsidRDefault="005F1B96" w:rsidP="00A8581B">
            <w:pPr>
              <w:pStyle w:val="TableText"/>
              <w:rPr>
                <w:rFonts w:ascii="Times New Roman" w:hAnsi="Times New Roman" w:cs="Times New Roman"/>
              </w:rPr>
            </w:pPr>
            <w:r w:rsidRPr="00F03917">
              <w:t>2014</w:t>
            </w:r>
          </w:p>
        </w:tc>
        <w:tc>
          <w:tcPr>
            <w:tcW w:w="1588" w:type="dxa"/>
            <w:shd w:val="clear" w:color="auto" w:fill="auto"/>
            <w:hideMark/>
          </w:tcPr>
          <w:p w14:paraId="01515E0A" w14:textId="1CE10271"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299169AB" w14:textId="0A1CAF82" w:rsidR="005F1B96" w:rsidRPr="00F03917" w:rsidRDefault="005F1B96" w:rsidP="00A8581B">
            <w:pPr>
              <w:pStyle w:val="TableText"/>
              <w:rPr>
                <w:rFonts w:ascii="Times New Roman" w:hAnsi="Times New Roman" w:cs="Times New Roman"/>
              </w:rPr>
            </w:pPr>
            <w:r w:rsidRPr="00F03917">
              <w:t>Subdivision, resource consent, coastal erosion, inundation, district plan</w:t>
            </w:r>
          </w:p>
        </w:tc>
        <w:tc>
          <w:tcPr>
            <w:tcW w:w="3289" w:type="dxa"/>
            <w:shd w:val="clear" w:color="auto" w:fill="auto"/>
            <w:hideMark/>
          </w:tcPr>
          <w:p w14:paraId="4A8F9C43" w14:textId="40DF1C3F" w:rsidR="005F1B96" w:rsidRPr="00F03917" w:rsidRDefault="005F1B96" w:rsidP="00A8581B">
            <w:pPr>
              <w:pStyle w:val="TableText"/>
              <w:rPr>
                <w:rFonts w:ascii="Times New Roman" w:hAnsi="Times New Roman" w:cs="Times New Roman"/>
              </w:rPr>
            </w:pPr>
            <w:r w:rsidRPr="00F03917">
              <w:t>Amendments to district plan to manage hazard risk, coastal hazard identification and management, present and future risk exposure, and application of NZCPS policies</w:t>
            </w:r>
          </w:p>
        </w:tc>
      </w:tr>
      <w:tr w:rsidR="00C2075E" w:rsidRPr="00F03917" w14:paraId="0DDCEF35" w14:textId="77777777" w:rsidTr="006171C3">
        <w:tc>
          <w:tcPr>
            <w:tcW w:w="2684" w:type="dxa"/>
            <w:shd w:val="clear" w:color="auto" w:fill="auto"/>
          </w:tcPr>
          <w:p w14:paraId="16335B1C" w14:textId="4A4B6FD5" w:rsidR="001B6655" w:rsidRPr="00F03917" w:rsidRDefault="001B6655" w:rsidP="00A8581B">
            <w:pPr>
              <w:pStyle w:val="TableText"/>
              <w:rPr>
                <w:i/>
                <w:iCs/>
              </w:rPr>
            </w:pPr>
            <w:r w:rsidRPr="00F03917">
              <w:rPr>
                <w:i/>
                <w:iCs/>
              </w:rPr>
              <w:t>Environmental Defence Society Inc v The New Zealand King Salmon Company Ltd</w:t>
            </w:r>
          </w:p>
        </w:tc>
        <w:tc>
          <w:tcPr>
            <w:tcW w:w="3175" w:type="dxa"/>
            <w:shd w:val="clear" w:color="auto" w:fill="auto"/>
          </w:tcPr>
          <w:p w14:paraId="4B3AF03A" w14:textId="2F85E088" w:rsidR="001B6655" w:rsidRPr="00F03917" w:rsidRDefault="001B6655" w:rsidP="00A8581B">
            <w:pPr>
              <w:pStyle w:val="TableText"/>
              <w:rPr>
                <w:shd w:val="clear" w:color="auto" w:fill="FFFFFF"/>
              </w:rPr>
            </w:pPr>
            <w:r w:rsidRPr="00F03917">
              <w:rPr>
                <w:shd w:val="clear" w:color="auto" w:fill="FFFFFF"/>
              </w:rPr>
              <w:t>Supreme Court decision [2014] NZSC 38; High Court decision [2013] NZHC 1992</w:t>
            </w:r>
          </w:p>
        </w:tc>
        <w:tc>
          <w:tcPr>
            <w:tcW w:w="567" w:type="dxa"/>
            <w:shd w:val="clear" w:color="auto" w:fill="auto"/>
          </w:tcPr>
          <w:p w14:paraId="2F1EBD9C" w14:textId="70BE377E" w:rsidR="001B6655" w:rsidRPr="00F03917" w:rsidRDefault="001B6655" w:rsidP="00A8581B">
            <w:pPr>
              <w:pStyle w:val="TableText"/>
            </w:pPr>
            <w:r w:rsidRPr="00F03917">
              <w:t>2014</w:t>
            </w:r>
          </w:p>
        </w:tc>
        <w:tc>
          <w:tcPr>
            <w:tcW w:w="1588" w:type="dxa"/>
            <w:shd w:val="clear" w:color="auto" w:fill="auto"/>
          </w:tcPr>
          <w:p w14:paraId="495CC9A9" w14:textId="1456D686" w:rsidR="001B6655" w:rsidRPr="00F03917" w:rsidRDefault="001B6655" w:rsidP="00A8581B">
            <w:pPr>
              <w:pStyle w:val="TableText"/>
            </w:pPr>
            <w:r w:rsidRPr="00F03917">
              <w:t>Supreme Court</w:t>
            </w:r>
          </w:p>
        </w:tc>
        <w:tc>
          <w:tcPr>
            <w:tcW w:w="2835" w:type="dxa"/>
            <w:shd w:val="clear" w:color="auto" w:fill="auto"/>
          </w:tcPr>
          <w:p w14:paraId="07B136E2" w14:textId="79A0D16F" w:rsidR="001B6655" w:rsidRPr="00F03917" w:rsidRDefault="001B6655" w:rsidP="00A8581B">
            <w:pPr>
              <w:pStyle w:val="TableText"/>
            </w:pPr>
            <w:r w:rsidRPr="00F03917">
              <w:t>Plan change, resource consent, outstanding coastal landscape, natural character areas</w:t>
            </w:r>
          </w:p>
        </w:tc>
        <w:tc>
          <w:tcPr>
            <w:tcW w:w="3289" w:type="dxa"/>
            <w:shd w:val="clear" w:color="auto" w:fill="auto"/>
          </w:tcPr>
          <w:p w14:paraId="34933174" w14:textId="17DD1F60" w:rsidR="001B6655" w:rsidRPr="00F03917" w:rsidRDefault="001B6655" w:rsidP="00A8581B">
            <w:pPr>
              <w:pStyle w:val="TableText"/>
            </w:pPr>
            <w:r w:rsidRPr="00F03917">
              <w:t>Interpretation of NZCPS policies, and importance of strategic planning in giving effect to NZCPS</w:t>
            </w:r>
          </w:p>
        </w:tc>
      </w:tr>
      <w:tr w:rsidR="00C2075E" w:rsidRPr="00F03917" w14:paraId="1833F230" w14:textId="77777777" w:rsidTr="006171C3">
        <w:tc>
          <w:tcPr>
            <w:tcW w:w="2684" w:type="dxa"/>
            <w:shd w:val="clear" w:color="auto" w:fill="auto"/>
            <w:hideMark/>
          </w:tcPr>
          <w:p w14:paraId="50505212" w14:textId="78156BCE" w:rsidR="005F1B96" w:rsidRPr="00F03917" w:rsidRDefault="005F1B96" w:rsidP="00A8581B">
            <w:pPr>
              <w:pStyle w:val="TableText"/>
              <w:rPr>
                <w:rFonts w:ascii="Times New Roman" w:hAnsi="Times New Roman" w:cs="Times New Roman"/>
              </w:rPr>
            </w:pPr>
            <w:r w:rsidRPr="00F03917">
              <w:rPr>
                <w:i/>
                <w:iCs/>
              </w:rPr>
              <w:t>Coastal Ratepayers United Inc v Kāpiti Coast District Council</w:t>
            </w:r>
          </w:p>
        </w:tc>
        <w:tc>
          <w:tcPr>
            <w:tcW w:w="3175" w:type="dxa"/>
            <w:shd w:val="clear" w:color="auto" w:fill="auto"/>
            <w:hideMark/>
          </w:tcPr>
          <w:p w14:paraId="34694D64" w14:textId="3E039194" w:rsidR="005F1B96" w:rsidRPr="00F03917" w:rsidRDefault="005F1B96" w:rsidP="00A8581B">
            <w:pPr>
              <w:pStyle w:val="TableText"/>
              <w:rPr>
                <w:rFonts w:ascii="Times New Roman" w:hAnsi="Times New Roman" w:cs="Times New Roman"/>
              </w:rPr>
            </w:pPr>
            <w:r w:rsidRPr="00F03917">
              <w:rPr>
                <w:shd w:val="clear" w:color="auto" w:fill="FFFFFF"/>
              </w:rPr>
              <w:t>High Court decision [2017] NZHC 2933; Environment Court decision [2017] NZEnvC 100</w:t>
            </w:r>
          </w:p>
        </w:tc>
        <w:tc>
          <w:tcPr>
            <w:tcW w:w="567" w:type="dxa"/>
            <w:shd w:val="clear" w:color="auto" w:fill="auto"/>
            <w:hideMark/>
          </w:tcPr>
          <w:p w14:paraId="46CABF6F" w14:textId="4C63C333" w:rsidR="005F1B96" w:rsidRPr="00F03917" w:rsidRDefault="005F1B96" w:rsidP="00A8581B">
            <w:pPr>
              <w:pStyle w:val="TableText"/>
              <w:rPr>
                <w:rFonts w:ascii="Times New Roman" w:hAnsi="Times New Roman" w:cs="Times New Roman"/>
              </w:rPr>
            </w:pPr>
            <w:r w:rsidRPr="00F03917">
              <w:t>2017</w:t>
            </w:r>
          </w:p>
        </w:tc>
        <w:tc>
          <w:tcPr>
            <w:tcW w:w="1588" w:type="dxa"/>
            <w:shd w:val="clear" w:color="auto" w:fill="auto"/>
            <w:hideMark/>
          </w:tcPr>
          <w:p w14:paraId="6B1ED173" w14:textId="6270901E" w:rsidR="005F1B96" w:rsidRPr="00F03917" w:rsidRDefault="005F1B96" w:rsidP="00A8581B">
            <w:pPr>
              <w:pStyle w:val="TableText"/>
              <w:rPr>
                <w:rFonts w:ascii="Times New Roman" w:hAnsi="Times New Roman" w:cs="Times New Roman"/>
              </w:rPr>
            </w:pPr>
            <w:r w:rsidRPr="00F03917">
              <w:t>High Court</w:t>
            </w:r>
          </w:p>
        </w:tc>
        <w:tc>
          <w:tcPr>
            <w:tcW w:w="2835" w:type="dxa"/>
            <w:shd w:val="clear" w:color="auto" w:fill="auto"/>
            <w:hideMark/>
          </w:tcPr>
          <w:p w14:paraId="18561799" w14:textId="298F8723" w:rsidR="005F1B96" w:rsidRPr="00F03917" w:rsidRDefault="005F1B96" w:rsidP="00A8581B">
            <w:pPr>
              <w:pStyle w:val="TableText"/>
              <w:rPr>
                <w:rFonts w:ascii="Times New Roman" w:hAnsi="Times New Roman" w:cs="Times New Roman"/>
              </w:rPr>
            </w:pPr>
            <w:r w:rsidRPr="00F03917">
              <w:t>District plan, coastal hazards, declaration, council procedures</w:t>
            </w:r>
          </w:p>
        </w:tc>
        <w:tc>
          <w:tcPr>
            <w:tcW w:w="3289" w:type="dxa"/>
            <w:shd w:val="clear" w:color="auto" w:fill="auto"/>
            <w:hideMark/>
          </w:tcPr>
          <w:p w14:paraId="39D414EF" w14:textId="4D363C77" w:rsidR="005F1B96" w:rsidRPr="00F03917" w:rsidRDefault="005F1B96" w:rsidP="00A8581B">
            <w:pPr>
              <w:pStyle w:val="TableText"/>
              <w:rPr>
                <w:rFonts w:ascii="Times New Roman" w:hAnsi="Times New Roman" w:cs="Times New Roman"/>
              </w:rPr>
            </w:pPr>
            <w:r w:rsidRPr="00F03917">
              <w:t>Provisions in proposed district plan relating to coastal hazard management</w:t>
            </w:r>
          </w:p>
        </w:tc>
      </w:tr>
      <w:tr w:rsidR="00C2075E" w:rsidRPr="00F03917" w14:paraId="33B9F6BD" w14:textId="77777777" w:rsidTr="006171C3">
        <w:tc>
          <w:tcPr>
            <w:tcW w:w="2684" w:type="dxa"/>
            <w:shd w:val="clear" w:color="auto" w:fill="auto"/>
            <w:hideMark/>
          </w:tcPr>
          <w:p w14:paraId="1BDEDB5B" w14:textId="69222BD0" w:rsidR="005F1B96" w:rsidRPr="00F03917" w:rsidRDefault="005F1B96" w:rsidP="00A8581B">
            <w:pPr>
              <w:pStyle w:val="TableText"/>
              <w:rPr>
                <w:i/>
                <w:iCs/>
              </w:rPr>
            </w:pPr>
            <w:r w:rsidRPr="00F03917">
              <w:rPr>
                <w:i/>
                <w:iCs/>
              </w:rPr>
              <w:t>Man O’War Farm Ltd v Auckland Council</w:t>
            </w:r>
          </w:p>
        </w:tc>
        <w:tc>
          <w:tcPr>
            <w:tcW w:w="3175" w:type="dxa"/>
            <w:shd w:val="clear" w:color="auto" w:fill="auto"/>
            <w:hideMark/>
          </w:tcPr>
          <w:p w14:paraId="4F91E336" w14:textId="29F4C23E" w:rsidR="005F1B96" w:rsidRPr="00F03917" w:rsidRDefault="005F1B96" w:rsidP="00A8581B">
            <w:pPr>
              <w:pStyle w:val="TableText"/>
            </w:pPr>
            <w:r w:rsidRPr="00F03917">
              <w:t>[2017] NZHC 1349</w:t>
            </w:r>
          </w:p>
        </w:tc>
        <w:tc>
          <w:tcPr>
            <w:tcW w:w="567" w:type="dxa"/>
            <w:shd w:val="clear" w:color="auto" w:fill="auto"/>
            <w:hideMark/>
          </w:tcPr>
          <w:p w14:paraId="2AC66E74" w14:textId="2A44610F" w:rsidR="005F1B96" w:rsidRPr="00F03917" w:rsidRDefault="005F1B96" w:rsidP="00A8581B">
            <w:pPr>
              <w:pStyle w:val="TableText"/>
            </w:pPr>
            <w:r w:rsidRPr="00F03917">
              <w:t>2017</w:t>
            </w:r>
          </w:p>
        </w:tc>
        <w:tc>
          <w:tcPr>
            <w:tcW w:w="1588" w:type="dxa"/>
            <w:shd w:val="clear" w:color="auto" w:fill="auto"/>
            <w:hideMark/>
          </w:tcPr>
          <w:p w14:paraId="198817D5" w14:textId="5DA66DBD" w:rsidR="005F1B96" w:rsidRPr="00F03917" w:rsidRDefault="005F1B96" w:rsidP="00A8581B">
            <w:pPr>
              <w:pStyle w:val="TableText"/>
            </w:pPr>
            <w:r w:rsidRPr="00F03917">
              <w:t>High Court</w:t>
            </w:r>
          </w:p>
        </w:tc>
        <w:tc>
          <w:tcPr>
            <w:tcW w:w="2835" w:type="dxa"/>
            <w:shd w:val="clear" w:color="auto" w:fill="auto"/>
            <w:hideMark/>
          </w:tcPr>
          <w:p w14:paraId="150708FE" w14:textId="6B44D46B" w:rsidR="005F1B96" w:rsidRPr="00F03917" w:rsidRDefault="005F1B96" w:rsidP="00A8581B">
            <w:pPr>
              <w:pStyle w:val="TableText"/>
            </w:pPr>
            <w:r w:rsidRPr="00F03917">
              <w:t>District plan, coastal hazards, erosion, definition</w:t>
            </w:r>
          </w:p>
        </w:tc>
        <w:tc>
          <w:tcPr>
            <w:tcW w:w="3289" w:type="dxa"/>
            <w:shd w:val="clear" w:color="auto" w:fill="auto"/>
            <w:hideMark/>
          </w:tcPr>
          <w:p w14:paraId="49F0BE1B" w14:textId="3561682E" w:rsidR="005F1B96" w:rsidRPr="00F03917" w:rsidRDefault="005F1B96" w:rsidP="00A8581B">
            <w:pPr>
              <w:pStyle w:val="TableText"/>
            </w:pPr>
            <w:r w:rsidRPr="00F03917">
              <w:t xml:space="preserve">Legality of definition of land </w:t>
            </w:r>
            <w:r w:rsidR="00F61728" w:rsidRPr="00F03917">
              <w:t xml:space="preserve">that </w:t>
            </w:r>
            <w:r w:rsidRPr="00F03917">
              <w:t>may be subject to coastal hazards in district plan; amendments to district plan to rectify uncertain definition</w:t>
            </w:r>
          </w:p>
        </w:tc>
      </w:tr>
      <w:tr w:rsidR="00C2075E" w:rsidRPr="00F03917" w14:paraId="0A081F07" w14:textId="77777777" w:rsidTr="006171C3">
        <w:tc>
          <w:tcPr>
            <w:tcW w:w="2684" w:type="dxa"/>
            <w:shd w:val="clear" w:color="auto" w:fill="auto"/>
            <w:hideMark/>
          </w:tcPr>
          <w:p w14:paraId="003B7DD7" w14:textId="5E3CABA6" w:rsidR="005F1B96" w:rsidRPr="00F03917" w:rsidRDefault="005F1B96" w:rsidP="00A8581B">
            <w:pPr>
              <w:pStyle w:val="TableText"/>
              <w:rPr>
                <w:rFonts w:ascii="Times New Roman" w:hAnsi="Times New Roman" w:cs="Times New Roman"/>
              </w:rPr>
            </w:pPr>
            <w:r w:rsidRPr="00F03917">
              <w:rPr>
                <w:i/>
                <w:iCs/>
              </w:rPr>
              <w:t>Auckland Council v Auckland Council</w:t>
            </w:r>
          </w:p>
        </w:tc>
        <w:tc>
          <w:tcPr>
            <w:tcW w:w="3175" w:type="dxa"/>
            <w:shd w:val="clear" w:color="auto" w:fill="auto"/>
            <w:hideMark/>
          </w:tcPr>
          <w:p w14:paraId="05575808" w14:textId="2DCC9872" w:rsidR="005F1B96" w:rsidRPr="00F03917" w:rsidRDefault="005F1B96" w:rsidP="00A8581B">
            <w:pPr>
              <w:pStyle w:val="TableText"/>
              <w:rPr>
                <w:rFonts w:ascii="Times New Roman" w:hAnsi="Times New Roman" w:cs="Times New Roman"/>
              </w:rPr>
            </w:pPr>
            <w:r w:rsidRPr="00F03917">
              <w:rPr>
                <w:shd w:val="clear" w:color="auto" w:fill="FFFFFF"/>
              </w:rPr>
              <w:t>[2020] NZEnvC 70</w:t>
            </w:r>
          </w:p>
        </w:tc>
        <w:tc>
          <w:tcPr>
            <w:tcW w:w="567" w:type="dxa"/>
            <w:shd w:val="clear" w:color="auto" w:fill="auto"/>
            <w:hideMark/>
          </w:tcPr>
          <w:p w14:paraId="02D8E3DB" w14:textId="1C4C34A6" w:rsidR="005F1B96" w:rsidRPr="00F03917" w:rsidRDefault="005F1B96" w:rsidP="00A8581B">
            <w:pPr>
              <w:pStyle w:val="TableText"/>
              <w:rPr>
                <w:rFonts w:ascii="Times New Roman" w:hAnsi="Times New Roman" w:cs="Times New Roman"/>
              </w:rPr>
            </w:pPr>
            <w:r w:rsidRPr="00F03917">
              <w:t>2020</w:t>
            </w:r>
          </w:p>
        </w:tc>
        <w:tc>
          <w:tcPr>
            <w:tcW w:w="1588" w:type="dxa"/>
            <w:shd w:val="clear" w:color="auto" w:fill="auto"/>
            <w:hideMark/>
          </w:tcPr>
          <w:p w14:paraId="55AA0C34" w14:textId="54CCC559"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77A31108" w14:textId="4A95FACA" w:rsidR="005F1B96" w:rsidRPr="00F03917" w:rsidRDefault="005F1B96" w:rsidP="00A8581B">
            <w:pPr>
              <w:pStyle w:val="TableText"/>
              <w:rPr>
                <w:rFonts w:ascii="Times New Roman" w:hAnsi="Times New Roman" w:cs="Times New Roman"/>
              </w:rPr>
            </w:pPr>
            <w:r w:rsidRPr="00F03917">
              <w:t>Resource consent, coastal marine area, NZCPS</w:t>
            </w:r>
          </w:p>
        </w:tc>
        <w:tc>
          <w:tcPr>
            <w:tcW w:w="3289" w:type="dxa"/>
            <w:shd w:val="clear" w:color="auto" w:fill="auto"/>
            <w:hideMark/>
          </w:tcPr>
          <w:p w14:paraId="45D15073" w14:textId="73F5D1D8" w:rsidR="005F1B96" w:rsidRPr="00F03917" w:rsidRDefault="005F1B96" w:rsidP="00A8581B">
            <w:pPr>
              <w:pStyle w:val="TableText"/>
              <w:rPr>
                <w:rFonts w:ascii="Times New Roman" w:hAnsi="Times New Roman" w:cs="Times New Roman"/>
              </w:rPr>
            </w:pPr>
            <w:r w:rsidRPr="00F03917">
              <w:t>Application of section 104 of the RMA and NZCPS, consent for works on part of an esplanade reserve affected by erosion</w:t>
            </w:r>
          </w:p>
        </w:tc>
      </w:tr>
      <w:tr w:rsidR="00C2075E" w:rsidRPr="00F03917" w14:paraId="09C0BBB6" w14:textId="77777777" w:rsidTr="006171C3">
        <w:tc>
          <w:tcPr>
            <w:tcW w:w="2684" w:type="dxa"/>
            <w:shd w:val="clear" w:color="auto" w:fill="auto"/>
            <w:hideMark/>
          </w:tcPr>
          <w:p w14:paraId="749AFB73" w14:textId="5891DEC3" w:rsidR="005F1B96" w:rsidRPr="00F03917" w:rsidRDefault="005F1B96" w:rsidP="00A8581B">
            <w:pPr>
              <w:pStyle w:val="TableText"/>
              <w:rPr>
                <w:rFonts w:ascii="Times New Roman" w:hAnsi="Times New Roman" w:cs="Times New Roman"/>
              </w:rPr>
            </w:pPr>
            <w:r w:rsidRPr="00F03917">
              <w:rPr>
                <w:i/>
                <w:iCs/>
              </w:rPr>
              <w:t>Smith v Christchurch City Council</w:t>
            </w:r>
          </w:p>
        </w:tc>
        <w:tc>
          <w:tcPr>
            <w:tcW w:w="3175" w:type="dxa"/>
            <w:shd w:val="clear" w:color="auto" w:fill="auto"/>
            <w:hideMark/>
          </w:tcPr>
          <w:p w14:paraId="78AD558C" w14:textId="1D0111AD" w:rsidR="005F1B96" w:rsidRPr="00F03917" w:rsidRDefault="005F1B96" w:rsidP="00A8581B">
            <w:pPr>
              <w:pStyle w:val="TableText"/>
              <w:rPr>
                <w:rFonts w:ascii="Times New Roman" w:hAnsi="Times New Roman" w:cs="Times New Roman"/>
              </w:rPr>
            </w:pPr>
            <w:r w:rsidRPr="00F03917">
              <w:rPr>
                <w:shd w:val="clear" w:color="auto" w:fill="FFFFFF"/>
              </w:rPr>
              <w:t>[2022] NZEnvC 86</w:t>
            </w:r>
          </w:p>
        </w:tc>
        <w:tc>
          <w:tcPr>
            <w:tcW w:w="567" w:type="dxa"/>
            <w:shd w:val="clear" w:color="auto" w:fill="auto"/>
            <w:hideMark/>
          </w:tcPr>
          <w:p w14:paraId="2CB7D5EB" w14:textId="328C80A0" w:rsidR="005F1B96" w:rsidRPr="00F03917" w:rsidRDefault="005F1B96" w:rsidP="00A8581B">
            <w:pPr>
              <w:pStyle w:val="TableText"/>
              <w:rPr>
                <w:rFonts w:ascii="Times New Roman" w:hAnsi="Times New Roman" w:cs="Times New Roman"/>
              </w:rPr>
            </w:pPr>
            <w:r w:rsidRPr="00F03917">
              <w:t>2022</w:t>
            </w:r>
          </w:p>
        </w:tc>
        <w:tc>
          <w:tcPr>
            <w:tcW w:w="1588" w:type="dxa"/>
            <w:shd w:val="clear" w:color="auto" w:fill="auto"/>
            <w:hideMark/>
          </w:tcPr>
          <w:p w14:paraId="23966E2B" w14:textId="165E4A98"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5D0D1A45" w14:textId="76C30334" w:rsidR="005F1B96" w:rsidRPr="00F03917" w:rsidRDefault="005F1B96" w:rsidP="00A8581B">
            <w:pPr>
              <w:pStyle w:val="TableText"/>
              <w:rPr>
                <w:rFonts w:ascii="Times New Roman" w:hAnsi="Times New Roman" w:cs="Times New Roman"/>
              </w:rPr>
            </w:pPr>
            <w:r w:rsidRPr="00F03917">
              <w:t>District plan, resource consent, flood, natural hazards, consent order</w:t>
            </w:r>
          </w:p>
        </w:tc>
        <w:tc>
          <w:tcPr>
            <w:tcW w:w="3289" w:type="dxa"/>
            <w:shd w:val="clear" w:color="auto" w:fill="auto"/>
            <w:hideMark/>
          </w:tcPr>
          <w:p w14:paraId="5AB5C12D" w14:textId="38802FCC" w:rsidR="005F1B96" w:rsidRPr="00F03917" w:rsidRDefault="005F1B96" w:rsidP="00A8581B">
            <w:pPr>
              <w:pStyle w:val="TableText"/>
              <w:rPr>
                <w:rFonts w:ascii="Times New Roman" w:hAnsi="Times New Roman" w:cs="Times New Roman"/>
              </w:rPr>
            </w:pPr>
            <w:r w:rsidRPr="00F03917">
              <w:t>Risk of natural hazards (flooding) to people and property</w:t>
            </w:r>
          </w:p>
        </w:tc>
      </w:tr>
      <w:tr w:rsidR="00C2075E" w:rsidRPr="00F03917" w14:paraId="68FC9EA7" w14:textId="77777777" w:rsidTr="006171C3">
        <w:tc>
          <w:tcPr>
            <w:tcW w:w="2684" w:type="dxa"/>
            <w:shd w:val="clear" w:color="auto" w:fill="auto"/>
            <w:hideMark/>
          </w:tcPr>
          <w:p w14:paraId="41EDD8DC" w14:textId="6F1BC869" w:rsidR="005F1B96" w:rsidRPr="00F03917" w:rsidRDefault="005F1B96" w:rsidP="00A8581B">
            <w:pPr>
              <w:pStyle w:val="TableText"/>
              <w:rPr>
                <w:rFonts w:ascii="Times New Roman" w:hAnsi="Times New Roman" w:cs="Times New Roman"/>
              </w:rPr>
            </w:pPr>
            <w:r w:rsidRPr="00F03917">
              <w:rPr>
                <w:i/>
                <w:iCs/>
              </w:rPr>
              <w:t>Federated Farmers of New Zealand v Waikato District Council</w:t>
            </w:r>
          </w:p>
        </w:tc>
        <w:tc>
          <w:tcPr>
            <w:tcW w:w="3175" w:type="dxa"/>
            <w:shd w:val="clear" w:color="auto" w:fill="auto"/>
            <w:hideMark/>
          </w:tcPr>
          <w:p w14:paraId="5CA53C0C" w14:textId="4D0FDF88" w:rsidR="005F1B96" w:rsidRPr="00F03917" w:rsidRDefault="005F1B96" w:rsidP="00A8581B">
            <w:pPr>
              <w:pStyle w:val="TableText"/>
              <w:rPr>
                <w:rFonts w:ascii="Times New Roman" w:hAnsi="Times New Roman" w:cs="Times New Roman"/>
              </w:rPr>
            </w:pPr>
            <w:r w:rsidRPr="00F03917">
              <w:rPr>
                <w:shd w:val="clear" w:color="auto" w:fill="FFFFFF"/>
              </w:rPr>
              <w:t>[2023] NZEnvC 220</w:t>
            </w:r>
          </w:p>
        </w:tc>
        <w:tc>
          <w:tcPr>
            <w:tcW w:w="567" w:type="dxa"/>
            <w:shd w:val="clear" w:color="auto" w:fill="auto"/>
            <w:hideMark/>
          </w:tcPr>
          <w:p w14:paraId="49FD872E" w14:textId="532F3611" w:rsidR="005F1B96" w:rsidRPr="00F03917" w:rsidRDefault="005F1B96" w:rsidP="00A8581B">
            <w:pPr>
              <w:pStyle w:val="TableText"/>
              <w:rPr>
                <w:rFonts w:ascii="Times New Roman" w:hAnsi="Times New Roman" w:cs="Times New Roman"/>
              </w:rPr>
            </w:pPr>
            <w:r w:rsidRPr="00F03917">
              <w:t>2023</w:t>
            </w:r>
          </w:p>
        </w:tc>
        <w:tc>
          <w:tcPr>
            <w:tcW w:w="1588" w:type="dxa"/>
            <w:shd w:val="clear" w:color="auto" w:fill="auto"/>
            <w:hideMark/>
          </w:tcPr>
          <w:p w14:paraId="1E37BBFE" w14:textId="21B65D76" w:rsidR="005F1B96" w:rsidRPr="00F03917" w:rsidRDefault="005F1B96" w:rsidP="00A8581B">
            <w:pPr>
              <w:pStyle w:val="TableText"/>
              <w:rPr>
                <w:rFonts w:ascii="Times New Roman" w:hAnsi="Times New Roman" w:cs="Times New Roman"/>
              </w:rPr>
            </w:pPr>
            <w:r w:rsidRPr="00F03917">
              <w:t>Environment Court</w:t>
            </w:r>
          </w:p>
        </w:tc>
        <w:tc>
          <w:tcPr>
            <w:tcW w:w="2835" w:type="dxa"/>
            <w:shd w:val="clear" w:color="auto" w:fill="auto"/>
            <w:hideMark/>
          </w:tcPr>
          <w:p w14:paraId="5B33AF4D" w14:textId="325ECA58" w:rsidR="005F1B96" w:rsidRPr="00F03917" w:rsidRDefault="005F1B96" w:rsidP="00A8581B">
            <w:pPr>
              <w:pStyle w:val="TableText"/>
              <w:rPr>
                <w:rFonts w:ascii="Times New Roman" w:hAnsi="Times New Roman" w:cs="Times New Roman"/>
              </w:rPr>
            </w:pPr>
            <w:r w:rsidRPr="00F03917">
              <w:t>Consent order, district plan, natural hazards</w:t>
            </w:r>
          </w:p>
        </w:tc>
        <w:tc>
          <w:tcPr>
            <w:tcW w:w="3289" w:type="dxa"/>
            <w:shd w:val="clear" w:color="auto" w:fill="auto"/>
            <w:hideMark/>
          </w:tcPr>
          <w:p w14:paraId="68D9075E" w14:textId="28B68758" w:rsidR="005F1B96" w:rsidRPr="00F03917" w:rsidRDefault="005F1B96" w:rsidP="00A8581B">
            <w:pPr>
              <w:pStyle w:val="TableText"/>
              <w:rPr>
                <w:rFonts w:ascii="Times New Roman" w:hAnsi="Times New Roman" w:cs="Times New Roman"/>
              </w:rPr>
            </w:pPr>
            <w:r w:rsidRPr="00F03917">
              <w:t>Natural hazards and climate change provisions in proposed district plan</w:t>
            </w:r>
          </w:p>
        </w:tc>
      </w:tr>
      <w:tr w:rsidR="00C2075E" w:rsidRPr="00F03917" w14:paraId="63864898" w14:textId="77777777" w:rsidTr="006171C3">
        <w:tc>
          <w:tcPr>
            <w:tcW w:w="2684" w:type="dxa"/>
            <w:shd w:val="clear" w:color="auto" w:fill="auto"/>
            <w:hideMark/>
          </w:tcPr>
          <w:p w14:paraId="3E5F5006" w14:textId="17E461BA" w:rsidR="005F1B96" w:rsidRPr="00F03917" w:rsidRDefault="005F1B96" w:rsidP="00A8581B">
            <w:pPr>
              <w:pStyle w:val="TableText"/>
              <w:rPr>
                <w:rFonts w:ascii="Times New Roman" w:hAnsi="Times New Roman" w:cs="Times New Roman"/>
              </w:rPr>
            </w:pPr>
            <w:r w:rsidRPr="00F03917">
              <w:rPr>
                <w:i/>
                <w:iCs/>
              </w:rPr>
              <w:t>Young v Attorney-General</w:t>
            </w:r>
          </w:p>
        </w:tc>
        <w:tc>
          <w:tcPr>
            <w:tcW w:w="3175" w:type="dxa"/>
            <w:shd w:val="clear" w:color="auto" w:fill="auto"/>
            <w:hideMark/>
          </w:tcPr>
          <w:p w14:paraId="698DCA79" w14:textId="74FF3B65" w:rsidR="005F1B96" w:rsidRPr="00F03917" w:rsidRDefault="005F1B96" w:rsidP="00A8581B">
            <w:pPr>
              <w:pStyle w:val="TableText"/>
              <w:rPr>
                <w:rFonts w:ascii="Times New Roman" w:hAnsi="Times New Roman" w:cs="Times New Roman"/>
              </w:rPr>
            </w:pPr>
            <w:r w:rsidRPr="00F03917">
              <w:rPr>
                <w:shd w:val="clear" w:color="auto" w:fill="FFFFFF"/>
              </w:rPr>
              <w:t>Supreme Court decision [2023] NZSC 142; Court of Appeal decision [2022] NZCA 391; High Court decision [2021] NZHC 463</w:t>
            </w:r>
          </w:p>
        </w:tc>
        <w:tc>
          <w:tcPr>
            <w:tcW w:w="567" w:type="dxa"/>
            <w:shd w:val="clear" w:color="auto" w:fill="auto"/>
            <w:hideMark/>
          </w:tcPr>
          <w:p w14:paraId="7F9D6B0E" w14:textId="553A1001" w:rsidR="005F1B96" w:rsidRPr="00F03917" w:rsidRDefault="005F1B96" w:rsidP="00A8581B">
            <w:pPr>
              <w:pStyle w:val="TableText"/>
              <w:rPr>
                <w:rFonts w:ascii="Times New Roman" w:hAnsi="Times New Roman" w:cs="Times New Roman"/>
              </w:rPr>
            </w:pPr>
            <w:r w:rsidRPr="00F03917">
              <w:t>2023</w:t>
            </w:r>
          </w:p>
        </w:tc>
        <w:tc>
          <w:tcPr>
            <w:tcW w:w="1588" w:type="dxa"/>
            <w:shd w:val="clear" w:color="auto" w:fill="auto"/>
            <w:hideMark/>
          </w:tcPr>
          <w:p w14:paraId="5520F5E4" w14:textId="6C2C46B0" w:rsidR="005F1B96" w:rsidRPr="00F03917" w:rsidRDefault="005F1B96" w:rsidP="00A8581B">
            <w:pPr>
              <w:pStyle w:val="TableText"/>
              <w:rPr>
                <w:rFonts w:ascii="Times New Roman" w:hAnsi="Times New Roman" w:cs="Times New Roman"/>
              </w:rPr>
            </w:pPr>
            <w:r w:rsidRPr="00F03917">
              <w:t>Supreme Court</w:t>
            </w:r>
          </w:p>
        </w:tc>
        <w:tc>
          <w:tcPr>
            <w:tcW w:w="2835" w:type="dxa"/>
            <w:shd w:val="clear" w:color="auto" w:fill="auto"/>
            <w:hideMark/>
          </w:tcPr>
          <w:p w14:paraId="6C8604C4" w14:textId="79854D89" w:rsidR="005F1B96" w:rsidRPr="00F03917" w:rsidRDefault="005F1B96" w:rsidP="00A8581B">
            <w:pPr>
              <w:pStyle w:val="TableText"/>
              <w:rPr>
                <w:rFonts w:ascii="Times New Roman" w:hAnsi="Times New Roman" w:cs="Times New Roman"/>
              </w:rPr>
            </w:pPr>
            <w:r w:rsidRPr="00F03917">
              <w:t>Natural hazards, earthquake, subdivision, district plan, remediation, Crown duty to remediate, nuisance</w:t>
            </w:r>
          </w:p>
        </w:tc>
        <w:tc>
          <w:tcPr>
            <w:tcW w:w="3289" w:type="dxa"/>
            <w:shd w:val="clear" w:color="auto" w:fill="auto"/>
            <w:hideMark/>
          </w:tcPr>
          <w:p w14:paraId="6C71C458" w14:textId="7D72F376" w:rsidR="005F1B96" w:rsidRPr="00F03917" w:rsidRDefault="005F1B96" w:rsidP="00A8581B">
            <w:pPr>
              <w:pStyle w:val="TableText"/>
              <w:rPr>
                <w:rFonts w:ascii="Times New Roman" w:hAnsi="Times New Roman" w:cs="Times New Roman"/>
              </w:rPr>
            </w:pPr>
            <w:r w:rsidRPr="00F03917">
              <w:t>Effect of natural hazards on property and change in district plan, whether the Crown had a duty to remediate these effects</w:t>
            </w:r>
          </w:p>
        </w:tc>
      </w:tr>
    </w:tbl>
    <w:p w14:paraId="319BED53" w14:textId="77777777" w:rsidR="005F1B96" w:rsidRPr="00F03917" w:rsidRDefault="005F1B96" w:rsidP="006171C3">
      <w:pPr>
        <w:pStyle w:val="BodyText"/>
        <w:spacing w:before="0" w:after="0"/>
      </w:pPr>
    </w:p>
    <w:p w14:paraId="6A52C75C" w14:textId="72139895" w:rsidR="003D332F" w:rsidRPr="00F03917" w:rsidRDefault="003D332F" w:rsidP="006171C3">
      <w:pPr>
        <w:pStyle w:val="BodyText"/>
        <w:spacing w:before="0" w:after="0"/>
        <w:sectPr w:rsidR="003D332F" w:rsidRPr="00F03917" w:rsidSect="007E5AB2">
          <w:footerReference w:type="default" r:id="rId192"/>
          <w:pgSz w:w="16840" w:h="11907" w:orient="landscape" w:code="9"/>
          <w:pgMar w:top="1701" w:right="1134" w:bottom="1701" w:left="1134" w:header="567" w:footer="567" w:gutter="0"/>
          <w:cols w:space="720"/>
          <w:docGrid w:linePitch="326"/>
        </w:sectPr>
      </w:pPr>
    </w:p>
    <w:p w14:paraId="3D28FFE7" w14:textId="4CD7163A" w:rsidR="008E0FE8" w:rsidRPr="00F03917" w:rsidRDefault="00E45A40" w:rsidP="008E0FE8">
      <w:pPr>
        <w:pStyle w:val="Heading1"/>
        <w:spacing w:after="240"/>
      </w:pPr>
      <w:bookmarkStart w:id="251" w:name="_Appendix_C:_Dynamic"/>
      <w:bookmarkStart w:id="252" w:name="_Toc160096274"/>
      <w:bookmarkEnd w:id="251"/>
      <w:r w:rsidRPr="00F03917">
        <w:lastRenderedPageBreak/>
        <w:t xml:space="preserve">Appendix </w:t>
      </w:r>
      <w:r w:rsidR="003E7CD7" w:rsidRPr="00F03917">
        <w:t>C</w:t>
      </w:r>
      <w:r w:rsidRPr="00F03917">
        <w:t xml:space="preserve">: </w:t>
      </w:r>
      <w:r w:rsidR="008E0FE8" w:rsidRPr="00F03917">
        <w:t>Dynamic adaptive pathways planning approach and addressing barriers to</w:t>
      </w:r>
      <w:r w:rsidR="00A9396F" w:rsidRPr="00F03917">
        <w:t> </w:t>
      </w:r>
      <w:r w:rsidR="008E0FE8" w:rsidRPr="00F03917">
        <w:t>uptake</w:t>
      </w:r>
      <w:bookmarkEnd w:id="252"/>
    </w:p>
    <w:p w14:paraId="68EE0DFB" w14:textId="55DD1140" w:rsidR="008E0FE8" w:rsidRPr="00F03917" w:rsidRDefault="008E0FE8" w:rsidP="00DA1E89">
      <w:pPr>
        <w:pStyle w:val="Heading3"/>
        <w:spacing w:before="240"/>
      </w:pPr>
      <w:r w:rsidRPr="00F03917">
        <w:t>Developing an adaptive planning strategy</w:t>
      </w:r>
    </w:p>
    <w:p w14:paraId="0F9B3C3D" w14:textId="397CC941" w:rsidR="008E0FE8" w:rsidRPr="00F03917" w:rsidRDefault="008E0FE8" w:rsidP="0024353F">
      <w:pPr>
        <w:pStyle w:val="BodyText"/>
      </w:pPr>
      <w:r w:rsidRPr="00F03917">
        <w:t xml:space="preserve">The dynamic adaptive pathways planning (DAPP) approach </w:t>
      </w:r>
      <w:r w:rsidRPr="00F03917">
        <w:rPr>
          <w:color w:val="000000"/>
          <w:shd w:val="clear" w:color="auto" w:fill="E1E3E6"/>
        </w:rPr>
        <w:t>(Haasnoot et al, 2013)</w:t>
      </w:r>
      <w:r w:rsidRPr="00F03917">
        <w:rPr>
          <w:rStyle w:val="FootnoteReference"/>
          <w:rFonts w:eastAsia="Times New Roman" w:cs="Calibri"/>
          <w:shd w:val="clear" w:color="auto" w:fill="E1E3E6"/>
        </w:rPr>
        <w:footnoteReference w:id="100"/>
      </w:r>
      <w:r w:rsidRPr="00F03917">
        <w:t xml:space="preserve"> is an exploratory model-based planning tool that helps design strategies that are adaptive and robust over different scenarios of the future. It has been developed as an analytical and assessment approach for making decisions under conditions of uncertainty. Effective decisions must be made under conditions of unavoidable uncertainty (Dessai et al, 2009).</w:t>
      </w:r>
    </w:p>
    <w:p w14:paraId="5162B2C5" w14:textId="444E96D7" w:rsidR="008E0FE8" w:rsidRPr="00F03917" w:rsidRDefault="008E0FE8" w:rsidP="0024353F">
      <w:pPr>
        <w:pStyle w:val="BodyText"/>
      </w:pPr>
      <w:r w:rsidRPr="00F03917">
        <w:t>In the context of rising sea levels, where conflicting values prevail for coastal areas, the consequences of decisions can be profound and may be impossible to reverse. This will result</w:t>
      </w:r>
      <w:r w:rsidR="0024353F" w:rsidRPr="00F03917">
        <w:t> </w:t>
      </w:r>
      <w:r w:rsidRPr="00F03917">
        <w:t>in activities that are locked into the place and space, thereby reducing the ability of decision-makers to adapt to future conditions. Costly adjustments that have distributional consequences on different groups within society may result. Such outcomes are maladaptive.</w:t>
      </w:r>
    </w:p>
    <w:p w14:paraId="52711BC3" w14:textId="25826BD9" w:rsidR="008E0FE8" w:rsidRPr="00F03917" w:rsidRDefault="008E0FE8" w:rsidP="0024353F">
      <w:pPr>
        <w:pStyle w:val="BodyText"/>
      </w:pPr>
      <w:r w:rsidRPr="00F03917">
        <w:t>Maladaptation is defined as actions intended to reduce the impacts of climate change but</w:t>
      </w:r>
      <w:r w:rsidR="009C695C" w:rsidRPr="00F03917">
        <w:t> </w:t>
      </w:r>
      <w:r w:rsidR="00C4294B" w:rsidRPr="00F03917">
        <w:t xml:space="preserve">that </w:t>
      </w:r>
      <w:r w:rsidRPr="00F03917">
        <w:t xml:space="preserve">create more risks and vulnerability. This can include increasing </w:t>
      </w:r>
      <w:r w:rsidR="00C4294B" w:rsidRPr="00F03917">
        <w:t>greenhouse gas</w:t>
      </w:r>
      <w:r w:rsidRPr="00F03917">
        <w:t xml:space="preserve"> emissions, disproportionately burdening the most vulnerable, creating high opportunity costs, reducing incentives to adapt, and creating path dependency and lock-in of current development patterns.</w:t>
      </w:r>
    </w:p>
    <w:p w14:paraId="5842ECC4" w14:textId="2F326ABB" w:rsidR="008E0FE8" w:rsidRPr="00F03917" w:rsidRDefault="008E0FE8" w:rsidP="0024353F">
      <w:pPr>
        <w:pStyle w:val="BodyText"/>
      </w:pPr>
      <w:r w:rsidRPr="00F03917">
        <w:t>The DAPP approach therefore focuses on keeping multiple pathways open into the future</w:t>
      </w:r>
      <w:r w:rsidR="00CC5ACF" w:rsidRPr="00F03917">
        <w:t>,</w:t>
      </w:r>
      <w:r w:rsidRPr="00F03917">
        <w:t xml:space="preserve"> </w:t>
      </w:r>
      <w:r w:rsidR="00CC5ACF" w:rsidRPr="00F03917">
        <w:t>which</w:t>
      </w:r>
      <w:r w:rsidRPr="00F03917">
        <w:t xml:space="preserve"> helps alleviate irreversible decisions and reduce</w:t>
      </w:r>
      <w:r w:rsidR="008A20FE" w:rsidRPr="00F03917">
        <w:t>s</w:t>
      </w:r>
      <w:r w:rsidRPr="00F03917">
        <w:t xml:space="preserve"> the risk of being wrong when making decisions in the present for long-lived assets and settlements that will be affected by climate change impacts over their lifetime. It does this by making transparent future actions and pathways that can be taken, should actions today prove insufficient to meet objectives. It does this by stress-testing different options and pathways using scenarios based on different emissions and societal conditions (</w:t>
      </w:r>
      <w:r w:rsidRPr="00F03917">
        <w:rPr>
          <w:rStyle w:val="BodyTextChar"/>
        </w:rPr>
        <w:t xml:space="preserve">see </w:t>
      </w:r>
      <w:hyperlink w:anchor="_Step_2:_Assess" w:history="1">
        <w:r w:rsidRPr="00F03917">
          <w:rPr>
            <w:rStyle w:val="Hyperlink"/>
          </w:rPr>
          <w:t>step 2</w:t>
        </w:r>
      </w:hyperlink>
      <w:r w:rsidRPr="00F03917">
        <w:rPr>
          <w:rStyle w:val="BodyTextChar"/>
        </w:rPr>
        <w:t xml:space="preserve"> and </w:t>
      </w:r>
      <w:hyperlink w:anchor="_Step_6:_Evaluate" w:history="1">
        <w:r w:rsidRPr="00F03917">
          <w:rPr>
            <w:rStyle w:val="Hyperlink"/>
          </w:rPr>
          <w:t>step 6</w:t>
        </w:r>
      </w:hyperlink>
      <w:r w:rsidRPr="00F03917">
        <w:rPr>
          <w:rStyle w:val="BodyTextChar"/>
        </w:rPr>
        <w:t xml:space="preserve">, and </w:t>
      </w:r>
      <w:hyperlink w:anchor="_Supplements" w:history="1">
        <w:r w:rsidR="007B24AC" w:rsidRPr="00F03917">
          <w:rPr>
            <w:rStyle w:val="Hyperlink"/>
            <w:i/>
            <w:iCs/>
          </w:rPr>
          <w:t>Climate change, sea-level rise and coastal hazards science: Coastal hazards and climate change guidance – Supplement A</w:t>
        </w:r>
      </w:hyperlink>
      <w:r w:rsidRPr="00F03917">
        <w:rPr>
          <w:rStyle w:val="BodyTextChar"/>
        </w:rPr>
        <w:t>).</w:t>
      </w:r>
    </w:p>
    <w:p w14:paraId="1A820EBF" w14:textId="3C355B1B" w:rsidR="008E0FE8" w:rsidRPr="00F03917" w:rsidRDefault="008E0FE8" w:rsidP="0024353F">
      <w:pPr>
        <w:pStyle w:val="BodyText"/>
      </w:pPr>
      <w:r w:rsidRPr="00F03917">
        <w:t>The DAPP approach can also be used to facilitate iterative participatory decision-making involving both decision-makers, iwi</w:t>
      </w:r>
      <w:r w:rsidR="00B1341E" w:rsidRPr="00F03917">
        <w:t>/</w:t>
      </w:r>
      <w:r w:rsidRPr="00F03917">
        <w:t>Māori, communities and different stakeholders to identify the things they value and thus contribute to effective decision</w:t>
      </w:r>
      <w:r w:rsidR="006D60BE" w:rsidRPr="00F03917">
        <w:t>-</w:t>
      </w:r>
      <w:r w:rsidRPr="00F03917">
        <w:t>making. The approach is being used by many councils, water agencies, for national park management decisions in the transport sector and for infrastructure planning</w:t>
      </w:r>
      <w:r w:rsidRPr="00F03917">
        <w:rPr>
          <w:rStyle w:val="FootnoteReference"/>
          <w:rFonts w:eastAsia="Times New Roman" w:cs="Calibri"/>
        </w:rPr>
        <w:footnoteReference w:id="101"/>
      </w:r>
      <w:r w:rsidRPr="00F03917">
        <w:t xml:space="preserve"> </w:t>
      </w:r>
      <w:r w:rsidRPr="00F03917">
        <w:rPr>
          <w:rStyle w:val="BodyTextChar"/>
        </w:rPr>
        <w:t xml:space="preserve">(see also </w:t>
      </w:r>
      <w:hyperlink w:anchor="_Supplements" w:history="1">
        <w:r w:rsidR="00D70F0D" w:rsidRPr="00F03917">
          <w:rPr>
            <w:rStyle w:val="Hyperlink"/>
            <w:i/>
            <w:iCs/>
          </w:rPr>
          <w:t>Community engagement principles and approaches, and practice methods: Coastal hazards and climate change guidance – Supplement B</w:t>
        </w:r>
      </w:hyperlink>
      <w:r w:rsidRPr="00F03917">
        <w:rPr>
          <w:rStyle w:val="BodyTextChar"/>
        </w:rPr>
        <w:t>).</w:t>
      </w:r>
      <w:r w:rsidRPr="00F03917">
        <w:t xml:space="preserve"> Their utility for implementing climate-resilient pathways for water management in situations of uncertainty and for addressing compounding and cascading coastal hazards and risks resulting from ongoing SLR, is particularly helpful for decision-makers.</w:t>
      </w:r>
    </w:p>
    <w:p w14:paraId="0A7C6C50" w14:textId="7E7AB65C" w:rsidR="008E0FE8" w:rsidRPr="00F03917" w:rsidRDefault="008E0FE8" w:rsidP="009C695C">
      <w:pPr>
        <w:pStyle w:val="BodyText"/>
        <w:spacing w:after="240"/>
      </w:pPr>
      <w:r w:rsidRPr="00F03917">
        <w:lastRenderedPageBreak/>
        <w:t>Within the DAPP approach, an adaptive planning strategy is conceptualised as short-term actions and longer</w:t>
      </w:r>
      <w:r w:rsidR="0062567D" w:rsidRPr="00F03917">
        <w:t xml:space="preserve"> </w:t>
      </w:r>
      <w:r w:rsidRPr="00F03917">
        <w:t>term options in a number of pathways, by using scenarios to stress</w:t>
      </w:r>
      <w:r w:rsidR="005747D7" w:rsidRPr="00F03917">
        <w:t>-</w:t>
      </w:r>
      <w:r w:rsidRPr="00F03917">
        <w:t xml:space="preserve">test them against different conditions that could evolve over </w:t>
      </w:r>
      <w:r w:rsidR="003C7D72" w:rsidRPr="00F03917">
        <w:t>‘</w:t>
      </w:r>
      <w:r w:rsidRPr="00F03917">
        <w:t>at least 100</w:t>
      </w:r>
      <w:r w:rsidRPr="00F03917">
        <w:rPr>
          <w:color w:val="0078D4"/>
        </w:rPr>
        <w:t xml:space="preserve"> </w:t>
      </w:r>
      <w:r w:rsidRPr="00F03917">
        <w:t>years</w:t>
      </w:r>
      <w:r w:rsidR="003C7D72" w:rsidRPr="00F03917">
        <w:t>’</w:t>
      </w:r>
      <w:r w:rsidR="00AA6FCF" w:rsidRPr="00F03917">
        <w:t xml:space="preserve"> (DOC, 2010)</w:t>
      </w:r>
      <w:r w:rsidRPr="00F03917">
        <w:t xml:space="preserve">. The essence of the approach is to anticipate risk proactively by planning for ongoing adaptation over time, in response to how the future actually unfolds. The DAPP approach starts from the premise that policies and decisions have a design life and will fail as the operating conditions change </w:t>
      </w:r>
      <w:r w:rsidRPr="00F03917">
        <w:rPr>
          <w:color w:val="000000"/>
          <w:shd w:val="clear" w:color="auto" w:fill="E1E3E6"/>
        </w:rPr>
        <w:t>(Kwadijk et al, 2010)</w:t>
      </w:r>
      <w:r w:rsidRPr="00F03917">
        <w:t>.</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8E0FE8" w:rsidRPr="00F03917" w14:paraId="6735C66A" w14:textId="77777777">
        <w:tc>
          <w:tcPr>
            <w:tcW w:w="8505" w:type="dxa"/>
            <w:shd w:val="clear" w:color="auto" w:fill="D5EBE8" w:themeFill="accent3"/>
          </w:tcPr>
          <w:p w14:paraId="6253F202" w14:textId="62769CD1" w:rsidR="008E0FE8" w:rsidRPr="00F03917" w:rsidRDefault="008E0FE8" w:rsidP="009C695C">
            <w:pPr>
              <w:pStyle w:val="Boxtext"/>
              <w:spacing w:before="240"/>
              <w:rPr>
                <w:b/>
              </w:rPr>
            </w:pPr>
            <w:r w:rsidRPr="00F03917">
              <w:rPr>
                <w:b/>
              </w:rPr>
              <w:t xml:space="preserve">Questions used in the </w:t>
            </w:r>
            <w:r w:rsidR="00173F96" w:rsidRPr="00F03917">
              <w:rPr>
                <w:b/>
              </w:rPr>
              <w:t>dynamic adaptive pathways planning</w:t>
            </w:r>
            <w:r w:rsidRPr="00F03917">
              <w:rPr>
                <w:b/>
              </w:rPr>
              <w:t xml:space="preserve"> approach</w:t>
            </w:r>
          </w:p>
          <w:p w14:paraId="4978125D" w14:textId="39CC29A7" w:rsidR="008E0FE8" w:rsidRPr="00F03917" w:rsidRDefault="008E0FE8">
            <w:pPr>
              <w:pStyle w:val="Boxtext"/>
              <w:spacing w:before="0"/>
              <w:rPr>
                <w:bCs/>
              </w:rPr>
            </w:pPr>
            <w:r w:rsidRPr="00F03917">
              <w:rPr>
                <w:bCs/>
              </w:rPr>
              <w:t xml:space="preserve">The set of questions below is used to prompt consideration of the ongoing changing risk and different strategies </w:t>
            </w:r>
            <w:r w:rsidR="0075530B" w:rsidRPr="00F03917">
              <w:rPr>
                <w:bCs/>
              </w:rPr>
              <w:t>t</w:t>
            </w:r>
            <w:r w:rsidRPr="00F03917">
              <w:rPr>
                <w:bCs/>
              </w:rPr>
              <w:t>hat would meet short-term and long-term adaptation objectives under different climate change scenarios and their risk profiles.</w:t>
            </w:r>
          </w:p>
          <w:p w14:paraId="1E65593F" w14:textId="77777777" w:rsidR="008E0FE8" w:rsidRPr="00F03917" w:rsidRDefault="008E0FE8" w:rsidP="00FA1C4A">
            <w:pPr>
              <w:pStyle w:val="Boxtext"/>
              <w:numPr>
                <w:ilvl w:val="0"/>
                <w:numId w:val="39"/>
              </w:numPr>
              <w:spacing w:before="0"/>
              <w:rPr>
                <w:bCs/>
              </w:rPr>
            </w:pPr>
            <w:r w:rsidRPr="00F03917">
              <w:rPr>
                <w:bCs/>
              </w:rPr>
              <w:t>What are the first coastal impacts we will face as a result of climate change?</w:t>
            </w:r>
          </w:p>
          <w:p w14:paraId="311D8919" w14:textId="77777777" w:rsidR="008E0FE8" w:rsidRPr="00F03917" w:rsidDel="002428DE" w:rsidRDefault="008E0FE8" w:rsidP="00FA1C4A">
            <w:pPr>
              <w:pStyle w:val="Boxtext"/>
              <w:numPr>
                <w:ilvl w:val="0"/>
                <w:numId w:val="39"/>
              </w:numPr>
              <w:spacing w:before="0"/>
              <w:rPr>
                <w:bCs/>
              </w:rPr>
            </w:pPr>
            <w:r w:rsidRPr="00F03917">
              <w:rPr>
                <w:bCs/>
              </w:rPr>
              <w:t>Under what conditions will current strategies become ineffective in meeting objectives?</w:t>
            </w:r>
          </w:p>
          <w:p w14:paraId="55215B4C" w14:textId="77777777" w:rsidR="008E0FE8" w:rsidRPr="00F03917" w:rsidDel="002428DE" w:rsidRDefault="008E0FE8" w:rsidP="00FA1C4A">
            <w:pPr>
              <w:pStyle w:val="Boxtext"/>
              <w:numPr>
                <w:ilvl w:val="0"/>
                <w:numId w:val="39"/>
              </w:numPr>
              <w:spacing w:before="0"/>
              <w:rPr>
                <w:bCs/>
              </w:rPr>
            </w:pPr>
            <w:r w:rsidRPr="00F03917">
              <w:rPr>
                <w:bCs/>
              </w:rPr>
              <w:t>When will alternative strategies be needed given that implementation has a lead time?</w:t>
            </w:r>
          </w:p>
          <w:p w14:paraId="7BB85CEE" w14:textId="77777777" w:rsidR="008E0FE8" w:rsidRPr="00F03917" w:rsidDel="002428DE" w:rsidRDefault="008E0FE8" w:rsidP="00FA1C4A">
            <w:pPr>
              <w:pStyle w:val="Boxtext"/>
              <w:numPr>
                <w:ilvl w:val="0"/>
                <w:numId w:val="39"/>
              </w:numPr>
              <w:spacing w:before="0"/>
              <w:rPr>
                <w:bCs/>
              </w:rPr>
            </w:pPr>
            <w:r w:rsidRPr="00F03917">
              <w:rPr>
                <w:bCs/>
              </w:rPr>
              <w:t>What alternative options and decision pathways can be taken to achieve the same objectives?</w:t>
            </w:r>
          </w:p>
          <w:p w14:paraId="6AD20CFF" w14:textId="77777777" w:rsidR="008E0FE8" w:rsidRPr="00F03917" w:rsidRDefault="008E0FE8" w:rsidP="00FA1C4A">
            <w:pPr>
              <w:pStyle w:val="Boxtext"/>
              <w:numPr>
                <w:ilvl w:val="0"/>
                <w:numId w:val="39"/>
              </w:numPr>
              <w:spacing w:before="0"/>
              <w:rPr>
                <w:bCs/>
              </w:rPr>
            </w:pPr>
            <w:r w:rsidRPr="00F03917">
              <w:rPr>
                <w:bCs/>
              </w:rPr>
              <w:t>How robust are the options over a range of future climate scenarios?</w:t>
            </w:r>
          </w:p>
          <w:p w14:paraId="17497A44" w14:textId="77777777" w:rsidR="008E0FE8" w:rsidRPr="00F03917" w:rsidRDefault="008E0FE8" w:rsidP="00FA1C4A">
            <w:pPr>
              <w:pStyle w:val="Boxtext"/>
              <w:numPr>
                <w:ilvl w:val="0"/>
                <w:numId w:val="39"/>
              </w:numPr>
              <w:spacing w:before="0"/>
              <w:rPr>
                <w:bCs/>
              </w:rPr>
            </w:pPr>
            <w:r w:rsidRPr="00F03917">
              <w:rPr>
                <w:bCs/>
              </w:rPr>
              <w:t>Are we able to change path easily and with minimum disruption?</w:t>
            </w:r>
          </w:p>
          <w:p w14:paraId="78E43E45" w14:textId="77777777" w:rsidR="008E0FE8" w:rsidRPr="00F03917" w:rsidRDefault="008E0FE8" w:rsidP="009C695C">
            <w:pPr>
              <w:pStyle w:val="Boxtext"/>
              <w:numPr>
                <w:ilvl w:val="0"/>
                <w:numId w:val="39"/>
              </w:numPr>
              <w:spacing w:before="0" w:after="240"/>
              <w:rPr>
                <w:bCs/>
              </w:rPr>
            </w:pPr>
            <w:r w:rsidRPr="00F03917">
              <w:rPr>
                <w:bCs/>
              </w:rPr>
              <w:t>What are the transfer costs, including for vulnerable groups?</w:t>
            </w:r>
          </w:p>
        </w:tc>
      </w:tr>
    </w:tbl>
    <w:p w14:paraId="1509B956" w14:textId="65F4E61C" w:rsidR="008E0FE8" w:rsidRPr="00F03917" w:rsidRDefault="008E0FE8" w:rsidP="009C695C">
      <w:pPr>
        <w:pStyle w:val="BodyText"/>
        <w:spacing w:before="240"/>
      </w:pPr>
      <w:r w:rsidRPr="00F03917">
        <w:t>The short-term actions and long-term options</w:t>
      </w:r>
      <w:r w:rsidR="00E46DC6" w:rsidRPr="00F03917">
        <w:t>,</w:t>
      </w:r>
      <w:r w:rsidRPr="00F03917" w:rsidDel="00E46DC6">
        <w:t xml:space="preserve"> </w:t>
      </w:r>
      <w:r w:rsidRPr="00F03917">
        <w:t>alternative pathways</w:t>
      </w:r>
      <w:r w:rsidR="00B1341E" w:rsidRPr="00F03917">
        <w:t>,</w:t>
      </w:r>
      <w:r w:rsidRPr="00F03917" w:rsidDel="00B1341E">
        <w:t xml:space="preserve"> </w:t>
      </w:r>
      <w:r w:rsidRPr="00F03917">
        <w:t xml:space="preserve">early signals (warning) and triggers (decision points) before thresholds are met can be drawn using participatory processes with technical advisors, decision-makers, iwi/Māori and communities in the adaptation decision-making process. An example is shown in figure </w:t>
      </w:r>
      <w:r w:rsidR="00F92A67" w:rsidRPr="00F03917">
        <w:t>C.1</w:t>
      </w:r>
      <w:r w:rsidRPr="00F03917">
        <w:t>. For details on the application of the approach</w:t>
      </w:r>
      <w:r w:rsidR="001C2F87" w:rsidRPr="00F03917">
        <w:t>,</w:t>
      </w:r>
      <w:r w:rsidRPr="00F03917">
        <w:t xml:space="preserve"> see </w:t>
      </w:r>
      <w:hyperlink w:anchor="_Step_6:_Evaluate" w:history="1">
        <w:r w:rsidRPr="00F03917">
          <w:rPr>
            <w:rStyle w:val="Hyperlink"/>
            <w:rFonts w:eastAsia="Times New Roman" w:cs="Calibri"/>
          </w:rPr>
          <w:t>step 6</w:t>
        </w:r>
      </w:hyperlink>
      <w:r w:rsidRPr="00F03917">
        <w:t xml:space="preserve"> and </w:t>
      </w:r>
      <w:r w:rsidR="001C2F87" w:rsidRPr="00F03917">
        <w:t xml:space="preserve">the </w:t>
      </w:r>
      <w:r w:rsidRPr="00F03917">
        <w:t xml:space="preserve">case studies in </w:t>
      </w:r>
      <w:hyperlink w:anchor="_Appendix_A:_Coastal" w:history="1">
        <w:r w:rsidRPr="00F03917">
          <w:rPr>
            <w:rStyle w:val="Hyperlink"/>
            <w:rFonts w:eastAsia="Times New Roman" w:cs="Calibri"/>
          </w:rPr>
          <w:t>appendix A</w:t>
        </w:r>
      </w:hyperlink>
      <w:r w:rsidR="001C2F87" w:rsidRPr="00F03917">
        <w:rPr>
          <w:rStyle w:val="Hyperlink"/>
          <w:rFonts w:eastAsia="Times New Roman" w:cs="Calibri"/>
        </w:rPr>
        <w:t>,</w:t>
      </w:r>
      <w:r w:rsidRPr="00F03917">
        <w:t xml:space="preserve"> and </w:t>
      </w:r>
      <w:hyperlink w:anchor="_Supplements" w:history="1">
        <w:r w:rsidR="00D70F0D" w:rsidRPr="00F03917">
          <w:rPr>
            <w:rStyle w:val="Hyperlink"/>
            <w:i/>
            <w:iCs/>
          </w:rPr>
          <w:t>Community engagement principles and approaches, and practice methods: Coastal hazards and climate change guidance – Supplement B</w:t>
        </w:r>
      </w:hyperlink>
      <w:r w:rsidRPr="00F03917">
        <w:t>.</w:t>
      </w:r>
    </w:p>
    <w:p w14:paraId="3117D024" w14:textId="58280FAF" w:rsidR="008E0FE8" w:rsidRPr="00F03917" w:rsidRDefault="008E0FE8" w:rsidP="009C695C">
      <w:pPr>
        <w:pStyle w:val="BodyText"/>
      </w:pPr>
      <w:r w:rsidRPr="00F03917">
        <w:t>Once actions fail, additional or other actions are needed to achieve objectives, and a series of pathways emerges</w:t>
      </w:r>
      <w:r w:rsidR="006643B3" w:rsidRPr="00F03917">
        <w:t>.</w:t>
      </w:r>
      <w:r w:rsidRPr="00F03917">
        <w:t xml:space="preserve"> </w:t>
      </w:r>
      <w:r w:rsidR="006643B3" w:rsidRPr="00F03917">
        <w:t>A</w:t>
      </w:r>
      <w:r w:rsidRPr="00F03917">
        <w:t>t predetermined trigger points</w:t>
      </w:r>
      <w:r w:rsidR="006643B3" w:rsidRPr="00F03917">
        <w:t>,</w:t>
      </w:r>
      <w:r w:rsidRPr="00F03917">
        <w:t xml:space="preserve"> decisions are made as to the efficacy of the actions and whether other options or pathways would still enable</w:t>
      </w:r>
      <w:r w:rsidRPr="00F03917" w:rsidDel="00584838">
        <w:t xml:space="preserve"> the </w:t>
      </w:r>
      <w:r w:rsidRPr="00F03917">
        <w:t>objectives to be achieved. Exploring different pathways and considering whether different options will lock in exposure to hazards or create new risks,</w:t>
      </w:r>
      <w:r w:rsidRPr="00F03917" w:rsidDel="001E1059">
        <w:t xml:space="preserve"> </w:t>
      </w:r>
      <w:r w:rsidRPr="00F03917">
        <w:t>enables adjustments to</w:t>
      </w:r>
      <w:r w:rsidRPr="00F03917" w:rsidDel="006B5FC3">
        <w:t xml:space="preserve"> </w:t>
      </w:r>
      <w:r w:rsidRPr="00F03917">
        <w:t>be made thereby reducing path dependency. An adaptive planning strategy can be designed that includes both short-term actions and long-term options, creating flexible pathways into the future.</w:t>
      </w:r>
    </w:p>
    <w:p w14:paraId="7998BBE2" w14:textId="1F0C2B2D" w:rsidR="008E0FE8" w:rsidRPr="00F03917" w:rsidRDefault="008E0FE8" w:rsidP="009C695C">
      <w:pPr>
        <w:pStyle w:val="BodyText"/>
      </w:pPr>
      <w:r w:rsidRPr="00F03917">
        <w:t>The DAPP approach is monitored for signals that give warning</w:t>
      </w:r>
      <w:r w:rsidR="00A251A7" w:rsidRPr="00F03917">
        <w:t>s</w:t>
      </w:r>
      <w:r w:rsidRPr="00F03917">
        <w:t xml:space="preserve"> and triggers that indicate when the next step of a pathway should be implemented or whether reassessment of the adaptive planning strategy is needed. The signals and triggers can be physical processes, economic, social or culturally defined indicators that reflect the tolerability of the adverse consequences by the community affected by the sea-level rise or coastal hazard.</w:t>
      </w:r>
    </w:p>
    <w:p w14:paraId="736CBFE4" w14:textId="622AF457" w:rsidR="008E0FE8" w:rsidRPr="00F03917" w:rsidRDefault="008E0FE8" w:rsidP="00C52920">
      <w:pPr>
        <w:pStyle w:val="Figureheading"/>
      </w:pPr>
      <w:bookmarkStart w:id="253" w:name="_Toc160098449"/>
      <w:r w:rsidRPr="00F03917">
        <w:lastRenderedPageBreak/>
        <w:t xml:space="preserve">Figure </w:t>
      </w:r>
      <w:r w:rsidR="000770D8" w:rsidRPr="00F03917">
        <w:t>C.1</w:t>
      </w:r>
      <w:r w:rsidRPr="00F03917">
        <w:t>:</w:t>
      </w:r>
      <w:r w:rsidRPr="00F03917">
        <w:tab/>
        <w:t>Example of a pathways map</w:t>
      </w:r>
      <w:bookmarkEnd w:id="253"/>
    </w:p>
    <w:p w14:paraId="2E0A7229" w14:textId="60EABE82" w:rsidR="008E0FE8" w:rsidRPr="00F03917" w:rsidRDefault="00494815" w:rsidP="009A53B2">
      <w:pPr>
        <w:pStyle w:val="BodyText"/>
        <w:spacing w:after="80"/>
      </w:pPr>
      <w:r w:rsidRPr="00F03917">
        <w:rPr>
          <w:noProof/>
        </w:rPr>
        <w:drawing>
          <wp:inline distT="0" distB="0" distL="0" distR="0" wp14:anchorId="2017AB14" wp14:editId="482DDDA2">
            <wp:extent cx="5302681" cy="3588459"/>
            <wp:effectExtent l="0" t="0" r="0" b="0"/>
            <wp:docPr id="1385466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a:stretch/>
                  </pic:blipFill>
                  <pic:spPr bwMode="auto">
                    <a:xfrm>
                      <a:off x="0" y="0"/>
                      <a:ext cx="5303520" cy="3589027"/>
                    </a:xfrm>
                    <a:prstGeom prst="rect">
                      <a:avLst/>
                    </a:prstGeom>
                    <a:noFill/>
                    <a:ln>
                      <a:noFill/>
                    </a:ln>
                    <a:extLst>
                      <a:ext uri="{53640926-AAD7-44D8-BBD7-CCE9431645EC}">
                        <a14:shadowObscured xmlns:a14="http://schemas.microsoft.com/office/drawing/2010/main"/>
                      </a:ext>
                    </a:extLst>
                  </pic:spPr>
                </pic:pic>
              </a:graphicData>
            </a:graphic>
          </wp:inline>
        </w:drawing>
      </w:r>
    </w:p>
    <w:p w14:paraId="61CA4AC3" w14:textId="4FBE5D82" w:rsidR="008E0FE8" w:rsidRPr="00F03917" w:rsidRDefault="008E0FE8" w:rsidP="009C695C">
      <w:pPr>
        <w:pStyle w:val="Source"/>
        <w:spacing w:before="0"/>
      </w:pPr>
      <w:r w:rsidRPr="00F03917">
        <w:t>Source: Adapted from Haasnoot et al (2013); Hermans et al (2017)</w:t>
      </w:r>
    </w:p>
    <w:p w14:paraId="28A2F9B3" w14:textId="3AC5EFE3" w:rsidR="008E0FE8" w:rsidRPr="00F03917" w:rsidRDefault="008E0FE8" w:rsidP="009C695C">
      <w:pPr>
        <w:pStyle w:val="BodyText"/>
      </w:pPr>
      <w:r w:rsidRPr="00F03917">
        <w:t xml:space="preserve">The resulting pathways can be tested for robustness with respect to a number of assumptions and parameters, for example: different climate change scenarios (using sea-level rise projections or hazard assessments set out in </w:t>
      </w:r>
      <w:hyperlink w:anchor="_Step_2:_Assess" w:history="1">
        <w:r w:rsidRPr="00F03917">
          <w:rPr>
            <w:rStyle w:val="Hyperlink"/>
            <w:rFonts w:eastAsia="Times New Roman" w:cs="Calibri"/>
          </w:rPr>
          <w:t>step 2</w:t>
        </w:r>
      </w:hyperlink>
      <w:r w:rsidRPr="00F03917">
        <w:t xml:space="preserve">); the sensitivity to discount rate; earlier or later decision review dates, and variations in the costs of the adaptation options and in expected losses. The more scenarios across a range of future conditions and indicators of sensitivity tested, the more robust the decisions will be. Robustness here means </w:t>
      </w:r>
      <w:r w:rsidR="006904A7" w:rsidRPr="00F03917">
        <w:t xml:space="preserve">objectives </w:t>
      </w:r>
      <w:r w:rsidRPr="00F03917">
        <w:t xml:space="preserve">can </w:t>
      </w:r>
      <w:r w:rsidR="006904A7" w:rsidRPr="00F03917">
        <w:t xml:space="preserve">be </w:t>
      </w:r>
      <w:r w:rsidRPr="00F03917">
        <w:t>reach</w:t>
      </w:r>
      <w:r w:rsidR="006904A7" w:rsidRPr="00F03917">
        <w:t>ed</w:t>
      </w:r>
      <w:r w:rsidRPr="00F03917">
        <w:t xml:space="preserve"> under a range of different futures. Robustness tests can be done on a number of complementary options; for example, structural options may become unaffordable and may need to be supported by planning and regulatory options, targeted rates and insurance to reach desired objectives.</w:t>
      </w:r>
    </w:p>
    <w:p w14:paraId="0F522039" w14:textId="7F2CAF10" w:rsidR="008E0FE8" w:rsidRPr="00F03917" w:rsidRDefault="008E0FE8" w:rsidP="009C695C">
      <w:pPr>
        <w:pStyle w:val="BodyText"/>
      </w:pPr>
      <w:r w:rsidRPr="00F03917">
        <w:t xml:space="preserve">When applied to flood adaptation planning in the Hutt River catchment (see </w:t>
      </w:r>
      <w:hyperlink w:anchor="_Supplements" w:history="1">
        <w:r w:rsidR="00D70F0D" w:rsidRPr="00F03917">
          <w:rPr>
            <w:rStyle w:val="Hyperlink"/>
            <w:i/>
            <w:iCs/>
          </w:rPr>
          <w:t>Community engagement principles and approaches, and practice methods: Coastal hazards and climate change guidance – Supplement B</w:t>
        </w:r>
      </w:hyperlink>
      <w:r w:rsidRPr="00F03917">
        <w:t xml:space="preserve">), it was noted that the annual exceedance probabilities (AEPs) and related river flows were based on Poisson distributions, which assume a known mean and variance, even though the historic </w:t>
      </w:r>
      <w:r w:rsidRPr="00F03917">
        <w:rPr>
          <w:spacing w:val="-2"/>
        </w:rPr>
        <w:t>record is too short to establish these reliably. A form of conjugate or extreme value distribution</w:t>
      </w:r>
      <w:r w:rsidRPr="00F03917">
        <w:t xml:space="preserve"> may better reflect the uncertainty around the mean and variance. This is one reason why, for SLR assessments as set out in this guidance, it is important to test for robustness and earlier onset using the upper-end SSP5-8.5 H+ SLR projection (</w:t>
      </w:r>
      <w:hyperlink w:anchor="_Step_2:_Assess" w:history="1">
        <w:r w:rsidRPr="00F03917">
          <w:rPr>
            <w:rStyle w:val="Hyperlink"/>
            <w:rFonts w:eastAsia="Times New Roman" w:cs="Calibri"/>
          </w:rPr>
          <w:t>step 2</w:t>
        </w:r>
      </w:hyperlink>
      <w:r w:rsidRPr="00F03917">
        <w:t>) as well as testing different SLR increments for the sensitivity of actions and options, thereby better reflecting the upper-end uncertainty.</w:t>
      </w:r>
    </w:p>
    <w:p w14:paraId="5CAAD62A" w14:textId="24512C69" w:rsidR="008E0FE8" w:rsidRPr="00F03917" w:rsidRDefault="008E0FE8" w:rsidP="00D427A7">
      <w:pPr>
        <w:pStyle w:val="Heading3"/>
        <w:spacing w:before="240"/>
      </w:pPr>
      <w:r w:rsidRPr="00F03917">
        <w:t xml:space="preserve">Strategies for addressing barriers to </w:t>
      </w:r>
      <w:r w:rsidR="00D427A7" w:rsidRPr="00F03917">
        <w:t xml:space="preserve">dynamic adaptive pathways planning </w:t>
      </w:r>
      <w:r w:rsidRPr="00F03917">
        <w:t>uptake</w:t>
      </w:r>
    </w:p>
    <w:p w14:paraId="20E6F096" w14:textId="3C2BC25A" w:rsidR="008E0FE8" w:rsidRPr="00F03917" w:rsidRDefault="008E0FE8" w:rsidP="009C695C">
      <w:pPr>
        <w:pStyle w:val="BodyText"/>
      </w:pPr>
      <w:r w:rsidRPr="00F03917">
        <w:t xml:space="preserve">Since 2013, uptake of DAPP in </w:t>
      </w:r>
      <w:r w:rsidR="00D427A7" w:rsidRPr="00F03917">
        <w:t xml:space="preserve">Aotearoa </w:t>
      </w:r>
      <w:r w:rsidRPr="00F03917">
        <w:t xml:space="preserve">New Zealand has gone through several stages and is now being used in a diversity of settings, with a few applications now reaching implementation </w:t>
      </w:r>
      <w:r w:rsidRPr="00F03917">
        <w:lastRenderedPageBreak/>
        <w:t>(Lawrence</w:t>
      </w:r>
      <w:r w:rsidR="009A53B2" w:rsidRPr="00F03917">
        <w:t>,</w:t>
      </w:r>
      <w:r w:rsidRPr="00F03917">
        <w:t xml:space="preserve"> </w:t>
      </w:r>
      <w:r w:rsidRPr="00F03917">
        <w:rPr>
          <w:spacing w:val="-2"/>
        </w:rPr>
        <w:t>2023). The uptake of DAPP went through three stages</w:t>
      </w:r>
      <w:r w:rsidR="00B20026" w:rsidRPr="00F03917">
        <w:rPr>
          <w:spacing w:val="-2"/>
        </w:rPr>
        <w:t>:</w:t>
      </w:r>
      <w:r w:rsidRPr="00F03917" w:rsidDel="00B20026">
        <w:rPr>
          <w:spacing w:val="-2"/>
        </w:rPr>
        <w:t xml:space="preserve"> </w:t>
      </w:r>
      <w:r w:rsidRPr="00F03917">
        <w:rPr>
          <w:spacing w:val="-2"/>
        </w:rPr>
        <w:t>creating interest, increasing awareness</w:t>
      </w:r>
      <w:r w:rsidRPr="00F03917">
        <w:t xml:space="preserve"> with serious games and experimenting in real-life settings (Lawrence and Haasnoot, 2017). Learning over this time has indicated that institutional and technical barriers can impede uptake. Many can be avoided through careful preparation and maintaining flexibility throughout the process by asking the questions listed in the above section.</w:t>
      </w:r>
    </w:p>
    <w:p w14:paraId="56A87079" w14:textId="77777777" w:rsidR="008E0FE8" w:rsidRPr="00F03917" w:rsidRDefault="008E0FE8" w:rsidP="009C695C">
      <w:pPr>
        <w:pStyle w:val="BodyText"/>
        <w:rPr>
          <w:rFonts w:eastAsia="Times New Roman" w:cs="Calibri"/>
        </w:rPr>
      </w:pPr>
      <w:r w:rsidRPr="00F03917">
        <w:rPr>
          <w:rFonts w:eastAsia="Times New Roman" w:cs="Calibri"/>
        </w:rPr>
        <w:t xml:space="preserve">Avoid rushing the process. Follow a timeframe that ensures stakeholders can engage in the process and understand dynamic adaptive concepts. </w:t>
      </w:r>
    </w:p>
    <w:p w14:paraId="075E9797" w14:textId="7044F26B" w:rsidR="008E0FE8" w:rsidRPr="00F03917" w:rsidRDefault="008E0FE8" w:rsidP="009C695C">
      <w:pPr>
        <w:pStyle w:val="BodyText"/>
        <w:rPr>
          <w:rFonts w:eastAsia="Times New Roman" w:cs="Calibri"/>
        </w:rPr>
      </w:pPr>
      <w:r w:rsidRPr="00F03917">
        <w:rPr>
          <w:rFonts w:eastAsia="Times New Roman" w:cs="Calibri"/>
        </w:rPr>
        <w:t xml:space="preserve">Serious games can give stakeholders and decision-makers experience in making a plan over 100 years in a safe environment, where they receive feedback on their decision choices and learn about the consequences of those decisions. </w:t>
      </w:r>
      <w:r w:rsidRPr="00F03917">
        <w:t xml:space="preserve">Background about and different types of </w:t>
      </w:r>
      <w:r w:rsidR="00A76671" w:rsidRPr="00F03917">
        <w:t>s</w:t>
      </w:r>
      <w:r w:rsidRPr="00F03917">
        <w:t xml:space="preserve">erious </w:t>
      </w:r>
      <w:r w:rsidR="00A76671" w:rsidRPr="00F03917">
        <w:t>g</w:t>
      </w:r>
      <w:r w:rsidRPr="00F03917">
        <w:t>ames</w:t>
      </w:r>
      <w:r w:rsidRPr="00F03917" w:rsidDel="00A76671">
        <w:t xml:space="preserve"> </w:t>
      </w:r>
      <w:r w:rsidR="00A76671" w:rsidRPr="00F03917">
        <w:t xml:space="preserve">is </w:t>
      </w:r>
      <w:r w:rsidRPr="00F03917">
        <w:t xml:space="preserve">set out in </w:t>
      </w:r>
      <w:hyperlink w:anchor="_Supplements" w:history="1">
        <w:r w:rsidR="00D70F0D" w:rsidRPr="00F03917">
          <w:rPr>
            <w:rStyle w:val="Hyperlink"/>
            <w:i/>
            <w:iCs/>
          </w:rPr>
          <w:t>Community engagement principles and approaches, and practice methods: Coastal hazards and climate change guidance – Supplement B</w:t>
        </w:r>
      </w:hyperlink>
      <w:r w:rsidRPr="00F03917">
        <w:t xml:space="preserve">. </w:t>
      </w:r>
      <w:r w:rsidRPr="00F03917">
        <w:rPr>
          <w:rFonts w:eastAsia="Times New Roman" w:cs="Calibri"/>
        </w:rPr>
        <w:t>This will help reduce some of the observed institutional barriers.</w:t>
      </w:r>
    </w:p>
    <w:p w14:paraId="52EA3387" w14:textId="017143CB" w:rsidR="008E0FE8" w:rsidRPr="00F03917" w:rsidRDefault="008E0FE8" w:rsidP="009C695C">
      <w:pPr>
        <w:pStyle w:val="BodyText"/>
        <w:rPr>
          <w:rFonts w:eastAsia="Times New Roman" w:cs="Calibri"/>
        </w:rPr>
      </w:pPr>
      <w:r w:rsidRPr="00F03917">
        <w:rPr>
          <w:rFonts w:eastAsia="Times New Roman" w:cs="Calibri"/>
        </w:rPr>
        <w:t>Tailor the process to the available information and expertise. Bear in mind that DAPP is primarily an approach for developing adaptive pathways</w:t>
      </w:r>
      <w:r w:rsidRPr="00F03917">
        <w:t xml:space="preserve"> and can be conducted at any level of detail. It is</w:t>
      </w:r>
      <w:r w:rsidRPr="00F03917">
        <w:rPr>
          <w:rFonts w:eastAsia="Times New Roman" w:cs="Calibri"/>
        </w:rPr>
        <w:t xml:space="preserve"> not a prescriptive method</w:t>
      </w:r>
      <w:r w:rsidR="009B2447" w:rsidRPr="00F03917">
        <w:rPr>
          <w:rFonts w:eastAsia="Times New Roman" w:cs="Calibri"/>
        </w:rPr>
        <w:t>.</w:t>
      </w:r>
    </w:p>
    <w:p w14:paraId="7DC79A4E" w14:textId="77777777" w:rsidR="008E0FE8" w:rsidRPr="00F03917" w:rsidRDefault="008E0FE8" w:rsidP="00106E12">
      <w:pPr>
        <w:pStyle w:val="BulletFIX"/>
      </w:pPr>
      <w:r w:rsidRPr="00F03917">
        <w:t xml:space="preserve">Use DAPP-lite to scope priorities, information and engagement gaps for more detailed assessment. </w:t>
      </w:r>
    </w:p>
    <w:p w14:paraId="6D77A17D" w14:textId="682E2265" w:rsidR="008E0FE8" w:rsidRPr="00F03917" w:rsidRDefault="008E0FE8" w:rsidP="00106E12">
      <w:pPr>
        <w:pStyle w:val="BulletFIX"/>
      </w:pPr>
      <w:r w:rsidRPr="00F03917">
        <w:t>Complex model-based DAPP analyses are only one end of the spectrum.</w:t>
      </w:r>
      <w:r w:rsidR="00977ED4" w:rsidRPr="00F03917">
        <w:t xml:space="preserve"> </w:t>
      </w:r>
    </w:p>
    <w:p w14:paraId="217B1BB1" w14:textId="7DB23B8D" w:rsidR="008E0FE8" w:rsidRPr="00F03917" w:rsidRDefault="008E0FE8" w:rsidP="00106E12">
      <w:pPr>
        <w:pStyle w:val="BulletFIX"/>
      </w:pPr>
      <w:r w:rsidRPr="00F03917">
        <w:t>Thoroughly investigate all approaches and explore possibilities to link disparate datasets, risk assessments and cascade mapping. This can result in meaningful insights for informing adaptive decision-making.</w:t>
      </w:r>
    </w:p>
    <w:p w14:paraId="0AE222B5" w14:textId="24EEC503" w:rsidR="008E0FE8" w:rsidRPr="00F03917" w:rsidRDefault="008E0FE8" w:rsidP="009C695C">
      <w:pPr>
        <w:pStyle w:val="BodyText"/>
      </w:pPr>
      <w:r w:rsidRPr="00F03917">
        <w:t xml:space="preserve">Table </w:t>
      </w:r>
      <w:r w:rsidR="00D4572A" w:rsidRPr="00F03917">
        <w:t>C.1</w:t>
      </w:r>
      <w:r w:rsidRPr="00F03917">
        <w:t xml:space="preserve"> outlines strategies for addressing institutional and technical barriers to the uptake of</w:t>
      </w:r>
      <w:r w:rsidR="00B96CF1" w:rsidRPr="00F03917">
        <w:t> </w:t>
      </w:r>
      <w:r w:rsidRPr="00F03917">
        <w:t>DAPP.</w:t>
      </w:r>
    </w:p>
    <w:p w14:paraId="575A17B3" w14:textId="77777777" w:rsidR="009C695C" w:rsidRPr="00F03917" w:rsidRDefault="009C695C" w:rsidP="009C695C">
      <w:pPr>
        <w:pStyle w:val="BodyText"/>
      </w:pPr>
    </w:p>
    <w:p w14:paraId="205A1F38" w14:textId="77777777" w:rsidR="008E0FE8" w:rsidRPr="00F03917" w:rsidRDefault="008E0FE8" w:rsidP="006258D2">
      <w:pPr>
        <w:pStyle w:val="Tableheading"/>
        <w:numPr>
          <w:ilvl w:val="0"/>
          <w:numId w:val="0"/>
        </w:numPr>
        <w:sectPr w:rsidR="008E0FE8" w:rsidRPr="00F03917" w:rsidSect="007E5AB2">
          <w:footerReference w:type="even" r:id="rId194"/>
          <w:footerReference w:type="default" r:id="rId195"/>
          <w:pgSz w:w="11907" w:h="16840" w:code="9"/>
          <w:pgMar w:top="1134" w:right="1701" w:bottom="1134" w:left="1701" w:header="567" w:footer="567" w:gutter="0"/>
          <w:cols w:space="720"/>
          <w:docGrid w:linePitch="299"/>
        </w:sectPr>
      </w:pPr>
    </w:p>
    <w:p w14:paraId="3C6C7A4A" w14:textId="1233C9FF" w:rsidR="008E0FE8" w:rsidRPr="00F03917" w:rsidRDefault="008E0FE8" w:rsidP="006258D2">
      <w:pPr>
        <w:pStyle w:val="Tableheading"/>
        <w:numPr>
          <w:ilvl w:val="0"/>
          <w:numId w:val="0"/>
        </w:numPr>
      </w:pPr>
      <w:bookmarkStart w:id="254" w:name="_Toc160098414"/>
      <w:r w:rsidRPr="00F03917">
        <w:lastRenderedPageBreak/>
        <w:t xml:space="preserve">Table </w:t>
      </w:r>
      <w:r w:rsidR="00D4572A" w:rsidRPr="00F03917">
        <w:t>C.1</w:t>
      </w:r>
      <w:r w:rsidRPr="00F03917">
        <w:t xml:space="preserve">: </w:t>
      </w:r>
      <w:r w:rsidR="00127D6D" w:rsidRPr="00F03917">
        <w:tab/>
      </w:r>
      <w:r w:rsidRPr="00F03917">
        <w:t xml:space="preserve">Strategies for addressing barriers to </w:t>
      </w:r>
      <w:r w:rsidR="00B96CF1" w:rsidRPr="00F03917">
        <w:t>dynamic adaptive pathways planning (</w:t>
      </w:r>
      <w:r w:rsidRPr="00F03917">
        <w:t>DAPP</w:t>
      </w:r>
      <w:r w:rsidR="00B96CF1" w:rsidRPr="00F03917">
        <w:t>)</w:t>
      </w:r>
      <w:r w:rsidRPr="00F03917">
        <w:t xml:space="preserve"> uptake and implementation of the DAPP plan</w:t>
      </w:r>
      <w:bookmarkEnd w:id="254"/>
      <w:r w:rsidRPr="00F03917">
        <w:t> </w:t>
      </w:r>
    </w:p>
    <w:tbl>
      <w:tblPr>
        <w:tblStyle w:val="LightList-Accent11"/>
        <w:tblW w:w="13948"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CellMar>
          <w:left w:w="85" w:type="dxa"/>
          <w:right w:w="85" w:type="dxa"/>
        </w:tblCellMar>
        <w:tblLook w:val="04A0" w:firstRow="1" w:lastRow="0" w:firstColumn="1" w:lastColumn="0" w:noHBand="0" w:noVBand="1"/>
      </w:tblPr>
      <w:tblGrid>
        <w:gridCol w:w="3355"/>
        <w:gridCol w:w="213"/>
        <w:gridCol w:w="3142"/>
        <w:gridCol w:w="572"/>
        <w:gridCol w:w="2783"/>
        <w:gridCol w:w="3883"/>
      </w:tblGrid>
      <w:tr w:rsidR="002F3597" w:rsidRPr="00F03917" w14:paraId="34E00620" w14:textId="77777777" w:rsidTr="00023E5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68" w:type="dxa"/>
            <w:gridSpan w:val="2"/>
            <w:tcBorders>
              <w:bottom w:val="nil"/>
            </w:tcBorders>
            <w:shd w:val="clear" w:color="auto" w:fill="1B556B" w:themeFill="text2"/>
            <w:vAlign w:val="bottom"/>
          </w:tcPr>
          <w:p w14:paraId="289C45A5" w14:textId="77777777" w:rsidR="008E0FE8" w:rsidRPr="00F03917" w:rsidRDefault="008E0FE8">
            <w:pPr>
              <w:pStyle w:val="TableText"/>
            </w:pPr>
            <w:r w:rsidRPr="00F03917">
              <w:t>Stage of DAPP implementation</w:t>
            </w:r>
          </w:p>
        </w:tc>
        <w:tc>
          <w:tcPr>
            <w:tcW w:w="3714" w:type="dxa"/>
            <w:gridSpan w:val="2"/>
            <w:tcBorders>
              <w:bottom w:val="nil"/>
            </w:tcBorders>
            <w:shd w:val="clear" w:color="auto" w:fill="1B556B" w:themeFill="text2"/>
            <w:vAlign w:val="bottom"/>
          </w:tcPr>
          <w:p w14:paraId="0E289FD7" w14:textId="77777777" w:rsidR="008E0FE8" w:rsidRPr="00F03917" w:rsidRDefault="008E0FE8">
            <w:pPr>
              <w:pStyle w:val="TableText"/>
              <w:cnfStyle w:val="100000000000" w:firstRow="1" w:lastRow="0" w:firstColumn="0" w:lastColumn="0" w:oddVBand="0" w:evenVBand="0" w:oddHBand="0" w:evenHBand="0" w:firstRowFirstColumn="0" w:firstRowLastColumn="0" w:lastRowFirstColumn="0" w:lastRowLastColumn="0"/>
            </w:pPr>
            <w:r w:rsidRPr="00F03917">
              <w:t>Institutional barriers</w:t>
            </w:r>
          </w:p>
        </w:tc>
        <w:tc>
          <w:tcPr>
            <w:tcW w:w="2783" w:type="dxa"/>
            <w:tcBorders>
              <w:bottom w:val="nil"/>
            </w:tcBorders>
            <w:shd w:val="clear" w:color="auto" w:fill="1B556B" w:themeFill="text2"/>
            <w:vAlign w:val="bottom"/>
          </w:tcPr>
          <w:p w14:paraId="4788A6DD" w14:textId="77777777" w:rsidR="008E0FE8" w:rsidRPr="00F03917" w:rsidRDefault="008E0FE8">
            <w:pPr>
              <w:pStyle w:val="TableText"/>
              <w:cnfStyle w:val="100000000000" w:firstRow="1" w:lastRow="0" w:firstColumn="0" w:lastColumn="0" w:oddVBand="0" w:evenVBand="0" w:oddHBand="0" w:evenHBand="0" w:firstRowFirstColumn="0" w:firstRowLastColumn="0" w:lastRowFirstColumn="0" w:lastRowLastColumn="0"/>
            </w:pPr>
            <w:r w:rsidRPr="00F03917">
              <w:t>Technical barriers</w:t>
            </w:r>
          </w:p>
        </w:tc>
        <w:tc>
          <w:tcPr>
            <w:tcW w:w="3883" w:type="dxa"/>
            <w:tcBorders>
              <w:bottom w:val="nil"/>
            </w:tcBorders>
            <w:shd w:val="clear" w:color="auto" w:fill="1B556B" w:themeFill="text2"/>
            <w:vAlign w:val="bottom"/>
          </w:tcPr>
          <w:p w14:paraId="6076491F" w14:textId="77777777" w:rsidR="008E0FE8" w:rsidRPr="00F03917" w:rsidRDefault="008E0FE8">
            <w:pPr>
              <w:pStyle w:val="TableText"/>
              <w:cnfStyle w:val="100000000000" w:firstRow="1" w:lastRow="0" w:firstColumn="0" w:lastColumn="0" w:oddVBand="0" w:evenVBand="0" w:oddHBand="0" w:evenHBand="0" w:firstRowFirstColumn="0" w:firstRowLastColumn="0" w:lastRowFirstColumn="0" w:lastRowLastColumn="0"/>
            </w:pPr>
            <w:r w:rsidRPr="00F03917">
              <w:t>Strategies to overcome barriers</w:t>
            </w:r>
          </w:p>
        </w:tc>
      </w:tr>
      <w:tr w:rsidR="004034A2" w:rsidRPr="00F03917" w14:paraId="3AF0006A" w14:textId="77777777" w:rsidTr="00023E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5" w:type="dxa"/>
            <w:tcBorders>
              <w:top w:val="nil"/>
              <w:left w:val="nil"/>
              <w:bottom w:val="single" w:sz="4" w:space="0" w:color="auto"/>
              <w:right w:val="single" w:sz="4" w:space="0" w:color="auto"/>
            </w:tcBorders>
          </w:tcPr>
          <w:p w14:paraId="1157C7A1" w14:textId="77777777" w:rsidR="008E0FE8" w:rsidRPr="00F03917" w:rsidRDefault="008E0FE8" w:rsidP="009C695C">
            <w:pPr>
              <w:pStyle w:val="TableTextbold"/>
            </w:pPr>
            <w:r w:rsidRPr="00F03917">
              <w:t>Overcoming initial inertia to the uptake of DAPP in an uncertain context </w:t>
            </w:r>
          </w:p>
        </w:tc>
        <w:tc>
          <w:tcPr>
            <w:tcW w:w="3355" w:type="dxa"/>
            <w:gridSpan w:val="2"/>
            <w:tcBorders>
              <w:top w:val="nil"/>
              <w:left w:val="single" w:sz="4" w:space="0" w:color="auto"/>
              <w:bottom w:val="single" w:sz="4" w:space="0" w:color="auto"/>
              <w:right w:val="single" w:sz="4" w:space="0" w:color="auto"/>
            </w:tcBorders>
          </w:tcPr>
          <w:p w14:paraId="6F922255" w14:textId="6AAD878E"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Short project timeframes can make it difficult for stakeholders to invest in the DAPP process and its outcomes</w:t>
            </w:r>
            <w:r w:rsidR="002D5430" w:rsidRPr="00F03917">
              <w:t>.</w:t>
            </w:r>
            <w:r w:rsidRPr="00F03917">
              <w:t xml:space="preserve"> </w:t>
            </w:r>
          </w:p>
          <w:p w14:paraId="543C1595" w14:textId="18C9151A"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 xml:space="preserve">Entrenched views </w:t>
            </w:r>
            <w:r w:rsidR="002D5430" w:rsidRPr="00F03917">
              <w:t xml:space="preserve">can exist </w:t>
            </w:r>
            <w:r w:rsidRPr="00F03917">
              <w:t xml:space="preserve">within institutions on how coastal flood management should be approached. </w:t>
            </w:r>
          </w:p>
          <w:p w14:paraId="2014D4F7" w14:textId="2D5456B3"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Short-term council functions prioritise short</w:t>
            </w:r>
            <w:r w:rsidR="002A6FB1" w:rsidRPr="00F03917">
              <w:t>-</w:t>
            </w:r>
            <w:r w:rsidRPr="00F03917">
              <w:t xml:space="preserve"> over long-term strategic thinking.</w:t>
            </w:r>
            <w:r w:rsidR="00977ED4" w:rsidRPr="00F03917">
              <w:t xml:space="preserve"> </w:t>
            </w:r>
          </w:p>
          <w:p w14:paraId="5A3AC76B" w14:textId="36274786"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Difficult to get mutual commitment from stakeholders.</w:t>
            </w:r>
            <w:r w:rsidR="00977ED4" w:rsidRPr="00F03917">
              <w:t xml:space="preserve"> </w:t>
            </w:r>
          </w:p>
          <w:p w14:paraId="1C013CD9" w14:textId="5367380F"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Assumption that local government action on climate change will reduce central government assistance with adaptation</w:t>
            </w:r>
            <w:r w:rsidR="002A6FB1" w:rsidRPr="00F03917">
              <w:t>.</w:t>
            </w:r>
          </w:p>
        </w:tc>
        <w:tc>
          <w:tcPr>
            <w:tcW w:w="3355" w:type="dxa"/>
            <w:gridSpan w:val="2"/>
            <w:tcBorders>
              <w:top w:val="nil"/>
              <w:left w:val="single" w:sz="4" w:space="0" w:color="auto"/>
              <w:bottom w:val="single" w:sz="4" w:space="0" w:color="auto"/>
              <w:right w:val="single" w:sz="4" w:space="0" w:color="auto"/>
            </w:tcBorders>
          </w:tcPr>
          <w:p w14:paraId="768816AA" w14:textId="77777777"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Lack of knowledge about DAPP and its application as an analytical approach that can encompass engagement processes.</w:t>
            </w:r>
          </w:p>
          <w:p w14:paraId="1D229931" w14:textId="680C4F9F"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Lack of capability to adopt new tools</w:t>
            </w:r>
            <w:r w:rsidR="002A6FB1" w:rsidRPr="00F03917">
              <w:t>.</w:t>
            </w:r>
            <w:r w:rsidRPr="00F03917">
              <w:t> </w:t>
            </w:r>
          </w:p>
        </w:tc>
        <w:tc>
          <w:tcPr>
            <w:tcW w:w="3883" w:type="dxa"/>
            <w:tcBorders>
              <w:top w:val="nil"/>
              <w:left w:val="single" w:sz="4" w:space="0" w:color="auto"/>
              <w:bottom w:val="single" w:sz="4" w:space="0" w:color="auto"/>
              <w:right w:val="nil"/>
            </w:tcBorders>
          </w:tcPr>
          <w:p w14:paraId="535BAAB1" w14:textId="002D17FA"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Preparation – understand the differences between commonly used static hazard</w:t>
            </w:r>
            <w:r w:rsidR="00FE5B9C" w:rsidRPr="00F03917">
              <w:t xml:space="preserve"> </w:t>
            </w:r>
            <w:r w:rsidRPr="00F03917">
              <w:t>risk management practices under changing climate that require use of the DAPP approach. </w:t>
            </w:r>
          </w:p>
          <w:p w14:paraId="7EB0237C" w14:textId="39108183"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Preparation – mandate long-term strategy champions within organisations.</w:t>
            </w:r>
          </w:p>
          <w:p w14:paraId="464E4E6C" w14:textId="77777777"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Preparation – establish clear governance strategies at the beginning of the DAPP process. </w:t>
            </w:r>
          </w:p>
          <w:p w14:paraId="4523612C" w14:textId="77777777"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Preparation – create space for clear ownership of the DAPP process to develop amongst stakeholders and managers. </w:t>
            </w:r>
          </w:p>
          <w:p w14:paraId="7953A9F3" w14:textId="56F73913"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Preparation – ensure roles and responsibilities are shared equitably among all stakeholders to facilitate long-term buy-in. </w:t>
            </w:r>
          </w:p>
          <w:p w14:paraId="19ABCEBC" w14:textId="28387335"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 xml:space="preserve">Preparation – appoint </w:t>
            </w:r>
            <w:r w:rsidR="00D42347" w:rsidRPr="00F03917">
              <w:t>‘</w:t>
            </w:r>
            <w:r w:rsidRPr="00F03917">
              <w:t>knowledge brokers</w:t>
            </w:r>
            <w:r w:rsidR="00D42347" w:rsidRPr="00F03917">
              <w:t>’</w:t>
            </w:r>
            <w:r w:rsidRPr="00F03917">
              <w:t xml:space="preserve"> to facilitate a common understanding of process and its components. </w:t>
            </w:r>
          </w:p>
          <w:p w14:paraId="6F26B4B9" w14:textId="2014EB95" w:rsidR="008E0FE8" w:rsidRPr="00F03917" w:rsidRDefault="008E0FE8" w:rsidP="00ED7A88">
            <w:pPr>
              <w:pStyle w:val="TableText"/>
              <w:cnfStyle w:val="000000100000" w:firstRow="0" w:lastRow="0" w:firstColumn="0" w:lastColumn="0" w:oddVBand="0" w:evenVBand="0" w:oddHBand="1" w:evenHBand="0" w:firstRowFirstColumn="0" w:firstRowLastColumn="0" w:lastRowFirstColumn="0" w:lastRowLastColumn="0"/>
            </w:pPr>
            <w:r w:rsidRPr="00F03917">
              <w:t>Preparation – develop partnerships with iwi/hapū</w:t>
            </w:r>
            <w:r w:rsidR="00ED7A88" w:rsidRPr="00F03917">
              <w:t>.</w:t>
            </w:r>
            <w:r w:rsidRPr="00F03917">
              <w:t> </w:t>
            </w:r>
          </w:p>
        </w:tc>
      </w:tr>
      <w:tr w:rsidR="008E0FE8" w:rsidRPr="00F03917" w14:paraId="1C6D3C57" w14:textId="77777777" w:rsidTr="00023E5A">
        <w:tc>
          <w:tcPr>
            <w:cnfStyle w:val="001000000000" w:firstRow="0" w:lastRow="0" w:firstColumn="1" w:lastColumn="0" w:oddVBand="0" w:evenVBand="0" w:oddHBand="0" w:evenHBand="0" w:firstRowFirstColumn="0" w:firstRowLastColumn="0" w:lastRowFirstColumn="0" w:lastRowLastColumn="0"/>
            <w:tcW w:w="3355" w:type="dxa"/>
            <w:tcBorders>
              <w:top w:val="single" w:sz="4" w:space="0" w:color="auto"/>
              <w:bottom w:val="single" w:sz="4" w:space="0" w:color="auto"/>
              <w:right w:val="single" w:sz="4" w:space="0" w:color="auto"/>
            </w:tcBorders>
          </w:tcPr>
          <w:p w14:paraId="244CA8DE" w14:textId="77777777" w:rsidR="008E0FE8" w:rsidRPr="00F03917" w:rsidRDefault="008E0FE8" w:rsidP="009C695C">
            <w:pPr>
              <w:pStyle w:val="TableTextbold"/>
            </w:pPr>
            <w:r w:rsidRPr="00F03917">
              <w:t>Using models to investigate the effectiveness of adaptation options to form the basis for developing adaptation plans </w:t>
            </w:r>
          </w:p>
        </w:tc>
        <w:tc>
          <w:tcPr>
            <w:tcW w:w="3355" w:type="dxa"/>
            <w:gridSpan w:val="2"/>
            <w:tcBorders>
              <w:top w:val="single" w:sz="4" w:space="0" w:color="auto"/>
              <w:left w:val="single" w:sz="4" w:space="0" w:color="auto"/>
              <w:bottom w:val="single" w:sz="4" w:space="0" w:color="auto"/>
              <w:right w:val="single" w:sz="4" w:space="0" w:color="auto"/>
            </w:tcBorders>
          </w:tcPr>
          <w:p w14:paraId="2BF715A1" w14:textId="1A7CBD46" w:rsidR="008E0FE8" w:rsidRPr="00F03917" w:rsidRDefault="008E0FE8" w:rsidP="009C695C">
            <w:pPr>
              <w:pStyle w:val="TableText"/>
              <w:spacing w:after="40"/>
              <w:cnfStyle w:val="000000000000" w:firstRow="0" w:lastRow="0" w:firstColumn="0" w:lastColumn="0" w:oddVBand="0" w:evenVBand="0" w:oddHBand="0" w:evenHBand="0" w:firstRowFirstColumn="0" w:firstRowLastColumn="0" w:lastRowFirstColumn="0" w:lastRowLastColumn="0"/>
            </w:pPr>
            <w:r w:rsidRPr="00F03917">
              <w:t>Lack of investment in locally relevant models</w:t>
            </w:r>
            <w:r w:rsidR="005C3C89" w:rsidRPr="00F03917">
              <w:t>.</w:t>
            </w:r>
            <w:r w:rsidRPr="00F03917">
              <w:t> </w:t>
            </w:r>
          </w:p>
          <w:p w14:paraId="4105982E" w14:textId="3199D9D0" w:rsidR="008E0FE8" w:rsidRPr="00F03917" w:rsidRDefault="008E0FE8" w:rsidP="009C695C">
            <w:pPr>
              <w:pStyle w:val="TableText"/>
              <w:spacing w:after="40"/>
              <w:cnfStyle w:val="000000000000" w:firstRow="0" w:lastRow="0" w:firstColumn="0" w:lastColumn="0" w:oddVBand="0" w:evenVBand="0" w:oddHBand="0" w:evenHBand="0" w:firstRowFirstColumn="0" w:firstRowLastColumn="0" w:lastRowFirstColumn="0" w:lastRowLastColumn="0"/>
            </w:pPr>
            <w:r w:rsidRPr="00F03917">
              <w:t>Poor understanding of available data due to isolated knowledge within institutions</w:t>
            </w:r>
            <w:r w:rsidR="005C3C89" w:rsidRPr="00F03917">
              <w:t>.</w:t>
            </w:r>
          </w:p>
          <w:p w14:paraId="7707266B" w14:textId="4173787F" w:rsidR="008E0FE8" w:rsidRPr="00F03917" w:rsidRDefault="008E0FE8" w:rsidP="009C695C">
            <w:pPr>
              <w:pStyle w:val="TableText"/>
              <w:spacing w:after="40"/>
              <w:cnfStyle w:val="000000000000" w:firstRow="0" w:lastRow="0" w:firstColumn="0" w:lastColumn="0" w:oddVBand="0" w:evenVBand="0" w:oddHBand="0" w:evenHBand="0" w:firstRowFirstColumn="0" w:firstRowLastColumn="0" w:lastRowFirstColumn="0" w:lastRowLastColumn="0"/>
            </w:pPr>
            <w:r w:rsidRPr="00F03917">
              <w:t>Mistrust of the ability of ‘simple’ models and workshop processes to provide useful information</w:t>
            </w:r>
            <w:r w:rsidR="005C3C89" w:rsidRPr="00F03917">
              <w:t>.</w:t>
            </w:r>
          </w:p>
        </w:tc>
        <w:tc>
          <w:tcPr>
            <w:tcW w:w="3355" w:type="dxa"/>
            <w:gridSpan w:val="2"/>
            <w:tcBorders>
              <w:top w:val="single" w:sz="4" w:space="0" w:color="auto"/>
              <w:left w:val="single" w:sz="4" w:space="0" w:color="auto"/>
              <w:bottom w:val="single" w:sz="4" w:space="0" w:color="auto"/>
              <w:right w:val="single" w:sz="4" w:space="0" w:color="auto"/>
            </w:tcBorders>
          </w:tcPr>
          <w:p w14:paraId="6859BBB9" w14:textId="21A0C68F" w:rsidR="008E0FE8" w:rsidRPr="00F03917" w:rsidRDefault="008E0FE8" w:rsidP="009C695C">
            <w:pPr>
              <w:pStyle w:val="TableText"/>
              <w:spacing w:after="40"/>
              <w:cnfStyle w:val="000000000000" w:firstRow="0" w:lastRow="0" w:firstColumn="0" w:lastColumn="0" w:oddVBand="0" w:evenVBand="0" w:oddHBand="0" w:evenHBand="0" w:firstRowFirstColumn="0" w:firstRowLastColumn="0" w:lastRowFirstColumn="0" w:lastRowLastColumn="0"/>
            </w:pPr>
            <w:r w:rsidRPr="00F03917">
              <w:t>Limited or inaccurate data on physical characteristics of coastal hazard and extreme events, assets at risk, and impact of options</w:t>
            </w:r>
            <w:r w:rsidR="00892B27" w:rsidRPr="00F03917">
              <w:t>.</w:t>
            </w:r>
            <w:r w:rsidRPr="00F03917">
              <w:t> </w:t>
            </w:r>
          </w:p>
          <w:p w14:paraId="558394ED" w14:textId="07D647A4" w:rsidR="008E0FE8" w:rsidRPr="00F03917" w:rsidRDefault="008E0FE8" w:rsidP="009C695C">
            <w:pPr>
              <w:pStyle w:val="TableText"/>
              <w:spacing w:after="40"/>
              <w:cnfStyle w:val="000000000000" w:firstRow="0" w:lastRow="0" w:firstColumn="0" w:lastColumn="0" w:oddVBand="0" w:evenVBand="0" w:oddHBand="0" w:evenHBand="0" w:firstRowFirstColumn="0" w:firstRowLastColumn="0" w:lastRowFirstColumn="0" w:lastRowLastColumn="0"/>
            </w:pPr>
            <w:r w:rsidRPr="00F03917">
              <w:t>Unsure how to blend qualitative information and workshop deliberations with quantitative data (eg, RiskScape)</w:t>
            </w:r>
            <w:r w:rsidR="00892B27" w:rsidRPr="00F03917">
              <w:t>.</w:t>
            </w:r>
            <w:r w:rsidRPr="00F03917">
              <w:t> </w:t>
            </w:r>
          </w:p>
          <w:p w14:paraId="615CC0BE" w14:textId="3AC9B1E8" w:rsidR="008E0FE8" w:rsidRPr="00F03917" w:rsidRDefault="008E0FE8" w:rsidP="009C695C">
            <w:pPr>
              <w:pStyle w:val="TableText"/>
              <w:spacing w:after="40"/>
              <w:cnfStyle w:val="000000000000" w:firstRow="0" w:lastRow="0" w:firstColumn="0" w:lastColumn="0" w:oddVBand="0" w:evenVBand="0" w:oddHBand="0" w:evenHBand="0" w:firstRowFirstColumn="0" w:firstRowLastColumn="0" w:lastRowFirstColumn="0" w:lastRowLastColumn="0"/>
            </w:pPr>
            <w:r w:rsidRPr="00F03917">
              <w:t>Unclear how available data can address deep uncertainty problems (eg, monitoring plans, triggers and scenarios)</w:t>
            </w:r>
            <w:r w:rsidR="00D73DC3" w:rsidRPr="00F03917">
              <w:t>.</w:t>
            </w:r>
            <w:r w:rsidRPr="00F03917">
              <w:t> </w:t>
            </w:r>
          </w:p>
        </w:tc>
        <w:tc>
          <w:tcPr>
            <w:tcW w:w="3883" w:type="dxa"/>
            <w:tcBorders>
              <w:top w:val="single" w:sz="4" w:space="0" w:color="auto"/>
              <w:left w:val="single" w:sz="4" w:space="0" w:color="auto"/>
              <w:bottom w:val="single" w:sz="4" w:space="0" w:color="auto"/>
            </w:tcBorders>
          </w:tcPr>
          <w:p w14:paraId="3E5B18EF" w14:textId="0152E8CB" w:rsidR="008E0FE8" w:rsidRPr="00F03917" w:rsidRDefault="008E0FE8" w:rsidP="009C695C">
            <w:pPr>
              <w:pStyle w:val="TableText"/>
              <w:spacing w:after="40"/>
              <w:cnfStyle w:val="000000000000" w:firstRow="0" w:lastRow="0" w:firstColumn="0" w:lastColumn="0" w:oddVBand="0" w:evenVBand="0" w:oddHBand="0" w:evenHBand="0" w:firstRowFirstColumn="0" w:firstRowLastColumn="0" w:lastRowFirstColumn="0" w:lastRowLastColumn="0"/>
            </w:pPr>
            <w:r w:rsidRPr="00F03917">
              <w:t>Preparation –</w:t>
            </w:r>
            <w:r w:rsidR="00D73DC3" w:rsidRPr="00F03917">
              <w:t xml:space="preserve"> </w:t>
            </w:r>
            <w:r w:rsidRPr="00F03917">
              <w:t>develop a detailed overview of available models, data and how these might be used before starting this stage of DAPP development</w:t>
            </w:r>
            <w:r w:rsidR="00D73DC3" w:rsidRPr="00F03917">
              <w:t>,</w:t>
            </w:r>
            <w:r w:rsidRPr="00F03917">
              <w:t xml:space="preserve"> including in developing options for Māori whenua and facilities, cultural sites and for implementation to acknowledge </w:t>
            </w:r>
            <w:r w:rsidR="00BB4C17" w:rsidRPr="00F03917">
              <w:t>t</w:t>
            </w:r>
            <w:r w:rsidRPr="00F03917">
              <w:t>e Tiriti</w:t>
            </w:r>
            <w:r w:rsidR="00417B62" w:rsidRPr="00F03917">
              <w:t xml:space="preserve"> o Waitangi</w:t>
            </w:r>
            <w:r w:rsidRPr="00F03917">
              <w:t xml:space="preserve"> obligations, governance.</w:t>
            </w:r>
          </w:p>
          <w:p w14:paraId="47D84F7B" w14:textId="5CDCE0BA" w:rsidR="008E0FE8" w:rsidRPr="00F03917" w:rsidRDefault="008E0FE8" w:rsidP="009C695C">
            <w:pPr>
              <w:pStyle w:val="TableText"/>
              <w:spacing w:after="40"/>
              <w:cnfStyle w:val="000000000000" w:firstRow="0" w:lastRow="0" w:firstColumn="0" w:lastColumn="0" w:oddVBand="0" w:evenVBand="0" w:oddHBand="0" w:evenHBand="0" w:firstRowFirstColumn="0" w:firstRowLastColumn="0" w:lastRowFirstColumn="0" w:lastRowLastColumn="0"/>
            </w:pPr>
            <w:r w:rsidRPr="00F03917">
              <w:t>Flexibility –</w:t>
            </w:r>
            <w:r w:rsidR="00D73DC3" w:rsidRPr="00F03917">
              <w:t xml:space="preserve"> </w:t>
            </w:r>
            <w:r w:rsidRPr="00F03917">
              <w:t>tailor the type of DAPP process with the amount</w:t>
            </w:r>
            <w:r w:rsidR="00417B62" w:rsidRPr="00F03917">
              <w:t xml:space="preserve"> and </w:t>
            </w:r>
            <w:r w:rsidRPr="00F03917">
              <w:t>quality of data available (eg, basic scorecard when there is limited information available versus complex model-informed decision pathways)</w:t>
            </w:r>
            <w:r w:rsidR="00417B62" w:rsidRPr="00F03917">
              <w:t>.</w:t>
            </w:r>
            <w:r w:rsidRPr="00F03917">
              <w:t xml:space="preserve"> </w:t>
            </w:r>
          </w:p>
          <w:p w14:paraId="506E0689" w14:textId="70272848" w:rsidR="008E0FE8" w:rsidRPr="00F03917" w:rsidRDefault="008E0FE8" w:rsidP="009C695C">
            <w:pPr>
              <w:pStyle w:val="TableText"/>
              <w:spacing w:after="40"/>
              <w:cnfStyle w:val="000000000000" w:firstRow="0" w:lastRow="0" w:firstColumn="0" w:lastColumn="0" w:oddVBand="0" w:evenVBand="0" w:oddHBand="0" w:evenHBand="0" w:firstRowFirstColumn="0" w:firstRowLastColumn="0" w:lastRowFirstColumn="0" w:lastRowLastColumn="0"/>
            </w:pPr>
            <w:r w:rsidRPr="00F03917">
              <w:lastRenderedPageBreak/>
              <w:t>Flexibility –</w:t>
            </w:r>
            <w:r w:rsidR="00417B62" w:rsidRPr="00F03917">
              <w:t xml:space="preserve"> </w:t>
            </w:r>
            <w:r w:rsidRPr="00F03917">
              <w:t xml:space="preserve">pool resources across organisations to maximise useful data and possible modelling options. </w:t>
            </w:r>
          </w:p>
          <w:p w14:paraId="27FDA258" w14:textId="6EB7C3E7" w:rsidR="008E0FE8" w:rsidRPr="00F03917" w:rsidRDefault="008E0FE8" w:rsidP="009C695C">
            <w:pPr>
              <w:pStyle w:val="TableText"/>
              <w:spacing w:after="40"/>
              <w:cnfStyle w:val="000000000000" w:firstRow="0" w:lastRow="0" w:firstColumn="0" w:lastColumn="0" w:oddVBand="0" w:evenVBand="0" w:oddHBand="0" w:evenHBand="0" w:firstRowFirstColumn="0" w:firstRowLastColumn="0" w:lastRowFirstColumn="0" w:lastRowLastColumn="0"/>
            </w:pPr>
            <w:r w:rsidRPr="00F03917">
              <w:t>Serious games –</w:t>
            </w:r>
            <w:r w:rsidR="00417B62" w:rsidRPr="00F03917">
              <w:t xml:space="preserve"> </w:t>
            </w:r>
            <w:r w:rsidRPr="00F03917">
              <w:t>a useful way to communicate model processes, demonstrate the long-term effects of decisions, and build model and team trust.</w:t>
            </w:r>
            <w:r w:rsidR="00977ED4" w:rsidRPr="00F03917">
              <w:t xml:space="preserve"> </w:t>
            </w:r>
          </w:p>
          <w:p w14:paraId="4849C503" w14:textId="0ECEA963" w:rsidR="008E0FE8" w:rsidRPr="00F03917" w:rsidRDefault="008E0FE8" w:rsidP="00ED7A88">
            <w:pPr>
              <w:pStyle w:val="TableText"/>
              <w:cnfStyle w:val="000000000000" w:firstRow="0" w:lastRow="0" w:firstColumn="0" w:lastColumn="0" w:oddVBand="0" w:evenVBand="0" w:oddHBand="0" w:evenHBand="0" w:firstRowFirstColumn="0" w:firstRowLastColumn="0" w:lastRowFirstColumn="0" w:lastRowLastColumn="0"/>
            </w:pPr>
            <w:r w:rsidRPr="00F03917">
              <w:t>Flexibility –</w:t>
            </w:r>
            <w:r w:rsidR="00417B62" w:rsidRPr="00F03917">
              <w:t xml:space="preserve"> </w:t>
            </w:r>
            <w:r w:rsidRPr="00F03917">
              <w:t xml:space="preserve">use a range of metrics (economic, social, cultural and environmental) to show the efficacy of adaptation plans. </w:t>
            </w:r>
          </w:p>
          <w:p w14:paraId="5117E306" w14:textId="4B4F162A" w:rsidR="008E0FE8" w:rsidRPr="00F03917" w:rsidRDefault="008E0FE8" w:rsidP="009C695C">
            <w:pPr>
              <w:pStyle w:val="TableText"/>
              <w:spacing w:after="40"/>
              <w:cnfStyle w:val="000000000000" w:firstRow="0" w:lastRow="0" w:firstColumn="0" w:lastColumn="0" w:oddVBand="0" w:evenVBand="0" w:oddHBand="0" w:evenHBand="0" w:firstRowFirstColumn="0" w:firstRowLastColumn="0" w:lastRowFirstColumn="0" w:lastRowLastColumn="0"/>
            </w:pPr>
            <w:r w:rsidRPr="00F03917">
              <w:t>Preparation</w:t>
            </w:r>
            <w:r w:rsidR="00984995" w:rsidRPr="00F03917">
              <w:t xml:space="preserve"> and </w:t>
            </w:r>
            <w:r w:rsidRPr="00F03917">
              <w:t>flexibility</w:t>
            </w:r>
            <w:r w:rsidR="00984995" w:rsidRPr="00F03917">
              <w:t xml:space="preserve"> </w:t>
            </w:r>
            <w:r w:rsidRPr="00F03917">
              <w:t>– develop monitoring plans and triggers, using several scenarios to test them, use several different indicators to cover local (eg, Mean Annual Flood, Expected Annual Damage), national (eg, sea level and extreme event trends) and global (eg, atmospheric circulation patterns) scales</w:t>
            </w:r>
            <w:r w:rsidR="00911A60" w:rsidRPr="00F03917">
              <w:t>.</w:t>
            </w:r>
          </w:p>
        </w:tc>
      </w:tr>
      <w:tr w:rsidR="00452895" w:rsidRPr="00F03917" w14:paraId="1B563014" w14:textId="77777777" w:rsidTr="00023E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5" w:type="dxa"/>
            <w:tcBorders>
              <w:top w:val="single" w:sz="4" w:space="0" w:color="auto"/>
              <w:left w:val="nil"/>
              <w:bottom w:val="single" w:sz="4" w:space="0" w:color="auto"/>
              <w:right w:val="single" w:sz="4" w:space="0" w:color="auto"/>
            </w:tcBorders>
          </w:tcPr>
          <w:p w14:paraId="25B0A34F" w14:textId="5E9A95A2" w:rsidR="008E0FE8" w:rsidRPr="00F03917" w:rsidRDefault="008E0FE8" w:rsidP="009C695C">
            <w:pPr>
              <w:pStyle w:val="TableTextbold"/>
              <w:rPr>
                <w:b/>
                <w:bCs w:val="0"/>
              </w:rPr>
            </w:pPr>
            <w:r w:rsidRPr="00F03917">
              <w:rPr>
                <w:b/>
                <w:bCs w:val="0"/>
              </w:rPr>
              <w:lastRenderedPageBreak/>
              <w:t>Incorporating adaptation plans within policy frameworks and measures</w:t>
            </w:r>
          </w:p>
        </w:tc>
        <w:tc>
          <w:tcPr>
            <w:tcW w:w="3355" w:type="dxa"/>
            <w:gridSpan w:val="2"/>
            <w:tcBorders>
              <w:top w:val="single" w:sz="4" w:space="0" w:color="auto"/>
              <w:left w:val="single" w:sz="4" w:space="0" w:color="auto"/>
              <w:bottom w:val="single" w:sz="4" w:space="0" w:color="auto"/>
              <w:right w:val="single" w:sz="4" w:space="0" w:color="auto"/>
            </w:tcBorders>
          </w:tcPr>
          <w:p w14:paraId="0475CF0A" w14:textId="77777777"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Ability of individuals or communities to block implementation. </w:t>
            </w:r>
          </w:p>
          <w:p w14:paraId="785CF7FA" w14:textId="68FBA16B"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Ongoing monitoring costs</w:t>
            </w:r>
            <w:r w:rsidR="00911A60" w:rsidRPr="00F03917">
              <w:t>.</w:t>
            </w:r>
            <w:r w:rsidRPr="00F03917">
              <w:t> </w:t>
            </w:r>
          </w:p>
        </w:tc>
        <w:tc>
          <w:tcPr>
            <w:tcW w:w="3355" w:type="dxa"/>
            <w:gridSpan w:val="2"/>
            <w:tcBorders>
              <w:top w:val="single" w:sz="4" w:space="0" w:color="auto"/>
              <w:left w:val="single" w:sz="4" w:space="0" w:color="auto"/>
              <w:bottom w:val="single" w:sz="4" w:space="0" w:color="auto"/>
              <w:right w:val="single" w:sz="4" w:space="0" w:color="auto"/>
            </w:tcBorders>
          </w:tcPr>
          <w:p w14:paraId="21A21EFE" w14:textId="56F4CEBB"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Lack of long-term strategic policy at local government level</w:t>
            </w:r>
            <w:r w:rsidR="00911A60" w:rsidRPr="00F03917">
              <w:t>.</w:t>
            </w:r>
            <w:r w:rsidRPr="00F03917">
              <w:t> </w:t>
            </w:r>
          </w:p>
        </w:tc>
        <w:tc>
          <w:tcPr>
            <w:tcW w:w="3883" w:type="dxa"/>
            <w:tcBorders>
              <w:top w:val="single" w:sz="4" w:space="0" w:color="auto"/>
              <w:left w:val="single" w:sz="4" w:space="0" w:color="auto"/>
              <w:bottom w:val="single" w:sz="4" w:space="0" w:color="auto"/>
              <w:right w:val="nil"/>
            </w:tcBorders>
          </w:tcPr>
          <w:p w14:paraId="638BC2C6" w14:textId="08DA005F"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Preparation – early collaboration to build buy-in with all relevant stakeholders and communities will minimise the likelihood of push-back at the implementation stage.</w:t>
            </w:r>
            <w:r w:rsidR="00977ED4" w:rsidRPr="00F03917">
              <w:t xml:space="preserve"> </w:t>
            </w:r>
          </w:p>
          <w:p w14:paraId="03BC113B" w14:textId="77777777"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Preparation – monitoring frameworks are a necessary investment so that adaptation plans can be adjusted before highly damaging events occur. </w:t>
            </w:r>
          </w:p>
          <w:p w14:paraId="60EDBC1B" w14:textId="1EF304C9" w:rsidR="008E0FE8" w:rsidRPr="00F03917" w:rsidRDefault="008E0FE8" w:rsidP="009C695C">
            <w:pPr>
              <w:pStyle w:val="TableText"/>
              <w:spacing w:after="40"/>
              <w:cnfStyle w:val="000000100000" w:firstRow="0" w:lastRow="0" w:firstColumn="0" w:lastColumn="0" w:oddVBand="0" w:evenVBand="0" w:oddHBand="1" w:evenHBand="0" w:firstRowFirstColumn="0" w:firstRowLastColumn="0" w:lastRowFirstColumn="0" w:lastRowLastColumn="0"/>
            </w:pPr>
            <w:r w:rsidRPr="00F03917">
              <w:t>Preparation – new local-level policy that focuses on proactive management will enable adaptation plans to become embedded</w:t>
            </w:r>
            <w:r w:rsidR="00B83154" w:rsidRPr="00F03917">
              <w:t>.</w:t>
            </w:r>
            <w:r w:rsidRPr="00F03917">
              <w:t> </w:t>
            </w:r>
          </w:p>
        </w:tc>
      </w:tr>
    </w:tbl>
    <w:p w14:paraId="36DC38AC" w14:textId="4E964213" w:rsidR="008E0FE8" w:rsidRPr="00F03917" w:rsidRDefault="00856F6E" w:rsidP="00856F6E">
      <w:pPr>
        <w:pStyle w:val="Source"/>
      </w:pPr>
      <w:r w:rsidRPr="00F03917">
        <w:t>Source: Adapted from Lawrence et al, 2020b</w:t>
      </w:r>
    </w:p>
    <w:p w14:paraId="4870E66F" w14:textId="77777777" w:rsidR="00856F6E" w:rsidRPr="00F03917" w:rsidRDefault="00856F6E" w:rsidP="009C695C">
      <w:pPr>
        <w:pStyle w:val="BodyText"/>
      </w:pPr>
    </w:p>
    <w:p w14:paraId="547F21B1" w14:textId="77777777" w:rsidR="00856F6E" w:rsidRPr="00F03917" w:rsidRDefault="00856F6E" w:rsidP="009C695C">
      <w:pPr>
        <w:pStyle w:val="BodyText"/>
        <w:sectPr w:rsidR="00856F6E" w:rsidRPr="00F03917" w:rsidSect="007E5AB2">
          <w:pgSz w:w="16840" w:h="11907" w:orient="landscape" w:code="9"/>
          <w:pgMar w:top="426" w:right="1134" w:bottom="1701" w:left="1134" w:header="567" w:footer="567" w:gutter="0"/>
          <w:cols w:space="720"/>
          <w:docGrid w:linePitch="326"/>
        </w:sectPr>
      </w:pPr>
    </w:p>
    <w:p w14:paraId="7BCFBBB5" w14:textId="4E933587" w:rsidR="00E45A40" w:rsidRPr="00F03917" w:rsidRDefault="00E45A40" w:rsidP="0028684A">
      <w:pPr>
        <w:pStyle w:val="Heading1"/>
      </w:pPr>
      <w:bookmarkStart w:id="255" w:name="_Appendix_D:_Baseline"/>
      <w:bookmarkStart w:id="256" w:name="_Toc160096275"/>
      <w:bookmarkEnd w:id="255"/>
      <w:r w:rsidRPr="00F03917">
        <w:lastRenderedPageBreak/>
        <w:t xml:space="preserve">Appendix </w:t>
      </w:r>
      <w:r w:rsidR="008E0FE8" w:rsidRPr="00F03917">
        <w:t>D</w:t>
      </w:r>
      <w:r w:rsidRPr="00F03917">
        <w:t xml:space="preserve">: Baseline mean sea level for locations around </w:t>
      </w:r>
      <w:r w:rsidR="003E7CD7" w:rsidRPr="00F03917">
        <w:t xml:space="preserve">Aotearoa </w:t>
      </w:r>
      <w:r w:rsidRPr="00F03917">
        <w:t>New Zealand</w:t>
      </w:r>
      <w:bookmarkEnd w:id="256"/>
    </w:p>
    <w:p w14:paraId="6B611240" w14:textId="2C8A2B41" w:rsidR="00E45A40" w:rsidRPr="00F03917" w:rsidRDefault="00E45A40" w:rsidP="009C695C">
      <w:pPr>
        <w:pStyle w:val="BodyText"/>
      </w:pPr>
      <w:r w:rsidRPr="00F03917">
        <w:t>Sea-level rise projections in this guidance and the NZ</w:t>
      </w:r>
      <w:r w:rsidR="008975C6" w:rsidRPr="00F03917">
        <w:t xml:space="preserve"> </w:t>
      </w:r>
      <w:r w:rsidRPr="00F03917">
        <w:t>SeaRise platform</w:t>
      </w:r>
      <w:r w:rsidR="00AA2306" w:rsidRPr="00F03917">
        <w:t>,</w:t>
      </w:r>
      <w:r w:rsidR="00F22CFA" w:rsidRPr="00F03917">
        <w:rPr>
          <w:rStyle w:val="FootnoteReference"/>
          <w:rFonts w:eastAsia="Times New Roman" w:cs="Calibri"/>
        </w:rPr>
        <w:footnoteReference w:id="102"/>
      </w:r>
      <w:r w:rsidRPr="00F03917">
        <w:t xml:space="preserve"> in line with global projections in </w:t>
      </w:r>
      <w:r w:rsidR="00D94385" w:rsidRPr="00F03917">
        <w:t xml:space="preserve">the Intergovernmental Panel on Climate Change </w:t>
      </w:r>
      <w:r w:rsidR="0043364B" w:rsidRPr="00F03917">
        <w:t>Sixth Assessment Report</w:t>
      </w:r>
      <w:r w:rsidRPr="00F03917">
        <w:t xml:space="preserve"> (Fox-Kemper et al, 2021), are relative to a zero baseline of the 20-year period 1995–2014, with a mid-point </w:t>
      </w:r>
      <w:r w:rsidR="00494815" w:rsidRPr="00F03917">
        <w:t>of</w:t>
      </w:r>
      <w:r w:rsidRPr="00F03917">
        <w:t xml:space="preserve"> 2005. Therefore, the local relative sea-level rise projections should be added to the local or regional mean sea level</w:t>
      </w:r>
      <w:r w:rsidR="001B42A6" w:rsidRPr="00F03917">
        <w:t xml:space="preserve"> (MSL)</w:t>
      </w:r>
      <w:r w:rsidRPr="00F03917">
        <w:t>, which has been averaged, where possible, over the same baseline period (1995–2014). This ‘grounds’ the future sea level projections to a local vertical datum of the region or preferably the national New Zealand Vertical Datum 2016 (NZVD</w:t>
      </w:r>
      <w:r w:rsidR="009479D6" w:rsidRPr="00F03917">
        <w:t>-</w:t>
      </w:r>
      <w:r w:rsidRPr="00F03917">
        <w:t>2016) (</w:t>
      </w:r>
      <w:r w:rsidR="004252CB" w:rsidRPr="00F03917">
        <w:t>f</w:t>
      </w:r>
      <w:r w:rsidRPr="00F03917">
        <w:t xml:space="preserve">igure </w:t>
      </w:r>
      <w:r w:rsidR="000770D8" w:rsidRPr="00F03917">
        <w:t>D.1</w:t>
      </w:r>
      <w:r w:rsidRPr="00F03917">
        <w:t>).</w:t>
      </w:r>
    </w:p>
    <w:p w14:paraId="06061910" w14:textId="4550BC3E" w:rsidR="00E45A40" w:rsidRPr="00F03917" w:rsidRDefault="00E45A40" w:rsidP="00C52920">
      <w:pPr>
        <w:pStyle w:val="Figureheading"/>
      </w:pPr>
      <w:bookmarkStart w:id="257" w:name="_Toc160098450"/>
      <w:r w:rsidRPr="00F03917">
        <w:t xml:space="preserve">Figure </w:t>
      </w:r>
      <w:r w:rsidR="000770D8" w:rsidRPr="00F03917">
        <w:t>D.1</w:t>
      </w:r>
      <w:r w:rsidRPr="00F03917">
        <w:t>:</w:t>
      </w:r>
      <w:r w:rsidRPr="00F03917">
        <w:tab/>
        <w:t xml:space="preserve">Schematic of </w:t>
      </w:r>
      <w:r w:rsidR="00473888" w:rsidRPr="00F03917">
        <w:t>‘</w:t>
      </w:r>
      <w:r w:rsidRPr="00F03917">
        <w:t>present</w:t>
      </w:r>
      <w:r w:rsidR="00473888" w:rsidRPr="00F03917">
        <w:t>’</w:t>
      </w:r>
      <w:r w:rsidRPr="00F03917">
        <w:t xml:space="preserve"> mean sea level and relationship to various vertical datums and additional sea-level rise</w:t>
      </w:r>
      <w:bookmarkEnd w:id="257"/>
    </w:p>
    <w:p w14:paraId="32FC3F5F" w14:textId="451C217F" w:rsidR="00E45A40" w:rsidRPr="00F03917" w:rsidRDefault="00B763AA" w:rsidP="009C695C">
      <w:pPr>
        <w:pStyle w:val="BodyText"/>
        <w:spacing w:before="80"/>
      </w:pPr>
      <w:r w:rsidRPr="00F03917">
        <w:rPr>
          <w:noProof/>
        </w:rPr>
        <w:drawing>
          <wp:inline distT="0" distB="0" distL="0" distR="0" wp14:anchorId="028F43A6" wp14:editId="5C58FB55">
            <wp:extent cx="5332780" cy="3614753"/>
            <wp:effectExtent l="0" t="0" r="1270" b="5080"/>
            <wp:docPr id="631635220" name="Picture 1" descr="A diagram of a brid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635220" name="Picture 1" descr="A diagram of a bridge&#10;&#10;Description automatically generated with medium confidence"/>
                    <pic:cNvPicPr/>
                  </pic:nvPicPr>
                  <pic:blipFill>
                    <a:blip r:embed="rId196"/>
                    <a:stretch>
                      <a:fillRect/>
                    </a:stretch>
                  </pic:blipFill>
                  <pic:spPr>
                    <a:xfrm>
                      <a:off x="0" y="0"/>
                      <a:ext cx="5335381" cy="3616516"/>
                    </a:xfrm>
                    <a:prstGeom prst="rect">
                      <a:avLst/>
                    </a:prstGeom>
                  </pic:spPr>
                </pic:pic>
              </a:graphicData>
            </a:graphic>
          </wp:inline>
        </w:drawing>
      </w:r>
    </w:p>
    <w:p w14:paraId="12180112" w14:textId="3147ACA3" w:rsidR="00E45A40" w:rsidRPr="00F03917" w:rsidRDefault="00E45A40" w:rsidP="009C695C">
      <w:pPr>
        <w:pStyle w:val="Source"/>
      </w:pPr>
      <w:r w:rsidRPr="00F03917">
        <w:t>Note: Local Vertical Datum is specific to each region(s) and is superseded by a national New Zealand Vertical Datum (NZVD</w:t>
      </w:r>
      <w:r w:rsidR="009479D6" w:rsidRPr="00F03917">
        <w:t>-</w:t>
      </w:r>
      <w:r w:rsidRPr="00F03917">
        <w:t>2016). HAT = highest astronomical tide; LAT = lowest astronomical tide; MHWS = mean high water spring tide.</w:t>
      </w:r>
    </w:p>
    <w:p w14:paraId="3DEDD60C" w14:textId="498CCFB4" w:rsidR="00E45A40" w:rsidRPr="00F03917" w:rsidRDefault="00E45A40" w:rsidP="008717DC">
      <w:pPr>
        <w:pStyle w:val="BodyText"/>
      </w:pPr>
      <w:r w:rsidRPr="00F03917">
        <w:t xml:space="preserve">Table </w:t>
      </w:r>
      <w:r w:rsidR="0057004C" w:rsidRPr="00F03917">
        <w:t>D.1</w:t>
      </w:r>
      <w:r w:rsidRPr="00F03917">
        <w:t xml:space="preserve"> lists the average MSL over the 20-year baseline period 1995–2014 (or the nearest available record over several years) for sites around </w:t>
      </w:r>
      <w:r w:rsidR="001B42A6" w:rsidRPr="00F03917">
        <w:t>Aote</w:t>
      </w:r>
      <w:r w:rsidR="00CE08EC" w:rsidRPr="00F03917">
        <w:t>a</w:t>
      </w:r>
      <w:r w:rsidR="001B42A6" w:rsidRPr="00F03917">
        <w:t xml:space="preserve">roa </w:t>
      </w:r>
      <w:r w:rsidRPr="00F03917">
        <w:t>New Zealand, relative to the national NZVD</w:t>
      </w:r>
      <w:r w:rsidR="009479D6" w:rsidRPr="00F03917">
        <w:t>-</w:t>
      </w:r>
      <w:r w:rsidRPr="00F03917">
        <w:t>2016</w:t>
      </w:r>
      <w:r w:rsidR="008717DC" w:rsidRPr="00F03917">
        <w:t>.</w:t>
      </w:r>
      <w:r w:rsidR="00642B1B" w:rsidRPr="00F03917">
        <w:rPr>
          <w:rStyle w:val="FootnoteReference"/>
          <w:rFonts w:eastAsia="Times New Roman" w:cs="Calibri"/>
        </w:rPr>
        <w:footnoteReference w:id="103"/>
      </w:r>
    </w:p>
    <w:p w14:paraId="68396146" w14:textId="72AE877E" w:rsidR="00E45A40" w:rsidRPr="00F03917" w:rsidRDefault="00E45A40" w:rsidP="008717DC">
      <w:pPr>
        <w:pStyle w:val="BodyText"/>
      </w:pPr>
      <w:r w:rsidRPr="00F03917">
        <w:lastRenderedPageBreak/>
        <w:t xml:space="preserve">For example, at Gisborne, using </w:t>
      </w:r>
      <w:r w:rsidR="004252CB" w:rsidRPr="00F03917">
        <w:t>t</w:t>
      </w:r>
      <w:r w:rsidRPr="00F03917">
        <w:t xml:space="preserve">able </w:t>
      </w:r>
      <w:r w:rsidR="006D6F9B" w:rsidRPr="00F03917">
        <w:t>D.1</w:t>
      </w:r>
      <w:r w:rsidRPr="00F03917">
        <w:t>, a 1 metre sea-level rise projection would raise the MSL to an elevation of 1 + (–0.14) metres = 0.86 metres relative to NZVD</w:t>
      </w:r>
      <w:r w:rsidR="009479D6" w:rsidRPr="00F03917">
        <w:t>-</w:t>
      </w:r>
      <w:r w:rsidRPr="00F03917">
        <w:t>2016. Storm tide water levels would then be added to these future MSL elevations in the relevant datum.</w:t>
      </w:r>
    </w:p>
    <w:p w14:paraId="7C55AF3D" w14:textId="2B40F201" w:rsidR="00E45A40" w:rsidRPr="00F03917" w:rsidRDefault="00E45A40" w:rsidP="000704EE">
      <w:pPr>
        <w:pStyle w:val="Tableheading"/>
        <w:numPr>
          <w:ilvl w:val="0"/>
          <w:numId w:val="0"/>
        </w:numPr>
        <w:ind w:left="1134" w:hanging="1134"/>
        <w:rPr>
          <w:rFonts w:ascii="Segoe UI" w:hAnsi="Segoe UI" w:cs="Segoe UI"/>
          <w:sz w:val="18"/>
          <w:szCs w:val="18"/>
        </w:rPr>
      </w:pPr>
      <w:bookmarkStart w:id="258" w:name="_Toc160098415"/>
      <w:r w:rsidRPr="00F03917">
        <w:t xml:space="preserve">Table </w:t>
      </w:r>
      <w:r w:rsidR="000704EE" w:rsidRPr="00F03917">
        <w:t>D.</w:t>
      </w:r>
      <w:r w:rsidR="00621AD1" w:rsidRPr="00F03917">
        <w:rPr>
          <w:color w:val="000000" w:themeColor="text1"/>
        </w:rPr>
        <w:t>1</w:t>
      </w:r>
      <w:r w:rsidRPr="00F03917">
        <w:t>:</w:t>
      </w:r>
      <w:r w:rsidRPr="00F03917">
        <w:tab/>
        <w:t xml:space="preserve">Mean sea level (MSL) at </w:t>
      </w:r>
      <w:r w:rsidR="008C5F98" w:rsidRPr="00F03917">
        <w:t xml:space="preserve">Aotearoa </w:t>
      </w:r>
      <w:r w:rsidRPr="00F03917">
        <w:t>New Zealand locations averaged over the</w:t>
      </w:r>
      <w:r w:rsidR="00D06CFF" w:rsidRPr="00F03917">
        <w:t xml:space="preserve"> </w:t>
      </w:r>
      <w:r w:rsidRPr="00F03917">
        <w:t>approximate</w:t>
      </w:r>
      <w:r w:rsidR="00F92B37" w:rsidRPr="00F03917">
        <w:t xml:space="preserve"> </w:t>
      </w:r>
      <w:r w:rsidRPr="00F03917">
        <w:t xml:space="preserve">1995–2014 baseline (used by IPCC) for adding on </w:t>
      </w:r>
      <w:r w:rsidR="00D06CFF" w:rsidRPr="00F03917">
        <w:noBreakHyphen/>
      </w:r>
      <w:r w:rsidRPr="00F03917">
        <w:t>sea</w:t>
      </w:r>
      <w:r w:rsidR="74F11134" w:rsidRPr="00F03917">
        <w:t>-level</w:t>
      </w:r>
      <w:r w:rsidR="000E2FC7" w:rsidRPr="00F03917">
        <w:t xml:space="preserve"> </w:t>
      </w:r>
      <w:r w:rsidRPr="00F03917">
        <w:t>rise</w:t>
      </w:r>
      <w:r w:rsidR="00D06CFF" w:rsidRPr="00F03917">
        <w:t> </w:t>
      </w:r>
      <w:r w:rsidRPr="00F03917">
        <w:t>projections</w:t>
      </w:r>
      <w:bookmarkEnd w:id="258"/>
    </w:p>
    <w:tbl>
      <w:tblPr>
        <w:tblW w:w="8505" w:type="dxa"/>
        <w:tblBorders>
          <w:top w:val="single" w:sz="2" w:space="0" w:color="1B556B" w:themeColor="text2"/>
          <w:bottom w:val="single" w:sz="2" w:space="0" w:color="1B556B" w:themeColor="text2"/>
          <w:insideH w:val="single" w:sz="2" w:space="0" w:color="1B556B" w:themeColor="text2"/>
          <w:insideV w:val="single" w:sz="2" w:space="0" w:color="1B556B" w:themeColor="text2"/>
        </w:tblBorders>
        <w:tblCellMar>
          <w:left w:w="85" w:type="dxa"/>
          <w:right w:w="85" w:type="dxa"/>
        </w:tblCellMar>
        <w:tblLook w:val="04A0" w:firstRow="1" w:lastRow="0" w:firstColumn="1" w:lastColumn="0" w:noHBand="0" w:noVBand="1"/>
      </w:tblPr>
      <w:tblGrid>
        <w:gridCol w:w="2268"/>
        <w:gridCol w:w="2725"/>
        <w:gridCol w:w="3512"/>
      </w:tblGrid>
      <w:tr w:rsidR="003C1E36" w:rsidRPr="00F03917" w14:paraId="62B8AE85" w14:textId="77777777" w:rsidTr="003C1E36">
        <w:tc>
          <w:tcPr>
            <w:tcW w:w="2268" w:type="dxa"/>
            <w:shd w:val="clear" w:color="auto" w:fill="1B556B" w:themeFill="text2"/>
            <w:vAlign w:val="bottom"/>
            <w:hideMark/>
          </w:tcPr>
          <w:p w14:paraId="7E30BE2D" w14:textId="669E3BB8" w:rsidR="00E45A40" w:rsidRPr="00F03917" w:rsidRDefault="00E45A40" w:rsidP="00B555CB">
            <w:pPr>
              <w:pStyle w:val="TableTextbold"/>
              <w:spacing w:before="40" w:after="40"/>
              <w:rPr>
                <w:rFonts w:ascii="Times New Roman" w:hAnsi="Times New Roman" w:cs="Times New Roman"/>
                <w:color w:val="FFFFFF" w:themeColor="background1"/>
              </w:rPr>
            </w:pPr>
            <w:r w:rsidRPr="00F03917">
              <w:rPr>
                <w:color w:val="FFFFFF" w:themeColor="background1"/>
              </w:rPr>
              <w:t>Gauge site</w:t>
            </w:r>
          </w:p>
        </w:tc>
        <w:tc>
          <w:tcPr>
            <w:tcW w:w="2725" w:type="dxa"/>
            <w:shd w:val="clear" w:color="auto" w:fill="1B556B" w:themeFill="text2"/>
            <w:vAlign w:val="bottom"/>
            <w:hideMark/>
          </w:tcPr>
          <w:p w14:paraId="2EFCD0D7" w14:textId="5F6600FF" w:rsidR="00E45A40" w:rsidRPr="00F03917" w:rsidRDefault="00E45A40" w:rsidP="00B555CB">
            <w:pPr>
              <w:pStyle w:val="TableTextbold"/>
              <w:spacing w:before="40" w:after="40"/>
              <w:jc w:val="center"/>
              <w:rPr>
                <w:rFonts w:ascii="Times New Roman" w:hAnsi="Times New Roman" w:cs="Times New Roman"/>
                <w:color w:val="FFFFFF" w:themeColor="background1"/>
              </w:rPr>
            </w:pPr>
            <w:r w:rsidRPr="00F03917">
              <w:rPr>
                <w:color w:val="FFFFFF" w:themeColor="background1"/>
              </w:rPr>
              <w:t>Averaging period (available data)</w:t>
            </w:r>
          </w:p>
        </w:tc>
        <w:tc>
          <w:tcPr>
            <w:tcW w:w="3512" w:type="dxa"/>
            <w:shd w:val="clear" w:color="auto" w:fill="1B556B" w:themeFill="text2"/>
            <w:vAlign w:val="bottom"/>
            <w:hideMark/>
          </w:tcPr>
          <w:p w14:paraId="33E491C3" w14:textId="14FCE901" w:rsidR="00E45A40" w:rsidRPr="00F03917" w:rsidRDefault="00E45A40" w:rsidP="00B555CB">
            <w:pPr>
              <w:pStyle w:val="TableTextbold"/>
              <w:spacing w:before="40" w:after="40"/>
              <w:jc w:val="center"/>
              <w:rPr>
                <w:rFonts w:ascii="Times New Roman" w:hAnsi="Times New Roman" w:cs="Times New Roman"/>
                <w:color w:val="FFFFFF" w:themeColor="background1"/>
              </w:rPr>
            </w:pPr>
            <w:r w:rsidRPr="00F03917">
              <w:rPr>
                <w:color w:val="FFFFFF" w:themeColor="background1"/>
              </w:rPr>
              <w:t>MSL (m; NZ Vertical Datum 2016)</w:t>
            </w:r>
          </w:p>
        </w:tc>
      </w:tr>
      <w:tr w:rsidR="00E45A40" w:rsidRPr="00F03917" w14:paraId="3D272641" w14:textId="77777777" w:rsidTr="003C1E36">
        <w:tc>
          <w:tcPr>
            <w:tcW w:w="2268" w:type="dxa"/>
            <w:shd w:val="clear" w:color="auto" w:fill="auto"/>
            <w:hideMark/>
          </w:tcPr>
          <w:p w14:paraId="620C057F" w14:textId="445F3C6D" w:rsidR="00E45A40" w:rsidRPr="00F03917" w:rsidRDefault="00D06CFF" w:rsidP="00B555CB">
            <w:pPr>
              <w:pStyle w:val="TableText"/>
              <w:spacing w:before="40" w:after="40"/>
              <w:rPr>
                <w:rFonts w:ascii="Times New Roman" w:hAnsi="Times New Roman" w:cs="Times New Roman"/>
              </w:rPr>
            </w:pPr>
            <w:r w:rsidRPr="00F03917">
              <w:t xml:space="preserve"> </w:t>
            </w:r>
            <w:r w:rsidR="00E45A40" w:rsidRPr="00F03917">
              <w:t>Auckland (Waitemata)</w:t>
            </w:r>
          </w:p>
        </w:tc>
        <w:tc>
          <w:tcPr>
            <w:tcW w:w="2725" w:type="dxa"/>
            <w:shd w:val="clear" w:color="auto" w:fill="auto"/>
            <w:hideMark/>
          </w:tcPr>
          <w:p w14:paraId="023BC989" w14:textId="69BFE4F8" w:rsidR="00E45A40" w:rsidRPr="00F03917" w:rsidRDefault="00E45A40" w:rsidP="00B555CB">
            <w:pPr>
              <w:pStyle w:val="TableText"/>
              <w:spacing w:before="40" w:after="40"/>
              <w:jc w:val="center"/>
              <w:rPr>
                <w:rFonts w:ascii="Times New Roman" w:hAnsi="Times New Roman" w:cs="Times New Roman"/>
              </w:rPr>
            </w:pPr>
            <w:r w:rsidRPr="00F03917">
              <w:t>1996–2014</w:t>
            </w:r>
          </w:p>
        </w:tc>
        <w:tc>
          <w:tcPr>
            <w:tcW w:w="3512" w:type="dxa"/>
            <w:shd w:val="clear" w:color="auto" w:fill="auto"/>
            <w:hideMark/>
          </w:tcPr>
          <w:p w14:paraId="4AAF2B91" w14:textId="01BFEAD2" w:rsidR="00E45A40" w:rsidRPr="00F03917" w:rsidRDefault="00E45A40" w:rsidP="00B555CB">
            <w:pPr>
              <w:pStyle w:val="TableText"/>
              <w:spacing w:before="40" w:after="40"/>
              <w:jc w:val="center"/>
              <w:rPr>
                <w:rFonts w:ascii="Times New Roman" w:hAnsi="Times New Roman" w:cs="Times New Roman"/>
              </w:rPr>
            </w:pPr>
            <w:r w:rsidRPr="00F03917">
              <w:t>–0.20</w:t>
            </w:r>
          </w:p>
        </w:tc>
      </w:tr>
      <w:tr w:rsidR="00E45A40" w:rsidRPr="00F03917" w14:paraId="44DEBF67" w14:textId="77777777" w:rsidTr="003C1E36">
        <w:tc>
          <w:tcPr>
            <w:tcW w:w="2268" w:type="dxa"/>
            <w:shd w:val="clear" w:color="auto" w:fill="auto"/>
            <w:hideMark/>
          </w:tcPr>
          <w:p w14:paraId="21F36E85" w14:textId="3C8317C2" w:rsidR="00E45A40" w:rsidRPr="00F03917" w:rsidRDefault="00E45A40" w:rsidP="00B555CB">
            <w:pPr>
              <w:pStyle w:val="TableText"/>
              <w:spacing w:before="40" w:after="40"/>
              <w:rPr>
                <w:rFonts w:ascii="Times New Roman" w:hAnsi="Times New Roman" w:cs="Times New Roman"/>
              </w:rPr>
            </w:pPr>
            <w:r w:rsidRPr="00F03917">
              <w:t>Wellington</w:t>
            </w:r>
          </w:p>
        </w:tc>
        <w:tc>
          <w:tcPr>
            <w:tcW w:w="2725" w:type="dxa"/>
            <w:shd w:val="clear" w:color="auto" w:fill="auto"/>
            <w:hideMark/>
          </w:tcPr>
          <w:p w14:paraId="12E3B52B" w14:textId="3AA01CE8" w:rsidR="00E45A40" w:rsidRPr="00F03917" w:rsidRDefault="00E45A40" w:rsidP="00B555CB">
            <w:pPr>
              <w:pStyle w:val="TableText"/>
              <w:spacing w:before="40" w:after="40"/>
              <w:jc w:val="center"/>
              <w:rPr>
                <w:rFonts w:ascii="Times New Roman" w:hAnsi="Times New Roman" w:cs="Times New Roman"/>
              </w:rPr>
            </w:pPr>
            <w:r w:rsidRPr="00F03917">
              <w:t>1996–2014</w:t>
            </w:r>
          </w:p>
        </w:tc>
        <w:tc>
          <w:tcPr>
            <w:tcW w:w="3512" w:type="dxa"/>
            <w:shd w:val="clear" w:color="auto" w:fill="auto"/>
            <w:hideMark/>
          </w:tcPr>
          <w:p w14:paraId="44A9E5B9" w14:textId="2B81C6FA" w:rsidR="00E45A40" w:rsidRPr="00F03917" w:rsidRDefault="00E45A40" w:rsidP="00B555CB">
            <w:pPr>
              <w:pStyle w:val="TableText"/>
              <w:spacing w:before="40" w:after="40"/>
              <w:jc w:val="center"/>
              <w:rPr>
                <w:rFonts w:ascii="Times New Roman" w:hAnsi="Times New Roman" w:cs="Times New Roman"/>
              </w:rPr>
            </w:pPr>
            <w:r w:rsidRPr="00F03917">
              <w:t>–0.15</w:t>
            </w:r>
          </w:p>
        </w:tc>
      </w:tr>
      <w:tr w:rsidR="00E45A40" w:rsidRPr="00F03917" w14:paraId="079F079F" w14:textId="77777777" w:rsidTr="003C1E36">
        <w:tc>
          <w:tcPr>
            <w:tcW w:w="2268" w:type="dxa"/>
            <w:shd w:val="clear" w:color="auto" w:fill="auto"/>
            <w:hideMark/>
          </w:tcPr>
          <w:p w14:paraId="30619A0D" w14:textId="0C334E10" w:rsidR="00E45A40" w:rsidRPr="00F03917" w:rsidRDefault="00E45A40" w:rsidP="00B555CB">
            <w:pPr>
              <w:pStyle w:val="TableText"/>
              <w:spacing w:before="40" w:after="40"/>
              <w:rPr>
                <w:rFonts w:ascii="Times New Roman" w:hAnsi="Times New Roman" w:cs="Times New Roman"/>
              </w:rPr>
            </w:pPr>
            <w:r w:rsidRPr="00F03917">
              <w:t>Lyttelton (post-quake)</w:t>
            </w:r>
          </w:p>
        </w:tc>
        <w:tc>
          <w:tcPr>
            <w:tcW w:w="2725" w:type="dxa"/>
            <w:shd w:val="clear" w:color="auto" w:fill="auto"/>
            <w:hideMark/>
          </w:tcPr>
          <w:p w14:paraId="2B5FB114" w14:textId="2CBB355F" w:rsidR="00E45A40" w:rsidRPr="00F03917" w:rsidRDefault="00E45A40" w:rsidP="00B555CB">
            <w:pPr>
              <w:pStyle w:val="TableText"/>
              <w:spacing w:before="40" w:after="40"/>
              <w:jc w:val="center"/>
              <w:rPr>
                <w:rFonts w:ascii="Times New Roman" w:hAnsi="Times New Roman" w:cs="Times New Roman"/>
              </w:rPr>
            </w:pPr>
            <w:r w:rsidRPr="00F03917">
              <w:t>1996–2014</w:t>
            </w:r>
          </w:p>
        </w:tc>
        <w:tc>
          <w:tcPr>
            <w:tcW w:w="3512" w:type="dxa"/>
            <w:shd w:val="clear" w:color="auto" w:fill="auto"/>
            <w:hideMark/>
          </w:tcPr>
          <w:p w14:paraId="11190344" w14:textId="24FB3B1B" w:rsidR="00E45A40" w:rsidRPr="00F03917" w:rsidRDefault="00E45A40" w:rsidP="00B555CB">
            <w:pPr>
              <w:pStyle w:val="TableText"/>
              <w:spacing w:before="40" w:after="40"/>
              <w:jc w:val="center"/>
              <w:rPr>
                <w:rFonts w:ascii="Times New Roman" w:hAnsi="Times New Roman" w:cs="Times New Roman"/>
              </w:rPr>
            </w:pPr>
            <w:r w:rsidRPr="00F03917">
              <w:t>–0.25</w:t>
            </w:r>
          </w:p>
        </w:tc>
      </w:tr>
      <w:tr w:rsidR="00E45A40" w:rsidRPr="00F03917" w14:paraId="693D6860" w14:textId="77777777" w:rsidTr="003C1E36">
        <w:tc>
          <w:tcPr>
            <w:tcW w:w="2268" w:type="dxa"/>
            <w:tcBorders>
              <w:bottom w:val="single" w:sz="2" w:space="0" w:color="1B556B" w:themeColor="text2"/>
            </w:tcBorders>
            <w:shd w:val="clear" w:color="auto" w:fill="auto"/>
            <w:hideMark/>
          </w:tcPr>
          <w:p w14:paraId="7AF40FE9" w14:textId="77777777" w:rsidR="00E45A40" w:rsidRPr="00F03917" w:rsidRDefault="00E45A40" w:rsidP="00B555CB">
            <w:pPr>
              <w:pStyle w:val="TableText"/>
              <w:spacing w:before="40" w:after="40"/>
              <w:rPr>
                <w:rFonts w:ascii="Times New Roman" w:hAnsi="Times New Roman" w:cs="Times New Roman"/>
              </w:rPr>
            </w:pPr>
            <w:r w:rsidRPr="00F03917">
              <w:t>Dunedin </w:t>
            </w:r>
          </w:p>
        </w:tc>
        <w:tc>
          <w:tcPr>
            <w:tcW w:w="2725" w:type="dxa"/>
            <w:tcBorders>
              <w:bottom w:val="single" w:sz="2" w:space="0" w:color="1B556B" w:themeColor="text2"/>
            </w:tcBorders>
            <w:shd w:val="clear" w:color="auto" w:fill="auto"/>
            <w:hideMark/>
          </w:tcPr>
          <w:p w14:paraId="001363D8" w14:textId="55173A1F" w:rsidR="00E45A40" w:rsidRPr="00F03917" w:rsidRDefault="00E45A40" w:rsidP="00B555CB">
            <w:pPr>
              <w:pStyle w:val="TableText"/>
              <w:spacing w:before="40" w:after="40"/>
              <w:jc w:val="center"/>
              <w:rPr>
                <w:rFonts w:ascii="Times New Roman" w:hAnsi="Times New Roman" w:cs="Times New Roman"/>
              </w:rPr>
            </w:pPr>
            <w:r w:rsidRPr="00F03917">
              <w:t>1996–2014</w:t>
            </w:r>
          </w:p>
        </w:tc>
        <w:tc>
          <w:tcPr>
            <w:tcW w:w="3512" w:type="dxa"/>
            <w:tcBorders>
              <w:bottom w:val="single" w:sz="2" w:space="0" w:color="1B556B" w:themeColor="text2"/>
            </w:tcBorders>
            <w:shd w:val="clear" w:color="auto" w:fill="auto"/>
            <w:hideMark/>
          </w:tcPr>
          <w:p w14:paraId="02EA153D" w14:textId="771DA3C1" w:rsidR="00E45A40" w:rsidRPr="00F03917" w:rsidRDefault="00E45A40" w:rsidP="00B555CB">
            <w:pPr>
              <w:pStyle w:val="TableText"/>
              <w:spacing w:before="40" w:after="40"/>
              <w:jc w:val="center"/>
              <w:rPr>
                <w:rFonts w:ascii="Times New Roman" w:hAnsi="Times New Roman" w:cs="Times New Roman"/>
              </w:rPr>
            </w:pPr>
            <w:r w:rsidRPr="00F03917">
              <w:t>–0.26</w:t>
            </w:r>
          </w:p>
        </w:tc>
      </w:tr>
      <w:tr w:rsidR="00E45A40" w:rsidRPr="00F03917" w14:paraId="341C300E" w14:textId="77777777" w:rsidTr="003C1E36">
        <w:tc>
          <w:tcPr>
            <w:tcW w:w="2268" w:type="dxa"/>
            <w:shd w:val="clear" w:color="auto" w:fill="D2DDE1" w:themeFill="background2"/>
          </w:tcPr>
          <w:p w14:paraId="73DA209A" w14:textId="2DD52FF9" w:rsidR="00E45A40" w:rsidRPr="00F03917" w:rsidRDefault="00E45A40" w:rsidP="00B555CB">
            <w:pPr>
              <w:pStyle w:val="TableText"/>
              <w:spacing w:before="40" w:after="40" w:line="240" w:lineRule="auto"/>
              <w:rPr>
                <w:rFonts w:ascii="Times New Roman" w:hAnsi="Times New Roman" w:cs="Times New Roman"/>
              </w:rPr>
            </w:pPr>
          </w:p>
        </w:tc>
        <w:tc>
          <w:tcPr>
            <w:tcW w:w="2725" w:type="dxa"/>
            <w:shd w:val="clear" w:color="auto" w:fill="D2DDE1" w:themeFill="background2"/>
          </w:tcPr>
          <w:p w14:paraId="1221B9FF" w14:textId="3C629AB0" w:rsidR="00E45A40" w:rsidRPr="00F03917" w:rsidRDefault="00E45A40" w:rsidP="00B555CB">
            <w:pPr>
              <w:pStyle w:val="TableText"/>
              <w:spacing w:before="40" w:after="40" w:line="240" w:lineRule="auto"/>
              <w:jc w:val="center"/>
              <w:rPr>
                <w:rFonts w:ascii="Times New Roman" w:hAnsi="Times New Roman" w:cs="Times New Roman"/>
              </w:rPr>
            </w:pPr>
          </w:p>
        </w:tc>
        <w:tc>
          <w:tcPr>
            <w:tcW w:w="3512" w:type="dxa"/>
            <w:shd w:val="clear" w:color="auto" w:fill="D2DDE1" w:themeFill="background2"/>
          </w:tcPr>
          <w:p w14:paraId="32E91D77" w14:textId="724E2EB4" w:rsidR="00E45A40" w:rsidRPr="00F03917" w:rsidRDefault="00E45A40" w:rsidP="00B555CB">
            <w:pPr>
              <w:pStyle w:val="TableText"/>
              <w:spacing w:before="40" w:after="40" w:line="240" w:lineRule="auto"/>
              <w:jc w:val="center"/>
              <w:rPr>
                <w:rFonts w:ascii="Times New Roman" w:hAnsi="Times New Roman" w:cs="Times New Roman"/>
              </w:rPr>
            </w:pPr>
          </w:p>
        </w:tc>
      </w:tr>
      <w:tr w:rsidR="00E45A40" w:rsidRPr="00F03917" w14:paraId="7BF34EE8" w14:textId="77777777" w:rsidTr="003C1E36">
        <w:tc>
          <w:tcPr>
            <w:tcW w:w="2268" w:type="dxa"/>
            <w:shd w:val="clear" w:color="auto" w:fill="auto"/>
            <w:hideMark/>
          </w:tcPr>
          <w:p w14:paraId="386C4A0D" w14:textId="77777777" w:rsidR="00E45A40" w:rsidRPr="00F03917" w:rsidRDefault="00E45A40" w:rsidP="00B555CB">
            <w:pPr>
              <w:pStyle w:val="TableText"/>
              <w:spacing w:before="40" w:after="40"/>
              <w:rPr>
                <w:rFonts w:ascii="Times New Roman" w:hAnsi="Times New Roman" w:cs="Times New Roman"/>
              </w:rPr>
            </w:pPr>
            <w:r w:rsidRPr="00F03917">
              <w:t>Marsden Point </w:t>
            </w:r>
          </w:p>
        </w:tc>
        <w:tc>
          <w:tcPr>
            <w:tcW w:w="2725" w:type="dxa"/>
            <w:shd w:val="clear" w:color="auto" w:fill="auto"/>
            <w:hideMark/>
          </w:tcPr>
          <w:p w14:paraId="2D619AB5" w14:textId="472023EA" w:rsidR="00E45A40" w:rsidRPr="00F03917" w:rsidRDefault="00E45A40" w:rsidP="00B555CB">
            <w:pPr>
              <w:pStyle w:val="TableText"/>
              <w:spacing w:before="40" w:after="40"/>
              <w:jc w:val="center"/>
              <w:rPr>
                <w:rFonts w:ascii="Times New Roman" w:hAnsi="Times New Roman" w:cs="Times New Roman"/>
              </w:rPr>
            </w:pPr>
            <w:r w:rsidRPr="00F03917">
              <w:t>1996–2014</w:t>
            </w:r>
          </w:p>
        </w:tc>
        <w:tc>
          <w:tcPr>
            <w:tcW w:w="3512" w:type="dxa"/>
            <w:shd w:val="clear" w:color="auto" w:fill="auto"/>
            <w:hideMark/>
          </w:tcPr>
          <w:p w14:paraId="1478DE42" w14:textId="370EAB24" w:rsidR="00E45A40" w:rsidRPr="00F03917" w:rsidRDefault="00E45A40" w:rsidP="00B555CB">
            <w:pPr>
              <w:pStyle w:val="TableText"/>
              <w:spacing w:before="40" w:after="40"/>
              <w:jc w:val="center"/>
              <w:rPr>
                <w:rFonts w:ascii="Times New Roman" w:hAnsi="Times New Roman" w:cs="Times New Roman"/>
              </w:rPr>
            </w:pPr>
            <w:r w:rsidRPr="00F03917">
              <w:t>–0.16</w:t>
            </w:r>
          </w:p>
        </w:tc>
      </w:tr>
      <w:tr w:rsidR="00E45A40" w:rsidRPr="00F03917" w14:paraId="6ECD9544" w14:textId="77777777" w:rsidTr="003C1E36">
        <w:tc>
          <w:tcPr>
            <w:tcW w:w="2268" w:type="dxa"/>
            <w:shd w:val="clear" w:color="auto" w:fill="auto"/>
            <w:hideMark/>
          </w:tcPr>
          <w:p w14:paraId="40271EAE" w14:textId="77777777" w:rsidR="00E45A40" w:rsidRPr="00F03917" w:rsidRDefault="00E45A40" w:rsidP="00B555CB">
            <w:pPr>
              <w:pStyle w:val="TableText"/>
              <w:spacing w:before="40" w:after="40"/>
              <w:rPr>
                <w:rFonts w:ascii="Times New Roman" w:hAnsi="Times New Roman" w:cs="Times New Roman"/>
              </w:rPr>
            </w:pPr>
            <w:r w:rsidRPr="00F03917">
              <w:t>Onehunga </w:t>
            </w:r>
          </w:p>
        </w:tc>
        <w:tc>
          <w:tcPr>
            <w:tcW w:w="2725" w:type="dxa"/>
            <w:shd w:val="clear" w:color="auto" w:fill="auto"/>
            <w:hideMark/>
          </w:tcPr>
          <w:p w14:paraId="37D0D18D" w14:textId="48C84378" w:rsidR="00E45A40" w:rsidRPr="00F03917" w:rsidRDefault="00E45A40" w:rsidP="00B555CB">
            <w:pPr>
              <w:pStyle w:val="TableText"/>
              <w:spacing w:before="40" w:after="40"/>
              <w:jc w:val="center"/>
              <w:rPr>
                <w:rFonts w:ascii="Times New Roman" w:hAnsi="Times New Roman" w:cs="Times New Roman"/>
              </w:rPr>
            </w:pPr>
            <w:r w:rsidRPr="00F03917">
              <w:t>2001–2014</w:t>
            </w:r>
          </w:p>
        </w:tc>
        <w:tc>
          <w:tcPr>
            <w:tcW w:w="3512" w:type="dxa"/>
            <w:shd w:val="clear" w:color="auto" w:fill="auto"/>
            <w:hideMark/>
          </w:tcPr>
          <w:p w14:paraId="6103EDFB" w14:textId="45D11FB2" w:rsidR="00E45A40" w:rsidRPr="00F03917" w:rsidRDefault="00E45A40" w:rsidP="00B555CB">
            <w:pPr>
              <w:pStyle w:val="TableText"/>
              <w:spacing w:before="40" w:after="40"/>
              <w:jc w:val="center"/>
              <w:rPr>
                <w:rFonts w:ascii="Times New Roman" w:hAnsi="Times New Roman" w:cs="Times New Roman"/>
              </w:rPr>
            </w:pPr>
            <w:r w:rsidRPr="00F03917">
              <w:t>–0.06</w:t>
            </w:r>
          </w:p>
        </w:tc>
      </w:tr>
      <w:tr w:rsidR="00E45A40" w:rsidRPr="00F03917" w14:paraId="2ED4316D" w14:textId="77777777" w:rsidTr="003C1E36">
        <w:tc>
          <w:tcPr>
            <w:tcW w:w="2268" w:type="dxa"/>
            <w:shd w:val="clear" w:color="auto" w:fill="auto"/>
            <w:hideMark/>
          </w:tcPr>
          <w:p w14:paraId="5FE43ECC" w14:textId="77777777" w:rsidR="00E45A40" w:rsidRPr="00F03917" w:rsidRDefault="00E45A40" w:rsidP="00B555CB">
            <w:pPr>
              <w:pStyle w:val="TableText"/>
              <w:spacing w:before="40" w:after="40"/>
              <w:rPr>
                <w:rFonts w:ascii="Times New Roman" w:hAnsi="Times New Roman" w:cs="Times New Roman"/>
              </w:rPr>
            </w:pPr>
            <w:r w:rsidRPr="00F03917">
              <w:t>Tararu (Thames) </w:t>
            </w:r>
          </w:p>
        </w:tc>
        <w:tc>
          <w:tcPr>
            <w:tcW w:w="2725" w:type="dxa"/>
            <w:shd w:val="clear" w:color="auto" w:fill="auto"/>
            <w:hideMark/>
          </w:tcPr>
          <w:p w14:paraId="524A03EE" w14:textId="02B9C5FC" w:rsidR="00E45A40" w:rsidRPr="00F03917" w:rsidRDefault="00E45A40" w:rsidP="00B555CB">
            <w:pPr>
              <w:pStyle w:val="TableText"/>
              <w:spacing w:before="40" w:after="40"/>
              <w:jc w:val="center"/>
              <w:rPr>
                <w:rFonts w:ascii="Times New Roman" w:hAnsi="Times New Roman" w:cs="Times New Roman"/>
              </w:rPr>
            </w:pPr>
            <w:r w:rsidRPr="00F03917">
              <w:t>2001–2014</w:t>
            </w:r>
          </w:p>
        </w:tc>
        <w:tc>
          <w:tcPr>
            <w:tcW w:w="3512" w:type="dxa"/>
            <w:shd w:val="clear" w:color="auto" w:fill="auto"/>
            <w:hideMark/>
          </w:tcPr>
          <w:p w14:paraId="7C85A9E8" w14:textId="2BED119D" w:rsidR="00E45A40" w:rsidRPr="00F03917" w:rsidRDefault="00E45A40" w:rsidP="00B555CB">
            <w:pPr>
              <w:pStyle w:val="TableText"/>
              <w:spacing w:before="40" w:after="40"/>
              <w:jc w:val="center"/>
              <w:rPr>
                <w:rFonts w:ascii="Times New Roman" w:hAnsi="Times New Roman" w:cs="Times New Roman"/>
              </w:rPr>
            </w:pPr>
            <w:r w:rsidRPr="00F03917">
              <w:t>–0.18</w:t>
            </w:r>
          </w:p>
        </w:tc>
      </w:tr>
      <w:tr w:rsidR="00E45A40" w:rsidRPr="00F03917" w14:paraId="07A08E41" w14:textId="77777777" w:rsidTr="003C1E36">
        <w:tc>
          <w:tcPr>
            <w:tcW w:w="2268" w:type="dxa"/>
            <w:shd w:val="clear" w:color="auto" w:fill="auto"/>
            <w:hideMark/>
          </w:tcPr>
          <w:p w14:paraId="1D78FE16" w14:textId="77777777" w:rsidR="00E45A40" w:rsidRPr="00F03917" w:rsidRDefault="00E45A40" w:rsidP="00B555CB">
            <w:pPr>
              <w:pStyle w:val="TableText"/>
              <w:spacing w:before="40" w:after="40"/>
              <w:rPr>
                <w:rFonts w:ascii="Times New Roman" w:hAnsi="Times New Roman" w:cs="Times New Roman"/>
              </w:rPr>
            </w:pPr>
            <w:r w:rsidRPr="00F03917">
              <w:t>Moturiki Island </w:t>
            </w:r>
          </w:p>
        </w:tc>
        <w:tc>
          <w:tcPr>
            <w:tcW w:w="2725" w:type="dxa"/>
            <w:shd w:val="clear" w:color="auto" w:fill="auto"/>
            <w:hideMark/>
          </w:tcPr>
          <w:p w14:paraId="45B86384" w14:textId="40C98F4D" w:rsidR="00E45A40" w:rsidRPr="00F03917" w:rsidRDefault="00E45A40" w:rsidP="00B555CB">
            <w:pPr>
              <w:pStyle w:val="TableText"/>
              <w:spacing w:before="40" w:after="40"/>
              <w:jc w:val="center"/>
              <w:rPr>
                <w:rFonts w:ascii="Times New Roman" w:hAnsi="Times New Roman" w:cs="Times New Roman"/>
              </w:rPr>
            </w:pPr>
            <w:r w:rsidRPr="00F03917">
              <w:t>1996–2014</w:t>
            </w:r>
          </w:p>
        </w:tc>
        <w:tc>
          <w:tcPr>
            <w:tcW w:w="3512" w:type="dxa"/>
            <w:shd w:val="clear" w:color="auto" w:fill="auto"/>
            <w:hideMark/>
          </w:tcPr>
          <w:p w14:paraId="4DCE8A68" w14:textId="0F8B5099" w:rsidR="00E45A40" w:rsidRPr="00F03917" w:rsidRDefault="00E45A40" w:rsidP="00B555CB">
            <w:pPr>
              <w:pStyle w:val="TableText"/>
              <w:spacing w:before="40" w:after="40"/>
              <w:jc w:val="center"/>
              <w:rPr>
                <w:rFonts w:ascii="Times New Roman" w:hAnsi="Times New Roman" w:cs="Times New Roman"/>
              </w:rPr>
            </w:pPr>
            <w:r w:rsidRPr="00F03917">
              <w:t>–0.10</w:t>
            </w:r>
          </w:p>
        </w:tc>
      </w:tr>
      <w:tr w:rsidR="00E45A40" w:rsidRPr="00F03917" w14:paraId="361C4EE7" w14:textId="77777777" w:rsidTr="003C1E36">
        <w:tc>
          <w:tcPr>
            <w:tcW w:w="2268" w:type="dxa"/>
            <w:shd w:val="clear" w:color="auto" w:fill="auto"/>
            <w:hideMark/>
          </w:tcPr>
          <w:p w14:paraId="357DF841" w14:textId="77777777" w:rsidR="00E45A40" w:rsidRPr="00F03917" w:rsidRDefault="00E45A40" w:rsidP="00B555CB">
            <w:pPr>
              <w:pStyle w:val="TableText"/>
              <w:spacing w:before="40" w:after="40"/>
              <w:rPr>
                <w:rFonts w:ascii="Times New Roman" w:hAnsi="Times New Roman" w:cs="Times New Roman"/>
              </w:rPr>
            </w:pPr>
            <w:r w:rsidRPr="00F03917">
              <w:t>Tauranga </w:t>
            </w:r>
          </w:p>
        </w:tc>
        <w:tc>
          <w:tcPr>
            <w:tcW w:w="2725" w:type="dxa"/>
            <w:shd w:val="clear" w:color="auto" w:fill="auto"/>
            <w:hideMark/>
          </w:tcPr>
          <w:p w14:paraId="3CA9A8A2" w14:textId="6E9FA5F7" w:rsidR="00E45A40" w:rsidRPr="00F03917" w:rsidRDefault="00E45A40" w:rsidP="00B555CB">
            <w:pPr>
              <w:pStyle w:val="TableText"/>
              <w:spacing w:before="40" w:after="40"/>
              <w:jc w:val="center"/>
              <w:rPr>
                <w:rFonts w:ascii="Times New Roman" w:hAnsi="Times New Roman" w:cs="Times New Roman"/>
              </w:rPr>
            </w:pPr>
            <w:r w:rsidRPr="00F03917">
              <w:t>1996–2014</w:t>
            </w:r>
          </w:p>
        </w:tc>
        <w:tc>
          <w:tcPr>
            <w:tcW w:w="3512" w:type="dxa"/>
            <w:shd w:val="clear" w:color="auto" w:fill="auto"/>
            <w:hideMark/>
          </w:tcPr>
          <w:p w14:paraId="53B73295" w14:textId="7DAEF142" w:rsidR="00E45A40" w:rsidRPr="00F03917" w:rsidRDefault="00E45A40" w:rsidP="00B555CB">
            <w:pPr>
              <w:pStyle w:val="TableText"/>
              <w:spacing w:before="40" w:after="40"/>
              <w:jc w:val="center"/>
              <w:rPr>
                <w:rFonts w:ascii="Times New Roman" w:hAnsi="Times New Roman" w:cs="Times New Roman"/>
              </w:rPr>
            </w:pPr>
            <w:r w:rsidRPr="00F03917">
              <w:t>–0.08</w:t>
            </w:r>
          </w:p>
        </w:tc>
      </w:tr>
      <w:tr w:rsidR="00E45A40" w:rsidRPr="00F03917" w14:paraId="4DD71C84" w14:textId="77777777" w:rsidTr="003C1E36">
        <w:tc>
          <w:tcPr>
            <w:tcW w:w="2268" w:type="dxa"/>
            <w:shd w:val="clear" w:color="auto" w:fill="auto"/>
            <w:hideMark/>
          </w:tcPr>
          <w:p w14:paraId="770BC669" w14:textId="77777777" w:rsidR="00E45A40" w:rsidRPr="00F03917" w:rsidRDefault="00E45A40" w:rsidP="00B555CB">
            <w:pPr>
              <w:pStyle w:val="TableText"/>
              <w:spacing w:before="40" w:after="40"/>
              <w:rPr>
                <w:rFonts w:ascii="Times New Roman" w:hAnsi="Times New Roman" w:cs="Times New Roman"/>
              </w:rPr>
            </w:pPr>
            <w:r w:rsidRPr="00F03917">
              <w:t>Gisborne </w:t>
            </w:r>
          </w:p>
        </w:tc>
        <w:tc>
          <w:tcPr>
            <w:tcW w:w="2725" w:type="dxa"/>
            <w:shd w:val="clear" w:color="auto" w:fill="auto"/>
            <w:hideMark/>
          </w:tcPr>
          <w:p w14:paraId="19C7A9D3" w14:textId="3B6A6CFC" w:rsidR="00E45A40" w:rsidRPr="00F03917" w:rsidRDefault="00E45A40" w:rsidP="00B555CB">
            <w:pPr>
              <w:pStyle w:val="TableText"/>
              <w:spacing w:before="40" w:after="40"/>
              <w:jc w:val="center"/>
              <w:rPr>
                <w:rFonts w:ascii="Times New Roman" w:hAnsi="Times New Roman" w:cs="Times New Roman"/>
              </w:rPr>
            </w:pPr>
            <w:r w:rsidRPr="00F03917">
              <w:t>2004–2014</w:t>
            </w:r>
          </w:p>
        </w:tc>
        <w:tc>
          <w:tcPr>
            <w:tcW w:w="3512" w:type="dxa"/>
            <w:shd w:val="clear" w:color="auto" w:fill="auto"/>
            <w:hideMark/>
          </w:tcPr>
          <w:p w14:paraId="1BCACAE9" w14:textId="7CE3CAB2" w:rsidR="00E45A40" w:rsidRPr="00F03917" w:rsidRDefault="00E45A40" w:rsidP="00B555CB">
            <w:pPr>
              <w:pStyle w:val="TableText"/>
              <w:spacing w:before="40" w:after="40"/>
              <w:jc w:val="center"/>
              <w:rPr>
                <w:rFonts w:ascii="Times New Roman" w:hAnsi="Times New Roman" w:cs="Times New Roman"/>
              </w:rPr>
            </w:pPr>
            <w:r w:rsidRPr="00F03917">
              <w:t>–0.14</w:t>
            </w:r>
          </w:p>
        </w:tc>
      </w:tr>
      <w:tr w:rsidR="00E45A40" w:rsidRPr="00F03917" w14:paraId="7966B9DA" w14:textId="77777777" w:rsidTr="003C1E36">
        <w:tc>
          <w:tcPr>
            <w:tcW w:w="2268" w:type="dxa"/>
            <w:shd w:val="clear" w:color="auto" w:fill="auto"/>
            <w:hideMark/>
          </w:tcPr>
          <w:p w14:paraId="506DE5EB" w14:textId="77777777" w:rsidR="00E45A40" w:rsidRPr="00F03917" w:rsidRDefault="00E45A40" w:rsidP="00B555CB">
            <w:pPr>
              <w:pStyle w:val="TableText"/>
              <w:spacing w:before="40" w:after="40"/>
              <w:rPr>
                <w:rFonts w:ascii="Times New Roman" w:hAnsi="Times New Roman" w:cs="Times New Roman"/>
              </w:rPr>
            </w:pPr>
            <w:r w:rsidRPr="00F03917">
              <w:t>Napier </w:t>
            </w:r>
          </w:p>
        </w:tc>
        <w:tc>
          <w:tcPr>
            <w:tcW w:w="2725" w:type="dxa"/>
            <w:shd w:val="clear" w:color="auto" w:fill="auto"/>
            <w:hideMark/>
          </w:tcPr>
          <w:p w14:paraId="231A4CC7" w14:textId="49E415FC" w:rsidR="00E45A40" w:rsidRPr="00F03917" w:rsidRDefault="00E45A40" w:rsidP="00B555CB">
            <w:pPr>
              <w:pStyle w:val="TableText"/>
              <w:spacing w:before="40" w:after="40"/>
              <w:jc w:val="center"/>
              <w:rPr>
                <w:rFonts w:ascii="Times New Roman" w:hAnsi="Times New Roman" w:cs="Times New Roman"/>
              </w:rPr>
            </w:pPr>
            <w:r w:rsidRPr="00F03917">
              <w:t>1999–2014</w:t>
            </w:r>
          </w:p>
        </w:tc>
        <w:tc>
          <w:tcPr>
            <w:tcW w:w="3512" w:type="dxa"/>
            <w:shd w:val="clear" w:color="auto" w:fill="auto"/>
            <w:hideMark/>
          </w:tcPr>
          <w:p w14:paraId="4300310E" w14:textId="4E2C402F" w:rsidR="00E45A40" w:rsidRPr="00F03917" w:rsidRDefault="00E45A40" w:rsidP="00B555CB">
            <w:pPr>
              <w:pStyle w:val="TableText"/>
              <w:spacing w:before="40" w:after="40"/>
              <w:jc w:val="center"/>
              <w:rPr>
                <w:rFonts w:ascii="Times New Roman" w:hAnsi="Times New Roman" w:cs="Times New Roman"/>
              </w:rPr>
            </w:pPr>
            <w:r w:rsidRPr="00F03917">
              <w:t>–0.16</w:t>
            </w:r>
          </w:p>
        </w:tc>
      </w:tr>
      <w:tr w:rsidR="00E45A40" w:rsidRPr="00F03917" w14:paraId="15F47F23" w14:textId="77777777" w:rsidTr="003C1E36">
        <w:tc>
          <w:tcPr>
            <w:tcW w:w="2268" w:type="dxa"/>
            <w:shd w:val="clear" w:color="auto" w:fill="auto"/>
            <w:hideMark/>
          </w:tcPr>
          <w:p w14:paraId="74F4E33E" w14:textId="77777777" w:rsidR="00E45A40" w:rsidRPr="00F03917" w:rsidRDefault="00E45A40" w:rsidP="00B555CB">
            <w:pPr>
              <w:pStyle w:val="TableText"/>
              <w:spacing w:before="40" w:after="40"/>
              <w:rPr>
                <w:rFonts w:ascii="Times New Roman" w:hAnsi="Times New Roman" w:cs="Times New Roman"/>
              </w:rPr>
            </w:pPr>
            <w:r w:rsidRPr="00F03917">
              <w:t>Port Taranaki </w:t>
            </w:r>
          </w:p>
        </w:tc>
        <w:tc>
          <w:tcPr>
            <w:tcW w:w="2725" w:type="dxa"/>
            <w:shd w:val="clear" w:color="auto" w:fill="auto"/>
            <w:hideMark/>
          </w:tcPr>
          <w:p w14:paraId="71BEB5E2" w14:textId="12A72A89" w:rsidR="00E45A40" w:rsidRPr="00F03917" w:rsidRDefault="00E45A40" w:rsidP="00B555CB">
            <w:pPr>
              <w:pStyle w:val="TableText"/>
              <w:spacing w:before="40" w:after="40"/>
              <w:jc w:val="center"/>
              <w:rPr>
                <w:rFonts w:ascii="Times New Roman" w:hAnsi="Times New Roman" w:cs="Times New Roman"/>
              </w:rPr>
            </w:pPr>
            <w:r w:rsidRPr="00F03917">
              <w:t>1996–2014</w:t>
            </w:r>
          </w:p>
        </w:tc>
        <w:tc>
          <w:tcPr>
            <w:tcW w:w="3512" w:type="dxa"/>
            <w:shd w:val="clear" w:color="auto" w:fill="auto"/>
            <w:hideMark/>
          </w:tcPr>
          <w:p w14:paraId="3C54A2C0" w14:textId="32178CFB" w:rsidR="00E45A40" w:rsidRPr="00F03917" w:rsidRDefault="00E45A40" w:rsidP="00B555CB">
            <w:pPr>
              <w:pStyle w:val="TableText"/>
              <w:spacing w:before="40" w:after="40"/>
              <w:jc w:val="center"/>
              <w:rPr>
                <w:rFonts w:ascii="Times New Roman" w:hAnsi="Times New Roman" w:cs="Times New Roman"/>
              </w:rPr>
            </w:pPr>
            <w:r w:rsidRPr="00F03917">
              <w:t>–0.14</w:t>
            </w:r>
          </w:p>
        </w:tc>
      </w:tr>
      <w:tr w:rsidR="00E45A40" w:rsidRPr="00F03917" w14:paraId="7AB59547" w14:textId="77777777" w:rsidTr="003C1E36">
        <w:tc>
          <w:tcPr>
            <w:tcW w:w="2268" w:type="dxa"/>
            <w:shd w:val="clear" w:color="auto" w:fill="auto"/>
            <w:hideMark/>
          </w:tcPr>
          <w:p w14:paraId="5FBE1DF5" w14:textId="77777777" w:rsidR="00E45A40" w:rsidRPr="00F03917" w:rsidRDefault="00E45A40" w:rsidP="00B555CB">
            <w:pPr>
              <w:pStyle w:val="TableText"/>
              <w:spacing w:before="40" w:after="40"/>
              <w:rPr>
                <w:rFonts w:ascii="Times New Roman" w:hAnsi="Times New Roman" w:cs="Times New Roman"/>
              </w:rPr>
            </w:pPr>
            <w:r w:rsidRPr="00F03917">
              <w:t>Nelson </w:t>
            </w:r>
          </w:p>
        </w:tc>
        <w:tc>
          <w:tcPr>
            <w:tcW w:w="2725" w:type="dxa"/>
            <w:shd w:val="clear" w:color="auto" w:fill="auto"/>
            <w:hideMark/>
          </w:tcPr>
          <w:p w14:paraId="1B901B58" w14:textId="4C885066" w:rsidR="00E45A40" w:rsidRPr="00F03917" w:rsidRDefault="00E45A40" w:rsidP="00B555CB">
            <w:pPr>
              <w:pStyle w:val="TableText"/>
              <w:spacing w:before="40" w:after="40"/>
              <w:jc w:val="center"/>
              <w:rPr>
                <w:rFonts w:ascii="Times New Roman" w:hAnsi="Times New Roman" w:cs="Times New Roman"/>
              </w:rPr>
            </w:pPr>
            <w:r w:rsidRPr="00F03917">
              <w:t>1996–2014</w:t>
            </w:r>
          </w:p>
        </w:tc>
        <w:tc>
          <w:tcPr>
            <w:tcW w:w="3512" w:type="dxa"/>
            <w:shd w:val="clear" w:color="auto" w:fill="auto"/>
            <w:hideMark/>
          </w:tcPr>
          <w:p w14:paraId="0275C28F" w14:textId="24814361" w:rsidR="00E45A40" w:rsidRPr="00F03917" w:rsidRDefault="00E45A40" w:rsidP="00B555CB">
            <w:pPr>
              <w:pStyle w:val="TableText"/>
              <w:spacing w:before="40" w:after="40"/>
              <w:jc w:val="center"/>
              <w:rPr>
                <w:rFonts w:ascii="Times New Roman" w:hAnsi="Times New Roman" w:cs="Times New Roman"/>
              </w:rPr>
            </w:pPr>
            <w:r w:rsidRPr="00F03917">
              <w:t>–0.24</w:t>
            </w:r>
          </w:p>
        </w:tc>
      </w:tr>
      <w:tr w:rsidR="00E45A40" w:rsidRPr="00F03917" w14:paraId="497377C1" w14:textId="77777777" w:rsidTr="003C1E36">
        <w:tc>
          <w:tcPr>
            <w:tcW w:w="2268" w:type="dxa"/>
            <w:shd w:val="clear" w:color="auto" w:fill="auto"/>
            <w:hideMark/>
          </w:tcPr>
          <w:p w14:paraId="232CC0E1" w14:textId="77777777" w:rsidR="00E45A40" w:rsidRPr="00F03917" w:rsidRDefault="00E45A40" w:rsidP="00B555CB">
            <w:pPr>
              <w:pStyle w:val="TableText"/>
              <w:spacing w:before="40" w:after="40"/>
              <w:rPr>
                <w:rFonts w:ascii="Times New Roman" w:hAnsi="Times New Roman" w:cs="Times New Roman"/>
              </w:rPr>
            </w:pPr>
            <w:r w:rsidRPr="00F03917">
              <w:t>Picton </w:t>
            </w:r>
          </w:p>
        </w:tc>
        <w:tc>
          <w:tcPr>
            <w:tcW w:w="2725" w:type="dxa"/>
            <w:shd w:val="clear" w:color="auto" w:fill="auto"/>
            <w:hideMark/>
          </w:tcPr>
          <w:p w14:paraId="06F03A81" w14:textId="0E02B06A" w:rsidR="00E45A40" w:rsidRPr="00F03917" w:rsidRDefault="00E45A40" w:rsidP="00B555CB">
            <w:pPr>
              <w:pStyle w:val="TableText"/>
              <w:spacing w:before="40" w:after="40"/>
              <w:jc w:val="center"/>
              <w:rPr>
                <w:rFonts w:ascii="Times New Roman" w:hAnsi="Times New Roman" w:cs="Times New Roman"/>
              </w:rPr>
            </w:pPr>
            <w:r w:rsidRPr="00F03917">
              <w:t>2005–2008</w:t>
            </w:r>
          </w:p>
        </w:tc>
        <w:tc>
          <w:tcPr>
            <w:tcW w:w="3512" w:type="dxa"/>
            <w:shd w:val="clear" w:color="auto" w:fill="auto"/>
            <w:hideMark/>
          </w:tcPr>
          <w:p w14:paraId="49011445" w14:textId="183693A0" w:rsidR="00E45A40" w:rsidRPr="00F03917" w:rsidRDefault="00E45A40" w:rsidP="00B555CB">
            <w:pPr>
              <w:pStyle w:val="TableText"/>
              <w:spacing w:before="40" w:after="40"/>
              <w:jc w:val="center"/>
              <w:rPr>
                <w:rFonts w:ascii="Times New Roman" w:hAnsi="Times New Roman" w:cs="Times New Roman"/>
              </w:rPr>
            </w:pPr>
            <w:r w:rsidRPr="00F03917">
              <w:t>–0.12</w:t>
            </w:r>
          </w:p>
        </w:tc>
      </w:tr>
      <w:tr w:rsidR="00E45A40" w:rsidRPr="00F03917" w14:paraId="5882EFFF" w14:textId="77777777" w:rsidTr="003C1E36">
        <w:tc>
          <w:tcPr>
            <w:tcW w:w="2268" w:type="dxa"/>
            <w:shd w:val="clear" w:color="auto" w:fill="auto"/>
            <w:hideMark/>
          </w:tcPr>
          <w:p w14:paraId="6DC5F509" w14:textId="77777777" w:rsidR="00E45A40" w:rsidRPr="00F03917" w:rsidRDefault="00E45A40" w:rsidP="00B555CB">
            <w:pPr>
              <w:pStyle w:val="TableText"/>
              <w:spacing w:before="40" w:after="40"/>
              <w:rPr>
                <w:rFonts w:ascii="Times New Roman" w:hAnsi="Times New Roman" w:cs="Times New Roman"/>
              </w:rPr>
            </w:pPr>
            <w:r w:rsidRPr="00F03917">
              <w:t>Westport </w:t>
            </w:r>
          </w:p>
        </w:tc>
        <w:tc>
          <w:tcPr>
            <w:tcW w:w="2725" w:type="dxa"/>
            <w:shd w:val="clear" w:color="auto" w:fill="auto"/>
            <w:hideMark/>
          </w:tcPr>
          <w:p w14:paraId="5E5656E0" w14:textId="00CA0EB0" w:rsidR="00E45A40" w:rsidRPr="00F03917" w:rsidRDefault="00E45A40" w:rsidP="00B555CB">
            <w:pPr>
              <w:pStyle w:val="TableText"/>
              <w:spacing w:before="40" w:after="40"/>
              <w:jc w:val="center"/>
              <w:rPr>
                <w:rFonts w:ascii="Times New Roman" w:hAnsi="Times New Roman" w:cs="Times New Roman"/>
              </w:rPr>
            </w:pPr>
            <w:r w:rsidRPr="00F03917">
              <w:t>1999–2012</w:t>
            </w:r>
          </w:p>
        </w:tc>
        <w:tc>
          <w:tcPr>
            <w:tcW w:w="3512" w:type="dxa"/>
            <w:shd w:val="clear" w:color="auto" w:fill="auto"/>
            <w:hideMark/>
          </w:tcPr>
          <w:p w14:paraId="314FABEA" w14:textId="62A213D5" w:rsidR="00E45A40" w:rsidRPr="00F03917" w:rsidRDefault="00E45A40" w:rsidP="00B555CB">
            <w:pPr>
              <w:pStyle w:val="TableText"/>
              <w:spacing w:before="40" w:after="40"/>
              <w:jc w:val="center"/>
              <w:rPr>
                <w:rFonts w:ascii="Times New Roman" w:hAnsi="Times New Roman" w:cs="Times New Roman"/>
              </w:rPr>
            </w:pPr>
            <w:r w:rsidRPr="00F03917">
              <w:t>–0.080</w:t>
            </w:r>
          </w:p>
        </w:tc>
      </w:tr>
      <w:tr w:rsidR="00E45A40" w:rsidRPr="00F03917" w14:paraId="2D23698E" w14:textId="77777777" w:rsidTr="003C1E36">
        <w:tc>
          <w:tcPr>
            <w:tcW w:w="2268" w:type="dxa"/>
            <w:shd w:val="clear" w:color="auto" w:fill="auto"/>
            <w:hideMark/>
          </w:tcPr>
          <w:p w14:paraId="323DE81F" w14:textId="77777777" w:rsidR="00E45A40" w:rsidRPr="00F03917" w:rsidRDefault="00E45A40" w:rsidP="00B555CB">
            <w:pPr>
              <w:pStyle w:val="TableText"/>
              <w:spacing w:before="40" w:after="40"/>
              <w:rPr>
                <w:rFonts w:ascii="Times New Roman" w:hAnsi="Times New Roman" w:cs="Times New Roman"/>
              </w:rPr>
            </w:pPr>
            <w:r w:rsidRPr="00F03917">
              <w:t>Timaru </w:t>
            </w:r>
          </w:p>
        </w:tc>
        <w:tc>
          <w:tcPr>
            <w:tcW w:w="2725" w:type="dxa"/>
            <w:shd w:val="clear" w:color="auto" w:fill="auto"/>
            <w:hideMark/>
          </w:tcPr>
          <w:p w14:paraId="0BFEC8FA" w14:textId="7EDFBE6C" w:rsidR="00E45A40" w:rsidRPr="00F03917" w:rsidRDefault="00E45A40" w:rsidP="00B555CB">
            <w:pPr>
              <w:pStyle w:val="TableText"/>
              <w:spacing w:before="40" w:after="40"/>
              <w:jc w:val="center"/>
              <w:rPr>
                <w:rFonts w:ascii="Times New Roman" w:hAnsi="Times New Roman" w:cs="Times New Roman"/>
              </w:rPr>
            </w:pPr>
            <w:r w:rsidRPr="00F03917">
              <w:t>2002–2014</w:t>
            </w:r>
          </w:p>
        </w:tc>
        <w:tc>
          <w:tcPr>
            <w:tcW w:w="3512" w:type="dxa"/>
            <w:shd w:val="clear" w:color="auto" w:fill="auto"/>
            <w:hideMark/>
          </w:tcPr>
          <w:p w14:paraId="4870DEE2" w14:textId="68993E0D" w:rsidR="00E45A40" w:rsidRPr="00F03917" w:rsidRDefault="00E45A40" w:rsidP="00B555CB">
            <w:pPr>
              <w:pStyle w:val="TableText"/>
              <w:spacing w:before="40" w:after="40"/>
              <w:jc w:val="center"/>
              <w:rPr>
                <w:rFonts w:ascii="Times New Roman" w:hAnsi="Times New Roman" w:cs="Times New Roman"/>
              </w:rPr>
            </w:pPr>
            <w:r w:rsidRPr="00F03917">
              <w:t>–0.13</w:t>
            </w:r>
          </w:p>
        </w:tc>
      </w:tr>
      <w:tr w:rsidR="00E45A40" w:rsidRPr="00F03917" w14:paraId="07025DBA" w14:textId="77777777" w:rsidTr="003C1E36">
        <w:tc>
          <w:tcPr>
            <w:tcW w:w="2268" w:type="dxa"/>
            <w:shd w:val="clear" w:color="auto" w:fill="auto"/>
            <w:hideMark/>
          </w:tcPr>
          <w:p w14:paraId="4295442D" w14:textId="77777777" w:rsidR="00E45A40" w:rsidRPr="00F03917" w:rsidRDefault="00E45A40" w:rsidP="00B555CB">
            <w:pPr>
              <w:pStyle w:val="TableText"/>
              <w:spacing w:before="40" w:after="40"/>
              <w:rPr>
                <w:rFonts w:ascii="Times New Roman" w:hAnsi="Times New Roman" w:cs="Times New Roman"/>
              </w:rPr>
            </w:pPr>
            <w:r w:rsidRPr="00F03917">
              <w:t>Port Chalmers </w:t>
            </w:r>
          </w:p>
        </w:tc>
        <w:tc>
          <w:tcPr>
            <w:tcW w:w="2725" w:type="dxa"/>
            <w:shd w:val="clear" w:color="auto" w:fill="auto"/>
            <w:hideMark/>
          </w:tcPr>
          <w:p w14:paraId="73655925" w14:textId="59EE6CA3" w:rsidR="00E45A40" w:rsidRPr="00F03917" w:rsidRDefault="00E45A40" w:rsidP="00B555CB">
            <w:pPr>
              <w:pStyle w:val="TableText"/>
              <w:spacing w:before="40" w:after="40"/>
              <w:jc w:val="center"/>
              <w:rPr>
                <w:rFonts w:ascii="Times New Roman" w:hAnsi="Times New Roman" w:cs="Times New Roman"/>
              </w:rPr>
            </w:pPr>
            <w:r w:rsidRPr="00F03917">
              <w:t>2000–2014</w:t>
            </w:r>
          </w:p>
        </w:tc>
        <w:tc>
          <w:tcPr>
            <w:tcW w:w="3512" w:type="dxa"/>
            <w:shd w:val="clear" w:color="auto" w:fill="auto"/>
            <w:hideMark/>
          </w:tcPr>
          <w:p w14:paraId="1219E8BD" w14:textId="2ACA82FB" w:rsidR="00E45A40" w:rsidRPr="00F03917" w:rsidRDefault="00E45A40" w:rsidP="00B555CB">
            <w:pPr>
              <w:pStyle w:val="TableText"/>
              <w:spacing w:before="40" w:after="40"/>
              <w:jc w:val="center"/>
              <w:rPr>
                <w:rFonts w:ascii="Times New Roman" w:hAnsi="Times New Roman" w:cs="Times New Roman"/>
              </w:rPr>
            </w:pPr>
            <w:r w:rsidRPr="00F03917">
              <w:t>–0.31</w:t>
            </w:r>
          </w:p>
        </w:tc>
      </w:tr>
      <w:tr w:rsidR="00E45A40" w:rsidRPr="00F03917" w14:paraId="47353686" w14:textId="77777777" w:rsidTr="003C1E36">
        <w:tc>
          <w:tcPr>
            <w:tcW w:w="2268" w:type="dxa"/>
            <w:shd w:val="clear" w:color="auto" w:fill="auto"/>
            <w:hideMark/>
          </w:tcPr>
          <w:p w14:paraId="00D24B7E" w14:textId="77777777" w:rsidR="00E45A40" w:rsidRPr="00F03917" w:rsidRDefault="00E45A40" w:rsidP="00B555CB">
            <w:pPr>
              <w:pStyle w:val="TableText"/>
              <w:spacing w:before="40" w:after="40"/>
              <w:rPr>
                <w:rFonts w:ascii="Times New Roman" w:hAnsi="Times New Roman" w:cs="Times New Roman"/>
              </w:rPr>
            </w:pPr>
            <w:r w:rsidRPr="00F03917">
              <w:t>Bluff </w:t>
            </w:r>
          </w:p>
        </w:tc>
        <w:tc>
          <w:tcPr>
            <w:tcW w:w="2725" w:type="dxa"/>
            <w:shd w:val="clear" w:color="auto" w:fill="auto"/>
            <w:hideMark/>
          </w:tcPr>
          <w:p w14:paraId="1EA6C69D" w14:textId="360FA1E3" w:rsidR="00E45A40" w:rsidRPr="00F03917" w:rsidRDefault="00E45A40" w:rsidP="00B555CB">
            <w:pPr>
              <w:pStyle w:val="TableText"/>
              <w:spacing w:before="40" w:after="40"/>
              <w:jc w:val="center"/>
              <w:rPr>
                <w:rFonts w:ascii="Times New Roman" w:hAnsi="Times New Roman" w:cs="Times New Roman"/>
              </w:rPr>
            </w:pPr>
            <w:r w:rsidRPr="00F03917">
              <w:t>1998–2014</w:t>
            </w:r>
          </w:p>
        </w:tc>
        <w:tc>
          <w:tcPr>
            <w:tcW w:w="3512" w:type="dxa"/>
            <w:shd w:val="clear" w:color="auto" w:fill="auto"/>
            <w:hideMark/>
          </w:tcPr>
          <w:p w14:paraId="7F1E4475" w14:textId="10C25EFB" w:rsidR="00E45A40" w:rsidRPr="00F03917" w:rsidRDefault="00E45A40" w:rsidP="00B555CB">
            <w:pPr>
              <w:pStyle w:val="TableText"/>
              <w:spacing w:before="40" w:after="40"/>
              <w:jc w:val="center"/>
              <w:rPr>
                <w:rFonts w:ascii="Times New Roman" w:hAnsi="Times New Roman" w:cs="Times New Roman"/>
              </w:rPr>
            </w:pPr>
            <w:r w:rsidRPr="00F03917">
              <w:t>–0.19</w:t>
            </w:r>
          </w:p>
        </w:tc>
      </w:tr>
    </w:tbl>
    <w:p w14:paraId="5F799835" w14:textId="479B23A4" w:rsidR="00E45A40" w:rsidRPr="00F03917" w:rsidRDefault="00E45A40" w:rsidP="003C1E36">
      <w:pPr>
        <w:pStyle w:val="Source"/>
      </w:pPr>
      <w:r w:rsidRPr="00F03917">
        <w:t>Note: Mean sea level is only provided in terms of the NZVD</w:t>
      </w:r>
      <w:r w:rsidR="009479D6" w:rsidRPr="00F03917">
        <w:t>-</w:t>
      </w:r>
      <w:r w:rsidRPr="00F03917">
        <w:t>2016 national datum and is mostly available for a 19</w:t>
      </w:r>
      <w:r w:rsidR="005A3BBF" w:rsidRPr="00F03917">
        <w:noBreakHyphen/>
      </w:r>
      <w:r w:rsidRPr="00F03917">
        <w:t>year nodal tidal period from 1996</w:t>
      </w:r>
      <w:r w:rsidR="006212A4" w:rsidRPr="00F03917">
        <w:t>–</w:t>
      </w:r>
      <w:r w:rsidRPr="00F03917">
        <w:t>2014 from L</w:t>
      </w:r>
      <w:r w:rsidR="006212A4" w:rsidRPr="00F03917">
        <w:t xml:space="preserve">and </w:t>
      </w:r>
      <w:r w:rsidRPr="00F03917">
        <w:t>I</w:t>
      </w:r>
      <w:r w:rsidR="006212A4" w:rsidRPr="00F03917">
        <w:t xml:space="preserve">nformation </w:t>
      </w:r>
      <w:r w:rsidRPr="00F03917">
        <w:t>N</w:t>
      </w:r>
      <w:r w:rsidR="006212A4" w:rsidRPr="00F03917">
        <w:t xml:space="preserve">ew </w:t>
      </w:r>
      <w:r w:rsidRPr="00F03917">
        <w:t>Z</w:t>
      </w:r>
      <w:r w:rsidR="006212A4" w:rsidRPr="00F03917">
        <w:t>ealand</w:t>
      </w:r>
      <w:r w:rsidRPr="00F03917">
        <w:t>. See below for resources to convert to a historic local vertical datum. The baseline period varies somewhat due to availability of data.</w:t>
      </w:r>
    </w:p>
    <w:p w14:paraId="4824794D" w14:textId="4F034C8A" w:rsidR="00BB1A5B" w:rsidRPr="00F03917" w:rsidRDefault="00BB1A5B" w:rsidP="00621AD1">
      <w:pPr>
        <w:pStyle w:val="Source"/>
        <w:spacing w:before="0"/>
      </w:pPr>
      <w:r w:rsidRPr="00F03917">
        <w:t>Sources: G Rowe, Land Information New Zealand, pers. comm. and R Bell</w:t>
      </w:r>
      <w:r w:rsidR="00F92B37" w:rsidRPr="00F03917">
        <w:t>.</w:t>
      </w:r>
    </w:p>
    <w:p w14:paraId="56D107D0" w14:textId="5B790D1F" w:rsidR="00E45A40" w:rsidRPr="00F03917" w:rsidRDefault="00E45A40" w:rsidP="005A3BBF">
      <w:pPr>
        <w:pStyle w:val="BodyText"/>
      </w:pPr>
      <w:r w:rsidRPr="00F03917">
        <w:t>As sea level rises, the updated average MSL can be tracked relative to the baseline MSL in table</w:t>
      </w:r>
      <w:r w:rsidR="005A3BBF" w:rsidRPr="00F03917">
        <w:t> </w:t>
      </w:r>
      <w:r w:rsidR="00831D04" w:rsidRPr="00F03917">
        <w:t>D.1</w:t>
      </w:r>
      <w:r w:rsidRPr="00F03917">
        <w:t>. This can be done by analysing recent annual MSL from the nearest gauge data or from the Land Information New Zealand (LINZ) website</w:t>
      </w:r>
      <w:r w:rsidR="00831D04" w:rsidRPr="00F03917">
        <w:t>,</w:t>
      </w:r>
      <w:r w:rsidRPr="00F03917">
        <w:t xml:space="preserve"> which is updated annually (usually for a 19</w:t>
      </w:r>
      <w:r w:rsidR="005A3BBF" w:rsidRPr="00F03917">
        <w:rPr>
          <w:strike/>
          <w:color w:val="881798"/>
        </w:rPr>
        <w:t> </w:t>
      </w:r>
      <w:r w:rsidRPr="00F03917">
        <w:t xml:space="preserve">year averaging period). These updated MSL values for standard ports are listed in the LINZ Nautical Almanac or provided at </w:t>
      </w:r>
      <w:hyperlink r:id="rId197" w:tgtFrame="_blank" w:history="1">
        <w:r w:rsidRPr="00F03917">
          <w:rPr>
            <w:rStyle w:val="Hyperlink"/>
          </w:rPr>
          <w:t>www.linz.govt.nz/sea/tides/tide-predictions/standard-port-tidal-levels</w:t>
        </w:r>
      </w:hyperlink>
      <w:r w:rsidRPr="00F03917">
        <w:t xml:space="preserve">. The periods of observation for MSL are at </w:t>
      </w:r>
      <w:hyperlink r:id="rId198" w:tgtFrame="_blank" w:history="1">
        <w:r w:rsidRPr="00F03917">
          <w:rPr>
            <w:rStyle w:val="Hyperlink"/>
          </w:rPr>
          <w:t>www.linz.govt.nz/sea/tides/tide-predictions/standard-port-periods-observation</w:t>
        </w:r>
      </w:hyperlink>
      <w:r w:rsidRPr="00F03917">
        <w:t>.</w:t>
      </w:r>
    </w:p>
    <w:p w14:paraId="2C25993F" w14:textId="36A8B70F" w:rsidR="00E45A40" w:rsidRPr="00F03917" w:rsidRDefault="00E45A40" w:rsidP="00621AD1">
      <w:pPr>
        <w:pStyle w:val="BodyText"/>
      </w:pPr>
      <w:r w:rsidRPr="00F03917">
        <w:t>These published MSL values by LINZ are relative to the port chart datum (which is around the</w:t>
      </w:r>
      <w:r w:rsidR="005A3BBF" w:rsidRPr="00F03917">
        <w:t> </w:t>
      </w:r>
      <w:r w:rsidRPr="00F03917">
        <w:t xml:space="preserve">lowest low tide) or otherwise the gauge zero datum. In this case, an offset needs to be subtracted from the measured MSL for the various gauges (at </w:t>
      </w:r>
      <w:r w:rsidR="003C2313" w:rsidRPr="00F03917">
        <w:t>c</w:t>
      </w:r>
      <w:r w:rsidRPr="00F03917">
        <w:t xml:space="preserve">hart </w:t>
      </w:r>
      <w:r w:rsidR="003C2313" w:rsidRPr="00F03917">
        <w:t>d</w:t>
      </w:r>
      <w:r w:rsidRPr="00F03917">
        <w:t>atum or tide gauge datum) to convert these MSL values into a level relative to NZVD</w:t>
      </w:r>
      <w:r w:rsidR="009479D6" w:rsidRPr="00F03917">
        <w:t>-</w:t>
      </w:r>
      <w:r w:rsidRPr="00F03917">
        <w:t>2016. Offsets to apply can be determined using the NZVD</w:t>
      </w:r>
      <w:r w:rsidR="00B64AFF" w:rsidRPr="00F03917">
        <w:t>-</w:t>
      </w:r>
      <w:r w:rsidRPr="00F03917">
        <w:t xml:space="preserve">2016 elevations of the survey benchmark used to define a regional </w:t>
      </w:r>
      <w:r w:rsidR="003C2313" w:rsidRPr="00F03917">
        <w:t>c</w:t>
      </w:r>
      <w:r w:rsidRPr="00F03917">
        <w:t xml:space="preserve">hart </w:t>
      </w:r>
      <w:r w:rsidR="003C2313" w:rsidRPr="00F03917">
        <w:t>d</w:t>
      </w:r>
      <w:r w:rsidRPr="00F03917">
        <w:t>atum. Benchmark levels over time are available from the LINZ Geodetic</w:t>
      </w:r>
      <w:r w:rsidR="00571A93" w:rsidRPr="00F03917">
        <w:t xml:space="preserve"> </w:t>
      </w:r>
      <w:r w:rsidRPr="00F03917">
        <w:t>Database (</w:t>
      </w:r>
      <w:hyperlink r:id="rId199" w:history="1">
        <w:r w:rsidR="00287F26" w:rsidRPr="00F03917">
          <w:rPr>
            <w:rStyle w:val="Hyperlink"/>
            <w:shd w:val="clear" w:color="auto" w:fill="E1E3E6"/>
          </w:rPr>
          <w:t>www.geodesy.linz.govt.nz/gdb/?mode=gmap</w:t>
        </w:r>
      </w:hyperlink>
      <w:r w:rsidRPr="00F03917">
        <w:t xml:space="preserve">), which needs to be pieced together with the height of the benchmark above </w:t>
      </w:r>
      <w:r w:rsidR="003C2313" w:rsidRPr="00F03917">
        <w:t>c</w:t>
      </w:r>
      <w:r w:rsidRPr="00F03917">
        <w:t xml:space="preserve">hart </w:t>
      </w:r>
      <w:r w:rsidR="003C2313" w:rsidRPr="00F03917">
        <w:t>d</w:t>
      </w:r>
      <w:r w:rsidRPr="00F03917">
        <w:t>atum (</w:t>
      </w:r>
      <w:hyperlink r:id="rId200" w:history="1">
        <w:r w:rsidR="004D4FEC" w:rsidRPr="00F03917">
          <w:rPr>
            <w:rStyle w:val="Hyperlink"/>
          </w:rPr>
          <w:t>www.linz.govt.nz/guidance/marine-information/tide-prediction-guidance/standard-port-datum-descriptions</w:t>
        </w:r>
      </w:hyperlink>
      <w:r w:rsidRPr="00F03917">
        <w:t>).</w:t>
      </w:r>
    </w:p>
    <w:p w14:paraId="3974C1D5" w14:textId="3EF2E87B" w:rsidR="00E45A40" w:rsidRPr="00F03917" w:rsidRDefault="005E1E7F" w:rsidP="007F2DAE">
      <w:pPr>
        <w:pStyle w:val="Heading3"/>
      </w:pPr>
      <w:r w:rsidRPr="00F03917">
        <w:lastRenderedPageBreak/>
        <w:t>Resources</w:t>
      </w:r>
    </w:p>
    <w:p w14:paraId="4F3CC7D8" w14:textId="18BB781C" w:rsidR="00E45A40" w:rsidRPr="00F03917" w:rsidRDefault="00E45A40" w:rsidP="005D3F80">
      <w:pPr>
        <w:pStyle w:val="BodyText"/>
      </w:pPr>
      <w:r w:rsidRPr="00F03917">
        <w:t>Instructions for converting between vertical datums (LINZ):</w:t>
      </w:r>
      <w:r w:rsidRPr="00F03917">
        <w:rPr>
          <w:rFonts w:cs="Calibri"/>
          <w:sz w:val="18"/>
          <w:szCs w:val="18"/>
        </w:rPr>
        <w:t xml:space="preserve"> </w:t>
      </w:r>
      <w:hyperlink r:id="rId201">
        <w:r w:rsidRPr="00F03917">
          <w:rPr>
            <w:rStyle w:val="Hyperlink"/>
          </w:rPr>
          <w:t>www.linz.govt.nz/data/geodetic-services/coordinate-conversion/online-conversions/instructions-for-carrying-out-online-height-conversions</w:t>
        </w:r>
      </w:hyperlink>
    </w:p>
    <w:p w14:paraId="67D6F2FB" w14:textId="093C2668" w:rsidR="006F60A4" w:rsidRPr="00F03917" w:rsidRDefault="00E45A40" w:rsidP="005D3F80">
      <w:pPr>
        <w:pStyle w:val="BodyText"/>
        <w:sectPr w:rsidR="006F60A4" w:rsidRPr="00F03917" w:rsidSect="007E5AB2">
          <w:footerReference w:type="default" r:id="rId202"/>
          <w:pgSz w:w="11907" w:h="16840" w:code="9"/>
          <w:pgMar w:top="1134" w:right="1701" w:bottom="1134" w:left="1701" w:header="567" w:footer="567" w:gutter="0"/>
          <w:cols w:space="720"/>
          <w:docGrid w:linePitch="299"/>
        </w:sectPr>
      </w:pPr>
      <w:r w:rsidRPr="00F03917">
        <w:t xml:space="preserve">Online vertical height conversions: </w:t>
      </w:r>
      <w:r w:rsidR="00851234" w:rsidRPr="00F03917">
        <w:rPr>
          <w:rStyle w:val="Hyperlink"/>
        </w:rPr>
        <w:t xml:space="preserve"> https://www.geodesy.linz.govt.nz/concord/index.cgi?Advanced=2</w:t>
      </w:r>
    </w:p>
    <w:p w14:paraId="3E1606EB" w14:textId="77777777" w:rsidR="002A3853" w:rsidRPr="00F03917" w:rsidRDefault="002A3853" w:rsidP="002A3853">
      <w:pPr>
        <w:pStyle w:val="Heading1"/>
      </w:pPr>
      <w:bookmarkStart w:id="259" w:name="_Toc160096276"/>
      <w:r w:rsidRPr="00F03917">
        <w:lastRenderedPageBreak/>
        <w:t>References</w:t>
      </w:r>
      <w:bookmarkEnd w:id="259"/>
    </w:p>
    <w:p w14:paraId="6E143DDC" w14:textId="74828461" w:rsidR="002A3853" w:rsidRPr="00F03917" w:rsidRDefault="002A3853" w:rsidP="009A3CC3">
      <w:pPr>
        <w:pStyle w:val="BodyText"/>
      </w:pPr>
      <w:r w:rsidRPr="00F03917">
        <w:t>This list outlines the references cited in the following documents</w:t>
      </w:r>
      <w:r w:rsidRPr="00F03917">
        <w:rPr>
          <w:i/>
        </w:rPr>
        <w:t>: Coastal hazards and climate change guidance</w:t>
      </w:r>
      <w:r w:rsidRPr="00F03917">
        <w:t xml:space="preserve">, </w:t>
      </w:r>
      <w:r w:rsidRPr="00F03917">
        <w:rPr>
          <w:i/>
        </w:rPr>
        <w:t xml:space="preserve">Climate change, sea-level rise and coastal hazards science: </w:t>
      </w:r>
      <w:r w:rsidR="009A3CC3" w:rsidRPr="00F03917">
        <w:rPr>
          <w:i/>
          <w:iCs/>
        </w:rPr>
        <w:t xml:space="preserve">Coastal hazards and climate change guidance – </w:t>
      </w:r>
      <w:r w:rsidRPr="00F03917">
        <w:rPr>
          <w:i/>
        </w:rPr>
        <w:t>Supplement A</w:t>
      </w:r>
      <w:r w:rsidRPr="00F03917">
        <w:t xml:space="preserve"> and </w:t>
      </w:r>
      <w:r w:rsidR="00E5557B" w:rsidRPr="00E5557B">
        <w:rPr>
          <w:rStyle w:val="ui-provider"/>
          <w:i/>
          <w:iCs/>
        </w:rPr>
        <w:t>Community engagement principles and approaches, and practice methods: Coastal hazards and climate change guidance – Supplement B</w:t>
      </w:r>
      <w:r w:rsidRPr="00F03917">
        <w:t>.</w:t>
      </w:r>
    </w:p>
    <w:p w14:paraId="74FFD223" w14:textId="77777777" w:rsidR="009A3CC3" w:rsidRPr="00F03917" w:rsidRDefault="009A3CC3" w:rsidP="009A3CC3">
      <w:pPr>
        <w:pStyle w:val="BodyText"/>
      </w:pPr>
    </w:p>
    <w:p w14:paraId="19960E9F" w14:textId="468118CE" w:rsidR="002A3853" w:rsidRPr="00F03917" w:rsidRDefault="002A3853" w:rsidP="002A3853">
      <w:pPr>
        <w:pStyle w:val="References"/>
      </w:pPr>
      <w:r w:rsidRPr="00F03917">
        <w:rPr>
          <w:rStyle w:val="findhit"/>
          <w:rFonts w:cs="Calibri"/>
          <w:color w:val="000000"/>
          <w:szCs w:val="20"/>
          <w:shd w:val="clear" w:color="auto" w:fill="FFFFFF"/>
        </w:rPr>
        <w:t>Ackerley,</w:t>
      </w:r>
      <w:r w:rsidRPr="00F03917">
        <w:rPr>
          <w:rStyle w:val="normaltextrun"/>
          <w:rFonts w:cs="Calibri"/>
          <w:color w:val="000000"/>
          <w:szCs w:val="20"/>
          <w:shd w:val="clear" w:color="auto" w:fill="FFFFFF"/>
        </w:rPr>
        <w:t xml:space="preserve"> D., Bell, R., G., Mullan, A., B., McMillan, H. (2013). Estimation of regional departures from global-average sea-level rise around New Zealand from AOGCM simulations. </w:t>
      </w:r>
      <w:r w:rsidRPr="00F03917">
        <w:rPr>
          <w:rStyle w:val="normaltextrun"/>
          <w:rFonts w:cs="Calibri"/>
          <w:i/>
          <w:color w:val="000000"/>
          <w:szCs w:val="20"/>
          <w:shd w:val="clear" w:color="auto" w:fill="FFFFFF"/>
        </w:rPr>
        <w:t>Weather &amp; Climate</w:t>
      </w:r>
      <w:r w:rsidRPr="00F03917">
        <w:rPr>
          <w:rStyle w:val="normaltextrun"/>
          <w:rFonts w:cs="Calibri"/>
          <w:color w:val="000000"/>
          <w:szCs w:val="20"/>
          <w:shd w:val="clear" w:color="auto" w:fill="FFFFFF"/>
        </w:rPr>
        <w:t xml:space="preserve"> 33: 2–22.</w:t>
      </w:r>
      <w:r w:rsidR="009E2985" w:rsidRPr="00F03917">
        <w:rPr>
          <w:rStyle w:val="normaltextrun"/>
          <w:rFonts w:cs="Calibri"/>
          <w:color w:val="000000"/>
          <w:szCs w:val="20"/>
          <w:shd w:val="clear" w:color="auto" w:fill="FFFFFF"/>
        </w:rPr>
        <w:t xml:space="preserve"> </w:t>
      </w:r>
      <w:hyperlink r:id="rId203" w:history="1">
        <w:r w:rsidR="00FD3B57" w:rsidRPr="00F03917">
          <w:rPr>
            <w:rStyle w:val="Hyperlink"/>
          </w:rPr>
          <w:t>https://</w:t>
        </w:r>
        <w:r w:rsidR="009E2985" w:rsidRPr="00F03917">
          <w:rPr>
            <w:rStyle w:val="Hyperlink"/>
          </w:rPr>
          <w:t>doi.org/10.2307</w:t>
        </w:r>
        <w:r w:rsidR="00D75264" w:rsidRPr="00F03917">
          <w:rPr>
            <w:rStyle w:val="Hyperlink"/>
          </w:rPr>
          <w:t>/</w:t>
        </w:r>
        <w:r w:rsidR="009E2985" w:rsidRPr="00F03917">
          <w:rPr>
            <w:rStyle w:val="Hyperlink"/>
          </w:rPr>
          <w:t>26169734</w:t>
        </w:r>
      </w:hyperlink>
    </w:p>
    <w:p w14:paraId="2CBB9A3E" w14:textId="012FCB21" w:rsidR="002A3853" w:rsidRPr="00F03917" w:rsidRDefault="002A3853" w:rsidP="002A3853">
      <w:pPr>
        <w:pStyle w:val="References"/>
        <w:rPr>
          <w:color w:val="008080"/>
          <w:u w:val="single"/>
        </w:rPr>
      </w:pPr>
      <w:r w:rsidRPr="00F03917">
        <w:t xml:space="preserve">Adger, W.N. (2006). </w:t>
      </w:r>
      <w:r w:rsidRPr="00F03917">
        <w:rPr>
          <w:iCs/>
        </w:rPr>
        <w:t>Vulnerability</w:t>
      </w:r>
      <w:r w:rsidRPr="00F03917">
        <w:rPr>
          <w:i/>
        </w:rPr>
        <w:t>.</w:t>
      </w:r>
      <w:r w:rsidRPr="00F03917">
        <w:t xml:space="preserve"> </w:t>
      </w:r>
      <w:r w:rsidRPr="00F03917">
        <w:rPr>
          <w:i/>
          <w:iCs/>
        </w:rPr>
        <w:t>Global Environmental Change</w:t>
      </w:r>
      <w:r w:rsidRPr="00F03917">
        <w:t xml:space="preserve"> 16(3): 268–281. </w:t>
      </w:r>
      <w:hyperlink r:id="rId204" w:history="1">
        <w:r w:rsidR="00D75264" w:rsidRPr="00F03917">
          <w:rPr>
            <w:rStyle w:val="Hyperlink"/>
          </w:rPr>
          <w:t>https://</w:t>
        </w:r>
        <w:r w:rsidRPr="00F03917">
          <w:rPr>
            <w:rStyle w:val="Hyperlink"/>
          </w:rPr>
          <w:t>doi.org/10.1016/j.gloenvcha.2006.02.006</w:t>
        </w:r>
      </w:hyperlink>
      <w:r w:rsidRPr="00F03917">
        <w:t>.</w:t>
      </w:r>
      <w:r w:rsidRPr="00F03917">
        <w:rPr>
          <w:color w:val="008080"/>
          <w:u w:val="single"/>
        </w:rPr>
        <w:t xml:space="preserve"> </w:t>
      </w:r>
    </w:p>
    <w:p w14:paraId="34190402" w14:textId="77777777" w:rsidR="002A3853" w:rsidRPr="00F03917" w:rsidRDefault="002A3853" w:rsidP="002A3853">
      <w:pPr>
        <w:pStyle w:val="References"/>
      </w:pPr>
      <w:r w:rsidRPr="00F03917">
        <w:rPr>
          <w:shd w:val="clear" w:color="auto" w:fill="FFFFFF"/>
        </w:rPr>
        <w:t xml:space="preserve">Albrecht, F., Pizarro, O., Montecinos, A., Zhang, X. (2019). Understanding sea level change in the South Paciﬁc during the late 20th century and early 21st century. </w:t>
      </w:r>
      <w:r w:rsidRPr="00F03917">
        <w:rPr>
          <w:i/>
          <w:iCs/>
          <w:shd w:val="clear" w:color="auto" w:fill="FFFFFF"/>
        </w:rPr>
        <w:t>Journal of Geophysical Research: Oceans</w:t>
      </w:r>
      <w:r w:rsidRPr="00F03917">
        <w:rPr>
          <w:shd w:val="clear" w:color="auto" w:fill="FFFFFF"/>
        </w:rPr>
        <w:t xml:space="preserve">, 124: 3849– 3858. </w:t>
      </w:r>
      <w:hyperlink r:id="rId205" w:tgtFrame="_blank" w:history="1">
        <w:r w:rsidRPr="00F03917">
          <w:rPr>
            <w:rStyle w:val="Hyperlink"/>
            <w:rFonts w:eastAsia="Calibri"/>
          </w:rPr>
          <w:t>https://doi.org/10.1029/2018JC014828</w:t>
        </w:r>
      </w:hyperlink>
      <w:r w:rsidRPr="00F03917">
        <w:rPr>
          <w:shd w:val="clear" w:color="auto" w:fill="FFFFFF"/>
        </w:rPr>
        <w:t> </w:t>
      </w:r>
    </w:p>
    <w:p w14:paraId="3EBB7F24" w14:textId="7287CEB3" w:rsidR="002A3853" w:rsidRPr="00F03917" w:rsidRDefault="002A3853" w:rsidP="002A3853">
      <w:pPr>
        <w:pStyle w:val="References"/>
        <w:rPr>
          <w:color w:val="008080"/>
          <w:u w:val="single"/>
        </w:rPr>
      </w:pPr>
      <w:r w:rsidRPr="00F03917">
        <w:t xml:space="preserve">Allan, S., Bell, R.G., Forkink, A. (2023). Coastal realignment: Another coastal challenge. </w:t>
      </w:r>
      <w:r w:rsidRPr="00F03917">
        <w:rPr>
          <w:i/>
        </w:rPr>
        <w:t>Policy Quarterly</w:t>
      </w:r>
      <w:r w:rsidRPr="00F03917">
        <w:rPr>
          <w:iCs/>
        </w:rPr>
        <w:t xml:space="preserve"> 19(1</w:t>
      </w:r>
      <w:r w:rsidRPr="00F03917">
        <w:t xml:space="preserve">): 50–57. </w:t>
      </w:r>
      <w:hyperlink r:id="rId206" w:history="1">
        <w:r w:rsidR="00D75264" w:rsidRPr="00F03917">
          <w:rPr>
            <w:rStyle w:val="Hyperlink"/>
          </w:rPr>
          <w:t>https://</w:t>
        </w:r>
        <w:r w:rsidRPr="00F03917">
          <w:rPr>
            <w:rStyle w:val="Hyperlink"/>
          </w:rPr>
          <w:t>doi.org/10.26686/pq.v19i1.8105</w:t>
        </w:r>
      </w:hyperlink>
      <w:r w:rsidRPr="00F03917">
        <w:t>.</w:t>
      </w:r>
      <w:r w:rsidRPr="00F03917">
        <w:rPr>
          <w:color w:val="008080"/>
          <w:u w:val="single"/>
        </w:rPr>
        <w:t xml:space="preserve"> </w:t>
      </w:r>
    </w:p>
    <w:p w14:paraId="3A096DAE" w14:textId="77777777" w:rsidR="002A3853" w:rsidRPr="00F03917" w:rsidRDefault="002A3853" w:rsidP="002A3853">
      <w:pPr>
        <w:pStyle w:val="References"/>
      </w:pPr>
      <w:r w:rsidRPr="00F03917">
        <w:t xml:space="preserve">Allis, M.J., Bell, R.G. (2019). Retreat is not an option: managing effects of sea-level rise on a critical infrastructure corridor in Wellington, New Zealand. </w:t>
      </w:r>
      <w:r w:rsidRPr="00F03917">
        <w:rPr>
          <w:i/>
        </w:rPr>
        <w:t xml:space="preserve">Proceedings of Australasian Coasts &amp; Ports </w:t>
      </w:r>
      <w:r w:rsidRPr="00F03917">
        <w:rPr>
          <w:i/>
          <w:spacing w:val="-2"/>
        </w:rPr>
        <w:t>Conference 2019: 10–13 September 2019, Hobart, Australia</w:t>
      </w:r>
      <w:r w:rsidRPr="00F03917">
        <w:rPr>
          <w:spacing w:val="-2"/>
        </w:rPr>
        <w:t>. Barton (AU): Engineers Australia. pp. 27–33.</w:t>
      </w:r>
    </w:p>
    <w:p w14:paraId="16C191BE" w14:textId="77777777" w:rsidR="002A3853" w:rsidRPr="00F03917" w:rsidRDefault="002A3853" w:rsidP="002A3853">
      <w:pPr>
        <w:pStyle w:val="References"/>
      </w:pPr>
      <w:r w:rsidRPr="00F03917">
        <w:t xml:space="preserve">Allis, M., J., Bell, R., G., Dawe, I., Stephens, S., A. (2022). Determining an objective coastal land-sea boundary zone for jurisdictional clarity. Retrieved from </w:t>
      </w:r>
      <w:hyperlink r:id="rId207" w:history="1">
        <w:r w:rsidRPr="00F03917">
          <w:rPr>
            <w:rStyle w:val="Hyperlink"/>
          </w:rPr>
          <w:t>https://www.coastsandports.org/papers/2021/094_allis_finalpaper.pdf</w:t>
        </w:r>
      </w:hyperlink>
      <w:r w:rsidRPr="00F03917">
        <w:t xml:space="preserve"> </w:t>
      </w:r>
    </w:p>
    <w:p w14:paraId="1B00DE39" w14:textId="77777777" w:rsidR="002A3853" w:rsidRPr="00F03917" w:rsidRDefault="002A3853" w:rsidP="002A3853">
      <w:pPr>
        <w:pStyle w:val="References"/>
        <w:rPr>
          <w:color w:val="008080"/>
          <w:u w:val="single"/>
        </w:rPr>
      </w:pPr>
      <w:r w:rsidRPr="00F03917">
        <w:t xml:space="preserve">Allis, M., Rautenbach, C., Gorman, R., Wadhwa, S. (2021). Coastal hazards and sea-level rise in Wellington City: Supporting the 2020–2021 District Plan process. </w:t>
      </w:r>
      <w:r w:rsidRPr="00F03917">
        <w:rPr>
          <w:i/>
        </w:rPr>
        <w:t>NIWA Report 2021250HN</w:t>
      </w:r>
      <w:r w:rsidRPr="00F03917">
        <w:t xml:space="preserve"> prepared for Wellington City Council. Retrieved from </w:t>
      </w:r>
      <w:hyperlink r:id="rId208" w:history="1">
        <w:r w:rsidRPr="00F03917">
          <w:rPr>
            <w:rStyle w:val="Hyperlink"/>
            <w:rFonts w:eastAsia="Calibri" w:cs="Calibri"/>
            <w:szCs w:val="20"/>
          </w:rPr>
          <w:t>https://wellington.govt.nz/-/media/your-council/plans-policies-and-bylaws/plans-and-policies/a-to-z/spatial-plan/coastal-hazards-report---august-2021.pdf?la=en&amp;hash=E70B002B5D515679482B867E649FD90D3D74FB5C</w:t>
        </w:r>
      </w:hyperlink>
      <w:r w:rsidRPr="00F03917">
        <w:t>.</w:t>
      </w:r>
      <w:r w:rsidRPr="00F03917">
        <w:rPr>
          <w:color w:val="008080"/>
          <w:u w:val="single"/>
        </w:rPr>
        <w:t xml:space="preserve"> </w:t>
      </w:r>
    </w:p>
    <w:p w14:paraId="0B59ED07" w14:textId="77777777" w:rsidR="002A3853" w:rsidRPr="00F03917" w:rsidRDefault="002A3853" w:rsidP="002A3853">
      <w:pPr>
        <w:pStyle w:val="References"/>
      </w:pPr>
      <w:r w:rsidRPr="00F03917">
        <w:t xml:space="preserve">Allis, M.J., Stephens, S., Ramsay, D., Gorman, R., Bell, R. (2015). The Coastal Calculator: A user-friendly tool for estimating coastal storm-driven water-levels. </w:t>
      </w:r>
      <w:r w:rsidRPr="00F03917">
        <w:rPr>
          <w:i/>
        </w:rPr>
        <w:t>Proceedings of Australasian Coasts &amp; Ports Conference 2015: 7. 15–18 September 2015, Auckland, New Zealand.</w:t>
      </w:r>
    </w:p>
    <w:p w14:paraId="13E6E17D" w14:textId="60F3E7AB" w:rsidR="002A3853" w:rsidRPr="00F03917" w:rsidRDefault="002A3853" w:rsidP="002A3853">
      <w:pPr>
        <w:pStyle w:val="References"/>
        <w:rPr>
          <w:color w:val="008080"/>
          <w:u w:val="single"/>
        </w:rPr>
      </w:pPr>
      <w:r w:rsidRPr="00F03917">
        <w:t xml:space="preserve">Allison, A., Stephens, S., Blackett, P., Lawrence, J., Dickson, M.E., Matthews, Y. (2023). </w:t>
      </w:r>
      <w:r w:rsidRPr="00F03917">
        <w:rPr>
          <w:iCs/>
        </w:rPr>
        <w:t>Simulating the impacts of an Applied Dynamic Adaptive Pathways Plan using an Agent-Based Model:</w:t>
      </w:r>
      <w:r w:rsidRPr="00F03917">
        <w:t xml:space="preserve"> A Tauranga City, New Zealand, Case Study. </w:t>
      </w:r>
      <w:r w:rsidRPr="00F03917">
        <w:rPr>
          <w:i/>
          <w:iCs/>
        </w:rPr>
        <w:t>Journal of Marine Science and Engineering</w:t>
      </w:r>
      <w:r w:rsidRPr="00F03917">
        <w:t xml:space="preserve"> 11: 343. </w:t>
      </w:r>
      <w:r w:rsidR="00992EC1" w:rsidRPr="00F03917">
        <w:rPr>
          <w:rStyle w:val="Hyperlink"/>
        </w:rPr>
        <w:t>https://</w:t>
      </w:r>
      <w:hyperlink r:id="rId209" w:history="1">
        <w:r w:rsidRPr="00F03917">
          <w:rPr>
            <w:rStyle w:val="Hyperlink"/>
          </w:rPr>
          <w:t>doi.org/10.3390/jmse11020343</w:t>
        </w:r>
      </w:hyperlink>
      <w:r w:rsidRPr="00F03917">
        <w:t>.</w:t>
      </w:r>
      <w:r w:rsidRPr="00F03917">
        <w:rPr>
          <w:color w:val="008080"/>
          <w:u w:val="single"/>
        </w:rPr>
        <w:t xml:space="preserve"> </w:t>
      </w:r>
    </w:p>
    <w:p w14:paraId="1B6537E1" w14:textId="77777777" w:rsidR="002A3853" w:rsidRPr="00F03917" w:rsidRDefault="002A3853" w:rsidP="002A3853">
      <w:pPr>
        <w:pStyle w:val="References"/>
        <w:rPr>
          <w:color w:val="008080"/>
          <w:u w:val="single"/>
        </w:rPr>
      </w:pPr>
      <w:r w:rsidRPr="00F03917">
        <w:t xml:space="preserve">Ara Begum, R., Lempert, R., Ali, E., Benjaminsen, T.A., Bernauer, T., Cramer, W., Cui, X., Mach, K., Nagy, G., Stenseth, N.C., Sukumar, R., Wester, P. (2022). Point of departure and key concepts. </w:t>
      </w:r>
      <w:r w:rsidRPr="00F03917">
        <w:rPr>
          <w:i/>
        </w:rPr>
        <w:t xml:space="preserve">In: Climate Change 2022: Impacts, Adaptation and Vulnerability. Contribution of Working Group II to the Sixth Assessment Report of the Intergovernmental Panel on Climate Change </w:t>
      </w:r>
      <w:r w:rsidRPr="00F03917">
        <w:t xml:space="preserve">[H.-O. Pörtner, D.C. Roberts, M. Tignor, E.S. Poloczanska, K. Mintenbeck, A. Alegría, M. Craig, S. Langsdorf, S. Löschke, V. Möller, A. Okem, B. Rama (eds.)]. Cambridge University Press, Cambridge, UK and New York, NY, USA, </w:t>
      </w:r>
      <w:r w:rsidRPr="00F03917">
        <w:br/>
        <w:t xml:space="preserve">pp. 121–196. Retrieved from </w:t>
      </w:r>
      <w:hyperlink r:id="rId210" w:history="1">
        <w:r w:rsidRPr="00F03917">
          <w:rPr>
            <w:rStyle w:val="Hyperlink"/>
            <w:rFonts w:eastAsia="Calibri" w:cs="Calibri"/>
            <w:szCs w:val="20"/>
          </w:rPr>
          <w:t>www.ipcc.ch/report/ar6/wg2/downloads/report/IPCC_AR6_ WGII_Chapter01.pdf</w:t>
        </w:r>
      </w:hyperlink>
      <w:r w:rsidRPr="00F03917">
        <w:t>.</w:t>
      </w:r>
      <w:r w:rsidRPr="00F03917">
        <w:rPr>
          <w:color w:val="008080"/>
          <w:u w:val="single"/>
        </w:rPr>
        <w:t xml:space="preserve"> </w:t>
      </w:r>
    </w:p>
    <w:p w14:paraId="151D6073" w14:textId="77777777" w:rsidR="002A3853" w:rsidRPr="00F03917" w:rsidRDefault="002A3853" w:rsidP="002A3853">
      <w:pPr>
        <w:pStyle w:val="References"/>
      </w:pPr>
      <w:r w:rsidRPr="00F03917">
        <w:t>Areta, R.C. (2023). Ka hao te rangatahi: Rangatahi Māori experiences of climate change</w:t>
      </w:r>
      <w:r w:rsidRPr="00F03917">
        <w:rPr>
          <w:iCs/>
        </w:rPr>
        <w:t>.</w:t>
      </w:r>
      <w:r w:rsidRPr="00F03917">
        <w:t xml:space="preserve"> </w:t>
      </w:r>
      <w:r w:rsidRPr="00F03917">
        <w:rPr>
          <w:i/>
        </w:rPr>
        <w:t>Master’s Thesis.</w:t>
      </w:r>
      <w:r w:rsidRPr="00F03917">
        <w:t xml:space="preserve"> University of Waikato. </w:t>
      </w:r>
      <w:hyperlink r:id="rId211" w:history="1">
        <w:r w:rsidRPr="00F03917">
          <w:rPr>
            <w:rStyle w:val="Hyperlink"/>
          </w:rPr>
          <w:t>https:</w:t>
        </w:r>
        <w:bookmarkStart w:id="260" w:name="_Hlt151386165"/>
        <w:bookmarkStart w:id="261" w:name="_Hlt151386166"/>
        <w:r w:rsidRPr="00F03917">
          <w:rPr>
            <w:rStyle w:val="Hyperlink"/>
          </w:rPr>
          <w:t>/</w:t>
        </w:r>
        <w:bookmarkEnd w:id="260"/>
        <w:bookmarkEnd w:id="261"/>
        <w:r w:rsidRPr="00F03917">
          <w:rPr>
            <w:rStyle w:val="Hyperlink"/>
          </w:rPr>
          <w:t>/hdl.handle.net/10289/15744</w:t>
        </w:r>
      </w:hyperlink>
      <w:r w:rsidRPr="00F03917">
        <w:t xml:space="preserve">. </w:t>
      </w:r>
    </w:p>
    <w:p w14:paraId="2309C79D" w14:textId="5CE2BEA3"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lastRenderedPageBreak/>
        <w:t>Arias, P.A., N. Bellouin, E. Coppola, R.G. Jones, G. Krinner, J. Marotzke, V. Naik, M.D. Palmer, G.-K. Plattner, J. Rogelj, M. Rojas, J. Sillmann, T. Storelvmo, P.W. Thorne, B. Trewin, K. … K. Zickfeld, (2021). Technical Summary.</w:t>
      </w:r>
      <w:r w:rsidRPr="00F03917">
        <w:rPr>
          <w:rStyle w:val="findhit"/>
          <w:rFonts w:cs="Calibri"/>
          <w:i/>
          <w:iCs/>
          <w:color w:val="000000"/>
          <w:szCs w:val="20"/>
          <w:shd w:val="clear" w:color="auto" w:fill="FFFFFF"/>
        </w:rPr>
        <w:t xml:space="preserve"> </w:t>
      </w:r>
      <w:r w:rsidRPr="00F03917">
        <w:rPr>
          <w:rStyle w:val="findhit"/>
          <w:rFonts w:cs="Calibri"/>
          <w:i/>
          <w:color w:val="000000"/>
          <w:szCs w:val="20"/>
          <w:shd w:val="clear" w:color="auto" w:fill="FFFFFF"/>
        </w:rPr>
        <w:t>In Climate Change 2021: The Physical Science Basis. Contribution of Working Group I to the Sixth Assessment Report of the Intergovernmental Panel on Climate Change</w:t>
      </w:r>
      <w:r w:rsidRPr="00F03917">
        <w:rPr>
          <w:rStyle w:val="findhit"/>
          <w:rFonts w:cs="Calibri"/>
          <w:color w:val="000000"/>
          <w:szCs w:val="20"/>
          <w:shd w:val="clear" w:color="auto" w:fill="FFFFFF"/>
        </w:rPr>
        <w:t xml:space="preserve"> [Masson-Delmotte, V., P. Zhai, A. Pirani, S.L. Connors, C. Péan, S. Berger, N. Caud, Y. Chen, L. Goldfarb, M.I. Gomis, M. Huang, K. Leitzell, E. Lonnoy, J.B.R. Matthews, T.K. Maycock, T. Waterfield, O. Yelekçi, R. Yu, and B. Zhou (eds.)]. Cambridge University Press, Cambridge, United Kingdom and New York, NY, USA, pp. 33−144. </w:t>
      </w:r>
      <w:hyperlink r:id="rId212" w:history="1">
        <w:r w:rsidR="00112D0A" w:rsidRPr="00F03917">
          <w:rPr>
            <w:rStyle w:val="Hyperlink"/>
          </w:rPr>
          <w:t>https://</w:t>
        </w:r>
        <w:r w:rsidRPr="00F03917">
          <w:rPr>
            <w:rStyle w:val="Hyperlink"/>
          </w:rPr>
          <w:t>doi</w:t>
        </w:r>
        <w:r w:rsidR="00112D0A" w:rsidRPr="00F03917">
          <w:rPr>
            <w:rStyle w:val="Hyperlink"/>
          </w:rPr>
          <w:t>.org/</w:t>
        </w:r>
        <w:r w:rsidRPr="00F03917">
          <w:rPr>
            <w:rStyle w:val="Hyperlink"/>
          </w:rPr>
          <w:t>10.1017/9781009157896.002</w:t>
        </w:r>
      </w:hyperlink>
      <w:r w:rsidRPr="00F03917">
        <w:rPr>
          <w:rStyle w:val="findhit"/>
          <w:rFonts w:cs="Calibri"/>
          <w:color w:val="000000"/>
          <w:szCs w:val="20"/>
          <w:shd w:val="clear" w:color="auto" w:fill="FFFFFF"/>
        </w:rPr>
        <w:t>.</w:t>
      </w:r>
    </w:p>
    <w:p w14:paraId="493B8F7A" w14:textId="276774E0" w:rsidR="002A3853" w:rsidRPr="00F03917" w:rsidRDefault="002A3853" w:rsidP="002A3853">
      <w:pPr>
        <w:pStyle w:val="References"/>
      </w:pPr>
      <w:r w:rsidRPr="00F03917">
        <w:rPr>
          <w:rStyle w:val="findhit"/>
          <w:rFonts w:cs="Calibri"/>
          <w:color w:val="000000"/>
          <w:szCs w:val="20"/>
          <w:shd w:val="clear" w:color="auto" w:fill="FFFFFF"/>
        </w:rPr>
        <w:t>Atlas</w:t>
      </w:r>
      <w:r w:rsidRPr="00F03917">
        <w:rPr>
          <w:rStyle w:val="normaltextrun"/>
          <w:rFonts w:cs="Calibri"/>
          <w:color w:val="000000"/>
          <w:szCs w:val="20"/>
          <w:shd w:val="clear" w:color="auto" w:fill="FFFFFF"/>
        </w:rPr>
        <w:t xml:space="preserve"> Communications &amp; Media Ltd. (2011). Project Twin Streams case study: Largescale property purchase without recourse to compulsory purchase. </w:t>
      </w:r>
      <w:r w:rsidRPr="00F03917">
        <w:rPr>
          <w:rStyle w:val="normaltextrun"/>
          <w:rFonts w:cs="Calibri"/>
          <w:i/>
          <w:color w:val="000000"/>
          <w:szCs w:val="20"/>
          <w:shd w:val="clear" w:color="auto" w:fill="FFFFFF"/>
        </w:rPr>
        <w:t>Prepared for the Ministry for the Environment on behalf of Waitakere City Council, Ministry for the Environment, Publication No. CR 108</w:t>
      </w:r>
      <w:r w:rsidRPr="00F03917">
        <w:rPr>
          <w:rStyle w:val="normaltextrun"/>
          <w:rFonts w:cs="Calibri"/>
          <w:color w:val="000000"/>
          <w:szCs w:val="20"/>
          <w:shd w:val="clear" w:color="auto" w:fill="FFFFFF"/>
        </w:rPr>
        <w:t xml:space="preserve">. Retrieved from </w:t>
      </w:r>
      <w:r w:rsidR="00543243" w:rsidRPr="00F03917">
        <w:t xml:space="preserve"> </w:t>
      </w:r>
      <w:r w:rsidR="00543243" w:rsidRPr="00F03917">
        <w:rPr>
          <w:rStyle w:val="Hyperlink"/>
        </w:rPr>
        <w:t>https://environment.govt.nz/publications/project-twin-streams-case-study-large-scale-property-purchase-without-recourse-to-compulsory-purchase/.</w:t>
      </w:r>
    </w:p>
    <w:p w14:paraId="0CFC1311" w14:textId="77777777" w:rsidR="002A3853" w:rsidRPr="00F03917" w:rsidRDefault="002A3853" w:rsidP="002A3853">
      <w:pPr>
        <w:pStyle w:val="References"/>
        <w:rPr>
          <w:color w:val="008080"/>
          <w:u w:val="single"/>
        </w:rPr>
      </w:pPr>
      <w:r w:rsidRPr="00F03917">
        <w:t xml:space="preserve">Bailey-Winiata, A.P.S. (2021). Understanding the potential exposure of coastal marae and urupā in Aotearoa New Zealand to sea level rise. </w:t>
      </w:r>
      <w:r w:rsidRPr="00F03917">
        <w:rPr>
          <w:i/>
        </w:rPr>
        <w:t>Masters Thesis.</w:t>
      </w:r>
      <w:r w:rsidRPr="00F03917">
        <w:t xml:space="preserve"> University of Waikato. </w:t>
      </w:r>
      <w:hyperlink r:id="rId213" w:history="1">
        <w:r w:rsidRPr="00F03917">
          <w:rPr>
            <w:rStyle w:val="Hyperlink"/>
            <w:rFonts w:eastAsia="Calibri" w:cs="Calibri"/>
            <w:szCs w:val="20"/>
          </w:rPr>
          <w:t>https://researchcommons.waikato.ac.nz/handle/10289/14567</w:t>
        </w:r>
      </w:hyperlink>
      <w:r w:rsidRPr="00F03917">
        <w:t>.</w:t>
      </w:r>
      <w:r w:rsidRPr="00F03917">
        <w:rPr>
          <w:color w:val="008080"/>
          <w:u w:val="single"/>
        </w:rPr>
        <w:t xml:space="preserve"> </w:t>
      </w:r>
    </w:p>
    <w:p w14:paraId="3D741B30" w14:textId="77777777" w:rsidR="002A3853" w:rsidRPr="00F03917" w:rsidRDefault="002A3853" w:rsidP="002A3853">
      <w:pPr>
        <w:pStyle w:val="References"/>
        <w:rPr>
          <w:rFonts w:cs="Calibri"/>
          <w:color w:val="000000"/>
          <w:shd w:val="clear" w:color="auto" w:fill="FFFFFF"/>
        </w:rPr>
      </w:pPr>
      <w:r w:rsidRPr="00F03917">
        <w:rPr>
          <w:rStyle w:val="findhit"/>
          <w:rFonts w:cs="Calibri"/>
          <w:color w:val="000000"/>
          <w:szCs w:val="20"/>
          <w:shd w:val="clear" w:color="auto" w:fill="FFFFFF"/>
        </w:rPr>
        <w:t>Baker,</w:t>
      </w:r>
      <w:r w:rsidRPr="00F03917">
        <w:rPr>
          <w:rStyle w:val="normaltextrun"/>
          <w:rFonts w:cs="Calibri"/>
          <w:color w:val="000000"/>
          <w:szCs w:val="20"/>
          <w:shd w:val="clear" w:color="auto" w:fill="FFFFFF"/>
        </w:rPr>
        <w:t xml:space="preserve"> R., F., Watkins, M. (1991). Guidance notes for the determination of mean high water mark for land title surveys. </w:t>
      </w:r>
      <w:r w:rsidRPr="00F03917">
        <w:rPr>
          <w:rStyle w:val="normaltextrun"/>
          <w:rFonts w:cs="Calibri"/>
          <w:i/>
          <w:color w:val="000000"/>
          <w:szCs w:val="20"/>
          <w:shd w:val="clear" w:color="auto" w:fill="FFFFFF"/>
        </w:rPr>
        <w:t xml:space="preserve">Wellington: Professional Development Committee of the New Zealand Institute of Surveyors. </w:t>
      </w:r>
      <w:r w:rsidRPr="00F03917">
        <w:rPr>
          <w:rStyle w:val="normaltextrun"/>
          <w:rFonts w:cs="Calibri"/>
          <w:color w:val="000000"/>
          <w:szCs w:val="20"/>
          <w:shd w:val="clear" w:color="auto" w:fill="FFFFFF"/>
        </w:rPr>
        <w:t>Retrieved from</w:t>
      </w:r>
      <w:r w:rsidRPr="00F03917">
        <w:rPr>
          <w:rStyle w:val="normaltextrun"/>
          <w:rFonts w:cs="Calibri"/>
          <w:color w:val="0066CC"/>
          <w:szCs w:val="20"/>
          <w:shd w:val="clear" w:color="auto" w:fill="FFFFFF"/>
        </w:rPr>
        <w:t xml:space="preserve"> </w:t>
      </w:r>
      <w:hyperlink r:id="rId214" w:tgtFrame="_blank" w:history="1">
        <w:r w:rsidRPr="00F03917">
          <w:rPr>
            <w:rStyle w:val="Hyperlink"/>
          </w:rPr>
          <w:t>http://docs.niwa.co.nz/library/public/Baker1991.pdf</w:t>
        </w:r>
      </w:hyperlink>
      <w:r w:rsidRPr="00F03917">
        <w:rPr>
          <w:rStyle w:val="normaltextrun"/>
          <w:rFonts w:cs="Calibri"/>
          <w:color w:val="000000"/>
          <w:szCs w:val="20"/>
          <w:shd w:val="clear" w:color="auto" w:fill="FFFFFF"/>
        </w:rPr>
        <w:t xml:space="preserve"> (February 2024).</w:t>
      </w:r>
    </w:p>
    <w:p w14:paraId="2A43DA21"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Bamber, J., L., Oppenheimer, M., Kopp, R., E., Aspinall, W., P., Cooke, R., M. (2019). Ice sheet contributions to future sea-level rise from structured expert judgement. </w:t>
      </w:r>
      <w:r w:rsidRPr="00F03917">
        <w:rPr>
          <w:rStyle w:val="findhit"/>
          <w:rFonts w:cs="Calibri"/>
          <w:i/>
          <w:color w:val="000000"/>
          <w:szCs w:val="20"/>
          <w:shd w:val="clear" w:color="auto" w:fill="FFFFFF"/>
        </w:rPr>
        <w:t>Environmental Sciences</w:t>
      </w:r>
      <w:r w:rsidRPr="00F03917">
        <w:rPr>
          <w:rStyle w:val="findhit"/>
          <w:rFonts w:cs="Calibri"/>
          <w:color w:val="000000"/>
          <w:szCs w:val="20"/>
          <w:shd w:val="clear" w:color="auto" w:fill="FFFFFF"/>
        </w:rPr>
        <w:t xml:space="preserve"> 116(23). </w:t>
      </w:r>
      <w:hyperlink r:id="rId215" w:history="1">
        <w:r w:rsidRPr="00F03917">
          <w:rPr>
            <w:rStyle w:val="Hyperlink"/>
            <w:rFonts w:cs="Calibri"/>
            <w:szCs w:val="20"/>
            <w:shd w:val="clear" w:color="auto" w:fill="FFFFFF"/>
          </w:rPr>
          <w:t>https://doi.org/10.1073/pnas.1817205116</w:t>
        </w:r>
      </w:hyperlink>
      <w:r w:rsidRPr="00F03917">
        <w:rPr>
          <w:rStyle w:val="findhit"/>
          <w:rFonts w:cs="Calibri"/>
          <w:color w:val="000000"/>
          <w:szCs w:val="20"/>
          <w:shd w:val="clear" w:color="auto" w:fill="FFFFFF"/>
        </w:rPr>
        <w:t xml:space="preserve">. </w:t>
      </w:r>
    </w:p>
    <w:p w14:paraId="0813E7BA"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Bamber, J., L., Oppenheimer, R., E., Kopp, R., E., Aspinall, W., P., Cooke, R., M. (2022). Ice Sheet and Climate Processes Driving the Uncertainty in Projections of Future Sea Level Rise: Findings from a Structured Expert Judgement Approach. </w:t>
      </w:r>
      <w:r w:rsidRPr="00F03917">
        <w:rPr>
          <w:rStyle w:val="findhit"/>
          <w:rFonts w:cs="Calibri"/>
          <w:i/>
          <w:color w:val="000000"/>
          <w:szCs w:val="20"/>
          <w:shd w:val="clear" w:color="auto" w:fill="FFFFFF"/>
        </w:rPr>
        <w:t>Earth’s Future</w:t>
      </w:r>
      <w:r w:rsidRPr="00F03917">
        <w:rPr>
          <w:rStyle w:val="findhit"/>
          <w:rFonts w:cs="Calibri"/>
          <w:color w:val="000000"/>
          <w:szCs w:val="20"/>
          <w:shd w:val="clear" w:color="auto" w:fill="FFFFFF"/>
        </w:rPr>
        <w:t xml:space="preserve"> 10(10). </w:t>
      </w:r>
      <w:hyperlink r:id="rId216" w:history="1">
        <w:r w:rsidRPr="00F03917">
          <w:rPr>
            <w:rStyle w:val="Hyperlink"/>
            <w:rFonts w:cs="Calibri"/>
            <w:szCs w:val="20"/>
            <w:shd w:val="clear" w:color="auto" w:fill="FFFFFF"/>
          </w:rPr>
          <w:t>https://doi.org/10.1029/2022EF002772</w:t>
        </w:r>
      </w:hyperlink>
      <w:r w:rsidRPr="00F03917">
        <w:rPr>
          <w:rStyle w:val="findhit"/>
          <w:rFonts w:cs="Calibri"/>
          <w:color w:val="000000"/>
          <w:szCs w:val="20"/>
          <w:shd w:val="clear" w:color="auto" w:fill="FFFFFF"/>
        </w:rPr>
        <w:t xml:space="preserve">. </w:t>
      </w:r>
    </w:p>
    <w:p w14:paraId="7EAD85D6" w14:textId="5F91D7DA" w:rsidR="002A3853" w:rsidRPr="00F03917" w:rsidRDefault="002A3853" w:rsidP="002A3853">
      <w:pPr>
        <w:pStyle w:val="References"/>
      </w:pPr>
      <w:r w:rsidRPr="00F03917">
        <w:t xml:space="preserve">Bamber, J.L., Westaway, R.M., Marzeion, B., Wouters, B. (2018). The land ice contribution to sea level during the satellite era. </w:t>
      </w:r>
      <w:r w:rsidRPr="00F03917">
        <w:rPr>
          <w:i/>
          <w:iCs/>
        </w:rPr>
        <w:t xml:space="preserve">Environmental Research Letters </w:t>
      </w:r>
      <w:r w:rsidRPr="00F03917">
        <w:t xml:space="preserve">13(6), 063008. </w:t>
      </w:r>
      <w:r w:rsidR="00992EC1" w:rsidRPr="00F03917">
        <w:rPr>
          <w:rStyle w:val="Hyperlink"/>
        </w:rPr>
        <w:t>https://</w:t>
      </w:r>
      <w:hyperlink r:id="rId217" w:history="1">
        <w:r w:rsidRPr="00F03917">
          <w:rPr>
            <w:rStyle w:val="Hyperlink"/>
          </w:rPr>
          <w:t>doi.org/10.1088/1748-9326/aac2f0</w:t>
        </w:r>
      </w:hyperlink>
      <w:r w:rsidRPr="00F03917">
        <w:t xml:space="preserve">. </w:t>
      </w:r>
    </w:p>
    <w:p w14:paraId="61F45694"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Baris</w:t>
      </w:r>
      <w:r w:rsidRPr="00F03917">
        <w:rPr>
          <w:rStyle w:val="normaltextrun"/>
          <w:rFonts w:cs="Calibri"/>
          <w:color w:val="000000"/>
          <w:szCs w:val="20"/>
          <w:shd w:val="clear" w:color="auto" w:fill="FFFFFF"/>
        </w:rPr>
        <w:t xml:space="preserve">ky, T. (2015). A public engagement toolkit for sea level rise. </w:t>
      </w:r>
      <w:r w:rsidRPr="00F03917">
        <w:rPr>
          <w:rStyle w:val="normaltextrun"/>
          <w:rFonts w:cs="Calibri"/>
          <w:i/>
          <w:color w:val="000000"/>
          <w:szCs w:val="20"/>
          <w:shd w:val="clear" w:color="auto" w:fill="FFFFFF"/>
        </w:rPr>
        <w:t xml:space="preserve">Prepared for the Sustainability Group, City of Vancouver. Vancouver: City of Vancouver. </w:t>
      </w:r>
      <w:r w:rsidRPr="00F03917">
        <w:rPr>
          <w:rStyle w:val="normaltextrun"/>
          <w:rFonts w:cs="Calibri"/>
          <w:color w:val="000000"/>
          <w:szCs w:val="20"/>
          <w:shd w:val="clear" w:color="auto" w:fill="FFFFFF"/>
        </w:rPr>
        <w:t xml:space="preserve">Retrieved from </w:t>
      </w:r>
      <w:hyperlink r:id="rId218" w:tgtFrame="_blank" w:history="1">
        <w:r w:rsidRPr="00F03917">
          <w:rPr>
            <w:rStyle w:val="Hyperlink"/>
          </w:rPr>
          <w:t>https://sustain.ubc.ca/sites/sustain.ubc.ca/files/GCS/2015%20Project%20Reports/A%20Public%20Engagement%20Toolkit%20for%20Sea%20Level%20Rise%20-%20GC%20Scholars%202015.pdf</w:t>
        </w:r>
      </w:hyperlink>
      <w:r w:rsidRPr="00F03917">
        <w:rPr>
          <w:rStyle w:val="normaltextrun"/>
          <w:rFonts w:cs="Calibri"/>
          <w:color w:val="000000"/>
          <w:szCs w:val="20"/>
          <w:shd w:val="clear" w:color="auto" w:fill="FFFFFF"/>
        </w:rPr>
        <w:t>.</w:t>
      </w:r>
    </w:p>
    <w:p w14:paraId="75AA6512" w14:textId="77777777" w:rsidR="002A3853" w:rsidRPr="00F03917" w:rsidRDefault="002A3853" w:rsidP="002A3853">
      <w:pPr>
        <w:pStyle w:val="References"/>
      </w:pPr>
      <w:r w:rsidRPr="00F03917">
        <w:rPr>
          <w:rStyle w:val="findhit"/>
          <w:rFonts w:cs="Calibri"/>
          <w:color w:val="000000"/>
          <w:szCs w:val="20"/>
          <w:shd w:val="clear" w:color="auto" w:fill="FFFFFF"/>
        </w:rPr>
        <w:t>Barlow,</w:t>
      </w:r>
      <w:r w:rsidRPr="00F03917">
        <w:rPr>
          <w:rStyle w:val="normaltextrun"/>
          <w:rFonts w:cs="Calibri"/>
          <w:color w:val="000000"/>
          <w:szCs w:val="20"/>
          <w:shd w:val="clear" w:color="auto" w:fill="FFFFFF"/>
        </w:rPr>
        <w:t xml:space="preserve"> P., M. (2003). Ground water in freshwater-saltwater environments of the Atlantic Coast</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US Geological Survey Circular</w:t>
      </w:r>
      <w:r w:rsidRPr="00F03917">
        <w:rPr>
          <w:rStyle w:val="normaltextrun"/>
          <w:rFonts w:cs="Calibri"/>
          <w:color w:val="000000"/>
          <w:szCs w:val="20"/>
          <w:shd w:val="clear" w:color="auto" w:fill="FFFFFF"/>
        </w:rPr>
        <w:t xml:space="preserve"> 1262: 113.</w:t>
      </w:r>
    </w:p>
    <w:p w14:paraId="24F466AA" w14:textId="163B0DDE" w:rsidR="002A3853" w:rsidRPr="00F03917" w:rsidRDefault="002A3853" w:rsidP="002A3853">
      <w:pPr>
        <w:pStyle w:val="References"/>
      </w:pPr>
      <w:r w:rsidRPr="00F03917">
        <w:rPr>
          <w:rStyle w:val="findhit"/>
          <w:rFonts w:cs="Calibri"/>
          <w:color w:val="000000"/>
          <w:szCs w:val="20"/>
          <w:shd w:val="clear" w:color="auto" w:fill="FFFFFF"/>
        </w:rPr>
        <w:t>Barnet</w:t>
      </w:r>
      <w:r w:rsidRPr="00F03917">
        <w:rPr>
          <w:rStyle w:val="normaltextrun"/>
          <w:rFonts w:cs="Calibri"/>
          <w:color w:val="000000"/>
          <w:szCs w:val="20"/>
          <w:shd w:val="clear" w:color="auto" w:fill="FFFFFF"/>
        </w:rPr>
        <w:t>t, J., Graham, S., Mortreux, C., Fincher, R., Waters, E., Hurlimann, A. (2014). A local coastal adaptation pathway</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Nature Climate Change</w:t>
      </w:r>
      <w:r w:rsidRPr="00F03917">
        <w:rPr>
          <w:rStyle w:val="normaltextrun"/>
          <w:rFonts w:cs="Calibri"/>
          <w:color w:val="000000"/>
          <w:szCs w:val="20"/>
          <w:shd w:val="clear" w:color="auto" w:fill="FFFFFF"/>
        </w:rPr>
        <w:t xml:space="preserve"> 4(12): 1103–1108. Retrieved from </w:t>
      </w:r>
      <w:hyperlink r:id="rId219" w:tgtFrame="_blank" w:history="1">
        <w:r w:rsidR="00632D86" w:rsidRPr="00F03917">
          <w:rPr>
            <w:rStyle w:val="Hyperlink"/>
          </w:rPr>
          <w:t>https://www.researchgate.net/publication/266741093_A_local_coastal_adaptation_pathway</w:t>
        </w:r>
      </w:hyperlink>
      <w:r w:rsidRPr="00F03917">
        <w:rPr>
          <w:rStyle w:val="normaltextrun"/>
          <w:rFonts w:cs="Calibri"/>
          <w:szCs w:val="20"/>
          <w:shd w:val="clear" w:color="auto" w:fill="FFFFFF"/>
        </w:rPr>
        <w:t>.</w:t>
      </w:r>
      <w:r w:rsidRPr="00F03917">
        <w:rPr>
          <w:rStyle w:val="eop"/>
          <w:rFonts w:cs="Calibri"/>
          <w:shd w:val="clear" w:color="auto" w:fill="FFFFFF"/>
        </w:rPr>
        <w:t> </w:t>
      </w:r>
    </w:p>
    <w:p w14:paraId="4F135CCD" w14:textId="3F3FBE3E" w:rsidR="002A3853" w:rsidRPr="00F03917" w:rsidRDefault="002A3853" w:rsidP="002A3853">
      <w:pPr>
        <w:pStyle w:val="References"/>
      </w:pPr>
      <w:r w:rsidRPr="00F03917">
        <w:t xml:space="preserve">Barnett, J., Tschakert, P., Head, L., Adger, W.N. (2016). A science of loss. </w:t>
      </w:r>
      <w:r w:rsidRPr="00F03917">
        <w:rPr>
          <w:i/>
          <w:iCs/>
        </w:rPr>
        <w:t>Nature Climate Change</w:t>
      </w:r>
      <w:r w:rsidRPr="00F03917">
        <w:t xml:space="preserve"> 6: </w:t>
      </w:r>
      <w:r w:rsidRPr="00F03917">
        <w:br/>
        <w:t xml:space="preserve">976–978. </w:t>
      </w:r>
      <w:hyperlink r:id="rId220" w:history="1">
        <w:r w:rsidR="00175699" w:rsidRPr="00F03917">
          <w:rPr>
            <w:rStyle w:val="Hyperlink"/>
          </w:rPr>
          <w:t>https://doi.org/10.1038/nclimate3140</w:t>
        </w:r>
      </w:hyperlink>
    </w:p>
    <w:p w14:paraId="34DC0488" w14:textId="77777777" w:rsidR="002A3853" w:rsidRPr="00F03917" w:rsidRDefault="002A3853" w:rsidP="002A3853">
      <w:pPr>
        <w:pStyle w:val="References"/>
      </w:pPr>
      <w:r w:rsidRPr="00F03917">
        <w:t>Barnett, M.A.F. (1938). The cyclonic storms in Northern New Zealand.</w:t>
      </w:r>
      <w:r w:rsidRPr="00F03917">
        <w:rPr>
          <w:i/>
          <w:iCs/>
        </w:rPr>
        <w:t xml:space="preserve"> </w:t>
      </w:r>
      <w:r w:rsidRPr="00F03917">
        <w:rPr>
          <w:i/>
        </w:rPr>
        <w:t>Meteorological Office Note</w:t>
      </w:r>
      <w:r w:rsidRPr="00F03917">
        <w:rPr>
          <w:i/>
          <w:iCs/>
        </w:rPr>
        <w:t xml:space="preserve"> </w:t>
      </w:r>
      <w:r w:rsidRPr="00F03917">
        <w:t>22. Wellington: Meteorological Office.</w:t>
      </w:r>
    </w:p>
    <w:p w14:paraId="77A6A9FF" w14:textId="77777777" w:rsidR="002A3853" w:rsidRPr="00F03917" w:rsidRDefault="002A3853" w:rsidP="002A3853">
      <w:pPr>
        <w:pStyle w:val="References"/>
      </w:pPr>
      <w:r w:rsidRPr="00F03917">
        <w:t xml:space="preserve">Beavan RJ, Litchfield NJ. (2012). Vertical land movement around the New Zealand coastline: Implications for sea-level rise. </w:t>
      </w:r>
      <w:r w:rsidRPr="00F03917">
        <w:rPr>
          <w:i/>
        </w:rPr>
        <w:t>Lower Hutt: GNS Science.</w:t>
      </w:r>
      <w:r w:rsidRPr="00F03917">
        <w:t xml:space="preserve"> Retrieved from </w:t>
      </w:r>
      <w:hyperlink r:id="rId221" w:history="1">
        <w:r w:rsidRPr="00F03917">
          <w:rPr>
            <w:rStyle w:val="Hyperlink"/>
          </w:rPr>
          <w:t>www.gns.cri.nz/assets/News-files/N-files/SR-2012-029.pdf</w:t>
        </w:r>
      </w:hyperlink>
      <w:r w:rsidRPr="00F03917">
        <w:t>.</w:t>
      </w:r>
    </w:p>
    <w:p w14:paraId="4FD49E9C" w14:textId="77777777" w:rsidR="002A3853" w:rsidRPr="00F03917" w:rsidRDefault="002A3853" w:rsidP="002A3853">
      <w:pPr>
        <w:pStyle w:val="References"/>
      </w:pPr>
      <w:r w:rsidRPr="00F03917">
        <w:rPr>
          <w:rStyle w:val="findhit"/>
          <w:rFonts w:cs="Calibri"/>
          <w:color w:val="000000"/>
          <w:szCs w:val="20"/>
          <w:shd w:val="clear" w:color="auto" w:fill="FFFFFF"/>
        </w:rPr>
        <w:t>Becke</w:t>
      </w:r>
      <w:r w:rsidRPr="00F03917">
        <w:rPr>
          <w:rStyle w:val="normaltextrun"/>
          <w:rFonts w:cs="Calibri"/>
          <w:color w:val="000000"/>
          <w:szCs w:val="20"/>
          <w:shd w:val="clear" w:color="auto" w:fill="FFFFFF"/>
        </w:rPr>
        <w:t>r, J., Patel, P., Ryan, E., Blackett, P., Schneider, P., Robichaux, L. (2018). Understanding community perspectives on coastal issues: Hawke’s Bay Coastal Survey 2017.</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GNS Science Miscellaneous Series</w:t>
      </w:r>
      <w:r w:rsidRPr="00F03917">
        <w:rPr>
          <w:rStyle w:val="normaltextrun"/>
          <w:rFonts w:cs="Calibri"/>
          <w:color w:val="000000"/>
          <w:szCs w:val="20"/>
          <w:shd w:val="clear" w:color="auto" w:fill="FFFFFF"/>
        </w:rPr>
        <w:t xml:space="preserve"> 113, November 2018. Prepared for the Resilience to Nature National Science Challenge.</w:t>
      </w:r>
    </w:p>
    <w:p w14:paraId="2AD5B3FE" w14:textId="77777777" w:rsidR="002A3853" w:rsidRPr="00F03917" w:rsidRDefault="002A3853" w:rsidP="002A3853">
      <w:pPr>
        <w:pStyle w:val="References"/>
      </w:pPr>
      <w:r w:rsidRPr="00F03917">
        <w:rPr>
          <w:rStyle w:val="normaltextrun"/>
          <w:rFonts w:cs="Calibri"/>
          <w:color w:val="000000"/>
          <w:szCs w:val="20"/>
          <w:shd w:val="clear" w:color="auto" w:fill="FFFFFF"/>
        </w:rPr>
        <w:t>Bell, R., G. (</w:t>
      </w:r>
      <w:r w:rsidRPr="00F03917">
        <w:rPr>
          <w:rStyle w:val="findhit"/>
          <w:rFonts w:cs="Calibri"/>
          <w:color w:val="000000"/>
          <w:szCs w:val="20"/>
          <w:shd w:val="clear" w:color="auto" w:fill="FFFFFF"/>
        </w:rPr>
        <w:t>2010)</w:t>
      </w:r>
      <w:r w:rsidRPr="00F03917">
        <w:rPr>
          <w:rStyle w:val="normaltextrun"/>
          <w:rFonts w:cs="Calibri"/>
          <w:color w:val="000000"/>
          <w:szCs w:val="20"/>
          <w:shd w:val="clear" w:color="auto" w:fill="FFFFFF"/>
        </w:rPr>
        <w:t>. Tidal exceedances, storm tides and the effect of sea-level rise</w:t>
      </w:r>
      <w:r w:rsidRPr="00F03917">
        <w:rPr>
          <w:rStyle w:val="normaltextrun"/>
          <w:rFonts w:cs="Calibri"/>
          <w:i/>
          <w:color w:val="000000"/>
          <w:szCs w:val="20"/>
          <w:shd w:val="clear" w:color="auto" w:fill="FFFFFF"/>
        </w:rPr>
        <w:t>. In: Proceedings of the 17th Congress of the Asia and Pacific division of the IAHR. Auckland:</w:t>
      </w:r>
      <w:r w:rsidRPr="00F03917">
        <w:rPr>
          <w:rStyle w:val="normaltextrun"/>
          <w:rFonts w:cs="Calibri"/>
          <w:color w:val="000000"/>
          <w:szCs w:val="20"/>
          <w:shd w:val="clear" w:color="auto" w:fill="FFFFFF"/>
        </w:rPr>
        <w:t xml:space="preserve"> 10.</w:t>
      </w:r>
    </w:p>
    <w:p w14:paraId="6366F1A3" w14:textId="77777777" w:rsidR="002A3853" w:rsidRPr="00F03917" w:rsidRDefault="002A3853" w:rsidP="002A3853">
      <w:pPr>
        <w:pStyle w:val="References"/>
        <w:rPr>
          <w:color w:val="008080"/>
          <w:u w:val="single"/>
        </w:rPr>
      </w:pPr>
      <w:r w:rsidRPr="00F03917">
        <w:lastRenderedPageBreak/>
        <w:t xml:space="preserve">Bell, R.G. (2021). How will our coasts and estuaries change with sea-level rise? Implications for communities and infrastructure. Part I, In: Hon. Helen Clark (ed.), </w:t>
      </w:r>
      <w:r w:rsidRPr="00F03917">
        <w:rPr>
          <w:i/>
        </w:rPr>
        <w:t>Climate Aotearoa: What’s happening &amp; what we can do about it</w:t>
      </w:r>
      <w:r w:rsidRPr="00F03917">
        <w:t>. pp. 61–92. ISBN 978 1 98854 763 3. Allen and Unwin Publishers, Australia.</w:t>
      </w:r>
      <w:r w:rsidRPr="00F03917">
        <w:rPr>
          <w:u w:val="single"/>
        </w:rPr>
        <w:t xml:space="preserve"> </w:t>
      </w:r>
      <w:r w:rsidRPr="00F03917">
        <w:t xml:space="preserve">Retrieved from </w:t>
      </w:r>
      <w:hyperlink r:id="rId222" w:history="1">
        <w:r w:rsidRPr="00F03917">
          <w:rPr>
            <w:rStyle w:val="Hyperlink"/>
            <w:rFonts w:eastAsia="Calibri" w:cs="Calibri"/>
            <w:szCs w:val="20"/>
          </w:rPr>
          <w:t>www.allenandunwin.co.nz/browse/book/Edited-by-Helen-Clark-Climate-Aotearoa-9781988547633</w:t>
        </w:r>
      </w:hyperlink>
      <w:r w:rsidRPr="00F03917">
        <w:t>.</w:t>
      </w:r>
      <w:r w:rsidRPr="00F03917">
        <w:rPr>
          <w:color w:val="008080"/>
          <w:u w:val="single"/>
        </w:rPr>
        <w:t xml:space="preserve"> </w:t>
      </w:r>
    </w:p>
    <w:p w14:paraId="7F50D64C" w14:textId="77777777" w:rsidR="002A3853" w:rsidRPr="00F03917" w:rsidRDefault="002A3853" w:rsidP="002A3853">
      <w:pPr>
        <w:pStyle w:val="References"/>
      </w:pPr>
      <w:r w:rsidRPr="00F03917">
        <w:t xml:space="preserve">Bell, R., Hannah, J., &amp; Andrews, C. (2022). Update to 2020 of the annual mean sea level series and trends around New Zealand. </w:t>
      </w:r>
      <w:r w:rsidRPr="00F03917">
        <w:rPr>
          <w:i/>
          <w:iCs/>
        </w:rPr>
        <w:t>Prepared for Ministry for the Environment August 2022</w:t>
      </w:r>
      <w:r w:rsidRPr="00F03917">
        <w:t xml:space="preserve"> (NIWA Client Report No: 2021236HN). NIWA. Retrieved from </w:t>
      </w:r>
      <w:r w:rsidRPr="00F03917">
        <w:rPr>
          <w:rStyle w:val="Hyperlink"/>
        </w:rPr>
        <w:t>https://environment.govt.nz/publications/update-to-2020-of-the-annual-mean-sea-level-series-and-trends-around-new-zealand/.</w:t>
      </w:r>
    </w:p>
    <w:p w14:paraId="5B3A2AE0" w14:textId="77777777" w:rsidR="002A3853" w:rsidRPr="00F03917" w:rsidRDefault="002A3853" w:rsidP="002A3853">
      <w:pPr>
        <w:pStyle w:val="References"/>
        <w:rPr>
          <w:color w:val="008080"/>
          <w:u w:val="single"/>
        </w:rPr>
      </w:pPr>
      <w:r w:rsidRPr="00F03917">
        <w:t>Bell, R.G., Hume, T.M., Hicks, D.M. (2001). Planning for climate change effects on coastal margins</w:t>
      </w:r>
      <w:r w:rsidRPr="00F03917">
        <w:rPr>
          <w:i/>
        </w:rPr>
        <w:t>.</w:t>
      </w:r>
      <w:r w:rsidRPr="00F03917">
        <w:t xml:space="preserve"> </w:t>
      </w:r>
      <w:r w:rsidRPr="00F03917">
        <w:rPr>
          <w:i/>
        </w:rPr>
        <w:t>Ministry for the Environment Publication ME 410</w:t>
      </w:r>
      <w:r w:rsidRPr="00F03917">
        <w:t xml:space="preserve">. P 73. Retrieved from </w:t>
      </w:r>
      <w:hyperlink r:id="rId223">
        <w:r w:rsidRPr="00F03917">
          <w:rPr>
            <w:rStyle w:val="Hyperlink"/>
            <w:rFonts w:eastAsia="Calibri" w:cs="Calibri"/>
          </w:rPr>
          <w:t>https://environment.govt.nz/publications/planning-for-climate-change-effects-on-coastal-margins/</w:t>
        </w:r>
      </w:hyperlink>
      <w:r w:rsidRPr="00F03917">
        <w:t>.</w:t>
      </w:r>
      <w:r w:rsidRPr="00F03917">
        <w:rPr>
          <w:color w:val="008080"/>
          <w:u w:val="single"/>
        </w:rPr>
        <w:t xml:space="preserve"> </w:t>
      </w:r>
    </w:p>
    <w:p w14:paraId="618BCA96" w14:textId="77777777" w:rsidR="002A3853" w:rsidRPr="00F03917" w:rsidRDefault="002A3853" w:rsidP="002A3853">
      <w:pPr>
        <w:pStyle w:val="References"/>
      </w:pPr>
      <w:r w:rsidRPr="00F03917">
        <w:rPr>
          <w:rStyle w:val="normaltextrun"/>
          <w:rFonts w:cs="Calibri"/>
          <w:color w:val="000000"/>
          <w:szCs w:val="20"/>
          <w:shd w:val="clear" w:color="auto" w:fill="FFFFFF"/>
        </w:rPr>
        <w:t xml:space="preserve">Bell, R., G., Paulik, R., Wadhwa, S. (2015). National and regional risk exposure in low-lying coastal areas: areal extent, population, buildings and infrastructure. </w:t>
      </w:r>
      <w:r w:rsidRPr="00F03917">
        <w:rPr>
          <w:rStyle w:val="normaltextrun"/>
          <w:rFonts w:cs="Calibri"/>
          <w:i/>
          <w:color w:val="000000"/>
          <w:szCs w:val="20"/>
          <w:shd w:val="clear" w:color="auto" w:fill="FFFFFF"/>
        </w:rPr>
        <w:t xml:space="preserve">Report prepared for the Parliamentary Commissioner for the Environment by NIWA. </w:t>
      </w:r>
      <w:r w:rsidRPr="00F03917">
        <w:rPr>
          <w:rStyle w:val="normaltextrun"/>
          <w:rFonts w:cs="Calibri"/>
          <w:color w:val="000000"/>
          <w:szCs w:val="20"/>
          <w:shd w:val="clear" w:color="auto" w:fill="FFFFFF"/>
        </w:rPr>
        <w:t xml:space="preserve">Wellington: Parliamentary Commissioner for the Environment. Retrieved from </w:t>
      </w:r>
      <w:hyperlink r:id="rId224" w:tgtFrame="_blank" w:history="1">
        <w:r w:rsidRPr="00F03917">
          <w:rPr>
            <w:rStyle w:val="Hyperlink"/>
            <w:rFonts w:eastAsia="Calibri"/>
          </w:rPr>
          <w:t>www.pce.parliament.nz/media/1384/national-and-regional-risk-exposure-in-low-lying-coastal-areas-niwa-2015.pdf</w:t>
        </w:r>
      </w:hyperlink>
      <w:r w:rsidRPr="00F03917">
        <w:rPr>
          <w:rStyle w:val="Hyperlink"/>
          <w:rFonts w:eastAsia="Calibri"/>
          <w:color w:val="auto"/>
        </w:rPr>
        <w:t>.</w:t>
      </w:r>
    </w:p>
    <w:p w14:paraId="4AE7B5F5" w14:textId="77777777" w:rsidR="002A3853" w:rsidRPr="00F03917" w:rsidRDefault="002A3853" w:rsidP="002A3853">
      <w:pPr>
        <w:pStyle w:val="References"/>
      </w:pPr>
      <w:r w:rsidRPr="00F03917">
        <w:t xml:space="preserve">Bell, R.G., Ray, D., Hickey, C., McBride, G. (2002). Conceptual design of the monitoring programme. In: Ray, D. (Ed.) </w:t>
      </w:r>
      <w:r w:rsidRPr="00F03917">
        <w:rPr>
          <w:i/>
          <w:iCs/>
        </w:rPr>
        <w:t>New Zealand Municipal Wastewater Monitoring Guidelines</w:t>
      </w:r>
      <w:r w:rsidRPr="00F03917">
        <w:t xml:space="preserve"> (pp. 85–91). Wellington: NZ Water Environment Research Foundation. Retrieved from </w:t>
      </w:r>
      <w:hyperlink r:id="rId225" w:history="1">
        <w:r w:rsidRPr="00F03917">
          <w:rPr>
            <w:rStyle w:val="Hyperlink"/>
            <w:rFonts w:eastAsia="Calibri" w:cs="Calibri"/>
            <w:szCs w:val="20"/>
          </w:rPr>
          <w:t>www.waternz.org.nz/Article?Action=View&amp;Article_id=33</w:t>
        </w:r>
      </w:hyperlink>
      <w:r w:rsidRPr="00F03917">
        <w:t>.</w:t>
      </w:r>
    </w:p>
    <w:p w14:paraId="363C4D33" w14:textId="77777777" w:rsidR="002A3853" w:rsidRPr="00F03917" w:rsidRDefault="002A3853" w:rsidP="002A3853">
      <w:pPr>
        <w:pStyle w:val="References"/>
        <w:rPr>
          <w:lang w:val="en-GB"/>
        </w:rPr>
      </w:pPr>
      <w:r w:rsidRPr="00F03917">
        <w:rPr>
          <w:rStyle w:val="findhit"/>
          <w:rFonts w:cs="Calibri"/>
          <w:color w:val="000000"/>
          <w:szCs w:val="20"/>
          <w:shd w:val="clear" w:color="auto" w:fill="FFFFFF"/>
        </w:rPr>
        <w:t>Berkes,</w:t>
      </w:r>
      <w:r w:rsidRPr="00F03917">
        <w:rPr>
          <w:rStyle w:val="normaltextrun"/>
          <w:rFonts w:cs="Calibri"/>
          <w:color w:val="000000"/>
          <w:szCs w:val="20"/>
          <w:shd w:val="clear" w:color="auto" w:fill="FFFFFF"/>
        </w:rPr>
        <w:t xml:space="preserve"> F., Folke, C., Colding, J. (1998). Ecological practices and social mechanisms. In: F </w:t>
      </w:r>
      <w:r w:rsidRPr="00F03917">
        <w:rPr>
          <w:rStyle w:val="findhit"/>
          <w:rFonts w:cs="Calibri"/>
          <w:color w:val="000000"/>
          <w:szCs w:val="20"/>
          <w:shd w:val="clear" w:color="auto" w:fill="FFFFFF"/>
        </w:rPr>
        <w:t>Berkes</w:t>
      </w:r>
      <w:r w:rsidRPr="00F03917">
        <w:rPr>
          <w:rStyle w:val="normaltextrun"/>
          <w:rFonts w:cs="Calibri"/>
          <w:color w:val="000000"/>
          <w:szCs w:val="20"/>
          <w:shd w:val="clear" w:color="auto" w:fill="FFFFFF"/>
        </w:rPr>
        <w:t>, C Folke, J Colding (eds</w:t>
      </w:r>
      <w:r w:rsidRPr="00F03917">
        <w:rPr>
          <w:rStyle w:val="normaltextrun"/>
          <w:rFonts w:cs="Calibri"/>
          <w:i/>
          <w:color w:val="000000"/>
          <w:szCs w:val="20"/>
          <w:shd w:val="clear" w:color="auto" w:fill="FFFFFF"/>
        </w:rPr>
        <w:t>) Linking Social and Ecological Systems</w:t>
      </w:r>
      <w:r w:rsidRPr="00F03917">
        <w:rPr>
          <w:rStyle w:val="normaltextrun"/>
          <w:rFonts w:cs="Calibri"/>
          <w:color w:val="000000"/>
          <w:szCs w:val="20"/>
          <w:shd w:val="clear" w:color="auto" w:fill="FFFFFF"/>
        </w:rPr>
        <w:t>: Management practices and social mechanisms for building resilience. Cambridge: Cambridge University Press.</w:t>
      </w:r>
    </w:p>
    <w:p w14:paraId="426A6529" w14:textId="77777777" w:rsidR="002A3853" w:rsidRPr="00F03917" w:rsidRDefault="002A3853" w:rsidP="002A3853">
      <w:pPr>
        <w:pStyle w:val="References"/>
      </w:pPr>
      <w:r w:rsidRPr="00F03917">
        <w:t xml:space="preserve">Beya, J., Asmat, C. (2021). Short-term concept design and costing – Clifton to Tangoio 2120 Coastal hazards strategy – Stage 4 – Design workstream: Wave, shoreline evolution and gravel barrier response modelling – Groynes design and cost estimates. </w:t>
      </w:r>
      <w:r w:rsidRPr="00F03917">
        <w:rPr>
          <w:i/>
        </w:rPr>
        <w:t>Hawke’s Bay Regional Council Report 5537</w:t>
      </w:r>
      <w:r w:rsidRPr="00F03917">
        <w:t xml:space="preserve">. Retrieved from </w:t>
      </w:r>
      <w:hyperlink r:id="rId226" w:history="1">
        <w:r w:rsidRPr="00F03917">
          <w:rPr>
            <w:rStyle w:val="Hyperlink"/>
          </w:rPr>
          <w:t>www.hbcoast.co.nz/assets/Uploads/Design-report-full-final-bookmarked-reduce-size.pdf</w:t>
        </w:r>
      </w:hyperlink>
      <w:r w:rsidRPr="00F03917">
        <w:t>.</w:t>
      </w:r>
    </w:p>
    <w:p w14:paraId="06B7A240" w14:textId="0752778C" w:rsidR="002A3853" w:rsidRPr="00F03917" w:rsidRDefault="002A3853" w:rsidP="002A3853">
      <w:pPr>
        <w:pStyle w:val="References"/>
      </w:pPr>
      <w:r w:rsidRPr="00F03917">
        <w:t xml:space="preserve">Blackett, P., Davies, K., Davies, B., Holland, P., and Cradock-Henry, N. (2019). Adaptive Futures: </w:t>
      </w:r>
      <w:r w:rsidR="00AE7876" w:rsidRPr="00F03917">
        <w:t>A</w:t>
      </w:r>
      <w:r w:rsidRPr="00F03917">
        <w:t xml:space="preserve">n Interactive Serious Game for Decision-Making and Coastal Hazards. </w:t>
      </w:r>
      <w:r w:rsidRPr="00F03917">
        <w:rPr>
          <w:i/>
        </w:rPr>
        <w:t>Prepared for Natural Hazards Research Platform.</w:t>
      </w:r>
      <w:r w:rsidRPr="00F03917">
        <w:t> NIWA Client Report No. 2019328HN. New Zealand: NIWA</w:t>
      </w:r>
    </w:p>
    <w:p w14:paraId="4DD8283F" w14:textId="77777777" w:rsidR="002A3853" w:rsidRPr="00F03917" w:rsidRDefault="002A3853" w:rsidP="002A3853">
      <w:pPr>
        <w:pStyle w:val="References"/>
      </w:pPr>
      <w:r w:rsidRPr="00F03917">
        <w:t xml:space="preserve">Blackett, P., FitzHerbert, S., Luttrell, J., Hopmans, T., Lawrence, H., Colliar, J. (2022). Marae-opoly: Supporting localised Māori climate adaptation decisions with serious games in Aotearoa New Zealand. </w:t>
      </w:r>
      <w:r w:rsidRPr="00F03917">
        <w:rPr>
          <w:i/>
          <w:iCs/>
        </w:rPr>
        <w:t>Sustainability Science</w:t>
      </w:r>
      <w:r w:rsidRPr="00F03917">
        <w:t xml:space="preserve"> 17: 415–431. </w:t>
      </w:r>
      <w:hyperlink r:id="rId227" w:history="1">
        <w:r w:rsidRPr="00F03917">
          <w:rPr>
            <w:rStyle w:val="Hyperlink"/>
          </w:rPr>
          <w:t>doi.org/10.1007/s11625-021-00998-9</w:t>
        </w:r>
      </w:hyperlink>
      <w:r w:rsidRPr="00F03917">
        <w:t xml:space="preserve">. </w:t>
      </w:r>
    </w:p>
    <w:p w14:paraId="788CDF29" w14:textId="77777777" w:rsidR="002A3853" w:rsidRPr="00F03917" w:rsidRDefault="002A3853" w:rsidP="002A3853">
      <w:pPr>
        <w:pStyle w:val="References"/>
      </w:pPr>
      <w:r w:rsidRPr="00F03917">
        <w:t xml:space="preserve">Blackett, P., Hume, T., Dahm, J. (2010a). Exploring the social context of coastal erosion management in New Zealand: What factors drive environmental outcome. </w:t>
      </w:r>
      <w:r w:rsidRPr="00F03917">
        <w:rPr>
          <w:i/>
          <w:iCs/>
        </w:rPr>
        <w:t>The Australasian Journal of Disaster and Trauma Studies</w:t>
      </w:r>
      <w:r w:rsidRPr="00F03917">
        <w:t xml:space="preserve"> 2010-1: 10. </w:t>
      </w:r>
    </w:p>
    <w:p w14:paraId="4F5A25C6" w14:textId="77777777" w:rsidR="002A3853" w:rsidRPr="00F03917" w:rsidRDefault="002A3853" w:rsidP="002A3853">
      <w:pPr>
        <w:pStyle w:val="References"/>
      </w:pPr>
      <w:r w:rsidRPr="00F03917">
        <w:t>Blackett, P., Smith, E., Rouse, H., Hume, T., Rickard, D., Hume, A., Bell, R., Ramsey, D., Dahm, J., Wishart, P., Singleton, P., Pickett, V. (2010b). How can we engage with coastal communities over adaptation to climate change? A case study in Whitianga on the Coromandel Peninsula</w:t>
      </w:r>
      <w:r w:rsidRPr="00F03917">
        <w:rPr>
          <w:i/>
        </w:rPr>
        <w:t>. Presentation to New Zealand Planning Institute Conference</w:t>
      </w:r>
      <w:r w:rsidRPr="00F03917">
        <w:t xml:space="preserve">: Planning Pathways to the Future, Christchurch Convention Centre </w:t>
      </w:r>
      <w:r w:rsidRPr="00F03917">
        <w:br/>
        <w:t>20–23 April 2010.</w:t>
      </w:r>
    </w:p>
    <w:p w14:paraId="5067FCC3" w14:textId="77777777" w:rsidR="002A3853" w:rsidRPr="00F03917" w:rsidRDefault="002A3853" w:rsidP="002A3853">
      <w:pPr>
        <w:pStyle w:val="References"/>
      </w:pPr>
      <w:r w:rsidRPr="00F03917">
        <w:t xml:space="preserve">Blair N. (2002). Tamaki Kaitiakitanga in the concrete jungle. In M Kawharu (Ed), </w:t>
      </w:r>
      <w:r w:rsidRPr="00F03917">
        <w:rPr>
          <w:i/>
          <w:iCs/>
        </w:rPr>
        <w:t>Whenua: Managing Our Resources</w:t>
      </w:r>
      <w:r w:rsidRPr="00F03917">
        <w:t xml:space="preserve"> (pp 62–74). Auckland: Reed Books.</w:t>
      </w:r>
    </w:p>
    <w:p w14:paraId="4058AAE4" w14:textId="77777777" w:rsidR="002A3853" w:rsidRPr="00F03917" w:rsidRDefault="002A3853" w:rsidP="002A3853">
      <w:pPr>
        <w:pStyle w:val="References"/>
      </w:pPr>
      <w:r w:rsidRPr="00F03917">
        <w:t xml:space="preserve">Bodeker, G., Cullen, N., Katurji, M., McDonald, A., Morgenstern, O., Noone, D., Renwick, J., Revell, L., Tait, A. (2022). Aotearoa New Zealand climate change projections guidance: Interpreting the latest IPCC WG1 report findings. </w:t>
      </w:r>
      <w:r w:rsidRPr="00F03917">
        <w:rPr>
          <w:i/>
        </w:rPr>
        <w:t>Prepared for the Ministry for the Environment, Report number CR 501</w:t>
      </w:r>
      <w:r w:rsidRPr="00F03917">
        <w:t xml:space="preserve">, 51 p. Retrieved from </w:t>
      </w:r>
      <w:hyperlink r:id="rId228" w:history="1">
        <w:r w:rsidRPr="00F03917">
          <w:rPr>
            <w:rStyle w:val="Hyperlink"/>
          </w:rPr>
          <w:t>https://ir.canterbury.ac.nz/server/api/core/bitstreams/294aea35-9bc1-4a4f-ba4a-2667e31ef3dc/content</w:t>
        </w:r>
      </w:hyperlink>
      <w:r w:rsidRPr="00F03917">
        <w:t>.</w:t>
      </w:r>
    </w:p>
    <w:p w14:paraId="24A0D5CE" w14:textId="5EBFC562" w:rsidR="002A3853" w:rsidRPr="00F03917" w:rsidRDefault="002A3853" w:rsidP="002A3853">
      <w:pPr>
        <w:pStyle w:val="References"/>
      </w:pPr>
      <w:r w:rsidRPr="00F03917">
        <w:lastRenderedPageBreak/>
        <w:t xml:space="preserve">Bond, S., &amp; Barth, J. (2020). Care-full and just: Making a difference through climate change adaptation. </w:t>
      </w:r>
      <w:r w:rsidRPr="00F03917">
        <w:rPr>
          <w:i/>
          <w:iCs/>
        </w:rPr>
        <w:t>Cities</w:t>
      </w:r>
      <w:r w:rsidRPr="00F03917">
        <w:t xml:space="preserve"> 102, 102734.</w:t>
      </w:r>
      <w:r w:rsidR="00B16277" w:rsidRPr="00F03917">
        <w:t xml:space="preserve"> </w:t>
      </w:r>
      <w:hyperlink r:id="rId229" w:history="1">
        <w:r w:rsidR="00B16277" w:rsidRPr="00F03917">
          <w:rPr>
            <w:rStyle w:val="Hyperlink"/>
          </w:rPr>
          <w:t>https://doi.org/10.1016/j.cities.2020.102734</w:t>
        </w:r>
      </w:hyperlink>
    </w:p>
    <w:p w14:paraId="493705AB" w14:textId="77777777" w:rsidR="002A3853" w:rsidRPr="00F03917" w:rsidRDefault="002A3853" w:rsidP="002A3853">
      <w:pPr>
        <w:pStyle w:val="References"/>
      </w:pPr>
      <w:r w:rsidRPr="00F03917">
        <w:t xml:space="preserve">Bosserelle, A.L., Morgan, L.K., Hughes, M.W. (2022). Groundwater rise and associated flooding in coastal settlements due to sea-level rise: A review of processes and methods. </w:t>
      </w:r>
      <w:r w:rsidRPr="00F03917">
        <w:rPr>
          <w:i/>
        </w:rPr>
        <w:t xml:space="preserve">Earth’s Future </w:t>
      </w:r>
      <w:r w:rsidRPr="00F03917">
        <w:t xml:space="preserve">10: e2021EF002580. </w:t>
      </w:r>
      <w:hyperlink r:id="rId230" w:history="1">
        <w:r w:rsidRPr="00F03917">
          <w:rPr>
            <w:rStyle w:val="Hyperlink"/>
            <w:rFonts w:eastAsia="Calibri" w:cs="Calibri"/>
            <w:szCs w:val="20"/>
          </w:rPr>
          <w:t>doi.org/10.1029/2021EF002580</w:t>
        </w:r>
      </w:hyperlink>
      <w:r w:rsidRPr="00F03917">
        <w:t>.</w:t>
      </w:r>
      <w:r w:rsidRPr="00F03917">
        <w:rPr>
          <w:color w:val="008080"/>
          <w:u w:val="single"/>
        </w:rPr>
        <w:t xml:space="preserve"> </w:t>
      </w:r>
    </w:p>
    <w:p w14:paraId="5EE1560C" w14:textId="77777777" w:rsidR="002A3853" w:rsidRPr="00F03917" w:rsidRDefault="002A3853" w:rsidP="002A3853">
      <w:pPr>
        <w:pStyle w:val="References"/>
        <w:rPr>
          <w:color w:val="008080"/>
          <w:u w:val="single"/>
        </w:rPr>
      </w:pPr>
      <w:r w:rsidRPr="00F03917">
        <w:t>Boyle, J., Golubiewski, N., Balderston, K., Hu, C. (2019). Auckland’s exposure to sea level rise: Part 2 – Local inventory</w:t>
      </w:r>
      <w:r w:rsidRPr="00F03917">
        <w:rPr>
          <w:i/>
        </w:rPr>
        <w:t>.</w:t>
      </w:r>
      <w:r w:rsidRPr="00F03917">
        <w:t xml:space="preserve"> </w:t>
      </w:r>
      <w:r w:rsidRPr="00F03917">
        <w:rPr>
          <w:i/>
        </w:rPr>
        <w:t>Auckland Council Internal Report 2019/006</w:t>
      </w:r>
      <w:r w:rsidRPr="00F03917">
        <w:t xml:space="preserve">. Retrieved from </w:t>
      </w:r>
      <w:hyperlink r:id="rId231" w:history="1">
        <w:r w:rsidRPr="00F03917">
          <w:rPr>
            <w:rStyle w:val="Hyperlink"/>
            <w:rFonts w:eastAsia="Calibri" w:cs="Calibri"/>
            <w:szCs w:val="20"/>
          </w:rPr>
          <w:t>www.google.com/url?sa=t&amp;rct=j&amp;q=&amp;esrc=s&amp;source=web&amp;cd=&amp;cad=rja&amp;uact=8&amp;ved=2ahUKEwiWyaHPnuv7AhVhSWwGHdMVDAAQFnoECDAQAQ&amp;url=https%3A%2F%2Fwww.researchgate.net%2Fpublication%2F337670247_Auckland%2527s_Exposure_to_Sea_Level_Rise_Part_2_-Local_Inventory&amp;usg=AOvVaw2Bkl_TG_1rcRDeS6aLVctO</w:t>
        </w:r>
      </w:hyperlink>
      <w:r w:rsidRPr="00F03917">
        <w:t>.</w:t>
      </w:r>
      <w:r w:rsidRPr="00F03917">
        <w:rPr>
          <w:color w:val="008080"/>
          <w:u w:val="single"/>
        </w:rPr>
        <w:t xml:space="preserve"> </w:t>
      </w:r>
    </w:p>
    <w:p w14:paraId="05AEFDE7"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Brens</w:t>
      </w:r>
      <w:r w:rsidRPr="00F03917">
        <w:rPr>
          <w:rStyle w:val="normaltextrun"/>
          <w:rFonts w:cs="Calibri"/>
          <w:color w:val="000000"/>
          <w:szCs w:val="20"/>
          <w:shd w:val="clear" w:color="auto" w:fill="FFFFFF"/>
        </w:rPr>
        <w:t>trum, E. (1998). The New Zealand Weather Book</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Nelson: Craig Potton Publishing: Nelson.</w:t>
      </w:r>
      <w:r w:rsidRPr="00F03917">
        <w:rPr>
          <w:rStyle w:val="eop"/>
          <w:rFonts w:cs="Calibri"/>
          <w:color w:val="000000"/>
          <w:szCs w:val="20"/>
          <w:shd w:val="clear" w:color="auto" w:fill="FFFFFF"/>
        </w:rPr>
        <w:t> </w:t>
      </w:r>
    </w:p>
    <w:p w14:paraId="254F3DD8" w14:textId="38005C16" w:rsidR="002A3853" w:rsidRPr="00F03917" w:rsidRDefault="002A3853" w:rsidP="002A3853">
      <w:pPr>
        <w:pStyle w:val="References"/>
      </w:pPr>
      <w:r w:rsidRPr="00F03917">
        <w:rPr>
          <w:rStyle w:val="findhit"/>
          <w:rFonts w:cs="Calibri"/>
          <w:color w:val="000000"/>
          <w:szCs w:val="20"/>
          <w:shd w:val="clear" w:color="auto" w:fill="FFFFFF"/>
        </w:rPr>
        <w:t>Bruun,</w:t>
      </w:r>
      <w:r w:rsidRPr="00F03917">
        <w:rPr>
          <w:rStyle w:val="normaltextrun"/>
          <w:rFonts w:cs="Calibri"/>
          <w:color w:val="000000"/>
          <w:szCs w:val="20"/>
          <w:shd w:val="clear" w:color="auto" w:fill="FFFFFF"/>
        </w:rPr>
        <w:t xml:space="preserve"> P. (1962). Sea-level rise as a cause of shore erosion. </w:t>
      </w:r>
      <w:r w:rsidRPr="00F03917">
        <w:rPr>
          <w:rStyle w:val="normaltextrun"/>
          <w:rFonts w:cs="Calibri"/>
          <w:i/>
          <w:color w:val="000000"/>
          <w:szCs w:val="20"/>
          <w:shd w:val="clear" w:color="auto" w:fill="FFFFFF"/>
        </w:rPr>
        <w:t>Journal Waterways and Harbors Division</w:t>
      </w:r>
      <w:r w:rsidRPr="00F03917">
        <w:rPr>
          <w:rStyle w:val="normaltextrun"/>
          <w:rFonts w:cs="Calibri"/>
          <w:color w:val="000000"/>
          <w:szCs w:val="20"/>
          <w:shd w:val="clear" w:color="auto" w:fill="FFFFFF"/>
        </w:rPr>
        <w:t>, ASCE, 88: 117–130.</w:t>
      </w:r>
      <w:r w:rsidR="00E1497B" w:rsidRPr="00F03917">
        <w:rPr>
          <w:rStyle w:val="normaltextrun"/>
          <w:rFonts w:cs="Calibri"/>
          <w:color w:val="000000"/>
          <w:szCs w:val="20"/>
          <w:shd w:val="clear" w:color="auto" w:fill="FFFFFF"/>
        </w:rPr>
        <w:t xml:space="preserve"> </w:t>
      </w:r>
      <w:hyperlink r:id="rId232" w:history="1">
        <w:r w:rsidR="00E1497B" w:rsidRPr="00F03917">
          <w:rPr>
            <w:rStyle w:val="Hyperlink"/>
          </w:rPr>
          <w:t>https://doi.org/10.1061/JWHEAU.0000252</w:t>
        </w:r>
      </w:hyperlink>
    </w:p>
    <w:p w14:paraId="6C044069" w14:textId="77777777" w:rsidR="002A3853" w:rsidRPr="00F03917" w:rsidRDefault="002A3853" w:rsidP="002A3853">
      <w:pPr>
        <w:pStyle w:val="References"/>
        <w:rPr>
          <w:rStyle w:val="findhit"/>
          <w:rFonts w:cs="Calibri"/>
          <w:color w:val="000000"/>
          <w:szCs w:val="20"/>
          <w:shd w:val="clear" w:color="auto" w:fill="FFFFFF"/>
        </w:rPr>
      </w:pPr>
      <w:r w:rsidRPr="00F03917">
        <w:rPr>
          <w:rStyle w:val="normaltextrun"/>
          <w:rFonts w:cs="Calibri"/>
          <w:color w:val="000000"/>
          <w:szCs w:val="20"/>
          <w:shd w:val="clear" w:color="auto" w:fill="FFFFFF"/>
        </w:rPr>
        <w:t xml:space="preserve">Brown </w:t>
      </w:r>
      <w:r w:rsidRPr="00F03917">
        <w:rPr>
          <w:rStyle w:val="findhit"/>
          <w:rFonts w:cs="Calibri"/>
          <w:color w:val="000000"/>
          <w:szCs w:val="20"/>
          <w:shd w:val="clear" w:color="auto" w:fill="FFFFFF"/>
        </w:rPr>
        <w:t>Gaddis,</w:t>
      </w:r>
      <w:r w:rsidRPr="00F03917">
        <w:rPr>
          <w:rStyle w:val="normaltextrun"/>
          <w:rFonts w:cs="Calibri"/>
          <w:color w:val="000000"/>
          <w:szCs w:val="20"/>
          <w:shd w:val="clear" w:color="auto" w:fill="FFFFFF"/>
        </w:rPr>
        <w:t xml:space="preserve"> E., J., Harp Falk, H., Ginger, C., Voinov, A. (2010). Effectiveness of a participatory modeling effort to identify and advance community water resource goals in St. Albans, Vermont. </w:t>
      </w:r>
      <w:r w:rsidRPr="00F03917">
        <w:rPr>
          <w:rStyle w:val="normaltextrun"/>
          <w:rFonts w:cs="Calibri"/>
          <w:i/>
          <w:iCs/>
          <w:color w:val="000000"/>
          <w:szCs w:val="20"/>
          <w:shd w:val="clear" w:color="auto" w:fill="FFFFFF"/>
        </w:rPr>
        <w:t xml:space="preserve">Environmental </w:t>
      </w:r>
      <w:r w:rsidRPr="00F03917">
        <w:rPr>
          <w:rStyle w:val="normaltextrun"/>
          <w:rFonts w:cs="Calibri"/>
          <w:i/>
          <w:color w:val="000000"/>
          <w:szCs w:val="20"/>
          <w:shd w:val="clear" w:color="auto" w:fill="FFFFFF"/>
        </w:rPr>
        <w:t>Modelling &amp; Software</w:t>
      </w:r>
      <w:r w:rsidRPr="00F03917">
        <w:rPr>
          <w:rStyle w:val="normaltextrun"/>
          <w:rFonts w:cs="Calibri"/>
          <w:color w:val="000000"/>
          <w:szCs w:val="20"/>
          <w:shd w:val="clear" w:color="auto" w:fill="FFFFFF"/>
        </w:rPr>
        <w:t xml:space="preserve"> 25(11): 1428–1438. Retrieved from </w:t>
      </w:r>
      <w:hyperlink r:id="rId233" w:tgtFrame="_blank" w:history="1">
        <w:r w:rsidRPr="00F03917">
          <w:rPr>
            <w:rStyle w:val="Hyperlink"/>
          </w:rPr>
          <w:t>http://dx.doi.org/10.1016/j.envsoft.2009.06.004</w:t>
        </w:r>
      </w:hyperlink>
      <w:r w:rsidRPr="00F03917">
        <w:rPr>
          <w:rStyle w:val="normaltextrun"/>
          <w:rFonts w:cs="Calibri"/>
          <w:color w:val="000000"/>
          <w:szCs w:val="20"/>
          <w:shd w:val="clear" w:color="auto" w:fill="FFFFFF"/>
        </w:rPr>
        <w:t>.</w:t>
      </w:r>
    </w:p>
    <w:p w14:paraId="7A27FE24" w14:textId="77777777" w:rsidR="002A3853" w:rsidRPr="00F03917" w:rsidRDefault="002A3853" w:rsidP="002A3853">
      <w:pPr>
        <w:pStyle w:val="References"/>
        <w:rPr>
          <w:color w:val="008080"/>
          <w:u w:val="single"/>
        </w:rPr>
      </w:pPr>
      <w:r w:rsidRPr="00F03917">
        <w:t xml:space="preserve">Bryan, K., Coco, G. (2020). Response of sandy coastal systems to changes associated with sea level changes. p. 25-29. In: C., Hendtlass, S., Morgan, D., Neale (eds) </w:t>
      </w:r>
      <w:r w:rsidRPr="00F03917">
        <w:rPr>
          <w:i/>
          <w:iCs/>
        </w:rPr>
        <w:t>Coastal systems and sea level rise: What to look for in future</w:t>
      </w:r>
      <w:r w:rsidRPr="00F03917">
        <w:t xml:space="preserve">. Special Publication 4, NZ Coastal Society, Dec 2020. Retrieved from </w:t>
      </w:r>
      <w:hyperlink r:id="rId234" w:history="1">
        <w:r w:rsidRPr="00F03917">
          <w:rPr>
            <w:rStyle w:val="Hyperlink"/>
          </w:rPr>
          <w:t>https://resiliencechallenge.nz/outputs/the-response-of-sandy-coastal-systems-to-changes-associated-with-sea-level-rise/</w:t>
        </w:r>
      </w:hyperlink>
      <w:r w:rsidRPr="00F03917">
        <w:t xml:space="preserve">. </w:t>
      </w:r>
    </w:p>
    <w:p w14:paraId="6B4DB0F9" w14:textId="6AC0BAE4" w:rsidR="002A3853" w:rsidRPr="00F03917" w:rsidRDefault="002A3853" w:rsidP="002A3853">
      <w:pPr>
        <w:pStyle w:val="References"/>
      </w:pPr>
      <w:r w:rsidRPr="00F03917">
        <w:rPr>
          <w:rStyle w:val="findhit"/>
          <w:rFonts w:cs="Calibri"/>
          <w:color w:val="000000"/>
          <w:szCs w:val="20"/>
          <w:shd w:val="clear" w:color="auto" w:fill="FFFFFF"/>
        </w:rPr>
        <w:t>Bryan,</w:t>
      </w:r>
      <w:r w:rsidRPr="00F03917">
        <w:rPr>
          <w:rStyle w:val="normaltextrun"/>
          <w:rFonts w:cs="Calibri"/>
          <w:color w:val="000000"/>
          <w:szCs w:val="20"/>
          <w:shd w:val="clear" w:color="auto" w:fill="FFFFFF"/>
        </w:rPr>
        <w:t xml:space="preserve"> K., R., Foster, R., MacDonald, I. (2013). Beach rotation at two adjacent headland-enclosed beaches</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Journal of Coastal Research</w:t>
      </w:r>
      <w:r w:rsidRPr="00F03917">
        <w:rPr>
          <w:rStyle w:val="normaltextrun"/>
          <w:rFonts w:cs="Calibri"/>
          <w:color w:val="000000"/>
          <w:szCs w:val="20"/>
          <w:shd w:val="clear" w:color="auto" w:fill="FFFFFF"/>
        </w:rPr>
        <w:t>,</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Special Issue 65: 2095–2100.</w:t>
      </w:r>
      <w:r w:rsidR="008F151D" w:rsidRPr="00F03917">
        <w:rPr>
          <w:rStyle w:val="normaltextrun"/>
          <w:rFonts w:cs="Calibri"/>
          <w:color w:val="000000"/>
          <w:szCs w:val="20"/>
          <w:shd w:val="clear" w:color="auto" w:fill="FFFFFF"/>
        </w:rPr>
        <w:t xml:space="preserve"> </w:t>
      </w:r>
      <w:hyperlink r:id="rId235" w:history="1">
        <w:r w:rsidR="008F151D" w:rsidRPr="00F03917">
          <w:rPr>
            <w:rStyle w:val="Hyperlink"/>
          </w:rPr>
          <w:t>https://doi.org/10.2112/SI65-354.1</w:t>
        </w:r>
      </w:hyperlink>
    </w:p>
    <w:p w14:paraId="1E8B3114" w14:textId="026EF35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Brys</w:t>
      </w:r>
      <w:r w:rsidRPr="00F03917">
        <w:rPr>
          <w:rStyle w:val="normaltextrun"/>
          <w:rFonts w:cs="Calibri"/>
          <w:color w:val="000000"/>
          <w:szCs w:val="20"/>
          <w:shd w:val="clear" w:color="auto" w:fill="FFFFFF"/>
        </w:rPr>
        <w:t>on, J., M., Quick, K., S., Slotterback, C., S., Crosby, B., C. (2013).</w:t>
      </w:r>
      <w:r w:rsidRPr="00F03917">
        <w:rPr>
          <w:rStyle w:val="normaltextrun"/>
          <w:rFonts w:cs="Calibri"/>
          <w:i/>
          <w:iCs/>
          <w:color w:val="000000"/>
          <w:szCs w:val="20"/>
          <w:shd w:val="clear" w:color="auto" w:fill="FFFFFF"/>
        </w:rPr>
        <w:t xml:space="preserve"> Designing public participation processes</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Public Administration Review</w:t>
      </w:r>
      <w:r w:rsidRPr="00F03917">
        <w:rPr>
          <w:rStyle w:val="normaltextrun"/>
          <w:rFonts w:cs="Calibri"/>
          <w:color w:val="000000"/>
          <w:szCs w:val="20"/>
          <w:shd w:val="clear" w:color="auto" w:fill="FFFFFF"/>
        </w:rPr>
        <w:t xml:space="preserve"> 73(1): 23–34.</w:t>
      </w:r>
      <w:r w:rsidR="00C45DC2" w:rsidRPr="00F03917">
        <w:rPr>
          <w:rStyle w:val="normaltextrun"/>
          <w:rFonts w:cs="Calibri"/>
          <w:color w:val="000000"/>
          <w:szCs w:val="20"/>
          <w:shd w:val="clear" w:color="auto" w:fill="FFFFFF"/>
        </w:rPr>
        <w:t xml:space="preserve"> </w:t>
      </w:r>
      <w:hyperlink r:id="rId236" w:history="1">
        <w:r w:rsidR="00C45DC2" w:rsidRPr="00F03917">
          <w:rPr>
            <w:rStyle w:val="Hyperlink"/>
          </w:rPr>
          <w:t>https://www.jstor.org/stable/23355431</w:t>
        </w:r>
      </w:hyperlink>
    </w:p>
    <w:p w14:paraId="5CE6800A" w14:textId="03757D45" w:rsidR="002A3853" w:rsidRPr="00F03917" w:rsidRDefault="002A3853" w:rsidP="002A3853">
      <w:pPr>
        <w:pStyle w:val="References"/>
        <w:rPr>
          <w:iCs/>
        </w:rPr>
      </w:pPr>
      <w:r w:rsidRPr="00F03917">
        <w:rPr>
          <w:rStyle w:val="findhit"/>
          <w:rFonts w:cs="Calibri"/>
          <w:color w:val="000000"/>
          <w:szCs w:val="20"/>
          <w:shd w:val="clear" w:color="auto" w:fill="FFFFFF"/>
        </w:rPr>
        <w:t>Burk</w:t>
      </w:r>
      <w:r w:rsidRPr="00F03917">
        <w:rPr>
          <w:rStyle w:val="normaltextrun"/>
          <w:rFonts w:cs="Calibri"/>
          <w:color w:val="000000"/>
          <w:szCs w:val="20"/>
          <w:shd w:val="clear" w:color="auto" w:fill="FFFFFF"/>
        </w:rPr>
        <w:t>ett, V., R., Suarez, A., G., Bindi, M., Conde, C., Mukerji, R., Prather, M., J., Clair, A., L., S., Yohe, G., W. (2014). Point of departure. In: CB Field, VR Barros, DJ Dokken et al (eds) Climate Change 2014: Impacts, Adaptation, and Vulnerability. Part A: Global and Sectoral Aspects</w:t>
      </w:r>
      <w:r w:rsidRPr="00F03917">
        <w:rPr>
          <w:rStyle w:val="normaltextrun"/>
          <w:rFonts w:cs="Calibri"/>
          <w:i/>
          <w:iCs/>
          <w:color w:val="000000"/>
          <w:szCs w:val="20"/>
          <w:shd w:val="clear" w:color="auto" w:fill="FFFFFF"/>
        </w:rPr>
        <w:t>. Contribution of Working Group II to the Fifth Assessment Report of the Intergovernmental Panel on Climate Change</w:t>
      </w:r>
      <w:r w:rsidRPr="00F03917">
        <w:rPr>
          <w:rStyle w:val="normaltextrun"/>
          <w:rFonts w:cs="Calibri"/>
          <w:color w:val="000000"/>
          <w:szCs w:val="20"/>
          <w:shd w:val="clear" w:color="auto" w:fill="FFFFFF"/>
        </w:rPr>
        <w:t>. Cambridge: Cambridge University Press.</w:t>
      </w:r>
      <w:r w:rsidR="00131343" w:rsidRPr="00F03917">
        <w:rPr>
          <w:rStyle w:val="normaltextrun"/>
          <w:rFonts w:cs="Calibri"/>
          <w:color w:val="000000"/>
          <w:szCs w:val="20"/>
          <w:shd w:val="clear" w:color="auto" w:fill="FFFFFF"/>
        </w:rPr>
        <w:t xml:space="preserve"> Retrreived from </w:t>
      </w:r>
      <w:hyperlink r:id="rId237" w:history="1">
        <w:r w:rsidR="00131343" w:rsidRPr="00F03917">
          <w:rPr>
            <w:rStyle w:val="Hyperlink"/>
            <w:rFonts w:cs="Calibri"/>
            <w:szCs w:val="20"/>
            <w:shd w:val="clear" w:color="auto" w:fill="FFFFFF"/>
          </w:rPr>
          <w:t>https://www.ipcc.ch/site/assets/uploads/2018/02/WGIIAR5-Chap1_FINAL.pdf</w:t>
        </w:r>
      </w:hyperlink>
      <w:r w:rsidR="00131343" w:rsidRPr="00F03917">
        <w:rPr>
          <w:rStyle w:val="normaltextrun"/>
          <w:rFonts w:cs="Calibri"/>
          <w:color w:val="000000"/>
          <w:szCs w:val="20"/>
          <w:shd w:val="clear" w:color="auto" w:fill="FFFFFF"/>
        </w:rPr>
        <w:t xml:space="preserve">. </w:t>
      </w:r>
    </w:p>
    <w:p w14:paraId="11CAED2E" w14:textId="2C1A9132" w:rsidR="002A3853" w:rsidRPr="00F03917" w:rsidRDefault="002A3853" w:rsidP="002A3853">
      <w:pPr>
        <w:pStyle w:val="References"/>
        <w:rPr>
          <w:iCs/>
        </w:rPr>
      </w:pPr>
      <w:r w:rsidRPr="00F03917">
        <w:rPr>
          <w:iCs/>
        </w:rPr>
        <w:t xml:space="preserve">Cagigal, L., Rueda, A., Castanedo, S., Cid, A., Perez, J., Stephens, S.A., Coco, G. and Méndez, F.J. (2019). </w:t>
      </w:r>
      <w:r w:rsidRPr="00F03917">
        <w:t>Historical and future storm surge around New Zealand: from the 19th century to the end of the 21st century</w:t>
      </w:r>
      <w:r w:rsidRPr="00F03917">
        <w:rPr>
          <w:i/>
        </w:rPr>
        <w:t>. International Journal of Climatology</w:t>
      </w:r>
      <w:r w:rsidRPr="00F03917">
        <w:rPr>
          <w:iCs/>
        </w:rPr>
        <w:t xml:space="preserve">, 40(3), 1512–1525. </w:t>
      </w:r>
      <w:hyperlink r:id="rId238" w:history="1">
        <w:r w:rsidRPr="00F03917">
          <w:rPr>
            <w:rStyle w:val="Hyperlink"/>
          </w:rPr>
          <w:t>https://doi.org/10.1002/joc.6283</w:t>
        </w:r>
      </w:hyperlink>
      <w:r w:rsidRPr="00F03917">
        <w:rPr>
          <w:iCs/>
        </w:rPr>
        <w:t>.</w:t>
      </w:r>
    </w:p>
    <w:p w14:paraId="30F9C69E" w14:textId="77777777" w:rsidR="002A3853" w:rsidRPr="00F03917" w:rsidRDefault="002A3853" w:rsidP="002A3853">
      <w:pPr>
        <w:pStyle w:val="References"/>
        <w:rPr>
          <w:color w:val="008080"/>
          <w:u w:val="single"/>
        </w:rPr>
      </w:pPr>
      <w:r w:rsidRPr="00F03917">
        <w:t xml:space="preserve">California Coastal Commission. (2018). Sea level rise policy guidance: Interpretative guidelines for addressing sea level rise in local coastal programs and coastal development permits. Retrieved from </w:t>
      </w:r>
      <w:hyperlink r:id="rId239" w:history="1">
        <w:r w:rsidRPr="00F03917">
          <w:rPr>
            <w:rStyle w:val="Hyperlink"/>
            <w:rFonts w:eastAsia="Calibri" w:cs="Calibri"/>
            <w:szCs w:val="20"/>
          </w:rPr>
          <w:t>www.coastal.ca.gov/climate/slrguidance.html</w:t>
        </w:r>
      </w:hyperlink>
      <w:r w:rsidRPr="00F03917">
        <w:t>.</w:t>
      </w:r>
      <w:r w:rsidRPr="00F03917">
        <w:rPr>
          <w:color w:val="008080"/>
          <w:u w:val="single"/>
        </w:rPr>
        <w:t xml:space="preserve"> </w:t>
      </w:r>
    </w:p>
    <w:p w14:paraId="79456B1E" w14:textId="77777777" w:rsidR="002A3853" w:rsidRPr="00F03917" w:rsidRDefault="002A3853" w:rsidP="002A3853">
      <w:pPr>
        <w:pStyle w:val="References"/>
        <w:rPr>
          <w:color w:val="008080"/>
          <w:u w:val="single"/>
        </w:rPr>
      </w:pPr>
      <w:r w:rsidRPr="00F03917">
        <w:t xml:space="preserve">Carpenter, N., Roberts, R., Klinac, P. (2021). Auckland’s exposure to coastal inundation by storm-tides and waves. </w:t>
      </w:r>
      <w:r w:rsidRPr="00F03917">
        <w:rPr>
          <w:i/>
        </w:rPr>
        <w:t>Auckland Council technical report</w:t>
      </w:r>
      <w:r w:rsidRPr="00F03917">
        <w:t xml:space="preserve">, TR2020/024. Retrieved from </w:t>
      </w:r>
      <w:hyperlink r:id="rId240" w:history="1">
        <w:r w:rsidRPr="00F03917">
          <w:rPr>
            <w:rStyle w:val="Hyperlink"/>
            <w:rFonts w:eastAsia="Calibri" w:cs="Calibri"/>
            <w:szCs w:val="20"/>
          </w:rPr>
          <w:t>https://knowledgeauckland.org.nz/publications/auckland-s-exposure-to-coastal-inundation-by-storm-tides-and-waves/</w:t>
        </w:r>
      </w:hyperlink>
      <w:r w:rsidRPr="00F03917">
        <w:t>.</w:t>
      </w:r>
      <w:r w:rsidRPr="00F03917">
        <w:rPr>
          <w:color w:val="008080"/>
          <w:u w:val="single"/>
        </w:rPr>
        <w:t xml:space="preserve"> </w:t>
      </w:r>
    </w:p>
    <w:p w14:paraId="772B684A" w14:textId="77777777" w:rsidR="002A3853" w:rsidRPr="00F03917" w:rsidRDefault="002A3853" w:rsidP="002A3853">
      <w:pPr>
        <w:pStyle w:val="References"/>
        <w:keepLines/>
        <w:rPr>
          <w:color w:val="008080"/>
          <w:u w:val="single"/>
        </w:rPr>
      </w:pPr>
      <w:r w:rsidRPr="00F03917">
        <w:t xml:space="preserve">Carpenter, N., Sinclair, S., Klinac, P., Walker, J. (2017). Coastal Management Framework for the Auckland Region. Retrieved from </w:t>
      </w:r>
      <w:hyperlink r:id="rId241" w:history="1">
        <w:r w:rsidRPr="00F03917">
          <w:rPr>
            <w:rStyle w:val="Hyperlink"/>
            <w:rFonts w:eastAsia="Calibri" w:cs="Calibri"/>
            <w:szCs w:val="20"/>
          </w:rPr>
          <w:t>www.aucklandcouncil.govt.nz/plans-projects-policies-reports-bylaws/our-plans-strategies/topic-based-plans-strategies/environmental-plans-strategies/Documents/coastal-management-framework-2017.pdf</w:t>
        </w:r>
      </w:hyperlink>
      <w:r w:rsidRPr="00F03917">
        <w:t>.</w:t>
      </w:r>
      <w:r w:rsidRPr="00F03917">
        <w:rPr>
          <w:color w:val="008080"/>
          <w:u w:val="single"/>
        </w:rPr>
        <w:t xml:space="preserve"> </w:t>
      </w:r>
    </w:p>
    <w:p w14:paraId="574CCB9A" w14:textId="77777777" w:rsidR="002A3853" w:rsidRPr="00F03917" w:rsidRDefault="002A3853" w:rsidP="002A3853">
      <w:pPr>
        <w:pStyle w:val="References"/>
        <w:rPr>
          <w:color w:val="008080"/>
          <w:u w:val="single"/>
        </w:rPr>
      </w:pPr>
      <w:r w:rsidRPr="00F03917">
        <w:t xml:space="preserve">Carpenter, N., Vernall, S., Klinac, P. (2022). Shoreline Adaptation Plans for Tāmaki Makaurau: making space for coastal change. pp. 87–92. In: </w:t>
      </w:r>
      <w:r w:rsidRPr="00F03917">
        <w:rPr>
          <w:i/>
        </w:rPr>
        <w:t xml:space="preserve">Coastal Adaptation: Adapting to coastal change and hazard risk </w:t>
      </w:r>
      <w:r w:rsidRPr="00F03917">
        <w:rPr>
          <w:i/>
        </w:rPr>
        <w:lastRenderedPageBreak/>
        <w:t>in Aotearoa New Zealand</w:t>
      </w:r>
      <w:r w:rsidRPr="00F03917">
        <w:t xml:space="preserve">. Special Publication No. 5, NZ Coastal Society. Retrieved from </w:t>
      </w:r>
      <w:hyperlink r:id="rId242" w:history="1">
        <w:r w:rsidRPr="00F03917">
          <w:rPr>
            <w:rStyle w:val="Hyperlink"/>
            <w:rFonts w:eastAsia="Calibri" w:cs="Calibri"/>
            <w:szCs w:val="20"/>
          </w:rPr>
          <w:t>www.coastalsociety.org.nz/media/view/publications/special-publication-5-coastal-adaptation/</w:t>
        </w:r>
      </w:hyperlink>
      <w:r w:rsidRPr="00F03917">
        <w:t>.</w:t>
      </w:r>
      <w:r w:rsidRPr="00F03917">
        <w:rPr>
          <w:color w:val="008080"/>
          <w:u w:val="single"/>
        </w:rPr>
        <w:t xml:space="preserve"> </w:t>
      </w:r>
    </w:p>
    <w:p w14:paraId="382BC25D" w14:textId="2018A151" w:rsidR="002A3853" w:rsidRPr="00F03917" w:rsidRDefault="002A3853" w:rsidP="002A3853">
      <w:pPr>
        <w:pStyle w:val="References"/>
      </w:pPr>
      <w:r w:rsidRPr="00F03917">
        <w:t>Carrick, J., Fitzsimmons, C., &amp; Gray, T. (2022). Using Bayesian Belief Networks and participatory action research to improve stakeholder engagement.</w:t>
      </w:r>
      <w:r w:rsidR="00410BCD" w:rsidRPr="00F03917">
        <w:t xml:space="preserve"> </w:t>
      </w:r>
      <w:r w:rsidR="00410BCD" w:rsidRPr="00F03917">
        <w:rPr>
          <w:i/>
          <w:iCs/>
        </w:rPr>
        <w:t>In:</w:t>
      </w:r>
      <w:r w:rsidR="00BD35CD" w:rsidRPr="00F03917">
        <w:rPr>
          <w:i/>
          <w:iCs/>
        </w:rPr>
        <w:t xml:space="preserve"> G</w:t>
      </w:r>
      <w:r w:rsidR="00EC23C6" w:rsidRPr="00F03917">
        <w:rPr>
          <w:rFonts w:cs="Calibri"/>
          <w:i/>
          <w:iCs/>
        </w:rPr>
        <w:t>ó</w:t>
      </w:r>
      <w:r w:rsidR="00BD35CD" w:rsidRPr="00F03917">
        <w:rPr>
          <w:i/>
          <w:iCs/>
        </w:rPr>
        <w:t>mez, S., and K</w:t>
      </w:r>
      <w:r w:rsidR="00A83DC9" w:rsidRPr="00F03917">
        <w:rPr>
          <w:rFonts w:cs="Calibri"/>
          <w:i/>
          <w:iCs/>
        </w:rPr>
        <w:t>ö</w:t>
      </w:r>
      <w:r w:rsidR="00BD35CD" w:rsidRPr="00F03917">
        <w:rPr>
          <w:i/>
          <w:iCs/>
        </w:rPr>
        <w:t>psel, V. (</w:t>
      </w:r>
      <w:r w:rsidR="00EC23C6" w:rsidRPr="00F03917">
        <w:rPr>
          <w:i/>
          <w:iCs/>
        </w:rPr>
        <w:t>eds)</w:t>
      </w:r>
      <w:r w:rsidRPr="00F03917">
        <w:t> </w:t>
      </w:r>
      <w:r w:rsidRPr="00F03917">
        <w:rPr>
          <w:i/>
        </w:rPr>
        <w:t>Transdisciplinary Marine Research: Bridging Science and Society.</w:t>
      </w:r>
      <w:r w:rsidR="00191F4E" w:rsidRPr="00F03917">
        <w:rPr>
          <w:iCs/>
        </w:rPr>
        <w:t xml:space="preserve"> </w:t>
      </w:r>
      <w:r w:rsidR="00D562D7" w:rsidRPr="00F03917">
        <w:rPr>
          <w:iCs/>
        </w:rPr>
        <w:t xml:space="preserve">London: </w:t>
      </w:r>
      <w:r w:rsidR="00191F4E" w:rsidRPr="00F03917">
        <w:rPr>
          <w:iCs/>
        </w:rPr>
        <w:t>Routledge</w:t>
      </w:r>
      <w:r w:rsidR="00D562D7" w:rsidRPr="00F03917">
        <w:rPr>
          <w:iCs/>
        </w:rPr>
        <w:t>.</w:t>
      </w:r>
    </w:p>
    <w:p w14:paraId="01CC4773" w14:textId="27A3100B" w:rsidR="002A3853" w:rsidRPr="00F03917" w:rsidRDefault="002A3853" w:rsidP="002A3853">
      <w:pPr>
        <w:pStyle w:val="References"/>
      </w:pPr>
      <w:r w:rsidRPr="00F03917">
        <w:t xml:space="preserve">Cash, D. W., Clark, W. C., Alcock, F., Dickson, N. M., Eckley, N., Guston, D. H., ... &amp; Mitchell, R. B. (2003). Knowledge systems for sustainable development. </w:t>
      </w:r>
      <w:r w:rsidRPr="00F03917">
        <w:rPr>
          <w:i/>
          <w:iCs/>
        </w:rPr>
        <w:t xml:space="preserve">Proceedings of the </w:t>
      </w:r>
      <w:r w:rsidR="00DC636A" w:rsidRPr="00F03917">
        <w:rPr>
          <w:i/>
          <w:iCs/>
        </w:rPr>
        <w:t>N</w:t>
      </w:r>
      <w:r w:rsidRPr="00F03917">
        <w:rPr>
          <w:i/>
          <w:iCs/>
        </w:rPr>
        <w:t xml:space="preserve">ational </w:t>
      </w:r>
      <w:r w:rsidR="00DC636A" w:rsidRPr="00F03917">
        <w:rPr>
          <w:i/>
          <w:iCs/>
        </w:rPr>
        <w:t>A</w:t>
      </w:r>
      <w:r w:rsidRPr="00F03917">
        <w:rPr>
          <w:i/>
          <w:iCs/>
        </w:rPr>
        <w:t xml:space="preserve">cademy of </w:t>
      </w:r>
      <w:r w:rsidR="00DC636A" w:rsidRPr="00F03917">
        <w:rPr>
          <w:i/>
          <w:iCs/>
        </w:rPr>
        <w:t>S</w:t>
      </w:r>
      <w:r w:rsidRPr="00F03917">
        <w:rPr>
          <w:i/>
          <w:iCs/>
        </w:rPr>
        <w:t>ciences</w:t>
      </w:r>
      <w:r w:rsidRPr="00F03917">
        <w:t>, 100(14), 8086-8091.</w:t>
      </w:r>
      <w:r w:rsidR="00D4710D" w:rsidRPr="00F03917">
        <w:t xml:space="preserve"> </w:t>
      </w:r>
      <w:hyperlink r:id="rId243" w:history="1">
        <w:r w:rsidR="00D4710D" w:rsidRPr="00F03917">
          <w:rPr>
            <w:rStyle w:val="Hyperlink"/>
          </w:rPr>
          <w:t>https://doi.org/10.1073/pnas.1231332100</w:t>
        </w:r>
      </w:hyperlink>
    </w:p>
    <w:p w14:paraId="14DDBC34" w14:textId="77777777" w:rsidR="002A3853" w:rsidRPr="00F03917" w:rsidRDefault="002A3853" w:rsidP="002A3853">
      <w:pPr>
        <w:pStyle w:val="References"/>
        <w:rPr>
          <w:color w:val="008080"/>
          <w:u w:val="single"/>
        </w:rPr>
      </w:pPr>
      <w:r w:rsidRPr="00F03917">
        <w:t xml:space="preserve">Cazenave, A., Le Cozannet, G. (2014). </w:t>
      </w:r>
      <w:r w:rsidRPr="00F03917">
        <w:rPr>
          <w:iCs/>
        </w:rPr>
        <w:t>Sea level rise and its coastal impacts.</w:t>
      </w:r>
      <w:r w:rsidRPr="00F03917">
        <w:t xml:space="preserve"> </w:t>
      </w:r>
      <w:r w:rsidRPr="00F03917">
        <w:rPr>
          <w:i/>
          <w:iCs/>
        </w:rPr>
        <w:t>Earth’s Future</w:t>
      </w:r>
      <w:r w:rsidRPr="00F03917">
        <w:rPr>
          <w:i/>
        </w:rPr>
        <w:t xml:space="preserve"> </w:t>
      </w:r>
      <w:r w:rsidRPr="00F03917">
        <w:rPr>
          <w:iCs/>
        </w:rPr>
        <w:t>2:</w:t>
      </w:r>
      <w:r w:rsidRPr="00F03917">
        <w:t xml:space="preserve"> 15–34. </w:t>
      </w:r>
      <w:hyperlink r:id="rId244" w:history="1">
        <w:r w:rsidRPr="00F03917">
          <w:rPr>
            <w:rStyle w:val="Hyperlink"/>
            <w:rFonts w:eastAsia="Calibri" w:cs="Calibri"/>
            <w:szCs w:val="20"/>
          </w:rPr>
          <w:t>doi.org/10.1002/2013EF000188</w:t>
        </w:r>
      </w:hyperlink>
      <w:r w:rsidRPr="00F03917">
        <w:rPr>
          <w:rStyle w:val="Hyperlink"/>
          <w:rFonts w:eastAsia="Calibri" w:cs="Calibri"/>
          <w:szCs w:val="20"/>
        </w:rPr>
        <w:t>.</w:t>
      </w:r>
      <w:r w:rsidRPr="00F03917">
        <w:rPr>
          <w:color w:val="008080"/>
          <w:u w:val="single"/>
        </w:rPr>
        <w:t xml:space="preserve"> </w:t>
      </w:r>
    </w:p>
    <w:p w14:paraId="1989DDED" w14:textId="77777777" w:rsidR="002A3853" w:rsidRPr="00F03917" w:rsidRDefault="002A3853" w:rsidP="002A3853">
      <w:pPr>
        <w:pStyle w:val="References"/>
      </w:pPr>
      <w:r w:rsidRPr="00F03917">
        <w:t>Chen, D., Rojas, M., Samset, B.H., Cobb, K., Diongue Niang, A., Edwards, P., Emori, S., Faria, S.H., Hawkins, E., Hope, P., Huybrechts, P., Meinshausen, M., Mustafa, S.K., Plattner, G.K., Tréguier, A.M. (2021). Framing, Context, and Methods. In: Masson-Delmotte V., Zhai P., Pirani A., Connors S.L., Péan C., Berger S., Caud N., Chen Y., Goldfarb L., Gomis M.I., Huang M., Leitzell K., Lonnoy E., Matthews J.B.R., Maycock T.K., Waterfield T., Yelekçi O., Yu R., Zhou B. (eds).</w:t>
      </w:r>
      <w:r w:rsidRPr="00F03917">
        <w:rPr>
          <w:i/>
          <w:iCs/>
        </w:rPr>
        <w:t xml:space="preserve"> Climate Change 2021: The Physical Science Basis. Contribution of Working Group I to the Sixth Assessment Report of the Intergovernmental Panel on Climate Change.</w:t>
      </w:r>
      <w:r w:rsidRPr="00F03917">
        <w:t xml:space="preserve"> IPCC AR6, WGI, Chapter 1. Cambridge University Press. Retrieved from </w:t>
      </w:r>
      <w:hyperlink r:id="rId245" w:history="1">
        <w:r w:rsidRPr="00F03917">
          <w:rPr>
            <w:rStyle w:val="Hyperlink"/>
            <w:rFonts w:eastAsia="Calibri" w:cs="Calibri"/>
            <w:szCs w:val="20"/>
          </w:rPr>
          <w:t>www.ipcc.ch/report/ar6/wg1/downloads/report/IPCC_AR6_WGI_Chapter_01.pdf</w:t>
        </w:r>
      </w:hyperlink>
      <w:r w:rsidRPr="00F03917">
        <w:t>.</w:t>
      </w:r>
      <w:r w:rsidRPr="00F03917">
        <w:rPr>
          <w:strike/>
          <w:color w:val="FF0000"/>
        </w:rPr>
        <w:t xml:space="preserve"> </w:t>
      </w:r>
    </w:p>
    <w:p w14:paraId="59139F11" w14:textId="77777777" w:rsidR="002A3853" w:rsidRPr="00F03917" w:rsidRDefault="002A3853" w:rsidP="002A3853">
      <w:pPr>
        <w:pStyle w:val="References"/>
      </w:pPr>
      <w:r w:rsidRPr="00F03917">
        <w:rPr>
          <w:shd w:val="clear" w:color="auto" w:fill="FFFFFF"/>
        </w:rPr>
        <w:t xml:space="preserve">Church, J.A., White, N.J. (2011). Sea-Level Rise from the Late 19th to the Early 21st Century. </w:t>
      </w:r>
      <w:r w:rsidRPr="00F03917">
        <w:rPr>
          <w:i/>
          <w:iCs/>
          <w:shd w:val="clear" w:color="auto" w:fill="FFFFFF"/>
        </w:rPr>
        <w:t>Surveys in Geophysics</w:t>
      </w:r>
      <w:r w:rsidRPr="00F03917">
        <w:rPr>
          <w:shd w:val="clear" w:color="auto" w:fill="FFFFFF"/>
        </w:rPr>
        <w:t xml:space="preserve"> 32(4): 585–602. Retrieved from </w:t>
      </w:r>
      <w:hyperlink r:id="rId246" w:tgtFrame="_blank" w:history="1">
        <w:r w:rsidRPr="00F03917">
          <w:rPr>
            <w:rStyle w:val="Hyperlink"/>
          </w:rPr>
          <w:t>http://dx.doi.org/10.1007/s10712-011-9119-1</w:t>
        </w:r>
      </w:hyperlink>
      <w:r w:rsidRPr="00F03917">
        <w:rPr>
          <w:shd w:val="clear" w:color="auto" w:fill="FFFFFF"/>
        </w:rPr>
        <w:t>. </w:t>
      </w:r>
    </w:p>
    <w:p w14:paraId="60CA4470" w14:textId="033B7A01" w:rsidR="002A3853" w:rsidRPr="00F03917" w:rsidRDefault="002A3853" w:rsidP="002A3853">
      <w:pPr>
        <w:pStyle w:val="References"/>
      </w:pPr>
      <w:r w:rsidRPr="00F03917">
        <w:rPr>
          <w:rStyle w:val="findhit"/>
          <w:rFonts w:cs="Calibri"/>
          <w:color w:val="000000"/>
          <w:szCs w:val="20"/>
          <w:shd w:val="clear" w:color="auto" w:fill="FFFFFF"/>
        </w:rPr>
        <w:t>Clark,</w:t>
      </w:r>
      <w:r w:rsidRPr="00F03917">
        <w:rPr>
          <w:rStyle w:val="normaltextrun"/>
          <w:rFonts w:cs="Calibri"/>
          <w:color w:val="000000"/>
          <w:szCs w:val="20"/>
          <w:shd w:val="clear" w:color="auto" w:fill="FFFFFF"/>
        </w:rPr>
        <w:t xml:space="preserve"> P., U., Shakun, J., D., Marcott, S., A., Mix, A., C., Eby, M., Kulp, S., Levermann, A., Milne, G., A., Pfister, P., L., Santer, B., D., Schrag, D., P., Solomon, S., Stocker, T., F., Strauss, B., H., Weaver, A., J., Winkelmann, R., Archer, D., Bard, E., Goldner, A., Lambeck, K., Pierrehumbert, R., T., Plattner, G-K. (2016). Consequences of twenty-first-century policy for multi-millennial climate and sea-level change. </w:t>
      </w:r>
      <w:r w:rsidRPr="00F03917">
        <w:rPr>
          <w:rStyle w:val="normaltextrun"/>
          <w:rFonts w:cs="Calibri"/>
          <w:i/>
          <w:color w:val="000000"/>
          <w:szCs w:val="20"/>
          <w:shd w:val="clear" w:color="auto" w:fill="FFFFFF"/>
        </w:rPr>
        <w:t>Nature Climate Change</w:t>
      </w:r>
      <w:r w:rsidRPr="00F03917">
        <w:rPr>
          <w:rStyle w:val="normaltextrun"/>
          <w:rFonts w:cs="Calibri"/>
          <w:color w:val="000000"/>
          <w:szCs w:val="20"/>
          <w:shd w:val="clear" w:color="auto" w:fill="FFFFFF"/>
        </w:rPr>
        <w:t xml:space="preserve"> 6(4): 360–369. </w:t>
      </w:r>
      <w:hyperlink r:id="rId247" w:history="1">
        <w:r w:rsidR="00377ADA" w:rsidRPr="00F03917">
          <w:rPr>
            <w:rStyle w:val="Hyperlink"/>
            <w:rFonts w:cs="Calibri"/>
            <w:szCs w:val="20"/>
            <w:shd w:val="clear" w:color="auto" w:fill="FFFFFF"/>
          </w:rPr>
          <w:t>doi.org/10.1038/nclimate2923.</w:t>
        </w:r>
      </w:hyperlink>
    </w:p>
    <w:p w14:paraId="4AB060CB" w14:textId="77777777" w:rsidR="002A3853" w:rsidRPr="00F03917" w:rsidRDefault="002A3853" w:rsidP="002A3853">
      <w:pPr>
        <w:pStyle w:val="References"/>
      </w:pPr>
      <w:r w:rsidRPr="00F03917">
        <w:t xml:space="preserve">Clement, A.J.H., Whitehouse., P.L., Sloss., C.R. (2016). An examination of spatial variability in the timing and magnitude of Holocene relative sea-level changes in the New Zealand archipelago. </w:t>
      </w:r>
      <w:r w:rsidRPr="00F03917">
        <w:rPr>
          <w:i/>
          <w:iCs/>
        </w:rPr>
        <w:t>Quaternary Science Reviews</w:t>
      </w:r>
      <w:r w:rsidRPr="00F03917">
        <w:t xml:space="preserve"> 131, Part A. 73–101. </w:t>
      </w:r>
      <w:hyperlink r:id="rId248" w:history="1">
        <w:r w:rsidRPr="00F03917">
          <w:rPr>
            <w:rStyle w:val="Hyperlink"/>
          </w:rPr>
          <w:t>doi.org/10.1016/j.quascirev.2015.09.025</w:t>
        </w:r>
      </w:hyperlink>
      <w:r w:rsidRPr="00F03917">
        <w:t xml:space="preserve">. </w:t>
      </w:r>
    </w:p>
    <w:p w14:paraId="6B7E18FF" w14:textId="77777777" w:rsidR="002A3853" w:rsidRPr="00F03917" w:rsidRDefault="002A3853" w:rsidP="002A3853">
      <w:pPr>
        <w:pStyle w:val="References"/>
      </w:pPr>
      <w:r w:rsidRPr="00F03917">
        <w:t xml:space="preserve">Coco, G., Bryan, K., Nontano, J., Cagigal, L. (2020). Modelling coastal evolution for rising sea levels. </w:t>
      </w:r>
      <w:r w:rsidRPr="00F03917">
        <w:br/>
        <w:t xml:space="preserve">pp. 21–24. In: C., Hendtlass, S., Morgan, D., Neale (eds) </w:t>
      </w:r>
      <w:r w:rsidRPr="00F03917">
        <w:rPr>
          <w:i/>
          <w:iCs/>
        </w:rPr>
        <w:t>Coastal systems and sea level rise: What to look for in future</w:t>
      </w:r>
      <w:r w:rsidRPr="00F03917">
        <w:t xml:space="preserve">. Special Publication 4, NZ Coastal Society, Dec 2020. Retrieved from </w:t>
      </w:r>
      <w:hyperlink r:id="rId249" w:history="1">
        <w:r w:rsidRPr="00F03917">
          <w:rPr>
            <w:rStyle w:val="Hyperlink"/>
            <w:rFonts w:eastAsia="Calibri" w:cs="Calibri"/>
            <w:szCs w:val="20"/>
          </w:rPr>
          <w:t>www.coastalsociety.org.nz/media/view/publications/sea-level-rise/</w:t>
        </w:r>
      </w:hyperlink>
      <w:r w:rsidRPr="00F03917">
        <w:t>.</w:t>
      </w:r>
    </w:p>
    <w:p w14:paraId="5F91D2E4" w14:textId="77777777" w:rsidR="002A3853" w:rsidRPr="00F03917" w:rsidRDefault="002A3853" w:rsidP="002A3853">
      <w:pPr>
        <w:shd w:val="clear" w:color="auto" w:fill="FFFFFF"/>
        <w:spacing w:line="0" w:lineRule="auto"/>
        <w:rPr>
          <w:rFonts w:ascii="ff7" w:eastAsia="Times New Roman" w:hAnsi="ff7" w:cs="Times New Roman"/>
          <w:color w:val="000000"/>
          <w:spacing w:val="12"/>
          <w:kern w:val="0"/>
          <w:sz w:val="51"/>
          <w:szCs w:val="51"/>
          <w:lang w:eastAsia="en-NZ"/>
          <w14:ligatures w14:val="none"/>
        </w:rPr>
      </w:pPr>
      <w:r w:rsidRPr="00F03917">
        <w:rPr>
          <w:rFonts w:ascii="ff7" w:eastAsia="Times New Roman" w:hAnsi="ff7" w:cs="Times New Roman"/>
          <w:color w:val="000000"/>
          <w:spacing w:val="12"/>
          <w:kern w:val="0"/>
          <w:sz w:val="51"/>
          <w:szCs w:val="51"/>
          <w:lang w:eastAsia="en-NZ"/>
          <w14:ligatures w14:val="none"/>
        </w:rPr>
        <w:t xml:space="preserve">Colliar J, Blackett P (2018) Tangoio Climate Change Adaptation </w:t>
      </w:r>
    </w:p>
    <w:p w14:paraId="7854502A" w14:textId="77777777" w:rsidR="002A3853" w:rsidRPr="00F03917" w:rsidRDefault="002A3853" w:rsidP="002A3853">
      <w:pPr>
        <w:shd w:val="clear" w:color="auto" w:fill="FFFFFF"/>
        <w:spacing w:line="0" w:lineRule="auto"/>
        <w:rPr>
          <w:rFonts w:ascii="ff7" w:eastAsia="Times New Roman" w:hAnsi="ff7" w:cs="Times New Roman"/>
          <w:color w:val="000000"/>
          <w:spacing w:val="8"/>
          <w:kern w:val="0"/>
          <w:sz w:val="51"/>
          <w:szCs w:val="51"/>
          <w:lang w:eastAsia="en-NZ"/>
          <w14:ligatures w14:val="none"/>
        </w:rPr>
      </w:pPr>
      <w:r w:rsidRPr="00F03917">
        <w:rPr>
          <w:rFonts w:ascii="ff7" w:eastAsia="Times New Roman" w:hAnsi="ff7" w:cs="Times New Roman"/>
          <w:color w:val="000000"/>
          <w:spacing w:val="8"/>
          <w:kern w:val="0"/>
          <w:sz w:val="51"/>
          <w:szCs w:val="51"/>
          <w:lang w:eastAsia="en-NZ"/>
          <w14:ligatures w14:val="none"/>
        </w:rPr>
        <w:t xml:space="preserve">Decision Model: A process for exploring adaptation pathways </w:t>
      </w:r>
    </w:p>
    <w:p w14:paraId="55944535" w14:textId="77777777" w:rsidR="002A3853" w:rsidRPr="00F03917" w:rsidRDefault="002A3853" w:rsidP="002A3853">
      <w:pPr>
        <w:shd w:val="clear" w:color="auto" w:fill="FFFFFF"/>
        <w:spacing w:line="0" w:lineRule="auto"/>
        <w:rPr>
          <w:rFonts w:ascii="ff7" w:eastAsia="Times New Roman" w:hAnsi="ff7" w:cs="Times New Roman"/>
          <w:color w:val="000000"/>
          <w:spacing w:val="-3"/>
          <w:kern w:val="0"/>
          <w:sz w:val="51"/>
          <w:szCs w:val="51"/>
          <w:lang w:eastAsia="en-NZ"/>
          <w14:ligatures w14:val="none"/>
        </w:rPr>
      </w:pPr>
      <w:r w:rsidRPr="00F03917">
        <w:rPr>
          <w:rFonts w:ascii="ff7" w:eastAsia="Times New Roman" w:hAnsi="ff7" w:cs="Times New Roman"/>
          <w:color w:val="000000"/>
          <w:spacing w:val="-3"/>
          <w:kern w:val="0"/>
          <w:sz w:val="51"/>
          <w:szCs w:val="51"/>
          <w:lang w:eastAsia="en-NZ"/>
          <w14:ligatures w14:val="none"/>
        </w:rPr>
        <w:t xml:space="preserve">for Tangoio Marae Prepared for Maungaharuru--Tangitū Trust and </w:t>
      </w:r>
    </w:p>
    <w:p w14:paraId="342FD61A" w14:textId="77777777" w:rsidR="002A3853" w:rsidRPr="00F03917" w:rsidRDefault="002A3853" w:rsidP="002A3853">
      <w:pPr>
        <w:shd w:val="clear" w:color="auto" w:fill="FFFFFF"/>
        <w:spacing w:line="0" w:lineRule="auto"/>
        <w:rPr>
          <w:rFonts w:ascii="ff7" w:eastAsia="Times New Roman" w:hAnsi="ff7" w:cs="Times New Roman"/>
          <w:color w:val="000000"/>
          <w:spacing w:val="8"/>
          <w:kern w:val="0"/>
          <w:sz w:val="51"/>
          <w:szCs w:val="51"/>
          <w:lang w:eastAsia="en-NZ"/>
          <w14:ligatures w14:val="none"/>
        </w:rPr>
      </w:pPr>
      <w:r w:rsidRPr="00F03917">
        <w:rPr>
          <w:rFonts w:ascii="ff7" w:eastAsia="Times New Roman" w:hAnsi="ff7" w:cs="Times New Roman"/>
          <w:color w:val="000000"/>
          <w:spacing w:val="8"/>
          <w:kern w:val="0"/>
          <w:sz w:val="51"/>
          <w:szCs w:val="51"/>
          <w:lang w:eastAsia="en-NZ"/>
          <w14:ligatures w14:val="none"/>
        </w:rPr>
        <w:t xml:space="preserve">Deep South National Science Challenge. NIWA Client Report </w:t>
      </w:r>
    </w:p>
    <w:p w14:paraId="2A3560BD" w14:textId="77777777" w:rsidR="002A3853" w:rsidRPr="00F03917" w:rsidRDefault="002A3853" w:rsidP="002A3853">
      <w:pPr>
        <w:shd w:val="clear" w:color="auto" w:fill="FFFFFF"/>
        <w:spacing w:line="0" w:lineRule="auto"/>
        <w:rPr>
          <w:rFonts w:ascii="ff7" w:eastAsia="Times New Roman" w:hAnsi="ff7" w:cs="Times New Roman"/>
          <w:color w:val="000000"/>
          <w:spacing w:val="3"/>
          <w:kern w:val="0"/>
          <w:sz w:val="51"/>
          <w:szCs w:val="51"/>
          <w:lang w:eastAsia="en-NZ"/>
          <w14:ligatures w14:val="none"/>
        </w:rPr>
      </w:pPr>
      <w:r w:rsidRPr="00F03917">
        <w:rPr>
          <w:rFonts w:ascii="ff7" w:eastAsia="Times New Roman" w:hAnsi="ff7" w:cs="Times New Roman"/>
          <w:color w:val="000000"/>
          <w:spacing w:val="3"/>
          <w:kern w:val="0"/>
          <w:sz w:val="51"/>
          <w:szCs w:val="51"/>
          <w:lang w:eastAsia="en-NZ"/>
          <w14:ligatures w14:val="none"/>
        </w:rPr>
        <w:t>2018242HN</w:t>
      </w:r>
    </w:p>
    <w:p w14:paraId="5CCCFC77" w14:textId="77777777" w:rsidR="002A3853" w:rsidRPr="00F03917" w:rsidRDefault="002A3853" w:rsidP="002A3853">
      <w:pPr>
        <w:shd w:val="clear" w:color="auto" w:fill="FFFFFF"/>
        <w:spacing w:line="0" w:lineRule="auto"/>
        <w:rPr>
          <w:rFonts w:ascii="ff7" w:eastAsia="Times New Roman" w:hAnsi="ff7" w:cs="Times New Roman"/>
          <w:color w:val="000000"/>
          <w:spacing w:val="12"/>
          <w:kern w:val="0"/>
          <w:sz w:val="51"/>
          <w:szCs w:val="51"/>
          <w:lang w:eastAsia="en-NZ"/>
          <w14:ligatures w14:val="none"/>
        </w:rPr>
      </w:pPr>
      <w:r w:rsidRPr="00F03917">
        <w:rPr>
          <w:rFonts w:ascii="ff7" w:eastAsia="Times New Roman" w:hAnsi="ff7" w:cs="Times New Roman"/>
          <w:color w:val="000000"/>
          <w:spacing w:val="12"/>
          <w:kern w:val="0"/>
          <w:sz w:val="51"/>
          <w:szCs w:val="51"/>
          <w:lang w:eastAsia="en-NZ"/>
          <w14:ligatures w14:val="none"/>
        </w:rPr>
        <w:t xml:space="preserve">Colliar J, Blackett P (2018) Tangoio Climate Change Adaptation </w:t>
      </w:r>
    </w:p>
    <w:p w14:paraId="3EFE37D9" w14:textId="77777777" w:rsidR="002A3853" w:rsidRPr="00F03917" w:rsidRDefault="002A3853" w:rsidP="002A3853">
      <w:pPr>
        <w:shd w:val="clear" w:color="auto" w:fill="FFFFFF"/>
        <w:spacing w:line="0" w:lineRule="auto"/>
        <w:rPr>
          <w:rFonts w:ascii="ff7" w:eastAsia="Times New Roman" w:hAnsi="ff7" w:cs="Times New Roman"/>
          <w:color w:val="000000"/>
          <w:spacing w:val="8"/>
          <w:kern w:val="0"/>
          <w:sz w:val="51"/>
          <w:szCs w:val="51"/>
          <w:lang w:eastAsia="en-NZ"/>
          <w14:ligatures w14:val="none"/>
        </w:rPr>
      </w:pPr>
      <w:r w:rsidRPr="00F03917">
        <w:rPr>
          <w:rFonts w:ascii="ff7" w:eastAsia="Times New Roman" w:hAnsi="ff7" w:cs="Times New Roman"/>
          <w:color w:val="000000"/>
          <w:spacing w:val="8"/>
          <w:kern w:val="0"/>
          <w:sz w:val="51"/>
          <w:szCs w:val="51"/>
          <w:lang w:eastAsia="en-NZ"/>
          <w14:ligatures w14:val="none"/>
        </w:rPr>
        <w:t xml:space="preserve">Decision Model: A process for exploring adaptation pathways </w:t>
      </w:r>
    </w:p>
    <w:p w14:paraId="39B158C6" w14:textId="77777777" w:rsidR="002A3853" w:rsidRPr="00F03917" w:rsidRDefault="002A3853" w:rsidP="002A3853">
      <w:pPr>
        <w:shd w:val="clear" w:color="auto" w:fill="FFFFFF"/>
        <w:spacing w:line="0" w:lineRule="auto"/>
        <w:rPr>
          <w:rFonts w:ascii="ff7" w:eastAsia="Times New Roman" w:hAnsi="ff7" w:cs="Times New Roman"/>
          <w:color w:val="000000"/>
          <w:spacing w:val="-3"/>
          <w:kern w:val="0"/>
          <w:sz w:val="51"/>
          <w:szCs w:val="51"/>
          <w:lang w:eastAsia="en-NZ"/>
          <w14:ligatures w14:val="none"/>
        </w:rPr>
      </w:pPr>
      <w:r w:rsidRPr="00F03917">
        <w:rPr>
          <w:rFonts w:ascii="ff7" w:eastAsia="Times New Roman" w:hAnsi="ff7" w:cs="Times New Roman"/>
          <w:color w:val="000000"/>
          <w:spacing w:val="-3"/>
          <w:kern w:val="0"/>
          <w:sz w:val="51"/>
          <w:szCs w:val="51"/>
          <w:lang w:eastAsia="en-NZ"/>
          <w14:ligatures w14:val="none"/>
        </w:rPr>
        <w:t xml:space="preserve">for Tangoio Marae Prepared for Maungaharuru--Tangitū Trust and </w:t>
      </w:r>
    </w:p>
    <w:p w14:paraId="63A76EB5" w14:textId="77777777" w:rsidR="002A3853" w:rsidRPr="00F03917" w:rsidRDefault="002A3853" w:rsidP="002A3853">
      <w:pPr>
        <w:shd w:val="clear" w:color="auto" w:fill="FFFFFF"/>
        <w:spacing w:line="0" w:lineRule="auto"/>
        <w:rPr>
          <w:rFonts w:ascii="ff7" w:eastAsia="Times New Roman" w:hAnsi="ff7" w:cs="Times New Roman"/>
          <w:color w:val="000000"/>
          <w:spacing w:val="8"/>
          <w:kern w:val="0"/>
          <w:sz w:val="51"/>
          <w:szCs w:val="51"/>
          <w:lang w:eastAsia="en-NZ"/>
          <w14:ligatures w14:val="none"/>
        </w:rPr>
      </w:pPr>
      <w:r w:rsidRPr="00F03917">
        <w:rPr>
          <w:rFonts w:ascii="ff7" w:eastAsia="Times New Roman" w:hAnsi="ff7" w:cs="Times New Roman"/>
          <w:color w:val="000000"/>
          <w:spacing w:val="8"/>
          <w:kern w:val="0"/>
          <w:sz w:val="51"/>
          <w:szCs w:val="51"/>
          <w:lang w:eastAsia="en-NZ"/>
          <w14:ligatures w14:val="none"/>
        </w:rPr>
        <w:t xml:space="preserve">Deep South National Science Challenge. NIWA Client Report </w:t>
      </w:r>
    </w:p>
    <w:p w14:paraId="294EFA3C" w14:textId="77777777" w:rsidR="002A3853" w:rsidRPr="00F03917" w:rsidRDefault="002A3853" w:rsidP="002A3853">
      <w:pPr>
        <w:shd w:val="clear" w:color="auto" w:fill="FFFFFF"/>
        <w:spacing w:line="0" w:lineRule="auto"/>
        <w:rPr>
          <w:rFonts w:ascii="ff7" w:eastAsia="Times New Roman" w:hAnsi="ff7" w:cs="Times New Roman"/>
          <w:color w:val="000000"/>
          <w:spacing w:val="3"/>
          <w:kern w:val="0"/>
          <w:sz w:val="51"/>
          <w:szCs w:val="51"/>
          <w:lang w:eastAsia="en-NZ"/>
          <w14:ligatures w14:val="none"/>
        </w:rPr>
      </w:pPr>
      <w:r w:rsidRPr="00F03917">
        <w:rPr>
          <w:rFonts w:ascii="ff7" w:eastAsia="Times New Roman" w:hAnsi="ff7" w:cs="Times New Roman"/>
          <w:color w:val="000000"/>
          <w:spacing w:val="3"/>
          <w:kern w:val="0"/>
          <w:sz w:val="51"/>
          <w:szCs w:val="51"/>
          <w:lang w:eastAsia="en-NZ"/>
          <w14:ligatures w14:val="none"/>
        </w:rPr>
        <w:t>2018242HN</w:t>
      </w:r>
    </w:p>
    <w:p w14:paraId="55E29986"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Colliar, J., Blackett, P. (2018). Tangoio Climate Change Adaptation Decision Model: A process for exploring adaptation pathways for Tangoio Marae prepared for Maungaharuru-Tangitū Trust and Deep South National Science Challenge</w:t>
      </w:r>
      <w:r w:rsidRPr="00F03917">
        <w:rPr>
          <w:rStyle w:val="findhit"/>
          <w:rFonts w:cs="Calibri"/>
          <w:i/>
          <w:iCs/>
          <w:color w:val="000000"/>
          <w:szCs w:val="20"/>
          <w:shd w:val="clear" w:color="auto" w:fill="FFFFFF"/>
        </w:rPr>
        <w:t>.</w:t>
      </w:r>
      <w:r w:rsidRPr="00F03917">
        <w:rPr>
          <w:rStyle w:val="findhit"/>
          <w:rFonts w:cs="Calibri"/>
          <w:color w:val="000000"/>
          <w:szCs w:val="20"/>
          <w:shd w:val="clear" w:color="auto" w:fill="FFFFFF"/>
        </w:rPr>
        <w:t xml:space="preserve"> NIWA Client Report 2018242HN.</w:t>
      </w:r>
    </w:p>
    <w:p w14:paraId="71289FB0" w14:textId="77777777" w:rsidR="002A3853" w:rsidRPr="00F03917" w:rsidRDefault="002A3853" w:rsidP="002A3853">
      <w:pPr>
        <w:pStyle w:val="References"/>
        <w:rPr>
          <w:lang w:val="en-AU"/>
        </w:rPr>
      </w:pPr>
      <w:r w:rsidRPr="00F03917">
        <w:rPr>
          <w:rStyle w:val="findhit"/>
          <w:rFonts w:cs="Calibri"/>
          <w:color w:val="000000"/>
          <w:szCs w:val="20"/>
          <w:shd w:val="clear" w:color="auto" w:fill="FFFFFF"/>
        </w:rPr>
        <w:t>Collin</w:t>
      </w:r>
      <w:r w:rsidRPr="00F03917">
        <w:rPr>
          <w:rStyle w:val="normaltextrun"/>
          <w:rFonts w:cs="Calibri"/>
          <w:color w:val="000000"/>
          <w:szCs w:val="20"/>
          <w:shd w:val="clear" w:color="auto" w:fill="FFFFFF"/>
        </w:rPr>
        <w:t xml:space="preserve">s, M., Knutti, R., Arblaster, J., Dufresne, J-L., Fichefet, T., Friedlingstein, P., Gao, X., Gutowski, W., J., Johns, T., Krinner, G., Shongwe, M., Tebaldi, C., Weaver, A., J., Wehner, M. (2013). Long-term climate change: projections, commitments and irreversibility. </w:t>
      </w:r>
      <w:r w:rsidRPr="00F03917">
        <w:rPr>
          <w:rStyle w:val="normaltextrun"/>
          <w:rFonts w:cs="Calibri"/>
          <w:i/>
          <w:color w:val="000000"/>
          <w:szCs w:val="20"/>
          <w:shd w:val="clear" w:color="auto" w:fill="FFFFFF"/>
        </w:rPr>
        <w:t>In: TF Stocker, D Qin, G-K Plattner et al (eds) Climate change 2013: The physical science basis</w:t>
      </w:r>
      <w:r w:rsidRPr="00F03917">
        <w:rPr>
          <w:rStyle w:val="normaltextrun"/>
          <w:rFonts w:cs="Calibri"/>
          <w:color w:val="000000"/>
          <w:szCs w:val="20"/>
          <w:shd w:val="clear" w:color="auto" w:fill="FFFFFF"/>
        </w:rPr>
        <w:t>. Cambridge: Cambridge University Press. </w:t>
      </w:r>
      <w:r w:rsidRPr="00F03917">
        <w:rPr>
          <w:rStyle w:val="eop"/>
          <w:rFonts w:cs="Calibri"/>
          <w:color w:val="000000"/>
          <w:szCs w:val="20"/>
          <w:shd w:val="clear" w:color="auto" w:fill="FFFFFF"/>
        </w:rPr>
        <w:t> </w:t>
      </w:r>
    </w:p>
    <w:p w14:paraId="3E83265D" w14:textId="77777777" w:rsidR="002A3853" w:rsidRPr="00F03917" w:rsidRDefault="002A3853" w:rsidP="002A3853">
      <w:pPr>
        <w:pStyle w:val="References"/>
        <w:rPr>
          <w:rStyle w:val="Hyperlink"/>
        </w:rPr>
      </w:pPr>
      <w:r w:rsidRPr="00F03917">
        <w:rPr>
          <w:rStyle w:val="findhit"/>
          <w:rFonts w:cs="Calibri"/>
          <w:color w:val="000000"/>
          <w:szCs w:val="20"/>
          <w:shd w:val="clear" w:color="auto" w:fill="FFFFFF"/>
        </w:rPr>
        <w:t>Colomb</w:t>
      </w:r>
      <w:r w:rsidRPr="00F03917">
        <w:rPr>
          <w:rStyle w:val="normaltextrun"/>
          <w:rFonts w:cs="Calibri"/>
          <w:color w:val="000000"/>
          <w:szCs w:val="20"/>
          <w:shd w:val="clear" w:color="auto" w:fill="FFFFFF"/>
        </w:rPr>
        <w:t>ano, D., D., Litvin, S., Y., Ziegler, S., L., Alford, S., B., Baker, R., Barbeau, M., A., Cebrián, J., Connolly, R., M. et al (2021). Climate change implications for tidal marshes and food web linkages to estuarine and coastal nekton</w:t>
      </w:r>
      <w:r w:rsidRPr="00F03917">
        <w:rPr>
          <w:rStyle w:val="normaltextrun"/>
          <w:rFonts w:cs="Calibri"/>
          <w:i/>
          <w:color w:val="000000"/>
          <w:szCs w:val="20"/>
          <w:shd w:val="clear" w:color="auto" w:fill="FFFFFF"/>
        </w:rPr>
        <w:t>. Estuaries and Coasts</w:t>
      </w:r>
      <w:r w:rsidRPr="00F03917">
        <w:rPr>
          <w:rStyle w:val="normaltextrun"/>
          <w:rFonts w:cs="Calibri"/>
          <w:color w:val="000000"/>
          <w:szCs w:val="20"/>
          <w:shd w:val="clear" w:color="auto" w:fill="FFFFFF"/>
        </w:rPr>
        <w:t xml:space="preserve"> 44: 1637–1648. </w:t>
      </w:r>
      <w:hyperlink r:id="rId250" w:tgtFrame="_blank" w:history="1">
        <w:r w:rsidRPr="00F03917">
          <w:rPr>
            <w:rStyle w:val="Hyperlink"/>
          </w:rPr>
          <w:t>https://doi.org/10.1007/s12237-020-00891-1</w:t>
        </w:r>
      </w:hyperlink>
    </w:p>
    <w:p w14:paraId="48638857" w14:textId="71CEF7DE" w:rsidR="002A3853" w:rsidRPr="00F03917" w:rsidRDefault="002A3853" w:rsidP="002A3853">
      <w:pPr>
        <w:pStyle w:val="References"/>
      </w:pPr>
      <w:r w:rsidRPr="00F03917">
        <w:t xml:space="preserve">Cooley, S., D. Schoeman, L. Bopp, P. Boyd, S. Donner, D.Y. Ghebrehiwet, S.-I. Ito, W. Kiessling, P. Martinetto, E. Ojea, M.-F. Racault, B. Rost, and M. Skern-Mauritzen. (2022). Oceans and Coastal Ecosystems and Their Services. In: </w:t>
      </w:r>
      <w:r w:rsidRPr="00F03917">
        <w:rPr>
          <w:i/>
          <w:iCs/>
        </w:rPr>
        <w:t xml:space="preserve">Climate Change 2022: Impacts, Adaptation and Vulnerability. </w:t>
      </w:r>
      <w:r w:rsidRPr="00F03917">
        <w:t xml:space="preserve">Contribution of Working Group II to the Sixth Assessment Report of the Intergovernmental Panel on Climate Change. H.-O., Pörtner, D.C., Roberts, M., Tignor, E.S., Poloczanska, K., Mintenbeck, A., Alegría, M., Craig, S., Langsdorf, S., Löschke, V., Möller, A., Okem, B., Rama (eds). Cambridge University Press, Cambridge, UK and New York, NY, USA, pp. 379–550. </w:t>
      </w:r>
      <w:hyperlink r:id="rId251" w:history="1">
        <w:r w:rsidR="00701889" w:rsidRPr="00F03917">
          <w:rPr>
            <w:rStyle w:val="Hyperlink"/>
          </w:rPr>
          <w:t>https://doi.org/</w:t>
        </w:r>
        <w:r w:rsidRPr="00F03917">
          <w:rPr>
            <w:rStyle w:val="Hyperlink"/>
          </w:rPr>
          <w:t>10.1017/9781009325844.005</w:t>
        </w:r>
      </w:hyperlink>
      <w:r w:rsidRPr="00F03917">
        <w:t xml:space="preserve">. </w:t>
      </w:r>
    </w:p>
    <w:p w14:paraId="2D72412E" w14:textId="77777777" w:rsidR="002A3853" w:rsidRPr="00F03917" w:rsidRDefault="002A3853" w:rsidP="002A3853">
      <w:pPr>
        <w:pStyle w:val="References"/>
        <w:rPr>
          <w:color w:val="008080"/>
          <w:u w:val="single"/>
        </w:rPr>
      </w:pPr>
      <w:r w:rsidRPr="00F03917">
        <w:lastRenderedPageBreak/>
        <w:t xml:space="preserve">Cooper, J.A.G., Masselink, G., Coco, G., Short, A.D., Castelle, B., Rogers, K., Anthony, E., Green, A.N., Kelley, J.T., Pilkey, O.H., Jackson, D.W.T. (2020). Sandy beaches can survive sea-level rise. </w:t>
      </w:r>
      <w:r w:rsidRPr="00F03917">
        <w:rPr>
          <w:i/>
        </w:rPr>
        <w:t xml:space="preserve">Nature Climate Change </w:t>
      </w:r>
      <w:r w:rsidRPr="00F03917">
        <w:rPr>
          <w:iCs/>
        </w:rPr>
        <w:t>10:</w:t>
      </w:r>
      <w:r w:rsidRPr="00F03917">
        <w:t xml:space="preserve"> 993–995. </w:t>
      </w:r>
      <w:hyperlink r:id="rId252">
        <w:r w:rsidRPr="00F03917">
          <w:rPr>
            <w:rStyle w:val="Hyperlink"/>
            <w:rFonts w:eastAsia="Calibri" w:cs="Calibri"/>
          </w:rPr>
          <w:t>doi.org/10.1038/s41558-020-00934-2</w:t>
        </w:r>
      </w:hyperlink>
      <w:r w:rsidRPr="00F03917">
        <w:rPr>
          <w:rStyle w:val="Hyperlink"/>
          <w:rFonts w:eastAsia="Calibri" w:cs="Calibri"/>
        </w:rPr>
        <w:t>.</w:t>
      </w:r>
      <w:r w:rsidRPr="00F03917">
        <w:rPr>
          <w:color w:val="008080"/>
          <w:u w:val="single"/>
        </w:rPr>
        <w:t xml:space="preserve"> </w:t>
      </w:r>
    </w:p>
    <w:p w14:paraId="133B57CE" w14:textId="77777777" w:rsidR="002A3853" w:rsidRPr="00F03917" w:rsidRDefault="002A3853" w:rsidP="002A3853">
      <w:pPr>
        <w:pStyle w:val="References"/>
      </w:pPr>
      <w:r w:rsidRPr="00F03917">
        <w:rPr>
          <w:rStyle w:val="findhit"/>
          <w:rFonts w:cs="Calibri"/>
          <w:color w:val="000000"/>
          <w:szCs w:val="20"/>
          <w:shd w:val="clear" w:color="auto" w:fill="FFFFFF"/>
        </w:rPr>
        <w:t>Costa</w:t>
      </w:r>
      <w:r w:rsidRPr="00F03917">
        <w:rPr>
          <w:rStyle w:val="normaltextrun"/>
          <w:rFonts w:cs="Calibri"/>
          <w:color w:val="000000"/>
          <w:szCs w:val="20"/>
          <w:shd w:val="clear" w:color="auto" w:fill="FFFFFF"/>
        </w:rPr>
        <w:t>, Y., Martins, I., Correia de Carvalho, G., Barros, F. (2023). Trends of sea-level rise effects on estuaries and estimates of future saline intrusion.</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Ocean and Coastal Management</w:t>
      </w:r>
      <w:r w:rsidRPr="00F03917">
        <w:rPr>
          <w:rStyle w:val="normaltextrun"/>
          <w:rFonts w:cs="Calibri"/>
          <w:color w:val="000000"/>
          <w:szCs w:val="20"/>
          <w:shd w:val="clear" w:color="auto" w:fill="FFFFFF"/>
        </w:rPr>
        <w:t xml:space="preserve"> 236: 106490. </w:t>
      </w:r>
      <w:hyperlink r:id="rId253" w:tgtFrame="_blank" w:history="1">
        <w:r w:rsidRPr="00F03917">
          <w:rPr>
            <w:rStyle w:val="Hyperlink"/>
          </w:rPr>
          <w:t>https://doi.org/10.1016/j.ocecoaman.2023.106490</w:t>
        </w:r>
      </w:hyperlink>
      <w:r w:rsidRPr="00F03917">
        <w:rPr>
          <w:rStyle w:val="normaltextrun"/>
          <w:rFonts w:cs="Calibri"/>
          <w:color w:val="000000"/>
          <w:szCs w:val="20"/>
          <w:shd w:val="clear" w:color="auto" w:fill="FFFFFF"/>
        </w:rPr>
        <w:t> </w:t>
      </w:r>
      <w:r w:rsidRPr="00F03917">
        <w:rPr>
          <w:rStyle w:val="eop"/>
          <w:rFonts w:cs="Calibri"/>
          <w:color w:val="000000"/>
          <w:shd w:val="clear" w:color="auto" w:fill="FFFFFF"/>
        </w:rPr>
        <w:t> </w:t>
      </w:r>
    </w:p>
    <w:p w14:paraId="66A4485C" w14:textId="77777777" w:rsidR="002A3853" w:rsidRPr="00F03917" w:rsidRDefault="002A3853" w:rsidP="002A3853">
      <w:pPr>
        <w:pStyle w:val="References"/>
      </w:pPr>
      <w:r w:rsidRPr="00F03917">
        <w:rPr>
          <w:rStyle w:val="findhit"/>
          <w:rFonts w:cs="Calibri"/>
          <w:color w:val="000000"/>
          <w:szCs w:val="20"/>
          <w:shd w:val="clear" w:color="auto" w:fill="FFFFFF"/>
        </w:rPr>
        <w:t>Cote,</w:t>
      </w:r>
      <w:r w:rsidRPr="00F03917">
        <w:rPr>
          <w:rStyle w:val="normaltextrun"/>
          <w:rFonts w:cs="Calibri"/>
          <w:color w:val="000000"/>
          <w:szCs w:val="20"/>
          <w:shd w:val="clear" w:color="auto" w:fill="FFFFFF"/>
        </w:rPr>
        <w:t xml:space="preserve"> M., &amp; Nightingale, A., J. (2012). Resilience thinking meets social theory: Situating social change in socio-ecological systems (SES) research</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Progress in Human Geography</w:t>
      </w:r>
      <w:r w:rsidRPr="00F03917">
        <w:rPr>
          <w:rStyle w:val="normaltextrun"/>
          <w:rFonts w:cs="Calibri"/>
          <w:color w:val="000000"/>
          <w:szCs w:val="20"/>
          <w:shd w:val="clear" w:color="auto" w:fill="FFFFFF"/>
        </w:rPr>
        <w:t xml:space="preserve"> 36(4): 475–489. Retrieved from </w:t>
      </w:r>
      <w:hyperlink r:id="rId254" w:tgtFrame="_blank" w:history="1">
        <w:r w:rsidRPr="00F03917">
          <w:rPr>
            <w:rStyle w:val="Hyperlink"/>
          </w:rPr>
          <w:t>http://dx.doi.org/10.1177/0309132511425708</w:t>
        </w:r>
      </w:hyperlink>
      <w:r w:rsidRPr="00F03917">
        <w:rPr>
          <w:rStyle w:val="normaltextrun"/>
          <w:rFonts w:cs="Calibri"/>
          <w:color w:val="000000"/>
          <w:szCs w:val="20"/>
          <w:shd w:val="clear" w:color="auto" w:fill="FFFFFF"/>
        </w:rPr>
        <w:t>.</w:t>
      </w:r>
      <w:r w:rsidRPr="00F03917">
        <w:rPr>
          <w:rStyle w:val="eop"/>
          <w:rFonts w:cs="Calibri"/>
          <w:color w:val="000000"/>
          <w:shd w:val="clear" w:color="auto" w:fill="FFFFFF"/>
        </w:rPr>
        <w:t> </w:t>
      </w:r>
    </w:p>
    <w:p w14:paraId="4778D90C" w14:textId="48EA38E2" w:rsidR="002A3853" w:rsidRPr="00F03917" w:rsidRDefault="002A3853" w:rsidP="002A3853">
      <w:pPr>
        <w:pStyle w:val="References"/>
      </w:pPr>
      <w:r w:rsidRPr="00F03917">
        <w:t xml:space="preserve">Cowell, P.J., Thom, B.G., Jones, R.A., Everts, C.H., Simanovic, D. (2006). Management of uncertainty in predicting climate-change impacts on beaches. </w:t>
      </w:r>
      <w:r w:rsidRPr="00F03917">
        <w:rPr>
          <w:i/>
          <w:iCs/>
        </w:rPr>
        <w:t>Journal of Coastal Research</w:t>
      </w:r>
      <w:r w:rsidRPr="00F03917">
        <w:t xml:space="preserve"> 22(1): 232–245. </w:t>
      </w:r>
      <w:hyperlink r:id="rId255" w:history="1">
        <w:r w:rsidR="00AA5EE1" w:rsidRPr="00F03917">
          <w:rPr>
            <w:rStyle w:val="Hyperlink"/>
          </w:rPr>
          <w:t>https://www.jstor.org/stable/4300279</w:t>
        </w:r>
      </w:hyperlink>
    </w:p>
    <w:p w14:paraId="022B8338" w14:textId="77777777" w:rsidR="002A3853" w:rsidRPr="00F03917" w:rsidRDefault="002A3853" w:rsidP="002A3853">
      <w:pPr>
        <w:pStyle w:val="References"/>
      </w:pPr>
      <w:r w:rsidRPr="00F03917">
        <w:t xml:space="preserve">Cox, L.A. (2008). What’s wrong with risk matrices? </w:t>
      </w:r>
      <w:r w:rsidRPr="00F03917">
        <w:rPr>
          <w:i/>
          <w:iCs/>
        </w:rPr>
        <w:t>Risk Analysis</w:t>
      </w:r>
      <w:r w:rsidRPr="00F03917">
        <w:t xml:space="preserve"> 28(2): 497–512. </w:t>
      </w:r>
      <w:hyperlink r:id="rId256" w:history="1">
        <w:r w:rsidRPr="00F03917">
          <w:rPr>
            <w:rStyle w:val="Hyperlink"/>
          </w:rPr>
          <w:t>doi.org/10.1111/j.1539-6924.2008.01030.x</w:t>
        </w:r>
      </w:hyperlink>
      <w:r w:rsidRPr="00F03917">
        <w:t>.</w:t>
      </w:r>
    </w:p>
    <w:p w14:paraId="5A55B75C" w14:textId="643D54BC" w:rsidR="002A3853" w:rsidRPr="00F03917" w:rsidRDefault="002A3853" w:rsidP="002A3853">
      <w:pPr>
        <w:pStyle w:val="References"/>
        <w:rPr>
          <w:rFonts w:cs="Calibri"/>
          <w:color w:val="000000"/>
          <w:szCs w:val="20"/>
          <w:shd w:val="clear" w:color="auto" w:fill="FFFFFF"/>
        </w:rPr>
      </w:pPr>
      <w:r w:rsidRPr="00F03917">
        <w:rPr>
          <w:rStyle w:val="normaltextrun"/>
          <w:rFonts w:cs="Calibri"/>
          <w:color w:val="000000"/>
          <w:szCs w:val="20"/>
          <w:shd w:val="clear" w:color="auto" w:fill="FFFFFF"/>
        </w:rPr>
        <w:t xml:space="preserve">Cox, J., C., </w:t>
      </w:r>
      <w:r w:rsidRPr="00F03917">
        <w:rPr>
          <w:rStyle w:val="findhit"/>
          <w:rFonts w:cs="Calibri"/>
          <w:color w:val="000000"/>
          <w:szCs w:val="20"/>
          <w:shd w:val="clear" w:color="auto" w:fill="FFFFFF"/>
        </w:rPr>
        <w:t>Mache</w:t>
      </w:r>
      <w:r w:rsidRPr="00F03917">
        <w:rPr>
          <w:rStyle w:val="normaltextrun"/>
          <w:rFonts w:cs="Calibri"/>
          <w:color w:val="000000"/>
          <w:szCs w:val="20"/>
          <w:shd w:val="clear" w:color="auto" w:fill="FFFFFF"/>
        </w:rPr>
        <w:t>mehl, J. (1986). Overload bore propagation due to an overtopping wave</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Journal of Waterway Port Coastal and Ocean Engineering-ASCE</w:t>
      </w:r>
      <w:r w:rsidRPr="00F03917">
        <w:rPr>
          <w:rStyle w:val="normaltextrun"/>
          <w:rFonts w:cs="Calibri"/>
          <w:color w:val="000000"/>
          <w:szCs w:val="20"/>
          <w:shd w:val="clear" w:color="auto" w:fill="FFFFFF"/>
        </w:rPr>
        <w:t xml:space="preserve"> 112(1): 161–163.</w:t>
      </w:r>
      <w:r w:rsidR="00252925" w:rsidRPr="00F03917">
        <w:rPr>
          <w:rStyle w:val="normaltextrun"/>
          <w:rFonts w:cs="Calibri"/>
          <w:color w:val="000000"/>
          <w:szCs w:val="20"/>
          <w:shd w:val="clear" w:color="auto" w:fill="FFFFFF"/>
        </w:rPr>
        <w:t xml:space="preserve"> </w:t>
      </w:r>
      <w:hyperlink r:id="rId257" w:history="1">
        <w:r w:rsidR="00252925" w:rsidRPr="00F03917">
          <w:rPr>
            <w:rStyle w:val="Hyperlink"/>
          </w:rPr>
          <w:t>https://doi.org/10.1061/(ASCE)0733-950X(1986)112:1(161)</w:t>
        </w:r>
      </w:hyperlink>
    </w:p>
    <w:p w14:paraId="25683139" w14:textId="3DDE3F39" w:rsidR="002A3853" w:rsidRPr="00F03917" w:rsidRDefault="002A3853" w:rsidP="002A3853">
      <w:pPr>
        <w:pStyle w:val="References"/>
      </w:pPr>
      <w:r w:rsidRPr="00F03917">
        <w:t>Cradock-Henry, N. A., Frame, B., Preston, B. L., Reisinger, A., &amp; Rothman, D. S. (2018). Dynamic adaptive pathways in downscaled climate change scenarios. </w:t>
      </w:r>
      <w:r w:rsidRPr="00F03917">
        <w:rPr>
          <w:i/>
          <w:iCs/>
        </w:rPr>
        <w:t>Climatic change</w:t>
      </w:r>
      <w:r w:rsidRPr="00F03917">
        <w:t>, 150(3-4), 333-341.</w:t>
      </w:r>
      <w:r w:rsidR="00001A05" w:rsidRPr="00F03917">
        <w:t xml:space="preserve"> </w:t>
      </w:r>
      <w:hyperlink r:id="rId258" w:history="1">
        <w:r w:rsidR="00001A05" w:rsidRPr="00F03917">
          <w:rPr>
            <w:rStyle w:val="Hyperlink"/>
          </w:rPr>
          <w:t>https://doi.org/10.1007/s10584-018-2270-7</w:t>
        </w:r>
      </w:hyperlink>
    </w:p>
    <w:p w14:paraId="2935184C" w14:textId="77777777" w:rsidR="002A3853" w:rsidRPr="00F03917" w:rsidRDefault="002A3853" w:rsidP="002A3853">
      <w:pPr>
        <w:pStyle w:val="References"/>
      </w:pPr>
      <w:r w:rsidRPr="00F03917">
        <w:t xml:space="preserve">Cutter, S.L., Boruff, B.J., Shirley, W.L. (2003). Social vulnerability to environmental hazards. </w:t>
      </w:r>
      <w:r w:rsidRPr="00F03917">
        <w:rPr>
          <w:i/>
          <w:iCs/>
        </w:rPr>
        <w:t>Social Science Quarterly</w:t>
      </w:r>
      <w:r w:rsidRPr="00F03917">
        <w:t xml:space="preserve"> 84(2): 242–261. </w:t>
      </w:r>
      <w:hyperlink r:id="rId259" w:history="1">
        <w:r w:rsidRPr="00F03917">
          <w:rPr>
            <w:rStyle w:val="Hyperlink"/>
          </w:rPr>
          <w:t>doi.org/10.1111/1540-6237.8402002</w:t>
        </w:r>
      </w:hyperlink>
      <w:r w:rsidRPr="00F03917">
        <w:rPr>
          <w:rStyle w:val="Hyperlink"/>
        </w:rPr>
        <w:t>.</w:t>
      </w:r>
      <w:r w:rsidRPr="00F03917">
        <w:t xml:space="preserve"> </w:t>
      </w:r>
    </w:p>
    <w:p w14:paraId="74F1E51C" w14:textId="6213AA6C"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Dangendorf, S., Hay, C., Calafat, F., M., Marcos, M., Piecuch, C., G., Berk, K., Jensen, J. (2019). Persistent acceleration in global sea-level rise since the 1960s. </w:t>
      </w:r>
      <w:r w:rsidRPr="00F03917">
        <w:rPr>
          <w:rStyle w:val="findhit"/>
          <w:rFonts w:cs="Calibri"/>
          <w:i/>
          <w:color w:val="000000"/>
          <w:szCs w:val="20"/>
          <w:shd w:val="clear" w:color="auto" w:fill="FFFFFF"/>
        </w:rPr>
        <w:t>Nature Climate Change</w:t>
      </w:r>
      <w:r w:rsidRPr="00F03917">
        <w:rPr>
          <w:rStyle w:val="findhit"/>
          <w:rFonts w:cs="Calibri"/>
          <w:color w:val="000000"/>
          <w:szCs w:val="20"/>
          <w:shd w:val="clear" w:color="auto" w:fill="FFFFFF"/>
        </w:rPr>
        <w:t xml:space="preserve"> 9. 705-710. </w:t>
      </w:r>
      <w:hyperlink r:id="rId260" w:history="1">
        <w:r w:rsidR="00CE5520" w:rsidRPr="00F03917">
          <w:rPr>
            <w:rStyle w:val="Hyperlink"/>
            <w:rFonts w:cs="Calibri"/>
            <w:szCs w:val="20"/>
            <w:shd w:val="clear" w:color="auto" w:fill="FFFFFF"/>
          </w:rPr>
          <w:t>doi.org</w:t>
        </w:r>
        <w:r w:rsidR="006A240F" w:rsidRPr="00F03917">
          <w:rPr>
            <w:rStyle w:val="Hyperlink"/>
            <w:rFonts w:cs="Calibri"/>
            <w:szCs w:val="20"/>
            <w:shd w:val="clear" w:color="auto" w:fill="FFFFFF"/>
          </w:rPr>
          <w:t>/10.1038/s41558-019-0531-8.</w:t>
        </w:r>
      </w:hyperlink>
      <w:r w:rsidRPr="00F03917">
        <w:rPr>
          <w:rStyle w:val="findhit"/>
          <w:rFonts w:cs="Calibri"/>
          <w:color w:val="000000"/>
          <w:szCs w:val="20"/>
          <w:shd w:val="clear" w:color="auto" w:fill="FFFFFF"/>
        </w:rPr>
        <w:t xml:space="preserve"> </w:t>
      </w:r>
    </w:p>
    <w:p w14:paraId="7EEF6AA4" w14:textId="277DD378" w:rsidR="002A3853" w:rsidRPr="00F03917" w:rsidRDefault="002A3853" w:rsidP="002A3853">
      <w:pPr>
        <w:pStyle w:val="References"/>
        <w:rPr>
          <w:rStyle w:val="normaltextrun"/>
          <w:rFonts w:cs="Calibri"/>
          <w:color w:val="000000"/>
          <w:szCs w:val="20"/>
          <w:shd w:val="clear" w:color="auto" w:fill="FFFFFF"/>
        </w:rPr>
      </w:pPr>
      <w:r w:rsidRPr="00F03917">
        <w:rPr>
          <w:rStyle w:val="findhit"/>
          <w:rFonts w:cs="Calibri"/>
          <w:color w:val="000000"/>
          <w:szCs w:val="20"/>
          <w:shd w:val="clear" w:color="auto" w:fill="FFFFFF"/>
        </w:rPr>
        <w:t>Davies,</w:t>
      </w:r>
      <w:r w:rsidRPr="00F03917">
        <w:rPr>
          <w:rStyle w:val="normaltextrun"/>
          <w:rFonts w:cs="Calibri"/>
          <w:color w:val="000000"/>
          <w:szCs w:val="20"/>
          <w:shd w:val="clear" w:color="auto" w:fill="FFFFFF"/>
        </w:rPr>
        <w:t xml:space="preserve"> K., Fisher, K., Dickson, M., Thrush, S., LeHeron, R. (2015).</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 xml:space="preserve">Improving ecosystem service frameworks to address wicked problems. </w:t>
      </w:r>
      <w:r w:rsidRPr="00F03917">
        <w:rPr>
          <w:rStyle w:val="normaltextrun"/>
          <w:rFonts w:cs="Calibri"/>
          <w:i/>
          <w:color w:val="000000"/>
          <w:szCs w:val="20"/>
          <w:shd w:val="clear" w:color="auto" w:fill="FFFFFF"/>
        </w:rPr>
        <w:t>Ecology and Society</w:t>
      </w:r>
      <w:r w:rsidRPr="00F03917">
        <w:rPr>
          <w:rStyle w:val="normaltextrun"/>
          <w:rFonts w:cs="Calibri"/>
          <w:color w:val="000000"/>
          <w:szCs w:val="20"/>
          <w:shd w:val="clear" w:color="auto" w:fill="FFFFFF"/>
        </w:rPr>
        <w:t xml:space="preserve"> 20(2): 37. </w:t>
      </w:r>
      <w:hyperlink r:id="rId261" w:tgtFrame="_blank" w:history="1">
        <w:r w:rsidRPr="00F03917">
          <w:rPr>
            <w:rStyle w:val="Hyperlink"/>
          </w:rPr>
          <w:t>http://dx.doi.org/10.5751/ES-07581-200237</w:t>
        </w:r>
      </w:hyperlink>
      <w:r w:rsidRPr="00F03917">
        <w:rPr>
          <w:rStyle w:val="normaltextrun"/>
          <w:rFonts w:cs="Calibri"/>
          <w:color w:val="000000"/>
          <w:szCs w:val="20"/>
          <w:shd w:val="clear" w:color="auto" w:fill="FFFFFF"/>
        </w:rPr>
        <w:t>.</w:t>
      </w:r>
      <w:r w:rsidRPr="00F03917">
        <w:rPr>
          <w:rStyle w:val="eop"/>
          <w:rFonts w:cs="Calibri"/>
          <w:color w:val="000000"/>
          <w:shd w:val="clear" w:color="auto" w:fill="FFFFFF"/>
        </w:rPr>
        <w:t> </w:t>
      </w:r>
    </w:p>
    <w:p w14:paraId="41DAFF01" w14:textId="5E2659F6" w:rsidR="002A3853" w:rsidRPr="00F03917" w:rsidRDefault="002A3853" w:rsidP="002A3853">
      <w:pPr>
        <w:pStyle w:val="References"/>
        <w:rPr>
          <w:lang w:val="en-GB"/>
        </w:rPr>
      </w:pPr>
      <w:r w:rsidRPr="00F03917">
        <w:rPr>
          <w:rStyle w:val="normaltextrun"/>
          <w:rFonts w:cs="Calibri"/>
          <w:color w:val="000000"/>
          <w:szCs w:val="20"/>
          <w:shd w:val="clear" w:color="auto" w:fill="FFFFFF"/>
        </w:rPr>
        <w:t>DeConto, R., M., &amp; Pollard, D. (2016). Contribution of Antarctica to past and future sea-level rise</w:t>
      </w:r>
      <w:r w:rsidRPr="00F03917">
        <w:rPr>
          <w:rStyle w:val="normaltextrun"/>
          <w:rFonts w:cs="Calibri"/>
          <w:i/>
          <w:color w:val="000000"/>
          <w:szCs w:val="20"/>
          <w:shd w:val="clear" w:color="auto" w:fill="FFFFFF"/>
        </w:rPr>
        <w:t xml:space="preserve">. Nature </w:t>
      </w:r>
      <w:r w:rsidRPr="00F03917">
        <w:rPr>
          <w:rStyle w:val="normaltextrun"/>
          <w:rFonts w:cs="Calibri"/>
          <w:color w:val="000000"/>
          <w:szCs w:val="20"/>
          <w:shd w:val="clear" w:color="auto" w:fill="FFFFFF"/>
        </w:rPr>
        <w:t xml:space="preserve">531(7596): 591–597. </w:t>
      </w:r>
      <w:r w:rsidR="00443C88" w:rsidRPr="00F03917">
        <w:rPr>
          <w:rStyle w:val="Hyperlink"/>
        </w:rPr>
        <w:t>https://</w:t>
      </w:r>
      <w:hyperlink r:id="rId262" w:tgtFrame="_blank" w:history="1">
        <w:r w:rsidR="009A53E8" w:rsidRPr="00F03917">
          <w:rPr>
            <w:rStyle w:val="Hyperlink"/>
          </w:rPr>
          <w:t>doi.org/10.1038/nature17145</w:t>
        </w:r>
      </w:hyperlink>
      <w:r w:rsidRPr="00F03917">
        <w:rPr>
          <w:rStyle w:val="Hyperlink"/>
        </w:rPr>
        <w:t>. </w:t>
      </w:r>
    </w:p>
    <w:p w14:paraId="097592B9" w14:textId="26208E65" w:rsidR="002A3853" w:rsidRPr="00F03917" w:rsidRDefault="002A3853" w:rsidP="002A3853">
      <w:pPr>
        <w:pStyle w:val="References"/>
      </w:pPr>
      <w:r w:rsidRPr="00F03917">
        <w:t>DeConto, R.M., Pollard, D., Alley, R.B., Velicogna, I., Gasson, E., Gomez, N., Sadai, S., Condron, A., Gilford, D.M., Ashe, E.L., Kopp, R.E., Li, D., Sutton, A. (2021). The Paris climate agreement and future sea</w:t>
      </w:r>
      <w:r w:rsidRPr="00F03917">
        <w:noBreakHyphen/>
        <w:t xml:space="preserve">level rise from Antarctica. </w:t>
      </w:r>
      <w:r w:rsidRPr="00F03917">
        <w:rPr>
          <w:i/>
          <w:iCs/>
        </w:rPr>
        <w:t>Nature</w:t>
      </w:r>
      <w:r w:rsidRPr="00F03917">
        <w:t xml:space="preserve"> 593.</w:t>
      </w:r>
      <w:r w:rsidR="00DE5521" w:rsidRPr="00F03917">
        <w:t xml:space="preserve"> </w:t>
      </w:r>
      <w:hyperlink r:id="rId263" w:history="1">
        <w:r w:rsidR="00DE5521" w:rsidRPr="00F03917">
          <w:rPr>
            <w:rStyle w:val="Hyperlink"/>
          </w:rPr>
          <w:t>https://www.nature.com/articles/s41586-021-03427-0</w:t>
        </w:r>
      </w:hyperlink>
      <w:r w:rsidR="00DE5521" w:rsidRPr="00F03917">
        <w:t xml:space="preserve">. </w:t>
      </w:r>
    </w:p>
    <w:p w14:paraId="7E8A7003" w14:textId="77777777" w:rsidR="002A3853" w:rsidRPr="00F03917" w:rsidRDefault="002A3853" w:rsidP="002A3853">
      <w:pPr>
        <w:pStyle w:val="References"/>
      </w:pPr>
      <w:r w:rsidRPr="00F03917">
        <w:t xml:space="preserve">Denton, F., Wilbanks, T.J., Abeysinghe, A.C., Burton, I., Gao, Q., Lemos, M.C., Masui, T., O’Brien, K.L., Warner, K. (2014). Climate-resilient pathways: Adaptation, mitigation, and sustainable development. In: C.B., Field, V.R., Barros, D.J., Dokken et al (eds) </w:t>
      </w:r>
      <w:r w:rsidRPr="00F03917">
        <w:rPr>
          <w:i/>
          <w:iCs/>
        </w:rPr>
        <w:t>Climate Change 2014: Impacts, Adaptation, and Vulnerability</w:t>
      </w:r>
      <w:r w:rsidRPr="00F03917">
        <w:t>.</w:t>
      </w:r>
    </w:p>
    <w:p w14:paraId="1FF814C2" w14:textId="77777777" w:rsidR="002A3853" w:rsidRPr="00F03917" w:rsidRDefault="002A3853" w:rsidP="002A3853">
      <w:pPr>
        <w:pStyle w:val="References"/>
      </w:pPr>
      <w:r w:rsidRPr="00F03917">
        <w:rPr>
          <w:rStyle w:val="findhit"/>
          <w:rFonts w:cs="Calibri"/>
          <w:color w:val="000000"/>
          <w:szCs w:val="20"/>
          <w:shd w:val="clear" w:color="auto" w:fill="FFFFFF"/>
        </w:rPr>
        <w:t>Denys</w:t>
      </w:r>
      <w:r w:rsidRPr="00F03917">
        <w:rPr>
          <w:rStyle w:val="normaltextrun"/>
          <w:rFonts w:cs="Calibri"/>
          <w:color w:val="000000"/>
          <w:szCs w:val="20"/>
          <w:shd w:val="clear" w:color="auto" w:fill="FFFFFF"/>
        </w:rPr>
        <w:t>, P., H., Beavan, R., J., Hannah, J., Pearson, C., F., Palmer, N., Denham, M., Hreinsdottir, S. (2020). Sea level rise in New Zealand: The effect of vertical land motion on century-long tide gauge records in a tectonically active region</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Journal of Geophysical Research: Solid Earth</w:t>
      </w:r>
      <w:r w:rsidRPr="00F03917">
        <w:rPr>
          <w:rStyle w:val="normaltextrun"/>
          <w:rFonts w:cs="Calibri"/>
          <w:color w:val="000000"/>
          <w:szCs w:val="20"/>
          <w:shd w:val="clear" w:color="auto" w:fill="FFFFFF"/>
        </w:rPr>
        <w:t xml:space="preserve"> 125: e2019JB018055. </w:t>
      </w:r>
      <w:hyperlink r:id="rId264" w:tgtFrame="_blank" w:history="1">
        <w:r w:rsidRPr="00F03917">
          <w:rPr>
            <w:rStyle w:val="Hyperlink"/>
          </w:rPr>
          <w:t>https://doi.org/10.1029/2019JB018055</w:t>
        </w:r>
      </w:hyperlink>
      <w:r w:rsidRPr="00F03917">
        <w:rPr>
          <w:rStyle w:val="normaltextrun"/>
          <w:rFonts w:cs="Calibri"/>
          <w:color w:val="000000"/>
          <w:szCs w:val="20"/>
          <w:shd w:val="clear" w:color="auto" w:fill="FFFFFF"/>
        </w:rPr>
        <w:t> </w:t>
      </w:r>
      <w:r w:rsidRPr="00F03917">
        <w:rPr>
          <w:rStyle w:val="eop"/>
          <w:rFonts w:cs="Calibri"/>
          <w:color w:val="000000"/>
          <w:shd w:val="clear" w:color="auto" w:fill="FFFFFF"/>
        </w:rPr>
        <w:t> </w:t>
      </w:r>
    </w:p>
    <w:p w14:paraId="0B411F16" w14:textId="77777777" w:rsidR="002A3853" w:rsidRPr="00F03917" w:rsidRDefault="002A3853" w:rsidP="002A3853">
      <w:pPr>
        <w:pStyle w:val="References"/>
      </w:pPr>
      <w:r w:rsidRPr="00F03917">
        <w:t xml:space="preserve">Department of Conservation. (2010). New Zealand Coastal Policy Statement 2010. </w:t>
      </w:r>
      <w:r w:rsidRPr="00F03917">
        <w:rPr>
          <w:i/>
        </w:rPr>
        <w:t>Wellington: Department of Conservation</w:t>
      </w:r>
      <w:r w:rsidRPr="00F03917">
        <w:t xml:space="preserve">. Retrieved from </w:t>
      </w:r>
      <w:hyperlink r:id="rId265" w:history="1">
        <w:r w:rsidRPr="00F03917">
          <w:rPr>
            <w:rStyle w:val="Hyperlink"/>
            <w:rFonts w:eastAsia="Calibri" w:cs="Calibri"/>
            <w:szCs w:val="20"/>
          </w:rPr>
          <w:t>www.doc.govt.nz/about-us/science-publications/conservation-publications/marine-and-coastal/new-zealand-coastal-policy-statement/new-zealand-coastal-policy-statement-2010/</w:t>
        </w:r>
      </w:hyperlink>
      <w:r w:rsidRPr="00F03917">
        <w:t>.</w:t>
      </w:r>
    </w:p>
    <w:p w14:paraId="5C5242D7" w14:textId="77777777" w:rsidR="002A3853" w:rsidRPr="00F03917" w:rsidRDefault="002A3853" w:rsidP="002A3853">
      <w:pPr>
        <w:pStyle w:val="References"/>
        <w:rPr>
          <w:color w:val="008080"/>
          <w:u w:val="single"/>
        </w:rPr>
      </w:pPr>
      <w:r w:rsidRPr="00F03917">
        <w:t xml:space="preserve">Department of Conservation. (2017). NZCPS 2010 guidance note: Coastal hazards, Objective 5 and Policies 24, 25, 26 &amp; 27. </w:t>
      </w:r>
      <w:r w:rsidRPr="00F03917">
        <w:rPr>
          <w:i/>
        </w:rPr>
        <w:t>Report prepared by the Department of Conservation</w:t>
      </w:r>
      <w:r w:rsidRPr="00F03917">
        <w:t xml:space="preserve">. Retrieved from </w:t>
      </w:r>
      <w:hyperlink r:id="rId266">
        <w:r w:rsidRPr="00F03917">
          <w:rPr>
            <w:rStyle w:val="Hyperlink"/>
            <w:rFonts w:eastAsia="Calibri" w:cs="Calibri"/>
          </w:rPr>
          <w:t>www.doc.govt.nz/globalassets/documents/conservation/marine-and-coastal/coastal-management/guidance/policy-24-to-27.pdf</w:t>
        </w:r>
      </w:hyperlink>
      <w:r w:rsidRPr="00F03917">
        <w:t>.</w:t>
      </w:r>
      <w:r w:rsidRPr="00F03917">
        <w:rPr>
          <w:color w:val="008080"/>
          <w:u w:val="single"/>
        </w:rPr>
        <w:t xml:space="preserve"> </w:t>
      </w:r>
    </w:p>
    <w:p w14:paraId="5ADB269E" w14:textId="77777777" w:rsidR="002A3853" w:rsidRPr="00F03917" w:rsidRDefault="002A3853" w:rsidP="002A3853">
      <w:pPr>
        <w:pStyle w:val="References"/>
      </w:pPr>
      <w:r w:rsidRPr="00F03917">
        <w:lastRenderedPageBreak/>
        <w:t xml:space="preserve">Department of Conservation. (2020). Te Mana o te Taiao – Aotearoa New Zealand Biodiversity Strategy 2020. </w:t>
      </w:r>
      <w:r w:rsidRPr="00F03917">
        <w:rPr>
          <w:i/>
        </w:rPr>
        <w:t>Wellington: Department of Conservation</w:t>
      </w:r>
      <w:r w:rsidRPr="00F03917">
        <w:rPr>
          <w:color w:val="333333"/>
        </w:rPr>
        <w:t xml:space="preserve">. Retrieved from </w:t>
      </w:r>
      <w:hyperlink r:id="rId267" w:history="1">
        <w:r w:rsidRPr="00F03917">
          <w:rPr>
            <w:rStyle w:val="Hyperlink"/>
            <w:rFonts w:asciiTheme="minorHAnsi" w:eastAsia="Segoe UI" w:hAnsiTheme="minorHAnsi" w:cstheme="minorHAnsi"/>
            <w:szCs w:val="20"/>
          </w:rPr>
          <w:t>www.doc.govt.nz/globalassets/documents/conservation/biodiversity/anzbs-2020.pdf</w:t>
        </w:r>
      </w:hyperlink>
      <w:r w:rsidRPr="00F03917">
        <w:t>.</w:t>
      </w:r>
      <w:r w:rsidRPr="00F03917">
        <w:rPr>
          <w:color w:val="333333"/>
        </w:rPr>
        <w:t xml:space="preserve"> </w:t>
      </w:r>
    </w:p>
    <w:p w14:paraId="2465668C" w14:textId="77777777" w:rsidR="002A3853" w:rsidRPr="00F03917" w:rsidRDefault="002A3853" w:rsidP="002A3853">
      <w:pPr>
        <w:pStyle w:val="References"/>
      </w:pPr>
      <w:r w:rsidRPr="00F03917">
        <w:rPr>
          <w:shd w:val="clear" w:color="auto" w:fill="FFFFFF"/>
        </w:rPr>
        <w:t>Dessai, S., Hulme, M., Lempert, R., Pielke, R. (2009).</w:t>
      </w:r>
      <w:r w:rsidRPr="00F03917">
        <w:rPr>
          <w:i/>
          <w:iCs/>
          <w:shd w:val="clear" w:color="auto" w:fill="FFFFFF"/>
        </w:rPr>
        <w:t xml:space="preserve"> </w:t>
      </w:r>
      <w:r w:rsidRPr="00F03917">
        <w:rPr>
          <w:shd w:val="clear" w:color="auto" w:fill="FFFFFF"/>
        </w:rPr>
        <w:t>Climate prediction: A limit to adaptation? In: W.N. Adger, I. Lorenzoni, K.L. O’Brien (eds) Adapting to Climate Change. Cambridge: Cambridge University Press, Cambridge. </w:t>
      </w:r>
      <w:r w:rsidRPr="00F03917">
        <w:rPr>
          <w:i/>
        </w:rPr>
        <w:t>Part A: Global and Sectoral Aspects. Contribution of Working Group II to the Fifth Assessment Report of the Intergovernmental Panel on Climate Change</w:t>
      </w:r>
      <w:r w:rsidRPr="00F03917">
        <w:t xml:space="preserve">. Cambridge: Cambridge University Press. Retrieved from </w:t>
      </w:r>
      <w:hyperlink r:id="rId268">
        <w:r w:rsidRPr="00F03917">
          <w:rPr>
            <w:rStyle w:val="Hyperlink"/>
            <w:rFonts w:eastAsia="Calibri" w:cs="Calibri"/>
          </w:rPr>
          <w:t>http://ipcc.ch/report/ar5/wg2/</w:t>
        </w:r>
      </w:hyperlink>
      <w:r w:rsidRPr="00F03917">
        <w:t>.</w:t>
      </w:r>
    </w:p>
    <w:p w14:paraId="611BD8F5" w14:textId="77777777" w:rsidR="002A3853" w:rsidRPr="00F03917" w:rsidRDefault="002A3853" w:rsidP="002A3853">
      <w:pPr>
        <w:pStyle w:val="References"/>
        <w:rPr>
          <w:color w:val="008080"/>
          <w:u w:val="single"/>
        </w:rPr>
      </w:pPr>
      <w:r w:rsidRPr="00F03917">
        <w:t xml:space="preserve">Dickson, M., Ford, M., Ryan, E., Tuck, M., Sengupta, M., Lawrence, J. (2022). The use of historic and contemporary coastal-change data for adaptation decision-making. In: C., Hendtlass, T., FitzGerald, A., Serrano, D., Neale (eds) </w:t>
      </w:r>
      <w:r w:rsidRPr="00F03917">
        <w:rPr>
          <w:i/>
          <w:iCs/>
        </w:rPr>
        <w:t>Coastal Adaptation – Adapting to coastal change and hazard risk in Aotearoa New Zealand</w:t>
      </w:r>
      <w:r w:rsidRPr="00F03917">
        <w:t xml:space="preserve">. pp. 55–59, NZ Coastal Society, Special Publication 5, November 2022. Retrieved from </w:t>
      </w:r>
      <w:hyperlink r:id="rId269" w:history="1">
        <w:r w:rsidRPr="00F03917">
          <w:rPr>
            <w:rStyle w:val="Hyperlink"/>
            <w:rFonts w:eastAsia="Calibri" w:cs="Calibri"/>
            <w:szCs w:val="20"/>
          </w:rPr>
          <w:t>www.coastalsociety.org.nz/media/view/publications/special-publication-5-coastal-adaptation/</w:t>
        </w:r>
      </w:hyperlink>
      <w:r w:rsidRPr="00F03917">
        <w:t>.</w:t>
      </w:r>
      <w:r w:rsidRPr="00F03917">
        <w:rPr>
          <w:color w:val="008080"/>
          <w:u w:val="single"/>
        </w:rPr>
        <w:t xml:space="preserve"> </w:t>
      </w:r>
    </w:p>
    <w:p w14:paraId="045F0F84" w14:textId="77777777" w:rsidR="002A3853" w:rsidRPr="00F03917" w:rsidRDefault="002A3853" w:rsidP="002A3853">
      <w:pPr>
        <w:pStyle w:val="References"/>
        <w:rPr>
          <w:color w:val="008080"/>
          <w:u w:val="single"/>
        </w:rPr>
      </w:pPr>
      <w:r w:rsidRPr="00F03917">
        <w:t>Dickson, M., Thompson, C. (2020). Coastal cliff erosion in Aotearoa New Zealand and the potential impacts of sea level rise</w:t>
      </w:r>
      <w:r w:rsidRPr="00F03917">
        <w:rPr>
          <w:i/>
          <w:iCs/>
        </w:rPr>
        <w:t>.</w:t>
      </w:r>
      <w:r w:rsidRPr="00F03917">
        <w:t xml:space="preserve"> In: C., Hendtlass, S., Morgan, D., Neale (eds) </w:t>
      </w:r>
      <w:r w:rsidRPr="00F03917">
        <w:rPr>
          <w:i/>
          <w:iCs/>
        </w:rPr>
        <w:t>Coastal systems &amp; sea level rise: What to look for in the future</w:t>
      </w:r>
      <w:r w:rsidRPr="00F03917">
        <w:t xml:space="preserve">. pp. 39–44, Special Publication 4, NZ Coastal Society, Dec 2020. Retrieved from </w:t>
      </w:r>
      <w:hyperlink r:id="rId270" w:history="1">
        <w:r w:rsidRPr="00F03917">
          <w:rPr>
            <w:rStyle w:val="Hyperlink"/>
            <w:rFonts w:eastAsia="Calibri" w:cs="Calibri"/>
            <w:szCs w:val="20"/>
          </w:rPr>
          <w:t>www.coastalsociety.org.nz/media/view/publications/sea-level-rise/</w:t>
        </w:r>
      </w:hyperlink>
      <w:r w:rsidRPr="00F03917">
        <w:t>.</w:t>
      </w:r>
      <w:r w:rsidRPr="00F03917">
        <w:rPr>
          <w:color w:val="008080"/>
          <w:u w:val="single"/>
        </w:rPr>
        <w:t xml:space="preserve"> </w:t>
      </w:r>
    </w:p>
    <w:p w14:paraId="4DE2ECA1" w14:textId="77777777" w:rsidR="002A3853" w:rsidRPr="00F03917" w:rsidRDefault="002A3853" w:rsidP="002A3853">
      <w:pPr>
        <w:pStyle w:val="References"/>
      </w:pPr>
      <w:r w:rsidRPr="00F03917">
        <w:t xml:space="preserve">Dickson., M.E., Matsumoto, H., Stephenson, W.J., Swirad, Z.M., Thompson, C.F., Young, A.P. (2023). </w:t>
      </w:r>
      <w:r w:rsidRPr="00F03917">
        <w:rPr>
          <w:iCs/>
        </w:rPr>
        <w:t>Sea</w:t>
      </w:r>
      <w:r w:rsidRPr="00F03917">
        <w:rPr>
          <w:iCs/>
        </w:rPr>
        <w:noBreakHyphen/>
        <w:t>level rise may not uniformly accelerate cliff erosion rates.</w:t>
      </w:r>
      <w:r w:rsidRPr="00F03917">
        <w:t xml:space="preserve"> </w:t>
      </w:r>
      <w:r w:rsidRPr="00F03917">
        <w:rPr>
          <w:i/>
          <w:iCs/>
        </w:rPr>
        <w:t>Nature Communications</w:t>
      </w:r>
      <w:r w:rsidRPr="00F03917">
        <w:t xml:space="preserve">. </w:t>
      </w:r>
      <w:hyperlink r:id="rId271" w:history="1">
        <w:r w:rsidRPr="00F03917">
          <w:rPr>
            <w:rStyle w:val="Hyperlink"/>
          </w:rPr>
          <w:t>doi.org/10.1038/s41467-023-44149-3</w:t>
        </w:r>
      </w:hyperlink>
      <w:r w:rsidRPr="00F03917">
        <w:rPr>
          <w:rStyle w:val="Hyperlink"/>
        </w:rPr>
        <w:t>.</w:t>
      </w:r>
      <w:r w:rsidRPr="00F03917">
        <w:t xml:space="preserve"> </w:t>
      </w:r>
    </w:p>
    <w:p w14:paraId="159CC6BD" w14:textId="66EA8342" w:rsidR="002A3853" w:rsidRPr="00F03917" w:rsidRDefault="002A3853" w:rsidP="002A3853">
      <w:pPr>
        <w:pStyle w:val="References"/>
      </w:pPr>
      <w:r w:rsidRPr="00F03917">
        <w:rPr>
          <w:rStyle w:val="findhit"/>
          <w:rFonts w:cs="Calibri"/>
          <w:color w:val="000000"/>
          <w:szCs w:val="20"/>
          <w:shd w:val="clear" w:color="auto" w:fill="FFFFFF"/>
        </w:rPr>
        <w:t>Dickson,</w:t>
      </w:r>
      <w:r w:rsidRPr="00F03917">
        <w:rPr>
          <w:rStyle w:val="normaltextrun"/>
          <w:rFonts w:cs="Calibri"/>
          <w:color w:val="000000"/>
          <w:szCs w:val="20"/>
          <w:shd w:val="clear" w:color="auto" w:fill="FFFFFF"/>
        </w:rPr>
        <w:t xml:space="preserve"> M., E., Walkden, M., J., Hall, J., W. (2007). Systemic impacts of climate change on an eroding coastal region over the 21st century. </w:t>
      </w:r>
      <w:r w:rsidRPr="00F03917">
        <w:rPr>
          <w:rStyle w:val="normaltextrun"/>
          <w:rFonts w:cs="Calibri"/>
          <w:i/>
          <w:color w:val="000000"/>
          <w:szCs w:val="20"/>
          <w:shd w:val="clear" w:color="auto" w:fill="FFFFFF"/>
        </w:rPr>
        <w:t>Climatic Change</w:t>
      </w:r>
      <w:r w:rsidRPr="00F03917">
        <w:rPr>
          <w:rStyle w:val="normaltextrun"/>
          <w:rFonts w:cs="Calibri"/>
          <w:color w:val="000000"/>
          <w:szCs w:val="20"/>
          <w:shd w:val="clear" w:color="auto" w:fill="FFFFFF"/>
        </w:rPr>
        <w:t xml:space="preserve"> 84: 141–166.</w:t>
      </w:r>
      <w:r w:rsidRPr="00F03917">
        <w:rPr>
          <w:rStyle w:val="eop"/>
          <w:rFonts w:cs="Calibri"/>
          <w:color w:val="000000"/>
          <w:szCs w:val="20"/>
          <w:shd w:val="clear" w:color="auto" w:fill="FFFFFF"/>
        </w:rPr>
        <w:t> </w:t>
      </w:r>
      <w:hyperlink r:id="rId272" w:history="1">
        <w:r w:rsidR="0075792E" w:rsidRPr="00F03917">
          <w:rPr>
            <w:rStyle w:val="Hyperlink"/>
          </w:rPr>
          <w:t>https://doi.org/10.1007/s10584-006-9200-9</w:t>
        </w:r>
      </w:hyperlink>
    </w:p>
    <w:p w14:paraId="3A8109DE" w14:textId="549A2F1D"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Dixon</w:t>
      </w:r>
      <w:r w:rsidRPr="00F03917">
        <w:rPr>
          <w:rStyle w:val="normaltextrun"/>
          <w:rFonts w:cs="Calibri"/>
          <w:color w:val="000000"/>
          <w:szCs w:val="20"/>
          <w:shd w:val="clear" w:color="auto" w:fill="FFFFFF"/>
        </w:rPr>
        <w:t>, O., Gammal, J., Clark, D., Ellis, J., I., Pilditch, C., A. (2023). Estimating effects of sea level rise on benthic biodiversity and ecosystem functioning in a large meso-tidal coastal lagoon</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Biology</w:t>
      </w:r>
      <w:r w:rsidRPr="00F03917">
        <w:rPr>
          <w:rStyle w:val="normaltextrun"/>
          <w:rFonts w:cs="Calibri"/>
          <w:color w:val="000000"/>
          <w:szCs w:val="20"/>
          <w:shd w:val="clear" w:color="auto" w:fill="FFFFFF"/>
        </w:rPr>
        <w:t xml:space="preserve"> 12: 105. </w:t>
      </w:r>
      <w:hyperlink r:id="rId273" w:tgtFrame="_blank" w:history="1">
        <w:r w:rsidRPr="00F03917">
          <w:rPr>
            <w:rStyle w:val="Hyperlink"/>
          </w:rPr>
          <w:t>https://doi.org/10.3390/biology12010105</w:t>
        </w:r>
      </w:hyperlink>
      <w:r w:rsidRPr="00F03917">
        <w:rPr>
          <w:rStyle w:val="normaltextrun"/>
          <w:rFonts w:cs="Calibri"/>
          <w:color w:val="000000"/>
          <w:szCs w:val="20"/>
          <w:shd w:val="clear" w:color="auto" w:fill="FFFFFF"/>
        </w:rPr>
        <w:t> </w:t>
      </w:r>
      <w:r w:rsidRPr="00F03917">
        <w:rPr>
          <w:rStyle w:val="eop"/>
          <w:rFonts w:cs="Calibri"/>
          <w:color w:val="000000"/>
          <w:shd w:val="clear" w:color="auto" w:fill="FFFFFF"/>
        </w:rPr>
        <w:t> </w:t>
      </w:r>
    </w:p>
    <w:p w14:paraId="03644EE3" w14:textId="77777777" w:rsidR="002A3853" w:rsidRPr="00F03917" w:rsidRDefault="002A3853" w:rsidP="002A3853">
      <w:pPr>
        <w:pStyle w:val="References"/>
      </w:pPr>
      <w:r w:rsidRPr="00F03917">
        <w:rPr>
          <w:shd w:val="clear" w:color="auto" w:fill="FFFFFF"/>
        </w:rPr>
        <w:t xml:space="preserve">Douglas, B.C. (2001). Sea level change in the era of the recording tide gauge. In: BC Douglas, MS Kearney, PL Stephen (eds) </w:t>
      </w:r>
      <w:r w:rsidRPr="00F03917">
        <w:rPr>
          <w:i/>
          <w:iCs/>
          <w:shd w:val="clear" w:color="auto" w:fill="FFFFFF"/>
        </w:rPr>
        <w:t>International Geophysics</w:t>
      </w:r>
      <w:r w:rsidRPr="00F03917">
        <w:rPr>
          <w:shd w:val="clear" w:color="auto" w:fill="FFFFFF"/>
        </w:rPr>
        <w:t xml:space="preserve">. San Diego: Academic Press. Retrieved from </w:t>
      </w:r>
      <w:hyperlink r:id="rId274" w:tgtFrame="_blank" w:history="1">
        <w:r w:rsidRPr="00F03917">
          <w:rPr>
            <w:rStyle w:val="Hyperlink"/>
          </w:rPr>
          <w:t>http://dx.doi.org/10.1016/S0074-6142(01)80006-1</w:t>
        </w:r>
      </w:hyperlink>
      <w:r w:rsidRPr="00F03917">
        <w:rPr>
          <w:shd w:val="clear" w:color="auto" w:fill="FFFFFF"/>
        </w:rPr>
        <w:t>. </w:t>
      </w:r>
    </w:p>
    <w:p w14:paraId="3A3307A6" w14:textId="7379DBF0" w:rsidR="002A3853" w:rsidRPr="00F03917" w:rsidRDefault="002A3853" w:rsidP="002A3853">
      <w:pPr>
        <w:pStyle w:val="References"/>
        <w:rPr>
          <w:lang w:val="en-GB"/>
        </w:rPr>
      </w:pPr>
      <w:r w:rsidRPr="00F03917">
        <w:rPr>
          <w:rStyle w:val="findhit"/>
          <w:rFonts w:cs="Calibri"/>
          <w:color w:val="000000"/>
          <w:szCs w:val="20"/>
          <w:shd w:val="clear" w:color="auto" w:fill="FFFFFF"/>
        </w:rPr>
        <w:t>Earlie,</w:t>
      </w:r>
      <w:r w:rsidRPr="00F03917">
        <w:rPr>
          <w:rStyle w:val="normaltextrun"/>
          <w:rFonts w:cs="Calibri"/>
          <w:color w:val="000000"/>
          <w:szCs w:val="20"/>
          <w:shd w:val="clear" w:color="auto" w:fill="FFFFFF"/>
        </w:rPr>
        <w:t xml:space="preserve"> C., S., Young, A., P., Masselink, G., Russell, P., E. (2015). Coastal cliff ground motions and response to extreme storm waves</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Geophysical Research Letters</w:t>
      </w:r>
      <w:r w:rsidRPr="00F03917">
        <w:rPr>
          <w:rStyle w:val="normaltextrun"/>
          <w:rFonts w:cs="Calibri"/>
          <w:color w:val="000000"/>
          <w:szCs w:val="20"/>
          <w:shd w:val="clear" w:color="auto" w:fill="FFFFFF"/>
        </w:rPr>
        <w:t xml:space="preserve"> 42(3): 847–854.</w:t>
      </w:r>
      <w:r w:rsidRPr="00F03917">
        <w:rPr>
          <w:rStyle w:val="eop"/>
          <w:rFonts w:cs="Calibri"/>
          <w:color w:val="000000"/>
          <w:szCs w:val="20"/>
          <w:shd w:val="clear" w:color="auto" w:fill="FFFFFF"/>
        </w:rPr>
        <w:t> </w:t>
      </w:r>
      <w:hyperlink r:id="rId275" w:history="1">
        <w:r w:rsidR="0069791C" w:rsidRPr="00F03917">
          <w:rPr>
            <w:rStyle w:val="Hyperlink"/>
          </w:rPr>
          <w:t>https://doi.org/10.1002/2014GL062534</w:t>
        </w:r>
      </w:hyperlink>
    </w:p>
    <w:p w14:paraId="52B93316" w14:textId="77777777" w:rsidR="002A3853" w:rsidRPr="00F03917" w:rsidRDefault="002A3853" w:rsidP="002A3853">
      <w:pPr>
        <w:pStyle w:val="References"/>
      </w:pPr>
      <w:r w:rsidRPr="00F03917">
        <w:t xml:space="preserve">Edwards, T.L., Nowicki, S., Marzeion, B., Hock, R., Goelzer, H., Seroussi, H., et al. (2021). Projected land ice contributions to twenty-first-century sea level rise. </w:t>
      </w:r>
      <w:r w:rsidRPr="00F03917">
        <w:rPr>
          <w:i/>
          <w:iCs/>
        </w:rPr>
        <w:t xml:space="preserve">Nature </w:t>
      </w:r>
      <w:r w:rsidRPr="00F03917">
        <w:t xml:space="preserve">593(7857): 74–82. </w:t>
      </w:r>
      <w:hyperlink r:id="rId276" w:history="1">
        <w:r w:rsidRPr="00F03917">
          <w:rPr>
            <w:rStyle w:val="Hyperlink"/>
          </w:rPr>
          <w:t>doi.org/10.1038/s41586-021-03302-y</w:t>
        </w:r>
      </w:hyperlink>
      <w:r w:rsidRPr="00F03917">
        <w:t>.</w:t>
      </w:r>
    </w:p>
    <w:p w14:paraId="25E9AD48" w14:textId="768F5A11" w:rsidR="002A3853" w:rsidRPr="00F03917" w:rsidRDefault="002A3853" w:rsidP="00AD15EA">
      <w:pPr>
        <w:pStyle w:val="References"/>
        <w:rPr>
          <w:rStyle w:val="findhit"/>
          <w:rFonts w:eastAsiaTheme="majorEastAsia" w:cs="Calibri"/>
          <w:szCs w:val="20"/>
        </w:rPr>
      </w:pPr>
      <w:r w:rsidRPr="00F03917">
        <w:rPr>
          <w:rStyle w:val="findhit"/>
          <w:rFonts w:eastAsiaTheme="majorEastAsia" w:cs="Calibri"/>
          <w:szCs w:val="20"/>
        </w:rPr>
        <w:t xml:space="preserve">Ernst, A. (2019). Research techniques and methodologies to assess social learning in participatory environmental governance. </w:t>
      </w:r>
      <w:r w:rsidRPr="00F03917">
        <w:rPr>
          <w:rStyle w:val="findhit"/>
          <w:rFonts w:eastAsiaTheme="majorEastAsia" w:cs="Calibri"/>
          <w:i/>
          <w:szCs w:val="20"/>
        </w:rPr>
        <w:t>Learning, Culture and Social Interaction</w:t>
      </w:r>
      <w:r w:rsidRPr="00F03917">
        <w:rPr>
          <w:rStyle w:val="findhit"/>
          <w:rFonts w:eastAsiaTheme="majorEastAsia" w:cs="Calibri"/>
          <w:szCs w:val="20"/>
        </w:rPr>
        <w:t xml:space="preserve"> 23. </w:t>
      </w:r>
      <w:hyperlink r:id="rId277" w:history="1">
        <w:r w:rsidRPr="00F03917">
          <w:rPr>
            <w:rStyle w:val="Hyperlink"/>
          </w:rPr>
          <w:t>https://doi.org/10.1016/j.lcsi.2019.100331</w:t>
        </w:r>
      </w:hyperlink>
    </w:p>
    <w:p w14:paraId="5077FC75" w14:textId="2BD6EE0F" w:rsidR="002A3853" w:rsidRPr="00F03917" w:rsidRDefault="002A3853" w:rsidP="00F013A5">
      <w:pPr>
        <w:pStyle w:val="References"/>
        <w:rPr>
          <w:rStyle w:val="Hyperlink"/>
        </w:rPr>
      </w:pPr>
      <w:r w:rsidRPr="00F03917">
        <w:rPr>
          <w:rStyle w:val="findhit"/>
          <w:rFonts w:eastAsiaTheme="majorEastAsia" w:cs="Calibri"/>
          <w:szCs w:val="20"/>
        </w:rPr>
        <w:t>Evans,</w:t>
      </w:r>
      <w:r w:rsidRPr="00F03917">
        <w:rPr>
          <w:rStyle w:val="normaltextrun"/>
          <w:rFonts w:cs="Calibri"/>
          <w:szCs w:val="20"/>
        </w:rPr>
        <w:t xml:space="preserve"> L., Milfont, T., L., Lawrence, J. (2014).</w:t>
      </w:r>
      <w:r w:rsidRPr="00F03917">
        <w:rPr>
          <w:rStyle w:val="normaltextrun"/>
          <w:rFonts w:cs="Calibri"/>
          <w:i/>
          <w:iCs/>
          <w:szCs w:val="20"/>
        </w:rPr>
        <w:t xml:space="preserve"> </w:t>
      </w:r>
      <w:r w:rsidRPr="00F03917">
        <w:rPr>
          <w:rStyle w:val="normaltextrun"/>
          <w:rFonts w:cs="Calibri"/>
          <w:szCs w:val="20"/>
        </w:rPr>
        <w:t>Considering local adaptation increases willingness to mitigate</w:t>
      </w:r>
      <w:r w:rsidRPr="00F03917">
        <w:rPr>
          <w:rStyle w:val="normaltextrun"/>
          <w:rFonts w:cs="Calibri"/>
          <w:i/>
          <w:iCs/>
          <w:szCs w:val="20"/>
        </w:rPr>
        <w:t xml:space="preserve">. </w:t>
      </w:r>
      <w:r w:rsidRPr="00F03917">
        <w:rPr>
          <w:rStyle w:val="normaltextrun"/>
          <w:rFonts w:cs="Calibri"/>
          <w:i/>
          <w:szCs w:val="20"/>
        </w:rPr>
        <w:t>Global Environmental Change</w:t>
      </w:r>
      <w:r w:rsidRPr="00F03917">
        <w:rPr>
          <w:rStyle w:val="normaltextrun"/>
          <w:rFonts w:cs="Calibri"/>
          <w:szCs w:val="20"/>
        </w:rPr>
        <w:t xml:space="preserve"> </w:t>
      </w:r>
      <w:r w:rsidRPr="00F03917">
        <w:rPr>
          <w:rStyle w:val="normaltextrun"/>
          <w:rFonts w:cs="Calibri"/>
          <w:color w:val="000000"/>
          <w:szCs w:val="20"/>
          <w:shd w:val="clear" w:color="auto" w:fill="FFFFFF"/>
        </w:rPr>
        <w:t xml:space="preserve">25: 69–75. </w:t>
      </w:r>
      <w:hyperlink r:id="rId278" w:tgtFrame="_blank" w:history="1">
        <w:r w:rsidRPr="00F03917">
          <w:rPr>
            <w:rStyle w:val="Hyperlink"/>
            <w:rFonts w:cs="Calibri"/>
            <w:szCs w:val="20"/>
            <w:shd w:val="clear" w:color="auto" w:fill="FFFFFF"/>
          </w:rPr>
          <w:t>doi.org/10.1016/j.gloenvcha.2013.12</w:t>
        </w:r>
        <w:r w:rsidR="0086307E" w:rsidRPr="00F03917">
          <w:rPr>
            <w:rStyle w:val="Hyperlink"/>
            <w:rFonts w:cs="Calibri"/>
            <w:szCs w:val="20"/>
            <w:shd w:val="clear" w:color="auto" w:fill="FFFFFF"/>
          </w:rPr>
          <w:t>.013.</w:t>
        </w:r>
      </w:hyperlink>
    </w:p>
    <w:p w14:paraId="261CE4FB" w14:textId="77777777" w:rsidR="002A3853" w:rsidRPr="00F03917" w:rsidRDefault="002A3853" w:rsidP="002A3853">
      <w:pPr>
        <w:pStyle w:val="References"/>
      </w:pPr>
      <w:r w:rsidRPr="00F03917">
        <w:rPr>
          <w:rStyle w:val="normaltextrun"/>
          <w:rFonts w:cs="Calibri"/>
          <w:color w:val="000000"/>
          <w:szCs w:val="20"/>
          <w:shd w:val="clear" w:color="auto" w:fill="FFFFFF"/>
        </w:rPr>
        <w:t>Feldmann, J., &amp; Levermann, A. (2015).</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 xml:space="preserve">Collapse of the West Antarctic Ice Sheet after local destabilization of the Amundsen Basin. </w:t>
      </w:r>
      <w:r w:rsidRPr="00F03917">
        <w:rPr>
          <w:rStyle w:val="normaltextrun"/>
          <w:rFonts w:cs="Calibri"/>
          <w:i/>
          <w:color w:val="000000"/>
          <w:szCs w:val="20"/>
          <w:shd w:val="clear" w:color="auto" w:fill="FFFFFF"/>
        </w:rPr>
        <w:t>Proceedings of the National Academy of Sciences</w:t>
      </w:r>
      <w:r w:rsidRPr="00F03917">
        <w:rPr>
          <w:rStyle w:val="normaltextrun"/>
          <w:rFonts w:cs="Calibri"/>
          <w:color w:val="000000"/>
          <w:szCs w:val="20"/>
          <w:shd w:val="clear" w:color="auto" w:fill="FFFFFF"/>
        </w:rPr>
        <w:t xml:space="preserve"> 112(46): 14191–14196. </w:t>
      </w:r>
      <w:hyperlink r:id="rId279" w:tgtFrame="_blank" w:history="1">
        <w:r w:rsidRPr="00F03917">
          <w:rPr>
            <w:rStyle w:val="Hyperlink"/>
          </w:rPr>
          <w:t>http://dx.doi.org/10.1073/pnas.1512482112</w:t>
        </w:r>
      </w:hyperlink>
      <w:r w:rsidRPr="00F03917">
        <w:rPr>
          <w:rStyle w:val="Hyperlink"/>
        </w:rPr>
        <w:t>.</w:t>
      </w:r>
      <w:r w:rsidRPr="00F03917">
        <w:rPr>
          <w:rStyle w:val="eop"/>
          <w:rFonts w:cs="Calibri"/>
          <w:color w:val="000000"/>
          <w:shd w:val="clear" w:color="auto" w:fill="FFFFFF"/>
        </w:rPr>
        <w:t> </w:t>
      </w:r>
    </w:p>
    <w:p w14:paraId="3D8927CF" w14:textId="6C1555FD" w:rsidR="002A3853" w:rsidRPr="00F03917" w:rsidRDefault="002A3853" w:rsidP="002A3853">
      <w:pPr>
        <w:pStyle w:val="References"/>
      </w:pPr>
      <w:r w:rsidRPr="00F03917">
        <w:rPr>
          <w:rStyle w:val="findhit"/>
          <w:rFonts w:cs="Calibri"/>
          <w:color w:val="000000"/>
          <w:szCs w:val="20"/>
          <w:shd w:val="clear" w:color="auto" w:fill="FFFFFF"/>
        </w:rPr>
        <w:t>FEMA</w:t>
      </w:r>
      <w:r w:rsidRPr="00F03917">
        <w:rPr>
          <w:rStyle w:val="normaltextrun"/>
          <w:rFonts w:cs="Calibri"/>
          <w:color w:val="000000"/>
          <w:szCs w:val="20"/>
          <w:shd w:val="clear" w:color="auto" w:fill="FFFFFF"/>
        </w:rPr>
        <w:t xml:space="preserve">. (2005). Final Draft Guidelines for Coastal Flood Hazard Analysis and Mapping for the Pacific Coast of the United States, Section D.4.5: Wave Setup, Runup, and Overtopping. Oakland: </w:t>
      </w:r>
      <w:r w:rsidRPr="00F03917">
        <w:rPr>
          <w:rStyle w:val="findhit"/>
          <w:rFonts w:cs="Calibri"/>
          <w:color w:val="000000"/>
          <w:szCs w:val="20"/>
          <w:shd w:val="clear" w:color="auto" w:fill="FFFFFF"/>
        </w:rPr>
        <w:t>FEMA</w:t>
      </w:r>
      <w:r w:rsidRPr="00F03917">
        <w:rPr>
          <w:rStyle w:val="normaltextrun"/>
          <w:rFonts w:cs="Calibri"/>
          <w:color w:val="000000"/>
          <w:szCs w:val="20"/>
          <w:shd w:val="clear" w:color="auto" w:fill="FFFFFF"/>
        </w:rPr>
        <w:t xml:space="preserve">. Retrieved from </w:t>
      </w:r>
      <w:r w:rsidR="00FC4873" w:rsidRPr="00F03917">
        <w:t xml:space="preserve"> </w:t>
      </w:r>
      <w:hyperlink r:id="rId280" w:history="1">
        <w:r w:rsidR="00FC4873" w:rsidRPr="00F03917">
          <w:rPr>
            <w:rStyle w:val="Hyperlink"/>
            <w:rFonts w:cs="Calibri"/>
            <w:shd w:val="clear" w:color="auto" w:fill="FFFFFF"/>
          </w:rPr>
          <w:t>https://www.fema.gov/sites/default/files/nepa/Guidelines_for_Coastal_Flood_Hazard_Analysis_and_Mapping_for_the_Pacific_Coast_of_the_United_States__Jan_2005__SUPERSEDED.pdf</w:t>
        </w:r>
      </w:hyperlink>
      <w:r w:rsidR="00FC4873" w:rsidRPr="00F03917">
        <w:rPr>
          <w:rStyle w:val="eop"/>
          <w:rFonts w:cs="Calibri"/>
          <w:color w:val="000000"/>
          <w:shd w:val="clear" w:color="auto" w:fill="FFFFFF"/>
        </w:rPr>
        <w:t xml:space="preserve">. </w:t>
      </w:r>
    </w:p>
    <w:p w14:paraId="51C8F3A2" w14:textId="77777777" w:rsidR="002A3853" w:rsidRPr="00F03917" w:rsidRDefault="002A3853" w:rsidP="002A3853">
      <w:pPr>
        <w:pStyle w:val="References"/>
      </w:pPr>
      <w:r w:rsidRPr="00F03917">
        <w:t>Flick, U. (2009). Introduction to quantitative research</w:t>
      </w:r>
      <w:r w:rsidRPr="00F03917">
        <w:rPr>
          <w:i/>
          <w:iCs/>
        </w:rPr>
        <w:t>.</w:t>
      </w:r>
      <w:r w:rsidRPr="00F03917">
        <w:t xml:space="preserve"> 4th Edition. London: Sage Publications Ltd.</w:t>
      </w:r>
    </w:p>
    <w:p w14:paraId="253779FA" w14:textId="247F7F93" w:rsidR="002A3853" w:rsidRPr="00F03917" w:rsidRDefault="002A3853" w:rsidP="002A3853">
      <w:pPr>
        <w:pStyle w:val="References"/>
      </w:pPr>
      <w:r w:rsidRPr="00F03917">
        <w:rPr>
          <w:rStyle w:val="findhit"/>
          <w:rFonts w:cs="Calibri"/>
          <w:color w:val="000000"/>
          <w:szCs w:val="20"/>
          <w:shd w:val="clear" w:color="auto" w:fill="FFFFFF"/>
        </w:rPr>
        <w:lastRenderedPageBreak/>
        <w:t>Forbes,</w:t>
      </w:r>
      <w:r w:rsidRPr="00F03917">
        <w:rPr>
          <w:rStyle w:val="normaltextrun"/>
          <w:rFonts w:cs="Calibri"/>
          <w:color w:val="000000"/>
          <w:szCs w:val="20"/>
          <w:shd w:val="clear" w:color="auto" w:fill="FFFFFF"/>
        </w:rPr>
        <w:t xml:space="preserve"> D., L., Orford, J., D., Carter, R., W., G., Shaw, J., Jennings, S., C. (1995). Morphodynamic evolution, self-organization, and instability of coarse-clastic barriers on paraglacial coasts. </w:t>
      </w:r>
      <w:r w:rsidRPr="00F03917">
        <w:rPr>
          <w:rStyle w:val="normaltextrun"/>
          <w:rFonts w:cs="Calibri"/>
          <w:i/>
          <w:color w:val="000000"/>
          <w:szCs w:val="20"/>
          <w:shd w:val="clear" w:color="auto" w:fill="FFFFFF"/>
        </w:rPr>
        <w:t>Marine Geology</w:t>
      </w:r>
      <w:r w:rsidRPr="00F03917">
        <w:rPr>
          <w:rStyle w:val="normaltextrun"/>
          <w:rFonts w:cs="Calibri"/>
          <w:color w:val="000000"/>
          <w:szCs w:val="20"/>
          <w:shd w:val="clear" w:color="auto" w:fill="FFFFFF"/>
        </w:rPr>
        <w:t xml:space="preserve"> 126(1-4): 63–85. </w:t>
      </w:r>
      <w:hyperlink r:id="rId281" w:history="1">
        <w:r w:rsidR="00FE4AAA" w:rsidRPr="00F03917">
          <w:rPr>
            <w:rStyle w:val="Hyperlink"/>
          </w:rPr>
          <w:t>https://doi.org/10.1016/0025-3227(95)00066-8</w:t>
        </w:r>
      </w:hyperlink>
      <w:r w:rsidRPr="00F03917">
        <w:rPr>
          <w:rStyle w:val="normaltextrun"/>
          <w:rFonts w:cs="Calibri"/>
          <w:color w:val="000000"/>
          <w:szCs w:val="20"/>
          <w:shd w:val="clear" w:color="auto" w:fill="FFFFFF"/>
        </w:rPr>
        <w:t>.</w:t>
      </w:r>
      <w:r w:rsidRPr="00F03917">
        <w:rPr>
          <w:rStyle w:val="eop"/>
          <w:rFonts w:cs="Calibri"/>
          <w:color w:val="000000"/>
          <w:szCs w:val="20"/>
          <w:shd w:val="clear" w:color="auto" w:fill="FFFFFF"/>
        </w:rPr>
        <w:t> </w:t>
      </w:r>
    </w:p>
    <w:p w14:paraId="5C4F236A" w14:textId="77777777" w:rsidR="002A3853" w:rsidRPr="00F03917" w:rsidRDefault="002A3853" w:rsidP="002A3853">
      <w:pPr>
        <w:pStyle w:val="References"/>
      </w:pPr>
      <w:r w:rsidRPr="00F03917">
        <w:t xml:space="preserve">Ford, M.R., Dickson, M.E. (2018). </w:t>
      </w:r>
      <w:r w:rsidRPr="00F03917">
        <w:rPr>
          <w:iCs/>
        </w:rPr>
        <w:t>Detecting ebb-tidal delta migration using Landsat imagery.</w:t>
      </w:r>
      <w:r w:rsidRPr="00F03917">
        <w:rPr>
          <w:i/>
        </w:rPr>
        <w:t xml:space="preserve"> </w:t>
      </w:r>
      <w:r w:rsidRPr="00F03917">
        <w:rPr>
          <w:i/>
          <w:iCs/>
        </w:rPr>
        <w:t>Marine Geology</w:t>
      </w:r>
      <w:r w:rsidRPr="00F03917">
        <w:t xml:space="preserve"> 405: 38–46. </w:t>
      </w:r>
      <w:hyperlink r:id="rId282" w:history="1">
        <w:r w:rsidRPr="00F03917">
          <w:rPr>
            <w:rStyle w:val="Hyperlink"/>
          </w:rPr>
          <w:t>doi.org/10.1016/j.margeo.2018.08.002</w:t>
        </w:r>
      </w:hyperlink>
      <w:r w:rsidRPr="00F03917">
        <w:t>.</w:t>
      </w:r>
    </w:p>
    <w:p w14:paraId="630E912B" w14:textId="2A6519F8" w:rsidR="002A3853" w:rsidRPr="00F03917" w:rsidRDefault="002A3853" w:rsidP="002A3853">
      <w:pPr>
        <w:pStyle w:val="References"/>
      </w:pPr>
      <w:r w:rsidRPr="00F03917">
        <w:rPr>
          <w:rStyle w:val="findhit"/>
          <w:rFonts w:cs="Calibri"/>
          <w:color w:val="000000"/>
          <w:szCs w:val="20"/>
          <w:shd w:val="clear" w:color="auto" w:fill="FFFFFF"/>
        </w:rPr>
        <w:t>Ford,</w:t>
      </w:r>
      <w:r w:rsidRPr="00F03917">
        <w:rPr>
          <w:rStyle w:val="normaltextrun"/>
          <w:rFonts w:cs="Calibri"/>
          <w:color w:val="000000"/>
          <w:szCs w:val="20"/>
          <w:shd w:val="clear" w:color="auto" w:fill="FFFFFF"/>
        </w:rPr>
        <w:t xml:space="preserve"> J., D., Stephenson, E., Cunsolo Willox, A., Edge, V., Farahbakhsh, K., Furgal, C., Harper, S., Chatwood, S., Mauro, I., Pearce, T., Austin, S., Bunce, A., Bussalleu, A., Diaz, J., Finner, K., Gordon, A., Huet, C., Kitching, K., Lardeau, M., McDowell, G., McDonald, E., Nakoneczny, L., Sherman, M. (2016). Community-based adaptation research in the Canadian Arctic</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Wiley Interdisciplinary Reviews: Climate Change</w:t>
      </w:r>
      <w:r w:rsidRPr="00F03917">
        <w:rPr>
          <w:rStyle w:val="normaltextrun"/>
          <w:rFonts w:cs="Calibri"/>
          <w:color w:val="000000"/>
          <w:szCs w:val="20"/>
          <w:shd w:val="clear" w:color="auto" w:fill="FFFFFF"/>
        </w:rPr>
        <w:t xml:space="preserve"> 7(2): 175–191. </w:t>
      </w:r>
      <w:hyperlink r:id="rId283" w:history="1">
        <w:r w:rsidR="00884F61" w:rsidRPr="00F03917">
          <w:rPr>
            <w:rStyle w:val="Hyperlink"/>
            <w:rFonts w:cs="Calibri"/>
            <w:szCs w:val="20"/>
            <w:shd w:val="clear" w:color="auto" w:fill="FFFFFF"/>
          </w:rPr>
          <w:t>https://doi.org/10.1002/wcc.376</w:t>
        </w:r>
      </w:hyperlink>
    </w:p>
    <w:p w14:paraId="40E3FB88" w14:textId="77777777" w:rsidR="002A3853" w:rsidRPr="00F03917" w:rsidRDefault="002A3853" w:rsidP="002A3853">
      <w:pPr>
        <w:pStyle w:val="References"/>
      </w:pPr>
      <w:r w:rsidRPr="00F03917">
        <w:rPr>
          <w:rStyle w:val="findhit"/>
          <w:rFonts w:cs="Calibri"/>
          <w:color w:val="000000"/>
          <w:szCs w:val="20"/>
          <w:shd w:val="clear" w:color="auto" w:fill="FFFFFF"/>
        </w:rPr>
        <w:t>Forester,</w:t>
      </w:r>
      <w:r w:rsidRPr="00F03917">
        <w:rPr>
          <w:rStyle w:val="normaltextrun"/>
          <w:rFonts w:cs="Calibri"/>
          <w:color w:val="000000"/>
          <w:szCs w:val="20"/>
          <w:shd w:val="clear" w:color="auto" w:fill="FFFFFF"/>
        </w:rPr>
        <w:t xml:space="preserve"> J., &amp; Theckethil, R., K. (2009). Rethinking risk management policies: From participation to processes of dialogue, debate and negotiation. In: UF Paleo (ed.) Building safer communities: Risk governance, spatial planning and responses to natural hazards, Volume 58, NATO Science for Peace and Security: 34–43. Amsterdam: IOS Press</w:t>
      </w:r>
    </w:p>
    <w:p w14:paraId="0535733E" w14:textId="0CCB26F3" w:rsidR="002A3853" w:rsidRPr="00F03917" w:rsidRDefault="002A3853" w:rsidP="002A3853">
      <w:pPr>
        <w:pStyle w:val="References"/>
      </w:pPr>
      <w:r w:rsidRPr="00F03917">
        <w:t>Fox-Kemper, B., Adcroft, A., Böning, C. W., Chassignet, E. P., Curchitser, E., Danabasoglu, G., ... &amp; Yeager, S. G. (2019). Challenges and prospects in ocean circulation models</w:t>
      </w:r>
      <w:r w:rsidRPr="00F03917">
        <w:rPr>
          <w:i/>
          <w:iCs/>
        </w:rPr>
        <w:t>.</w:t>
      </w:r>
      <w:r w:rsidRPr="00F03917">
        <w:rPr>
          <w:i/>
        </w:rPr>
        <w:t xml:space="preserve"> Frontiers in Marine Science</w:t>
      </w:r>
      <w:r w:rsidRPr="00F03917">
        <w:t>, 6, 65.</w:t>
      </w:r>
      <w:r w:rsidR="004F79FF" w:rsidRPr="00F03917">
        <w:t xml:space="preserve"> </w:t>
      </w:r>
      <w:hyperlink r:id="rId284" w:history="1">
        <w:r w:rsidR="004F79FF" w:rsidRPr="00F03917">
          <w:rPr>
            <w:rStyle w:val="Hyperlink"/>
          </w:rPr>
          <w:t>https://doi.org/10.3389/fmars.2019.00065</w:t>
        </w:r>
      </w:hyperlink>
    </w:p>
    <w:p w14:paraId="6E92B509" w14:textId="77777777" w:rsidR="002A3853" w:rsidRPr="00F03917" w:rsidRDefault="002A3853" w:rsidP="002A3853">
      <w:pPr>
        <w:pStyle w:val="References"/>
        <w:rPr>
          <w:color w:val="008080"/>
          <w:u w:val="single"/>
        </w:rPr>
      </w:pPr>
      <w:r w:rsidRPr="00F03917">
        <w:t xml:space="preserve">Fox-Kemper, B., Hewitt, H.T., Xiao, C., Aðalgeirsdóttir, G., Drijfhout, S.S., Edwards, T.L., Golledge, N.R., Hemer, M., Kopp, R.E., Krinner, G., Mix, A., Notz, D., Nowicki, S., Nurhati, I.S., Ruiz, L., Sallée, J-B., Slangen, A.B.A., Yu, Y. (2021). Ocean, Cryosphere and Sea Level Change. In: V., Masson-Delmotte, P., Zhai, A., Pirani, S.L, Connors, C., Péan, S., Berger, N., Caud, Y., Chen, L., Goldfarb, M.I., Gomis, M., Huang, K., Leitzell, E., Lonnoy, J.B.R., Matthews, T.K., Maycock, T., Waterfield, O., Yelekçi, R., Yu, B. Zhou (eds). </w:t>
      </w:r>
      <w:r w:rsidRPr="00F03917">
        <w:rPr>
          <w:i/>
          <w:iCs/>
        </w:rPr>
        <w:t>Climate Change 2021: The Physical Science Basis. Contribution of Working Group I to the Sixth Assessment Report of the Intergovernmental Panel on Climate Change.</w:t>
      </w:r>
      <w:r w:rsidRPr="00F03917">
        <w:t xml:space="preserve"> IPCC AR6, WGI, Chapter 9. Cambridge University Press. Retrieved from </w:t>
      </w:r>
      <w:hyperlink r:id="rId285" w:history="1">
        <w:r w:rsidRPr="00F03917">
          <w:rPr>
            <w:rStyle w:val="Hyperlink"/>
            <w:rFonts w:eastAsia="Calibri" w:cs="Calibri"/>
            <w:szCs w:val="20"/>
          </w:rPr>
          <w:t>www.ipcc.ch/report/ar6/wg1/downloads/report/IPCC_AR6_WGI_Chapter_09.pdf</w:t>
        </w:r>
      </w:hyperlink>
      <w:r w:rsidRPr="00F03917">
        <w:t>.</w:t>
      </w:r>
      <w:r w:rsidRPr="00F03917">
        <w:rPr>
          <w:color w:val="008080"/>
          <w:u w:val="single"/>
        </w:rPr>
        <w:t xml:space="preserve"> </w:t>
      </w:r>
    </w:p>
    <w:p w14:paraId="0D381E39"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Frame,</w:t>
      </w:r>
      <w:r w:rsidRPr="00F03917">
        <w:rPr>
          <w:rStyle w:val="normaltextrun"/>
          <w:rFonts w:cs="Calibri"/>
          <w:color w:val="000000"/>
          <w:szCs w:val="20"/>
          <w:shd w:val="clear" w:color="auto" w:fill="FFFFFF"/>
        </w:rPr>
        <w:t xml:space="preserve"> B., Lawrence, J., Ausseil, A., Daigneault, A., Reisinger, A. (2018). Adapting global shared socio-economic pathways for national and local scenarios. </w:t>
      </w:r>
      <w:r w:rsidRPr="00F03917">
        <w:rPr>
          <w:rStyle w:val="normaltextrun"/>
          <w:rFonts w:cs="Calibri"/>
          <w:i/>
          <w:color w:val="000000"/>
          <w:szCs w:val="20"/>
          <w:shd w:val="clear" w:color="auto" w:fill="FFFFFF"/>
        </w:rPr>
        <w:t>Climate Risk Management</w:t>
      </w:r>
      <w:r w:rsidRPr="00F03917">
        <w:rPr>
          <w:rStyle w:val="normaltextrun"/>
          <w:rFonts w:cs="Calibri"/>
          <w:color w:val="000000"/>
          <w:szCs w:val="20"/>
          <w:shd w:val="clear" w:color="auto" w:fill="FFFFFF"/>
        </w:rPr>
        <w:t xml:space="preserve"> 21: 39-51. </w:t>
      </w:r>
      <w:hyperlink r:id="rId286" w:tgtFrame="_blank" w:history="1">
        <w:r w:rsidRPr="00F03917">
          <w:rPr>
            <w:rStyle w:val="Hyperlink"/>
          </w:rPr>
          <w:t>https://doi.org/10.1016/j.crm.2018.05.001</w:t>
        </w:r>
      </w:hyperlink>
      <w:r w:rsidRPr="00F03917">
        <w:rPr>
          <w:rStyle w:val="normaltextrun"/>
          <w:rFonts w:cs="Calibri"/>
          <w:color w:val="000000"/>
          <w:szCs w:val="20"/>
          <w:shd w:val="clear" w:color="auto" w:fill="FFFFFF"/>
        </w:rPr>
        <w:t> </w:t>
      </w:r>
      <w:r w:rsidRPr="00F03917">
        <w:rPr>
          <w:rStyle w:val="eop"/>
          <w:rFonts w:cs="Calibri"/>
          <w:color w:val="000000"/>
          <w:shd w:val="clear" w:color="auto" w:fill="FFFFFF"/>
        </w:rPr>
        <w:t> </w:t>
      </w:r>
    </w:p>
    <w:p w14:paraId="3CEC1F3D" w14:textId="54FA47A8"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Frame, B., Reisinger, A. (2016). Climate change impacts and implications: exploring options for New Zealand under different global climates. Synthesis Report RA5. Climate Change Impacts and Implications for New Zealand to 2100.</w:t>
      </w:r>
      <w:r w:rsidR="00D808D7" w:rsidRPr="00F03917">
        <w:rPr>
          <w:rStyle w:val="findhit"/>
          <w:rFonts w:cs="Calibri"/>
          <w:color w:val="000000"/>
          <w:szCs w:val="20"/>
          <w:shd w:val="clear" w:color="auto" w:fill="FFFFFF"/>
        </w:rPr>
        <w:t xml:space="preserve"> Retrieved from </w:t>
      </w:r>
      <w:hyperlink r:id="rId287" w:history="1">
        <w:r w:rsidR="00D808D7" w:rsidRPr="00F03917">
          <w:rPr>
            <w:rStyle w:val="Hyperlink"/>
            <w:rFonts w:cs="Calibri"/>
            <w:szCs w:val="20"/>
            <w:shd w:val="clear" w:color="auto" w:fill="FFFFFF"/>
          </w:rPr>
          <w:t>https://niwa.co.nz/sites/niwa.co.nz/files/RA5-Synthesis-report.pdf</w:t>
        </w:r>
      </w:hyperlink>
      <w:r w:rsidR="00D808D7" w:rsidRPr="00F03917">
        <w:rPr>
          <w:rStyle w:val="findhit"/>
          <w:rFonts w:cs="Calibri"/>
          <w:color w:val="000000"/>
          <w:szCs w:val="20"/>
          <w:shd w:val="clear" w:color="auto" w:fill="FFFFFF"/>
        </w:rPr>
        <w:t xml:space="preserve">. </w:t>
      </w:r>
    </w:p>
    <w:p w14:paraId="49773948" w14:textId="72E544ED"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Frederikse, T., Landerer, F., Caron, L., Adhikari, S., Parkes, D., Humphrey, V., W., Dangendorf, S., Hogarth, P., Zanna, L., Cheng, L., Wu, Y-H. (2020). The causes of sea-level rise since 1900. </w:t>
      </w:r>
      <w:r w:rsidRPr="00F03917">
        <w:rPr>
          <w:rStyle w:val="findhit"/>
          <w:rFonts w:cs="Calibri"/>
          <w:i/>
          <w:color w:val="000000"/>
          <w:szCs w:val="20"/>
          <w:shd w:val="clear" w:color="auto" w:fill="FFFFFF"/>
        </w:rPr>
        <w:t xml:space="preserve">Nature </w:t>
      </w:r>
      <w:r w:rsidRPr="00F03917">
        <w:rPr>
          <w:rStyle w:val="findhit"/>
          <w:rFonts w:cs="Calibri"/>
          <w:color w:val="000000"/>
          <w:szCs w:val="20"/>
          <w:shd w:val="clear" w:color="auto" w:fill="FFFFFF"/>
        </w:rPr>
        <w:t xml:space="preserve">584. 393-397. </w:t>
      </w:r>
      <w:r w:rsidR="00FD72DE" w:rsidRPr="00F03917">
        <w:rPr>
          <w:rStyle w:val="Hyperlink"/>
        </w:rPr>
        <w:t>https://</w:t>
      </w:r>
      <w:hyperlink r:id="rId288" w:history="1">
        <w:r w:rsidR="001A687B" w:rsidRPr="00F03917">
          <w:rPr>
            <w:rStyle w:val="Hyperlink"/>
          </w:rPr>
          <w:t>doi.org/10.1038/s41586-020-2591-3.</w:t>
        </w:r>
      </w:hyperlink>
    </w:p>
    <w:p w14:paraId="7DDD5BFD" w14:textId="066887BC" w:rsidR="002A3853" w:rsidRPr="00F03917" w:rsidRDefault="002A3853" w:rsidP="002A3853">
      <w:pPr>
        <w:pStyle w:val="References"/>
        <w:rPr>
          <w:rStyle w:val="Hyperlink"/>
        </w:rPr>
      </w:pPr>
      <w:r w:rsidRPr="00F03917">
        <w:rPr>
          <w:rStyle w:val="findhit"/>
          <w:rFonts w:cs="Calibri"/>
          <w:color w:val="000000"/>
          <w:szCs w:val="20"/>
          <w:shd w:val="clear" w:color="auto" w:fill="FFFFFF"/>
        </w:rPr>
        <w:t>Fretw</w:t>
      </w:r>
      <w:r w:rsidRPr="00F03917">
        <w:rPr>
          <w:rStyle w:val="normaltextrun"/>
          <w:rFonts w:cs="Calibri"/>
          <w:color w:val="000000"/>
          <w:szCs w:val="20"/>
          <w:shd w:val="clear" w:color="auto" w:fill="FFFFFF"/>
        </w:rPr>
        <w:t>ell, P., Pritchard, H., D., Vaughan, D., G., Bamber, J., L., Barrand, N., E., Bell, R., … Zirizzotti, A. (2013). Bedmap2: improved ice bed, surface and thickness datasets for Antarctica</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The Cryosphere</w:t>
      </w:r>
      <w:r w:rsidRPr="00F03917">
        <w:rPr>
          <w:rStyle w:val="normaltextrun"/>
          <w:rFonts w:cs="Calibri"/>
          <w:color w:val="000000"/>
          <w:szCs w:val="20"/>
          <w:shd w:val="clear" w:color="auto" w:fill="FFFFFF"/>
        </w:rPr>
        <w:t xml:space="preserve"> 7: 375–393. </w:t>
      </w:r>
      <w:hyperlink r:id="rId289" w:history="1">
        <w:r w:rsidR="002B4261" w:rsidRPr="00F03917">
          <w:rPr>
            <w:rStyle w:val="Hyperlink"/>
          </w:rPr>
          <w:t>https://doi.org/10.5194/tc-7-375-2013</w:t>
        </w:r>
      </w:hyperlink>
      <w:r w:rsidRPr="00F03917">
        <w:rPr>
          <w:rStyle w:val="Hyperlink"/>
        </w:rPr>
        <w:t>. </w:t>
      </w:r>
    </w:p>
    <w:p w14:paraId="301EFB23" w14:textId="77777777" w:rsidR="002A3853" w:rsidRPr="00F03917" w:rsidRDefault="002A3853" w:rsidP="002A3853">
      <w:pPr>
        <w:pStyle w:val="References"/>
      </w:pPr>
      <w:r w:rsidRPr="00F03917">
        <w:t xml:space="preserve">Garner, G., Hermans, .H.J., Kopp, R., Slangen, A., Edwards, T., Levermann, A., Nowicki, S., Palmer, M., D., Smith, C., Fox-Kemper, B., Hewitt, H., Xiao, C., Aðalgeirsdóttir, G., Drijfhout, S., Golledge, N., Hemer, M., Krinner, G., Mix, A., Notz, D., Nurhati, I., Ruiz, L., Sallée, J-B., Yu, Y., Hua, L., Palmer, T., Pearson, B. (2023). IPCC AR6 WGI Sea Level Projections. </w:t>
      </w:r>
      <w:r w:rsidRPr="00F03917">
        <w:rPr>
          <w:i/>
          <w:iCs/>
        </w:rPr>
        <w:t>World Data Center for Climate (WDCC) at DKRZ</w:t>
      </w:r>
      <w:r w:rsidRPr="00F03917">
        <w:t xml:space="preserve">. </w:t>
      </w:r>
      <w:hyperlink r:id="rId290" w:history="1">
        <w:r w:rsidRPr="00F03917">
          <w:rPr>
            <w:rStyle w:val="Hyperlink"/>
          </w:rPr>
          <w:t>https://doi.org/10.26050/WDCC/AR6.IPCC-DDC_AR6_Sup_SLPr</w:t>
        </w:r>
      </w:hyperlink>
    </w:p>
    <w:p w14:paraId="2F953BDE" w14:textId="6C57B6C8" w:rsidR="002A3853" w:rsidRPr="00F03917" w:rsidRDefault="002A3853" w:rsidP="002A3853">
      <w:pPr>
        <w:pStyle w:val="References"/>
      </w:pPr>
      <w:r w:rsidRPr="00F03917">
        <w:t xml:space="preserve">Garschagen, M., Doshi, D., Moure, M., James, H., Shekhar, H. (2019). The consideration of future risk trends in national adaptation planning: Conceptual gaps and empirical lessons. </w:t>
      </w:r>
      <w:r w:rsidRPr="00F03917">
        <w:rPr>
          <w:i/>
          <w:iCs/>
        </w:rPr>
        <w:t>Climate Risk Management</w:t>
      </w:r>
      <w:r w:rsidRPr="00F03917">
        <w:t xml:space="preserve"> 34: 100357. </w:t>
      </w:r>
      <w:r w:rsidR="00FD72DE" w:rsidRPr="00F03917">
        <w:rPr>
          <w:rStyle w:val="Hyperlink"/>
        </w:rPr>
        <w:t>https://</w:t>
      </w:r>
      <w:hyperlink r:id="rId291" w:history="1">
        <w:r w:rsidRPr="00F03917">
          <w:rPr>
            <w:rStyle w:val="Hyperlink"/>
          </w:rPr>
          <w:t>doi.org/10.1016/j.crm.2021.100357</w:t>
        </w:r>
      </w:hyperlink>
      <w:r w:rsidRPr="00F03917">
        <w:t xml:space="preserve">. </w:t>
      </w:r>
    </w:p>
    <w:p w14:paraId="0B267870" w14:textId="34278860" w:rsidR="002A3853" w:rsidRPr="00F03917" w:rsidRDefault="002A3853" w:rsidP="002A3853">
      <w:pPr>
        <w:pStyle w:val="References"/>
      </w:pPr>
      <w:r w:rsidRPr="00F03917">
        <w:t>Gehrels, W.R., Hayward, B.W., Newnham, R.M., Southall, K.E. (2008). A 20th century acceleration of sea</w:t>
      </w:r>
      <w:r w:rsidRPr="00F03917">
        <w:noBreakHyphen/>
        <w:t xml:space="preserve">level rise in New Zealand. </w:t>
      </w:r>
      <w:r w:rsidRPr="00F03917">
        <w:rPr>
          <w:i/>
          <w:iCs/>
        </w:rPr>
        <w:t>Geophysical Research Letters</w:t>
      </w:r>
      <w:r w:rsidRPr="00F03917">
        <w:t xml:space="preserve"> 35(2): L02717. </w:t>
      </w:r>
      <w:r w:rsidR="00FD72DE" w:rsidRPr="00F03917">
        <w:rPr>
          <w:rStyle w:val="Hyperlink"/>
        </w:rPr>
        <w:t>https://</w:t>
      </w:r>
      <w:hyperlink r:id="rId292" w:history="1">
        <w:r w:rsidRPr="00F03917">
          <w:rPr>
            <w:rStyle w:val="Hyperlink"/>
          </w:rPr>
          <w:t>doi.org/10.1029/2007GL032632</w:t>
        </w:r>
      </w:hyperlink>
      <w:r w:rsidRPr="00F03917">
        <w:t>.</w:t>
      </w:r>
    </w:p>
    <w:p w14:paraId="5DE70A6C" w14:textId="2700DDE0" w:rsidR="002A3853" w:rsidRPr="00F03917" w:rsidRDefault="002A3853" w:rsidP="002A3853">
      <w:pPr>
        <w:pStyle w:val="References"/>
      </w:pPr>
      <w:r w:rsidRPr="00F03917">
        <w:lastRenderedPageBreak/>
        <w:t xml:space="preserve">Gehrels, W.R., Woodworth, P.L. (2013). When did modern rates of sea-level rise start? </w:t>
      </w:r>
      <w:r w:rsidRPr="00F03917">
        <w:rPr>
          <w:i/>
          <w:iCs/>
        </w:rPr>
        <w:t>Global and Planetary Change</w:t>
      </w:r>
      <w:r w:rsidRPr="00F03917">
        <w:t xml:space="preserve"> 100: 263–277. </w:t>
      </w:r>
      <w:r w:rsidR="00B72B77" w:rsidRPr="00F03917">
        <w:rPr>
          <w:rStyle w:val="Hyperlink"/>
        </w:rPr>
        <w:t>https://</w:t>
      </w:r>
      <w:hyperlink r:id="rId293" w:history="1">
        <w:r w:rsidRPr="00F03917">
          <w:rPr>
            <w:rStyle w:val="Hyperlink"/>
          </w:rPr>
          <w:t>doi.org/10.1016/j.gloplacha.2012.10.020</w:t>
        </w:r>
      </w:hyperlink>
      <w:r w:rsidRPr="00F03917">
        <w:rPr>
          <w:rStyle w:val="Hyperlink"/>
        </w:rPr>
        <w:t>.</w:t>
      </w:r>
      <w:r w:rsidRPr="00F03917">
        <w:t xml:space="preserve"> </w:t>
      </w:r>
    </w:p>
    <w:p w14:paraId="0387B1BF" w14:textId="77777777" w:rsidR="002A3853" w:rsidRPr="00F03917" w:rsidRDefault="002A3853" w:rsidP="002A3853">
      <w:pPr>
        <w:pStyle w:val="References"/>
      </w:pPr>
      <w:r w:rsidRPr="00F03917">
        <w:t xml:space="preserve">Gibb, J.G. (1998). A Personal Contribution to Coastal Hazard Risk Assessment in New Zealand. </w:t>
      </w:r>
      <w:r w:rsidRPr="00F03917">
        <w:rPr>
          <w:i/>
        </w:rPr>
        <w:t>Report Prepared for the Auckland Regional Council</w:t>
      </w:r>
      <w:r w:rsidRPr="00F03917">
        <w:t>. 53 p.</w:t>
      </w:r>
    </w:p>
    <w:p w14:paraId="07BA9E11" w14:textId="77777777" w:rsidR="002A3853" w:rsidRPr="00F03917" w:rsidRDefault="002A3853" w:rsidP="002A3853">
      <w:pPr>
        <w:pStyle w:val="References"/>
        <w:rPr>
          <w:color w:val="008080"/>
          <w:u w:val="single"/>
        </w:rPr>
      </w:pPr>
      <w:r w:rsidRPr="00F03917">
        <w:t>Glavovic, B.C. (2021). How to reduce coastal hazard risk in your community – A step-by-step approach</w:t>
      </w:r>
      <w:r w:rsidRPr="00F03917">
        <w:rPr>
          <w:i/>
          <w:iCs/>
        </w:rPr>
        <w:t xml:space="preserve">. </w:t>
      </w:r>
      <w:r w:rsidRPr="00F03917">
        <w:rPr>
          <w:i/>
        </w:rPr>
        <w:t>IOC Manuals and Guides</w:t>
      </w:r>
      <w:r w:rsidRPr="00F03917">
        <w:t xml:space="preserve"> No. 85 Vol.1 (English). Paris, UNESCO, 2021. Retrieved from </w:t>
      </w:r>
      <w:hyperlink r:id="rId294">
        <w:r w:rsidRPr="00F03917">
          <w:rPr>
            <w:rStyle w:val="Hyperlink"/>
            <w:rFonts w:eastAsia="Calibri" w:cs="Calibri"/>
          </w:rPr>
          <w:t>https://unesdoc.unesco.org/ark:/48223/pf0000375768</w:t>
        </w:r>
      </w:hyperlink>
      <w:r w:rsidRPr="00F03917">
        <w:rPr>
          <w:color w:val="008080"/>
        </w:rPr>
        <w:t>.</w:t>
      </w:r>
    </w:p>
    <w:p w14:paraId="1D4EB610" w14:textId="77777777" w:rsidR="002A3853" w:rsidRPr="00F03917" w:rsidRDefault="002A3853" w:rsidP="002A3853">
      <w:pPr>
        <w:pStyle w:val="References"/>
      </w:pPr>
      <w:r w:rsidRPr="00F03917">
        <w:t xml:space="preserve">Glavovic, B.C., R. Dawson, W. Chow, M. Garschagen, M. Haasnoot, C. Singh, A. Thomas. (2022). Cross-Chapter Paper 2: Cities and Settlements by the Sea. </w:t>
      </w:r>
      <w:r w:rsidRPr="00F03917">
        <w:rPr>
          <w:i/>
        </w:rPr>
        <w:t>In: </w:t>
      </w:r>
      <w:r w:rsidRPr="00F03917">
        <w:rPr>
          <w:i/>
          <w:iCs/>
        </w:rPr>
        <w:t>Climate Change 2022: Impacts, Adaptation and Vulnerability. </w:t>
      </w:r>
      <w:r w:rsidRPr="00F03917">
        <w:rPr>
          <w:i/>
        </w:rPr>
        <w:t>Contribution of Working Group II to the Sixth Assessment Report of the Intergovernmental Panel on Climate Change</w:t>
      </w:r>
      <w:r w:rsidRPr="00F03917">
        <w:t xml:space="preserve">. H.-O. Pörtner, D.C. Roberts, M. Tignor, E.S. Poloczanska, K. Mintenbeck, A. Alegría, M. Craig, S. Langsdorf, S. Löschke, V. Möller, A. Okem, B. Rama (eds). Cambridge University Press, Cambridge, UK and New York, NY, USA, pp. 2163–2194. doi:10.1017/9781009325844.019. Retrieved from </w:t>
      </w:r>
      <w:hyperlink r:id="rId295" w:history="1">
        <w:r w:rsidRPr="00F03917">
          <w:rPr>
            <w:rStyle w:val="Hyperlink"/>
          </w:rPr>
          <w:t>www.ipcc.ch/report/ar6/wg2/chapter/ccp2/</w:t>
        </w:r>
      </w:hyperlink>
      <w:r w:rsidRPr="00F03917">
        <w:t>.</w:t>
      </w:r>
    </w:p>
    <w:p w14:paraId="6FAB4D04" w14:textId="77777777" w:rsidR="002A3853" w:rsidRPr="00F03917" w:rsidRDefault="002A3853" w:rsidP="002A3853">
      <w:pPr>
        <w:pStyle w:val="References"/>
      </w:pPr>
      <w:r w:rsidRPr="00F03917">
        <w:t xml:space="preserve">Goodhue, N., Allis, M., Stephens, S.A., Gorman, R.M., Robinson, B. (2015). Bay of Plenty storm tide and wave </w:t>
      </w:r>
      <w:r w:rsidRPr="00F03917">
        <w:rPr>
          <w:spacing w:val="-2"/>
        </w:rPr>
        <w:t xml:space="preserve">hazard. </w:t>
      </w:r>
      <w:r w:rsidRPr="00F03917">
        <w:rPr>
          <w:i/>
          <w:spacing w:val="-2"/>
        </w:rPr>
        <w:t>Prepared for Bay of Plenty Regional Council by NIWA</w:t>
      </w:r>
      <w:r w:rsidRPr="00F03917">
        <w:rPr>
          <w:spacing w:val="-2"/>
        </w:rPr>
        <w:t>. Whakatane: Bay of Plenty Regional Council.</w:t>
      </w:r>
      <w:r w:rsidRPr="00F03917">
        <w:t xml:space="preserve"> </w:t>
      </w:r>
    </w:p>
    <w:p w14:paraId="19B67E0E" w14:textId="77777777" w:rsidR="002A3853" w:rsidRPr="00F03917" w:rsidRDefault="002A3853" w:rsidP="002A3853">
      <w:pPr>
        <w:pStyle w:val="References"/>
        <w:rPr>
          <w:color w:val="008080"/>
          <w:u w:val="single"/>
        </w:rPr>
      </w:pPr>
      <w:r w:rsidRPr="00F03917">
        <w:t>Golledge, N.R. (2020). Long-term projections of sea-level rise from ice sheets.</w:t>
      </w:r>
      <w:r w:rsidRPr="00F03917">
        <w:rPr>
          <w:i/>
          <w:iCs/>
        </w:rPr>
        <w:t xml:space="preserve"> WIREs Climate Change</w:t>
      </w:r>
      <w:r w:rsidRPr="00F03917">
        <w:t xml:space="preserve"> 11: e634. </w:t>
      </w:r>
      <w:hyperlink r:id="rId296" w:history="1">
        <w:r w:rsidRPr="00F03917">
          <w:rPr>
            <w:rStyle w:val="Hyperlink"/>
            <w:rFonts w:eastAsia="Calibri" w:cs="Calibri"/>
            <w:szCs w:val="20"/>
          </w:rPr>
          <w:t>https://doi.org/10.1002/wcc.634</w:t>
        </w:r>
      </w:hyperlink>
      <w:r w:rsidRPr="00F03917">
        <w:rPr>
          <w:color w:val="008080"/>
          <w:u w:val="single"/>
        </w:rPr>
        <w:t xml:space="preserve"> </w:t>
      </w:r>
    </w:p>
    <w:p w14:paraId="090E8C45" w14:textId="2CDCDBDB" w:rsidR="002A3853" w:rsidRPr="00F03917" w:rsidRDefault="002A3853" w:rsidP="002A3853">
      <w:pPr>
        <w:pStyle w:val="References"/>
      </w:pPr>
      <w:r w:rsidRPr="00F03917">
        <w:rPr>
          <w:rStyle w:val="normaltextrun"/>
          <w:rFonts w:cs="Calibri"/>
          <w:color w:val="000000"/>
          <w:szCs w:val="20"/>
          <w:shd w:val="clear" w:color="auto" w:fill="FFFFFF"/>
        </w:rPr>
        <w:t xml:space="preserve">Golledge, N., R., Kowalewski, D., E., Naish, T., R., Levy, R., H., Fogwill, C., J., Gasson, E., G., W. (2015). The multi-millennial Antarctic commitment to future sea-level rise. </w:t>
      </w:r>
      <w:r w:rsidRPr="00F03917">
        <w:rPr>
          <w:rStyle w:val="normaltextrun"/>
          <w:rFonts w:cs="Calibri"/>
          <w:i/>
          <w:color w:val="000000"/>
          <w:szCs w:val="20"/>
          <w:shd w:val="clear" w:color="auto" w:fill="FFFFFF"/>
        </w:rPr>
        <w:t>Nature</w:t>
      </w:r>
      <w:r w:rsidRPr="00F03917">
        <w:rPr>
          <w:rStyle w:val="normaltextrun"/>
          <w:rFonts w:cs="Calibri"/>
          <w:color w:val="000000"/>
          <w:szCs w:val="20"/>
          <w:shd w:val="clear" w:color="auto" w:fill="FFFFFF"/>
        </w:rPr>
        <w:t xml:space="preserve"> 526(7573): 421–425. Retrieved from </w:t>
      </w:r>
      <w:hyperlink r:id="rId297" w:tgtFrame="_blank" w:history="1">
        <w:r w:rsidR="00B5279D" w:rsidRPr="00F03917">
          <w:rPr>
            <w:rStyle w:val="Hyperlink"/>
          </w:rPr>
          <w:t>http://dx.doi.org/10.1038/nature15706</w:t>
        </w:r>
      </w:hyperlink>
      <w:r w:rsidRPr="00F03917">
        <w:rPr>
          <w:rStyle w:val="normaltextrun"/>
          <w:rFonts w:cs="Calibri"/>
          <w:color w:val="000000"/>
          <w:szCs w:val="20"/>
          <w:shd w:val="clear" w:color="auto" w:fill="FFFFFF"/>
        </w:rPr>
        <w:t>.</w:t>
      </w:r>
      <w:r w:rsidRPr="00F03917">
        <w:rPr>
          <w:rStyle w:val="eop"/>
          <w:rFonts w:cs="Calibri"/>
          <w:color w:val="000000"/>
          <w:shd w:val="clear" w:color="auto" w:fill="FFFFFF"/>
        </w:rPr>
        <w:t> </w:t>
      </w:r>
    </w:p>
    <w:p w14:paraId="0E27FADA" w14:textId="77777777" w:rsidR="002A3853" w:rsidRPr="00F03917" w:rsidRDefault="002A3853" w:rsidP="002A3853">
      <w:pPr>
        <w:pStyle w:val="References"/>
      </w:pPr>
      <w:r w:rsidRPr="00F03917">
        <w:t xml:space="preserve">Gray, S. (2016). Local authority adaptation strategy development guideline. </w:t>
      </w:r>
      <w:r w:rsidRPr="00F03917">
        <w:rPr>
          <w:i/>
        </w:rPr>
        <w:t>Research Report 164</w:t>
      </w:r>
      <w:r w:rsidRPr="00F03917">
        <w:t xml:space="preserve">, prepared by University College Cork for Environmental Protection Agency (Ireland): 31. Retrieved from </w:t>
      </w:r>
      <w:hyperlink r:id="rId298" w:history="1">
        <w:r w:rsidRPr="00F03917">
          <w:rPr>
            <w:rStyle w:val="Hyperlink"/>
          </w:rPr>
          <w:t>www.epa.ie/publications/research/climate-change/research-report-164.php</w:t>
        </w:r>
      </w:hyperlink>
      <w:r w:rsidRPr="00F03917">
        <w:t xml:space="preserve">. </w:t>
      </w:r>
    </w:p>
    <w:p w14:paraId="2ECF311F" w14:textId="77777777" w:rsidR="002A3853" w:rsidRPr="00F03917" w:rsidRDefault="002A3853" w:rsidP="002A3853">
      <w:pPr>
        <w:pStyle w:val="paragraph"/>
        <w:spacing w:before="0" w:beforeAutospacing="0" w:after="120" w:afterAutospacing="0"/>
        <w:textAlignment w:val="baseline"/>
        <w:rPr>
          <w:rFonts w:ascii="Segoe UI" w:hAnsi="Segoe UI" w:cs="Segoe UI"/>
          <w:sz w:val="18"/>
          <w:szCs w:val="18"/>
        </w:rPr>
      </w:pPr>
      <w:r w:rsidRPr="00F03917">
        <w:rPr>
          <w:rStyle w:val="findhit"/>
          <w:rFonts w:ascii="Calibri" w:eastAsiaTheme="majorEastAsia" w:hAnsi="Calibri" w:cs="Calibri"/>
          <w:sz w:val="20"/>
          <w:szCs w:val="20"/>
        </w:rPr>
        <w:t>Greater W</w:t>
      </w:r>
      <w:r w:rsidRPr="00F03917">
        <w:rPr>
          <w:rStyle w:val="normaltextrun"/>
          <w:rFonts w:ascii="Calibri" w:hAnsi="Calibri" w:cs="Calibri"/>
          <w:sz w:val="20"/>
          <w:szCs w:val="20"/>
        </w:rPr>
        <w:t xml:space="preserve">ellington Regional Council. (2015a). Flood protection: Option flexibility and its value Hutt River City Centre Upgrade River Corridor Options Report. </w:t>
      </w:r>
      <w:r w:rsidRPr="00F03917">
        <w:rPr>
          <w:rStyle w:val="normaltextrun"/>
          <w:rFonts w:ascii="Calibri" w:hAnsi="Calibri" w:cs="Calibri"/>
          <w:i/>
          <w:sz w:val="20"/>
          <w:szCs w:val="20"/>
        </w:rPr>
        <w:t xml:space="preserve">Prepared for </w:t>
      </w:r>
      <w:r w:rsidRPr="00F03917">
        <w:rPr>
          <w:rStyle w:val="findhit"/>
          <w:rFonts w:ascii="Calibri" w:eastAsiaTheme="majorEastAsia" w:hAnsi="Calibri" w:cs="Calibri"/>
          <w:i/>
          <w:sz w:val="20"/>
          <w:szCs w:val="20"/>
        </w:rPr>
        <w:t>Greater W</w:t>
      </w:r>
      <w:r w:rsidRPr="00F03917">
        <w:rPr>
          <w:rStyle w:val="normaltextrun"/>
          <w:rFonts w:ascii="Calibri" w:hAnsi="Calibri" w:cs="Calibri"/>
          <w:i/>
          <w:sz w:val="20"/>
          <w:szCs w:val="20"/>
        </w:rPr>
        <w:t>ellington Regional Council by Infometrics &amp; PS Consulting</w:t>
      </w:r>
      <w:r w:rsidRPr="00F03917">
        <w:rPr>
          <w:rStyle w:val="normaltextrun"/>
          <w:rFonts w:ascii="Calibri" w:hAnsi="Calibri" w:cs="Calibri"/>
          <w:sz w:val="20"/>
          <w:szCs w:val="20"/>
        </w:rPr>
        <w:t xml:space="preserve">. Wellington: </w:t>
      </w:r>
      <w:r w:rsidRPr="00F03917">
        <w:rPr>
          <w:rStyle w:val="findhit"/>
          <w:rFonts w:ascii="Calibri" w:eastAsiaTheme="majorEastAsia" w:hAnsi="Calibri" w:cs="Calibri"/>
          <w:sz w:val="20"/>
          <w:szCs w:val="20"/>
        </w:rPr>
        <w:t>Greater W</w:t>
      </w:r>
      <w:r w:rsidRPr="00F03917">
        <w:rPr>
          <w:rStyle w:val="normaltextrun"/>
          <w:rFonts w:ascii="Calibri" w:hAnsi="Calibri" w:cs="Calibri"/>
          <w:sz w:val="20"/>
          <w:szCs w:val="20"/>
        </w:rPr>
        <w:t>ellington Regional Council.</w:t>
      </w:r>
    </w:p>
    <w:p w14:paraId="5D9C4761" w14:textId="69ED9D9C" w:rsidR="002A3853" w:rsidRPr="00F03917" w:rsidRDefault="002A3853" w:rsidP="00AD15EA">
      <w:pPr>
        <w:pStyle w:val="References"/>
        <w:rPr>
          <w:rFonts w:ascii="Segoe UI" w:hAnsi="Segoe UI" w:cs="Segoe UI"/>
          <w:sz w:val="18"/>
          <w:szCs w:val="18"/>
        </w:rPr>
      </w:pPr>
      <w:r w:rsidRPr="00F03917">
        <w:rPr>
          <w:rStyle w:val="findhit"/>
          <w:rFonts w:eastAsiaTheme="majorEastAsia" w:cs="Calibri"/>
          <w:szCs w:val="20"/>
        </w:rPr>
        <w:t>Greater W</w:t>
      </w:r>
      <w:r w:rsidRPr="00F03917">
        <w:rPr>
          <w:rStyle w:val="normaltextrun"/>
          <w:rFonts w:cs="Calibri"/>
          <w:szCs w:val="20"/>
        </w:rPr>
        <w:t xml:space="preserve">ellington Regional Council. (2015b). Hutt River City Centre Upgrade Project: River Corridor Options. </w:t>
      </w:r>
      <w:r w:rsidRPr="00F03917">
        <w:rPr>
          <w:rStyle w:val="normaltextrun"/>
          <w:rFonts w:cs="Calibri"/>
          <w:i/>
          <w:szCs w:val="20"/>
        </w:rPr>
        <w:t xml:space="preserve">Wellington: </w:t>
      </w:r>
      <w:r w:rsidRPr="00F03917">
        <w:rPr>
          <w:rStyle w:val="findhit"/>
          <w:rFonts w:eastAsiaTheme="majorEastAsia" w:cs="Calibri"/>
          <w:i/>
          <w:szCs w:val="20"/>
        </w:rPr>
        <w:t>Greater W</w:t>
      </w:r>
      <w:r w:rsidRPr="00F03917">
        <w:rPr>
          <w:rStyle w:val="normaltextrun"/>
          <w:rFonts w:cs="Calibri"/>
          <w:i/>
          <w:szCs w:val="20"/>
        </w:rPr>
        <w:t>ellington Regional Council.</w:t>
      </w:r>
      <w:r w:rsidRPr="00F03917">
        <w:rPr>
          <w:rStyle w:val="normaltextrun"/>
          <w:rFonts w:cs="Calibri"/>
          <w:szCs w:val="20"/>
        </w:rPr>
        <w:t xml:space="preserve"> Retrieved from </w:t>
      </w:r>
      <w:r w:rsidR="002B098F" w:rsidRPr="00F03917">
        <w:t xml:space="preserve"> </w:t>
      </w:r>
      <w:hyperlink r:id="rId299" w:history="1">
        <w:r w:rsidR="002B098F" w:rsidRPr="00F03917">
          <w:rPr>
            <w:rStyle w:val="Hyperlink"/>
            <w:rFonts w:cs="Calibri"/>
            <w:szCs w:val="20"/>
          </w:rPr>
          <w:t>https://www.gw.govt.nz/document/19851/hutt-river-city-centre-upgrade-project-river-corridor-options-report/</w:t>
        </w:r>
      </w:hyperlink>
      <w:r w:rsidR="002B098F" w:rsidRPr="00F03917">
        <w:rPr>
          <w:rStyle w:val="normaltextrun"/>
          <w:rFonts w:cs="Calibri"/>
          <w:szCs w:val="20"/>
        </w:rPr>
        <w:t xml:space="preserve">. </w:t>
      </w:r>
    </w:p>
    <w:p w14:paraId="4F6B3B44" w14:textId="1B3928E2"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Gulev, S., K., Thorne, P., W., Ahn, J., Dentener, F., J., Domingues, C., M., Gerland, S., Gong, D., Kaufman, D., S., Nnamchi, H., C., Quaas, J., Rivera, J., A., Sathyendranath, S., Smith, S., L., Trewin, B., von Schuckmann, K., Vose, R., S. (2021). Changing state of the climate system. In: Masson-Delmotte, V.; Zhai, P.; Pirani, A.; Connors, S.L.; Péan, C.; Berger, S.; Caud, N.; Chen, Y.; Goldfarb, L.; Gomis, M.I.; Huang, M.; Leitzell, K.; Lonnoy, E.; Matthews, J.B.R.; Maycock, T.K.; Waterfield, T.; Yelekçi, O.; Yu, R.; Zhou, B., (eds.) </w:t>
      </w:r>
      <w:r w:rsidRPr="00F03917">
        <w:rPr>
          <w:rStyle w:val="findhit"/>
          <w:rFonts w:cs="Calibri"/>
          <w:i/>
          <w:color w:val="000000"/>
          <w:szCs w:val="20"/>
          <w:shd w:val="clear" w:color="auto" w:fill="FFFFFF"/>
        </w:rPr>
        <w:t>Climate Change 2021: The Physical Science Basis. Contribution of Working Group I to the Sixth Assessment Report of the Intergovernmental Panel on Climate Change</w:t>
      </w:r>
      <w:r w:rsidRPr="00F03917">
        <w:rPr>
          <w:rStyle w:val="findhit"/>
          <w:rFonts w:cs="Calibri"/>
          <w:color w:val="000000"/>
          <w:szCs w:val="20"/>
          <w:shd w:val="clear" w:color="auto" w:fill="FFFFFF"/>
        </w:rPr>
        <w:t>. Cambridge, United Kingdom and New York, NY, USA, Cambridge University Press, 287-422.</w:t>
      </w:r>
      <w:r w:rsidR="00D02B82" w:rsidRPr="00F03917">
        <w:rPr>
          <w:rStyle w:val="findhit"/>
          <w:rFonts w:cs="Calibri"/>
          <w:color w:val="000000"/>
          <w:szCs w:val="20"/>
          <w:shd w:val="clear" w:color="auto" w:fill="FFFFFF"/>
        </w:rPr>
        <w:t xml:space="preserve"> Retrieved from </w:t>
      </w:r>
      <w:hyperlink r:id="rId300" w:history="1">
        <w:r w:rsidR="00D02B82" w:rsidRPr="00F03917">
          <w:rPr>
            <w:rStyle w:val="Hyperlink"/>
            <w:rFonts w:cs="Calibri"/>
            <w:szCs w:val="20"/>
            <w:shd w:val="clear" w:color="auto" w:fill="FFFFFF"/>
          </w:rPr>
          <w:t>https://www.ipcc.ch/report/ar6/wg1/chapter/chapter-2/</w:t>
        </w:r>
      </w:hyperlink>
      <w:r w:rsidR="00D02B82" w:rsidRPr="00F03917">
        <w:rPr>
          <w:rStyle w:val="findhit"/>
          <w:rFonts w:cs="Calibri"/>
          <w:color w:val="000000"/>
          <w:szCs w:val="20"/>
          <w:shd w:val="clear" w:color="auto" w:fill="FFFFFF"/>
        </w:rPr>
        <w:t xml:space="preserve">. </w:t>
      </w:r>
    </w:p>
    <w:p w14:paraId="5FCD702D" w14:textId="476C1A1C" w:rsidR="002A3853" w:rsidRPr="00F03917" w:rsidRDefault="002A3853" w:rsidP="002A3853">
      <w:pPr>
        <w:pStyle w:val="References"/>
      </w:pPr>
      <w:r w:rsidRPr="00F03917">
        <w:t xml:space="preserve">Haasnoot, M., Kwakkel, J.H., Walker, W.E., ter Maat, J. (2013). Dynamic adaptive policy pathways: A method for crafting robust decisions for a deeply uncertain world. </w:t>
      </w:r>
      <w:r w:rsidRPr="00F03917">
        <w:rPr>
          <w:i/>
        </w:rPr>
        <w:t>Global Environmental Change</w:t>
      </w:r>
      <w:r w:rsidRPr="00F03917">
        <w:t xml:space="preserve"> 23(2): 485–498. </w:t>
      </w:r>
      <w:r w:rsidR="0060732D" w:rsidRPr="00F03917">
        <w:rPr>
          <w:rStyle w:val="Hyperlink"/>
        </w:rPr>
        <w:t>https://</w:t>
      </w:r>
      <w:hyperlink r:id="rId301" w:history="1">
        <w:r w:rsidRPr="00F03917">
          <w:rPr>
            <w:rStyle w:val="Hyperlink"/>
            <w:rFonts w:eastAsia="Calibri" w:cs="Calibri"/>
            <w:szCs w:val="20"/>
          </w:rPr>
          <w:t>doi.org/10.1016/j.gloenvcha.2012.12.006</w:t>
        </w:r>
      </w:hyperlink>
      <w:r w:rsidRPr="00F03917">
        <w:t>.</w:t>
      </w:r>
    </w:p>
    <w:p w14:paraId="67554B55" w14:textId="77777777" w:rsidR="002A3853" w:rsidRPr="00F03917" w:rsidRDefault="002A3853" w:rsidP="002A3853">
      <w:pPr>
        <w:pStyle w:val="References"/>
        <w:rPr>
          <w:color w:val="008080"/>
          <w:u w:val="single"/>
        </w:rPr>
      </w:pPr>
      <w:r w:rsidRPr="00F03917">
        <w:t xml:space="preserve">Haasnoot, M., Lawrence, J., Magnan, A.K. (2021). </w:t>
      </w:r>
      <w:r w:rsidRPr="00F03917">
        <w:rPr>
          <w:iCs/>
        </w:rPr>
        <w:t>Pathways to coastal retreat.</w:t>
      </w:r>
      <w:r w:rsidRPr="00F03917">
        <w:t xml:space="preserve"> </w:t>
      </w:r>
      <w:r w:rsidRPr="00F03917">
        <w:rPr>
          <w:i/>
          <w:iCs/>
        </w:rPr>
        <w:t>Science</w:t>
      </w:r>
      <w:r w:rsidRPr="00F03917">
        <w:t xml:space="preserve"> 372(6548): </w:t>
      </w:r>
      <w:r w:rsidRPr="00F03917">
        <w:br/>
        <w:t xml:space="preserve">1287–1290. Retrieved from </w:t>
      </w:r>
      <w:hyperlink r:id="rId302" w:history="1">
        <w:r w:rsidRPr="00F03917">
          <w:rPr>
            <w:rStyle w:val="Hyperlink"/>
            <w:rFonts w:eastAsia="Calibri" w:cs="Calibri"/>
            <w:szCs w:val="20"/>
          </w:rPr>
          <w:t>www.science.org/doi/10.1126/science.abi6594</w:t>
        </w:r>
      </w:hyperlink>
      <w:r w:rsidRPr="00F03917">
        <w:t>.</w:t>
      </w:r>
      <w:r w:rsidRPr="00F03917">
        <w:rPr>
          <w:color w:val="008080"/>
          <w:u w:val="single"/>
        </w:rPr>
        <w:t xml:space="preserve"> </w:t>
      </w:r>
    </w:p>
    <w:p w14:paraId="4E37E5AD" w14:textId="16C8A2F3" w:rsidR="002A3853" w:rsidRPr="00F03917" w:rsidRDefault="002A3853" w:rsidP="002A3853">
      <w:pPr>
        <w:pStyle w:val="References"/>
      </w:pPr>
      <w:r w:rsidRPr="00F03917">
        <w:rPr>
          <w:rStyle w:val="findhit"/>
          <w:rFonts w:cs="Calibri"/>
          <w:color w:val="000000"/>
          <w:szCs w:val="20"/>
          <w:shd w:val="clear" w:color="auto" w:fill="FFFFFF"/>
        </w:rPr>
        <w:t>Haas</w:t>
      </w:r>
      <w:r w:rsidRPr="00F03917">
        <w:rPr>
          <w:rStyle w:val="normaltextrun"/>
          <w:rFonts w:cs="Calibri"/>
          <w:color w:val="000000"/>
          <w:szCs w:val="20"/>
          <w:shd w:val="clear" w:color="auto" w:fill="FFFFFF"/>
        </w:rPr>
        <w:t>noot, M., Middelkoop, H., Offermans, A., van Beek, E., van Deursen, W., P., A. (2012). Exploring pathways for sustainable water management in river deltas in a changing environment.</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Climatic Change</w:t>
      </w:r>
      <w:r w:rsidRPr="00F03917">
        <w:rPr>
          <w:rStyle w:val="normaltextrun"/>
          <w:rFonts w:cs="Calibri"/>
          <w:color w:val="000000"/>
          <w:szCs w:val="20"/>
          <w:shd w:val="clear" w:color="auto" w:fill="FFFFFF"/>
        </w:rPr>
        <w:t xml:space="preserve"> 115(3): 795–819. </w:t>
      </w:r>
      <w:hyperlink r:id="rId303" w:history="1">
        <w:r w:rsidR="00FA0287" w:rsidRPr="00F03917">
          <w:rPr>
            <w:rStyle w:val="Hyperlink"/>
            <w:rFonts w:ascii="Merriweather Sans" w:hAnsi="Merriweather Sans"/>
            <w:shd w:val="clear" w:color="auto" w:fill="FFFFFF"/>
          </w:rPr>
          <w:t>https://doi.org/10.1007/s10584-012-0444-2</w:t>
        </w:r>
      </w:hyperlink>
      <w:r w:rsidR="00FA0287" w:rsidRPr="00F03917" w:rsidDel="00FA0287">
        <w:rPr>
          <w:rStyle w:val="normaltextrun"/>
          <w:rFonts w:cs="Calibri"/>
          <w:color w:val="000000"/>
          <w:szCs w:val="20"/>
          <w:shd w:val="clear" w:color="auto" w:fill="FFFFFF"/>
        </w:rPr>
        <w:t xml:space="preserve"> </w:t>
      </w:r>
    </w:p>
    <w:p w14:paraId="517309F8" w14:textId="7B36B065" w:rsidR="002A3853" w:rsidRPr="00F03917" w:rsidRDefault="002A3853" w:rsidP="002A3853">
      <w:pPr>
        <w:pStyle w:val="References"/>
        <w:rPr>
          <w:rStyle w:val="normaltextrun"/>
          <w:rFonts w:cs="Calibri"/>
          <w:color w:val="000000"/>
          <w:szCs w:val="20"/>
          <w:shd w:val="clear" w:color="auto" w:fill="FFFFFF"/>
        </w:rPr>
      </w:pPr>
      <w:r w:rsidRPr="00F03917">
        <w:rPr>
          <w:rStyle w:val="findhit"/>
          <w:rFonts w:cs="Calibri"/>
          <w:color w:val="000000"/>
          <w:szCs w:val="20"/>
          <w:shd w:val="clear" w:color="auto" w:fill="FFFFFF"/>
        </w:rPr>
        <w:lastRenderedPageBreak/>
        <w:t>Haas</w:t>
      </w:r>
      <w:r w:rsidRPr="00F03917">
        <w:rPr>
          <w:rStyle w:val="normaltextrun"/>
          <w:rFonts w:cs="Calibri"/>
          <w:color w:val="000000"/>
          <w:szCs w:val="20"/>
          <w:shd w:val="clear" w:color="auto" w:fill="FFFFFF"/>
        </w:rPr>
        <w:t>noot, M., Middelkoop, H., van Beek, E., van Deursen, W., P., A. (2011). A method to develop sustainable water management strategies for an uncertain future</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Sustainable Development</w:t>
      </w:r>
      <w:r w:rsidRPr="00F03917">
        <w:rPr>
          <w:rStyle w:val="normaltextrun"/>
          <w:rFonts w:cs="Calibri"/>
          <w:color w:val="000000"/>
          <w:szCs w:val="20"/>
          <w:shd w:val="clear" w:color="auto" w:fill="FFFFFF"/>
        </w:rPr>
        <w:t xml:space="preserve"> 19(6): 369–381. </w:t>
      </w:r>
      <w:hyperlink r:id="rId304" w:tgtFrame="_blank" w:history="1">
        <w:r w:rsidRPr="00F03917">
          <w:rPr>
            <w:rStyle w:val="Hyperlink"/>
          </w:rPr>
          <w:t>http://dx.doi.org/10.1002/sd.438</w:t>
        </w:r>
      </w:hyperlink>
      <w:r w:rsidRPr="00F03917">
        <w:rPr>
          <w:rStyle w:val="normaltextrun"/>
          <w:rFonts w:cs="Calibri"/>
          <w:color w:val="000000"/>
          <w:szCs w:val="20"/>
          <w:shd w:val="clear" w:color="auto" w:fill="FFFFFF"/>
        </w:rPr>
        <w:t>.</w:t>
      </w:r>
    </w:p>
    <w:p w14:paraId="45524D0E" w14:textId="6ECBBB4F" w:rsidR="002A3853" w:rsidRPr="00F03917" w:rsidRDefault="002A3853" w:rsidP="002A3853">
      <w:pPr>
        <w:pStyle w:val="References"/>
      </w:pPr>
      <w:r w:rsidRPr="00F03917">
        <w:rPr>
          <w:rStyle w:val="findhit"/>
          <w:rFonts w:cs="Calibri"/>
          <w:color w:val="000000"/>
          <w:szCs w:val="20"/>
          <w:shd w:val="clear" w:color="auto" w:fill="FFFFFF"/>
        </w:rPr>
        <w:t>Haas</w:t>
      </w:r>
      <w:r w:rsidRPr="00F03917">
        <w:rPr>
          <w:rStyle w:val="normaltextrun"/>
          <w:rFonts w:cs="Calibri"/>
          <w:color w:val="000000"/>
          <w:szCs w:val="20"/>
          <w:shd w:val="clear" w:color="auto" w:fill="FFFFFF"/>
        </w:rPr>
        <w:t>noot, M., Schellekens, J., Beersma, H., Middelkoop, J., Kwadijk, T., C., J. (2015). Transient scenarios for robust climate change adaptation illustrated for water management in the Netherlands</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Environmental Research Letters</w:t>
      </w:r>
      <w:r w:rsidRPr="00F03917">
        <w:rPr>
          <w:rStyle w:val="normaltextrun"/>
          <w:rFonts w:cs="Calibri"/>
          <w:color w:val="000000"/>
          <w:szCs w:val="20"/>
          <w:shd w:val="clear" w:color="auto" w:fill="FFFFFF"/>
        </w:rPr>
        <w:t xml:space="preserve"> 10(10): 105008. </w:t>
      </w:r>
      <w:hyperlink r:id="rId305" w:history="1">
        <w:r w:rsidR="007325CF" w:rsidRPr="00F03917">
          <w:rPr>
            <w:rStyle w:val="Hyperlink"/>
            <w:rFonts w:cs="Calibri"/>
            <w:szCs w:val="20"/>
            <w:shd w:val="clear" w:color="auto" w:fill="FFFFFF"/>
          </w:rPr>
          <w:t>http://dx.doi.org/</w:t>
        </w:r>
        <w:r w:rsidRPr="00F03917">
          <w:rPr>
            <w:rStyle w:val="Hyperlink"/>
            <w:rFonts w:cs="Calibri"/>
            <w:szCs w:val="20"/>
            <w:shd w:val="clear" w:color="auto" w:fill="FFFFFF"/>
          </w:rPr>
          <w:t>10.1088/1748-9326/10/10/105008</w:t>
        </w:r>
      </w:hyperlink>
      <w:r w:rsidRPr="00F03917">
        <w:rPr>
          <w:rStyle w:val="normaltextrun"/>
          <w:rFonts w:cs="Calibri"/>
          <w:color w:val="000000"/>
          <w:szCs w:val="20"/>
          <w:shd w:val="clear" w:color="auto" w:fill="FFFFFF"/>
        </w:rPr>
        <w:t>.</w:t>
      </w:r>
    </w:p>
    <w:p w14:paraId="0162E363" w14:textId="11CADBF5" w:rsidR="002A3853" w:rsidRPr="00F03917" w:rsidRDefault="002A3853" w:rsidP="002A3853">
      <w:pPr>
        <w:pStyle w:val="References"/>
      </w:pPr>
      <w:r w:rsidRPr="00F03917">
        <w:t xml:space="preserve">Hague, B.S., McGregor, S., Jones., DA., Reef, R., Jakob, D., Murphy, B.F. (2023). </w:t>
      </w:r>
      <w:r w:rsidRPr="00F03917">
        <w:rPr>
          <w:iCs/>
        </w:rPr>
        <w:t>The Global Drivers of Chronic Coastal Flood Hazards Under Sea-Level Rise.</w:t>
      </w:r>
      <w:r w:rsidRPr="00F03917">
        <w:t xml:space="preserve"> </w:t>
      </w:r>
      <w:r w:rsidRPr="00F03917">
        <w:rPr>
          <w:i/>
          <w:iCs/>
        </w:rPr>
        <w:t>Earth’s Future</w:t>
      </w:r>
      <w:r w:rsidRPr="00F03917">
        <w:t xml:space="preserve"> 11: 8. </w:t>
      </w:r>
      <w:r w:rsidR="0060732D" w:rsidRPr="00F03917">
        <w:rPr>
          <w:rStyle w:val="Hyperlink"/>
        </w:rPr>
        <w:t>https://</w:t>
      </w:r>
      <w:hyperlink r:id="rId306" w:history="1">
        <w:r w:rsidRPr="00F03917">
          <w:rPr>
            <w:rStyle w:val="Hyperlink"/>
          </w:rPr>
          <w:t>doi.org/10.1029/2023EF003784</w:t>
        </w:r>
      </w:hyperlink>
      <w:r w:rsidRPr="00F03917">
        <w:t xml:space="preserve">. </w:t>
      </w:r>
    </w:p>
    <w:p w14:paraId="49BA0383" w14:textId="77777777" w:rsidR="002A3853" w:rsidRPr="00F03917" w:rsidRDefault="002A3853" w:rsidP="002A3853">
      <w:pPr>
        <w:pStyle w:val="References"/>
        <w:rPr>
          <w:color w:val="008080"/>
          <w:u w:val="single"/>
        </w:rPr>
      </w:pPr>
      <w:r w:rsidRPr="00F03917">
        <w:t xml:space="preserve">Hall D. (2022). Adaptation finance: Risks and opportunities for Aotearoa New Zealand. </w:t>
      </w:r>
      <w:r w:rsidRPr="00F03917">
        <w:rPr>
          <w:i/>
        </w:rPr>
        <w:t>Concept paper prepared for the Ministry for the Environment</w:t>
      </w:r>
      <w:r w:rsidRPr="00F03917">
        <w:t xml:space="preserve">. Auckland, New Zealand: Mōhio Research and AUT. Retrieved from </w:t>
      </w:r>
      <w:hyperlink r:id="rId307">
        <w:r w:rsidRPr="00F03917">
          <w:rPr>
            <w:rStyle w:val="Hyperlink"/>
          </w:rPr>
          <w:t>https://openrepository.aut.ac.nz/items/ecc373f4-2597-4370-b758-46f86d1188bc</w:t>
        </w:r>
      </w:hyperlink>
      <w:r w:rsidRPr="00F03917">
        <w:t xml:space="preserve">. </w:t>
      </w:r>
    </w:p>
    <w:p w14:paraId="00259B6D" w14:textId="77777777" w:rsidR="002A3853" w:rsidRPr="00F03917" w:rsidRDefault="002A3853" w:rsidP="002A3853">
      <w:pPr>
        <w:pStyle w:val="References"/>
        <w:rPr>
          <w:sz w:val="18"/>
          <w:szCs w:val="18"/>
        </w:rPr>
      </w:pPr>
      <w:r w:rsidRPr="00F03917">
        <w:t xml:space="preserve">Hamling, I.J., Hreinsdóttir, S., Clark, K., Elliot, J., Liang, C., Fielding, E., Litchfield, N., Villamor, P., Wallace, L., Wright, T.J., d’Anastasio, E., Bannister, S., Burbidge, D., Denys, P., Gentle, P., Howarth, J., Mueller, C., Palmer, N., Pearson, C., Power, W., Barnes, P., Barrell, D.J.A., van Dissen, R., Langridge, R., Little, T., Nicol, A., Pettinga, J., Rowland, J., Stirling, M. (2017). Complex multifault rupture during the 2016 Mw 7.8 Kaikōura earthquake, New Zealand. </w:t>
      </w:r>
      <w:r w:rsidRPr="00F03917">
        <w:rPr>
          <w:i/>
        </w:rPr>
        <w:t>Science</w:t>
      </w:r>
      <w:r w:rsidRPr="00F03917">
        <w:t xml:space="preserve"> 356, eaam7194. </w:t>
      </w:r>
      <w:hyperlink r:id="rId308">
        <w:r w:rsidRPr="00F03917">
          <w:rPr>
            <w:rStyle w:val="Hyperlink"/>
          </w:rPr>
          <w:t>DOI:10.1126/science.aam7194</w:t>
        </w:r>
        <w:r w:rsidRPr="00F03917">
          <w:t>.</w:t>
        </w:r>
        <w:r w:rsidRPr="00F03917">
          <w:rPr>
            <w:rStyle w:val="Hyperlink"/>
            <w:rFonts w:eastAsia="Calibri" w:cs="Calibri"/>
            <w:color w:val="0563C1"/>
            <w:szCs w:val="20"/>
            <w:u w:val="single"/>
          </w:rPr>
          <w:t xml:space="preserve"> </w:t>
        </w:r>
      </w:hyperlink>
      <w:r w:rsidRPr="00F03917">
        <w:t xml:space="preserve"> </w:t>
      </w:r>
    </w:p>
    <w:p w14:paraId="3DC85394" w14:textId="77777777" w:rsidR="002A3853" w:rsidRPr="00F03917" w:rsidRDefault="002A3853" w:rsidP="002A3853">
      <w:pPr>
        <w:pStyle w:val="References"/>
        <w:rPr>
          <w:sz w:val="18"/>
          <w:szCs w:val="18"/>
        </w:rPr>
      </w:pPr>
      <w:r w:rsidRPr="00F03917">
        <w:t>Hamling, I.J., Wright, T.J., Hreinsdóttir, S., Wallace, L.M. (2022). A Snapshot of New Zealand’s Dynamic Deformation Field From Envisat InSAR and GNSS Observations Between 2003 and 2011</w:t>
      </w:r>
      <w:r w:rsidRPr="00F03917">
        <w:rPr>
          <w:i/>
        </w:rPr>
        <w:t>.</w:t>
      </w:r>
      <w:r w:rsidRPr="00F03917">
        <w:rPr>
          <w:i/>
          <w:iCs/>
        </w:rPr>
        <w:t xml:space="preserve"> Geophysical Research Letters</w:t>
      </w:r>
      <w:r w:rsidRPr="00F03917">
        <w:t xml:space="preserve"> 49: 2. </w:t>
      </w:r>
      <w:hyperlink r:id="rId309">
        <w:r w:rsidRPr="00F03917">
          <w:rPr>
            <w:rStyle w:val="Hyperlink"/>
          </w:rPr>
          <w:t>doi.org/10.1029/2021GL096465</w:t>
        </w:r>
      </w:hyperlink>
      <w:r w:rsidRPr="00F03917">
        <w:t xml:space="preserve">. </w:t>
      </w:r>
    </w:p>
    <w:p w14:paraId="493B2A56" w14:textId="77777777" w:rsidR="002A3853" w:rsidRPr="00F03917" w:rsidRDefault="002A3853" w:rsidP="002A3853">
      <w:pPr>
        <w:pStyle w:val="References"/>
      </w:pPr>
      <w:r w:rsidRPr="00F03917">
        <w:t xml:space="preserve">Handmer, J. (2008). Risk creation, bearing and sharing on Australian floodplains. </w:t>
      </w:r>
      <w:r w:rsidRPr="00F03917">
        <w:rPr>
          <w:i/>
          <w:iCs/>
        </w:rPr>
        <w:t>International Journal of Water Resources Development</w:t>
      </w:r>
      <w:r w:rsidRPr="00F03917">
        <w:t xml:space="preserve"> 24(4): 527–540. </w:t>
      </w:r>
      <w:hyperlink r:id="rId310">
        <w:r w:rsidRPr="00F03917">
          <w:rPr>
            <w:rStyle w:val="Hyperlink"/>
            <w:rFonts w:eastAsia="Calibri" w:cs="Calibri"/>
          </w:rPr>
          <w:t>doi.org/10.1080/07900620801921439</w:t>
        </w:r>
      </w:hyperlink>
      <w:r w:rsidRPr="00F03917">
        <w:t>.</w:t>
      </w:r>
    </w:p>
    <w:p w14:paraId="7DD3F7BC" w14:textId="77777777" w:rsidR="002A3853" w:rsidRPr="00F03917" w:rsidRDefault="002A3853" w:rsidP="002A3853">
      <w:pPr>
        <w:pStyle w:val="References"/>
      </w:pPr>
      <w:r w:rsidRPr="00F03917">
        <w:rPr>
          <w:shd w:val="clear" w:color="auto" w:fill="FFFFFF"/>
        </w:rPr>
        <w:t xml:space="preserve">Hannah, J. (2004). </w:t>
      </w:r>
      <w:r w:rsidRPr="00F03917">
        <w:rPr>
          <w:iCs/>
          <w:shd w:val="clear" w:color="auto" w:fill="FFFFFF"/>
        </w:rPr>
        <w:t>An updated analysis of long-term sea level change in New Zealand.</w:t>
      </w:r>
      <w:r w:rsidRPr="00F03917">
        <w:rPr>
          <w:shd w:val="clear" w:color="auto" w:fill="FFFFFF"/>
        </w:rPr>
        <w:t xml:space="preserve"> </w:t>
      </w:r>
      <w:r w:rsidRPr="00F03917">
        <w:rPr>
          <w:i/>
          <w:iCs/>
          <w:shd w:val="clear" w:color="auto" w:fill="FFFFFF"/>
        </w:rPr>
        <w:t>Geophysical Research Letters</w:t>
      </w:r>
      <w:r w:rsidRPr="00F03917">
        <w:rPr>
          <w:shd w:val="clear" w:color="auto" w:fill="FFFFFF"/>
        </w:rPr>
        <w:t xml:space="preserve"> 31(3): L03307. Retrieved from </w:t>
      </w:r>
      <w:hyperlink r:id="rId311" w:tgtFrame="_blank" w:history="1">
        <w:r w:rsidRPr="00F03917">
          <w:rPr>
            <w:rStyle w:val="Hyperlink"/>
            <w:rFonts w:eastAsia="Calibri"/>
          </w:rPr>
          <w:t>http://dx.doi.org/10.1029/2003GL019166</w:t>
        </w:r>
      </w:hyperlink>
      <w:r w:rsidRPr="00F03917">
        <w:rPr>
          <w:rStyle w:val="Hyperlink"/>
          <w:rFonts w:eastAsia="Calibri"/>
        </w:rPr>
        <w:t>. </w:t>
      </w:r>
    </w:p>
    <w:p w14:paraId="47D3E6F9" w14:textId="77777777" w:rsidR="002A3853" w:rsidRPr="00F03917" w:rsidRDefault="002A3853" w:rsidP="002A3853">
      <w:pPr>
        <w:pStyle w:val="References"/>
      </w:pPr>
      <w:r w:rsidRPr="00F03917">
        <w:rPr>
          <w:shd w:val="clear" w:color="auto" w:fill="FFFFFF"/>
        </w:rPr>
        <w:t xml:space="preserve">Hannah, J., Bell, R.G. (2012). Regional sea level trends in New Zealand. </w:t>
      </w:r>
      <w:r w:rsidRPr="00F03917">
        <w:rPr>
          <w:i/>
          <w:iCs/>
          <w:shd w:val="clear" w:color="auto" w:fill="FFFFFF"/>
        </w:rPr>
        <w:t>Journal of Geophysical Research: Oceans</w:t>
      </w:r>
      <w:r w:rsidRPr="00F03917">
        <w:rPr>
          <w:shd w:val="clear" w:color="auto" w:fill="FFFFFF"/>
        </w:rPr>
        <w:t xml:space="preserve"> 117(C1): C01004. Retrieved from </w:t>
      </w:r>
      <w:hyperlink r:id="rId312" w:tgtFrame="_blank" w:history="1">
        <w:r w:rsidRPr="00F03917">
          <w:rPr>
            <w:rStyle w:val="Hyperlink"/>
            <w:rFonts w:eastAsia="Calibri"/>
          </w:rPr>
          <w:t>http://dx.doi.org/10.1029/2011JC007591</w:t>
        </w:r>
      </w:hyperlink>
      <w:r w:rsidRPr="00F03917">
        <w:rPr>
          <w:rStyle w:val="Hyperlink"/>
          <w:rFonts w:eastAsia="Calibri"/>
        </w:rPr>
        <w:t>.</w:t>
      </w:r>
      <w:r w:rsidRPr="00F03917">
        <w:rPr>
          <w:shd w:val="clear" w:color="auto" w:fill="FFFFFF"/>
        </w:rPr>
        <w:t> </w:t>
      </w:r>
    </w:p>
    <w:p w14:paraId="2750CC14" w14:textId="295922CD" w:rsidR="002A3853" w:rsidRPr="00F03917" w:rsidRDefault="002A3853" w:rsidP="002A3853">
      <w:pPr>
        <w:pStyle w:val="References"/>
      </w:pPr>
      <w:r w:rsidRPr="00F03917">
        <w:rPr>
          <w:rStyle w:val="findhit"/>
          <w:rFonts w:cs="Calibri"/>
          <w:color w:val="000000"/>
          <w:szCs w:val="20"/>
          <w:shd w:val="clear" w:color="auto" w:fill="FFFFFF"/>
        </w:rPr>
        <w:t>Harmswo</w:t>
      </w:r>
      <w:r w:rsidRPr="00F03917">
        <w:rPr>
          <w:rStyle w:val="normaltextrun"/>
          <w:rFonts w:cs="Calibri"/>
          <w:color w:val="000000"/>
          <w:szCs w:val="20"/>
          <w:shd w:val="clear" w:color="auto" w:fill="FFFFFF"/>
        </w:rPr>
        <w:t xml:space="preserve">rth, G. (2005). Good practice guidelines for working with tangata whenua and Māori organisations: Consolidating our learning. </w:t>
      </w:r>
      <w:r w:rsidRPr="00F03917">
        <w:rPr>
          <w:rStyle w:val="normaltextrun"/>
          <w:rFonts w:cs="Calibri"/>
          <w:i/>
          <w:color w:val="000000"/>
          <w:szCs w:val="20"/>
          <w:shd w:val="clear" w:color="auto" w:fill="FFFFFF"/>
        </w:rPr>
        <w:t>Palmerston North: Landcare Research</w:t>
      </w:r>
      <w:r w:rsidRPr="00F03917">
        <w:rPr>
          <w:rStyle w:val="normaltextrun"/>
          <w:rFonts w:cs="Calibri"/>
          <w:color w:val="000000"/>
          <w:szCs w:val="20"/>
          <w:shd w:val="clear" w:color="auto" w:fill="FFFFFF"/>
        </w:rPr>
        <w:t xml:space="preserve">. Retrieved from </w:t>
      </w:r>
      <w:r w:rsidR="006E295E" w:rsidRPr="00F03917">
        <w:t xml:space="preserve"> </w:t>
      </w:r>
      <w:hyperlink r:id="rId313" w:history="1">
        <w:r w:rsidR="006E295E" w:rsidRPr="00F03917">
          <w:rPr>
            <w:rStyle w:val="Hyperlink"/>
            <w:rFonts w:cs="Calibri"/>
            <w:szCs w:val="20"/>
            <w:shd w:val="clear" w:color="auto" w:fill="FFFFFF"/>
          </w:rPr>
          <w:t>https://www.researchgate.net/publication/260404248_Good_practice_guidelines_for_working_with_tangata_whenua_and_Maori_organisations_Consolidating_our_learning</w:t>
        </w:r>
      </w:hyperlink>
      <w:r w:rsidR="006E295E" w:rsidRPr="00F03917">
        <w:rPr>
          <w:rStyle w:val="normaltextrun"/>
          <w:rFonts w:cs="Calibri"/>
          <w:color w:val="000000"/>
          <w:szCs w:val="20"/>
          <w:shd w:val="clear" w:color="auto" w:fill="FFFFFF"/>
        </w:rPr>
        <w:t xml:space="preserve">. </w:t>
      </w:r>
    </w:p>
    <w:p w14:paraId="61B1EB23" w14:textId="4DECE42A" w:rsidR="002A3853" w:rsidRPr="00F03917" w:rsidRDefault="002A3853" w:rsidP="002A3853">
      <w:pPr>
        <w:pStyle w:val="References"/>
        <w:rPr>
          <w:color w:val="008080"/>
          <w:u w:val="single"/>
        </w:rPr>
      </w:pPr>
      <w:r w:rsidRPr="00F03917">
        <w:t xml:space="preserve">Harmsworth, G.R., Awatere, S. (2013). Indigenous Māori knowledge and perspectives of ecosystems. In: J.R., Dymond (ed.) </w:t>
      </w:r>
      <w:r w:rsidRPr="00F03917">
        <w:rPr>
          <w:i/>
          <w:iCs/>
        </w:rPr>
        <w:t>Ecosystem services in New Zealand – conditions and trends</w:t>
      </w:r>
      <w:r w:rsidRPr="00F03917">
        <w:t xml:space="preserve">. </w:t>
      </w:r>
      <w:r w:rsidR="004E4293" w:rsidRPr="00F03917">
        <w:t>pp</w:t>
      </w:r>
      <w:r w:rsidR="0045014E" w:rsidRPr="00F03917">
        <w:t>. 274-</w:t>
      </w:r>
      <w:r w:rsidR="004E4293" w:rsidRPr="00F03917">
        <w:t>286.</w:t>
      </w:r>
      <w:r w:rsidRPr="00F03917">
        <w:t xml:space="preserve"> Manaaki Whenua Press, Lincoln, New Zealand. Retrieved from </w:t>
      </w:r>
      <w:r w:rsidR="00F66C0B" w:rsidRPr="00F03917">
        <w:t xml:space="preserve"> </w:t>
      </w:r>
      <w:r w:rsidR="00F66C0B" w:rsidRPr="00F03917">
        <w:rPr>
          <w:rStyle w:val="Hyperlink"/>
        </w:rPr>
        <w:t>https://www.landcareresearch.co.nz/publications/ecosystem-services-in-new-zealand/</w:t>
      </w:r>
      <w:r w:rsidR="00F66C0B" w:rsidRPr="00F03917">
        <w:t>.</w:t>
      </w:r>
    </w:p>
    <w:p w14:paraId="01968FAF" w14:textId="1EB369D1"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Harmswo</w:t>
      </w:r>
      <w:r w:rsidRPr="00F03917">
        <w:rPr>
          <w:rStyle w:val="normaltextrun"/>
          <w:rFonts w:cs="Calibri"/>
          <w:color w:val="000000"/>
          <w:szCs w:val="20"/>
          <w:shd w:val="clear" w:color="auto" w:fill="FFFFFF"/>
        </w:rPr>
        <w:t xml:space="preserve">rth, G., Awatere, S., Robb, M. (2015). Policy Brief: Māori values and perspectives to inform collaborative processes and planning for freshwater management. </w:t>
      </w:r>
      <w:r w:rsidRPr="00F03917">
        <w:rPr>
          <w:rStyle w:val="normaltextrun"/>
          <w:rFonts w:cs="Calibri"/>
          <w:i/>
          <w:color w:val="000000"/>
          <w:szCs w:val="20"/>
          <w:shd w:val="clear" w:color="auto" w:fill="FFFFFF"/>
        </w:rPr>
        <w:t>Palmerston North: Landcare Research.</w:t>
      </w:r>
      <w:r w:rsidRPr="00F03917">
        <w:rPr>
          <w:rStyle w:val="normaltextrun"/>
          <w:rFonts w:cs="Calibri"/>
          <w:color w:val="000000"/>
          <w:szCs w:val="20"/>
          <w:shd w:val="clear" w:color="auto" w:fill="FFFFFF"/>
        </w:rPr>
        <w:t xml:space="preserve"> Retrieved from </w:t>
      </w:r>
      <w:r w:rsidR="00FB5F4E" w:rsidRPr="00F03917">
        <w:t xml:space="preserve"> </w:t>
      </w:r>
      <w:hyperlink r:id="rId314" w:history="1">
        <w:r w:rsidR="00FB5F4E" w:rsidRPr="00F03917">
          <w:rPr>
            <w:rStyle w:val="Hyperlink"/>
            <w:rFonts w:cs="Calibri"/>
            <w:szCs w:val="20"/>
            <w:shd w:val="clear" w:color="auto" w:fill="FFFFFF"/>
          </w:rPr>
          <w:t>https://www.landcareresearch.co.nz/discover-our-research/environment/sustainable-society-and-policy/vmo/planning-and-decision-making/matauranga-maori/</w:t>
        </w:r>
      </w:hyperlink>
      <w:r w:rsidR="00FB5F4E" w:rsidRPr="00F03917">
        <w:rPr>
          <w:rStyle w:val="normaltextrun"/>
          <w:rFonts w:cs="Calibri"/>
          <w:color w:val="000000"/>
          <w:szCs w:val="20"/>
          <w:shd w:val="clear" w:color="auto" w:fill="FFFFFF"/>
        </w:rPr>
        <w:t xml:space="preserve">. </w:t>
      </w:r>
    </w:p>
    <w:p w14:paraId="0812EA9E" w14:textId="5614A665"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Harte</w:t>
      </w:r>
      <w:r w:rsidRPr="00F03917">
        <w:rPr>
          <w:rStyle w:val="normaltextrun"/>
          <w:rFonts w:cs="Calibri"/>
          <w:color w:val="000000"/>
          <w:szCs w:val="20"/>
          <w:shd w:val="clear" w:color="auto" w:fill="FFFFFF"/>
        </w:rPr>
        <w:t>veld, C. (2012</w:t>
      </w:r>
      <w:r w:rsidRPr="00F03917">
        <w:rPr>
          <w:rStyle w:val="normaltextrun"/>
          <w:rFonts w:cs="Calibri"/>
          <w:i/>
          <w:color w:val="000000"/>
          <w:szCs w:val="20"/>
          <w:shd w:val="clear" w:color="auto" w:fill="FFFFFF"/>
        </w:rPr>
        <w:t xml:space="preserve">). </w:t>
      </w:r>
      <w:r w:rsidRPr="00F03917">
        <w:rPr>
          <w:rStyle w:val="normaltextrun"/>
          <w:rFonts w:cs="Calibri"/>
          <w:color w:val="000000"/>
          <w:szCs w:val="20"/>
          <w:shd w:val="clear" w:color="auto" w:fill="FFFFFF"/>
        </w:rPr>
        <w:t xml:space="preserve">Making sense of virtual risks: A quasi-experimental Investigation into game-based training, policy, organisation, law &amp; gaming. </w:t>
      </w:r>
      <w:r w:rsidRPr="00F03917">
        <w:rPr>
          <w:rStyle w:val="normaltextrun"/>
          <w:rFonts w:cs="Calibri"/>
          <w:i/>
          <w:color w:val="000000"/>
          <w:szCs w:val="20"/>
          <w:shd w:val="clear" w:color="auto" w:fill="FFFFFF"/>
        </w:rPr>
        <w:t>Delft University of Technology, Delft, The Netherlands</w:t>
      </w:r>
      <w:r w:rsidRPr="00F03917">
        <w:rPr>
          <w:rStyle w:val="normaltextrun"/>
          <w:rFonts w:cs="Calibri"/>
          <w:color w:val="000000"/>
          <w:szCs w:val="20"/>
          <w:shd w:val="clear" w:color="auto" w:fill="FFFFFF"/>
        </w:rPr>
        <w:t xml:space="preserve">: 409. </w:t>
      </w:r>
      <w:hyperlink r:id="rId315" w:history="1">
        <w:r w:rsidR="004E7FC0" w:rsidRPr="00F03917">
          <w:rPr>
            <w:rStyle w:val="Hyperlink"/>
            <w:rFonts w:cs="Calibri"/>
            <w:szCs w:val="20"/>
            <w:shd w:val="clear" w:color="auto" w:fill="FFFFFF"/>
          </w:rPr>
          <w:t>http://dx.doi.org/</w:t>
        </w:r>
        <w:r w:rsidRPr="00F03917">
          <w:rPr>
            <w:rStyle w:val="Hyperlink"/>
            <w:rFonts w:cs="Calibri"/>
            <w:szCs w:val="20"/>
            <w:shd w:val="clear" w:color="auto" w:fill="FFFFFF"/>
          </w:rPr>
          <w:t>10.4233/uuid:c3d38ad9-88cb-403c-b69e-ba22b005a26f</w:t>
        </w:r>
      </w:hyperlink>
      <w:r w:rsidRPr="00F03917">
        <w:rPr>
          <w:rStyle w:val="normaltextrun"/>
          <w:rFonts w:cs="Calibri"/>
          <w:color w:val="000000"/>
          <w:szCs w:val="20"/>
          <w:shd w:val="clear" w:color="auto" w:fill="FFFFFF"/>
        </w:rPr>
        <w:t>.</w:t>
      </w:r>
      <w:r w:rsidRPr="00F03917">
        <w:rPr>
          <w:rStyle w:val="eop"/>
          <w:rFonts w:cs="Calibri"/>
          <w:color w:val="000000"/>
          <w:szCs w:val="20"/>
          <w:shd w:val="clear" w:color="auto" w:fill="FFFFFF"/>
        </w:rPr>
        <w:t> </w:t>
      </w:r>
    </w:p>
    <w:p w14:paraId="58BF7229" w14:textId="28985E60"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Hausfather, Z. (2018). Explainer: How ‘shared socioeconomic pathways’ explore future climate change. </w:t>
      </w:r>
      <w:r w:rsidRPr="00F03917">
        <w:rPr>
          <w:rStyle w:val="findhit"/>
          <w:rFonts w:cs="Calibri"/>
          <w:i/>
          <w:color w:val="000000"/>
          <w:szCs w:val="20"/>
          <w:shd w:val="clear" w:color="auto" w:fill="FFFFFF"/>
        </w:rPr>
        <w:t>Carbon Brief</w:t>
      </w:r>
      <w:r w:rsidRPr="00F03917">
        <w:rPr>
          <w:rStyle w:val="findhit"/>
          <w:rFonts w:cs="Calibri"/>
          <w:color w:val="000000"/>
          <w:szCs w:val="20"/>
          <w:shd w:val="clear" w:color="auto" w:fill="FFFFFF"/>
        </w:rPr>
        <w:t>, 19.</w:t>
      </w:r>
      <w:r w:rsidR="00CD6108" w:rsidRPr="00F03917">
        <w:rPr>
          <w:rStyle w:val="findhit"/>
          <w:rFonts w:cs="Calibri"/>
          <w:color w:val="000000"/>
          <w:szCs w:val="20"/>
          <w:shd w:val="clear" w:color="auto" w:fill="FFFFFF"/>
        </w:rPr>
        <w:t xml:space="preserve"> </w:t>
      </w:r>
      <w:r w:rsidR="007340BC" w:rsidRPr="00F03917">
        <w:rPr>
          <w:rStyle w:val="findhit"/>
          <w:rFonts w:cs="Calibri"/>
          <w:color w:val="000000"/>
          <w:szCs w:val="20"/>
          <w:shd w:val="clear" w:color="auto" w:fill="FFFFFF"/>
        </w:rPr>
        <w:t xml:space="preserve">Retrieved from </w:t>
      </w:r>
      <w:r w:rsidR="007340BC" w:rsidRPr="00F03917">
        <w:rPr>
          <w:rStyle w:val="Hyperlink"/>
        </w:rPr>
        <w:t>https://www.carbonbrief.org/explainer-how-shared-socioeconomic-pathways-explore-future-climate-change/</w:t>
      </w:r>
    </w:p>
    <w:p w14:paraId="438B6E2A" w14:textId="2600B973"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Hawkes,</w:t>
      </w:r>
      <w:r w:rsidRPr="00F03917">
        <w:rPr>
          <w:rStyle w:val="normaltextrun"/>
          <w:rFonts w:cs="Calibri"/>
          <w:color w:val="000000"/>
          <w:szCs w:val="20"/>
          <w:shd w:val="clear" w:color="auto" w:fill="FFFFFF"/>
        </w:rPr>
        <w:t xml:space="preserve"> P., J., Gouldby, B., R., Tawn, J., A., Owen, M., W. (2002). The joint probability of waves and water levels in coastal engineering design</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Journal of Hydraulic Research</w:t>
      </w:r>
      <w:r w:rsidRPr="00F03917">
        <w:rPr>
          <w:rStyle w:val="normaltextrun"/>
          <w:rFonts w:cs="Calibri"/>
          <w:color w:val="000000"/>
          <w:szCs w:val="20"/>
          <w:shd w:val="clear" w:color="auto" w:fill="FFFFFF"/>
        </w:rPr>
        <w:t xml:space="preserve"> 40(3): 241–251.</w:t>
      </w:r>
      <w:r w:rsidR="004346C3" w:rsidRPr="00F03917">
        <w:rPr>
          <w:rStyle w:val="normaltextrun"/>
          <w:rFonts w:cs="Calibri"/>
          <w:color w:val="000000"/>
          <w:szCs w:val="20"/>
          <w:shd w:val="clear" w:color="auto" w:fill="FFFFFF"/>
        </w:rPr>
        <w:t xml:space="preserve"> </w:t>
      </w:r>
      <w:hyperlink r:id="rId316" w:history="1">
        <w:r w:rsidR="004346C3" w:rsidRPr="00F03917">
          <w:rPr>
            <w:rStyle w:val="Hyperlink"/>
            <w:rFonts w:cs="Calibri"/>
            <w:szCs w:val="20"/>
            <w:shd w:val="clear" w:color="auto" w:fill="FFFFFF"/>
          </w:rPr>
          <w:t>https://doi.org/10.1080/00221680209499940</w:t>
        </w:r>
      </w:hyperlink>
      <w:r w:rsidR="004346C3" w:rsidRPr="00F03917">
        <w:rPr>
          <w:rStyle w:val="normaltextrun"/>
          <w:rFonts w:cs="Calibri"/>
          <w:color w:val="000000"/>
          <w:szCs w:val="20"/>
          <w:shd w:val="clear" w:color="auto" w:fill="FFFFFF"/>
        </w:rPr>
        <w:t xml:space="preserve"> </w:t>
      </w:r>
    </w:p>
    <w:p w14:paraId="570E2C8E" w14:textId="689169D3" w:rsidR="002A3853" w:rsidRPr="00F03917" w:rsidRDefault="002A3853" w:rsidP="002A3853">
      <w:pPr>
        <w:pStyle w:val="References"/>
        <w:rPr>
          <w:rStyle w:val="Hyperlink"/>
        </w:rPr>
      </w:pPr>
      <w:r w:rsidRPr="00F03917">
        <w:rPr>
          <w:rStyle w:val="findhit"/>
          <w:rFonts w:cs="Calibri"/>
          <w:color w:val="000000"/>
          <w:szCs w:val="20"/>
          <w:shd w:val="clear" w:color="auto" w:fill="FFFFFF"/>
        </w:rPr>
        <w:t>Hayward,</w:t>
      </w:r>
      <w:r w:rsidRPr="00F03917">
        <w:rPr>
          <w:rStyle w:val="normaltextrun"/>
          <w:rFonts w:cs="Calibri"/>
          <w:color w:val="000000"/>
          <w:szCs w:val="20"/>
          <w:shd w:val="clear" w:color="auto" w:fill="FFFFFF"/>
        </w:rPr>
        <w:t xml:space="preserve"> C., Simpson, L., Wood, L. (2004). Still left out in the cold: Problematising participatory research and development</w:t>
      </w:r>
      <w:r w:rsidRPr="00F03917">
        <w:rPr>
          <w:rStyle w:val="normaltextrun"/>
          <w:rFonts w:cs="Calibri"/>
          <w:i/>
          <w:iCs/>
          <w:color w:val="000000"/>
          <w:szCs w:val="20"/>
          <w:shd w:val="clear" w:color="auto" w:fill="FFFFFF"/>
        </w:rPr>
        <w:t>.</w:t>
      </w:r>
      <w:r w:rsidRPr="00F03917">
        <w:rPr>
          <w:rStyle w:val="normaltextrun"/>
          <w:rFonts w:cs="Calibri"/>
          <w:i/>
          <w:color w:val="000000"/>
          <w:szCs w:val="20"/>
          <w:shd w:val="clear" w:color="auto" w:fill="FFFFFF"/>
        </w:rPr>
        <w:t xml:space="preserve"> Sociologia Ruralis</w:t>
      </w:r>
      <w:r w:rsidRPr="00F03917">
        <w:rPr>
          <w:rStyle w:val="normaltextrun"/>
          <w:rFonts w:cs="Calibri"/>
          <w:color w:val="000000"/>
          <w:szCs w:val="20"/>
          <w:shd w:val="clear" w:color="auto" w:fill="FFFFFF"/>
        </w:rPr>
        <w:t xml:space="preserve"> 44(1): 95–108. </w:t>
      </w:r>
      <w:hyperlink r:id="rId317" w:tgtFrame="_blank" w:history="1">
        <w:r w:rsidRPr="00F03917">
          <w:rPr>
            <w:rStyle w:val="Hyperlink"/>
          </w:rPr>
          <w:t>http://dx.doi.org/10.1111/j.1467-9523.2004.00264.x</w:t>
        </w:r>
      </w:hyperlink>
      <w:r w:rsidRPr="00F03917">
        <w:rPr>
          <w:rStyle w:val="Hyperlink"/>
        </w:rPr>
        <w:t>.</w:t>
      </w:r>
    </w:p>
    <w:p w14:paraId="55D0219F" w14:textId="08EC0572" w:rsidR="002A3853" w:rsidRPr="00F03917" w:rsidRDefault="002A3853" w:rsidP="002A3853">
      <w:pPr>
        <w:pStyle w:val="References"/>
      </w:pPr>
      <w:r w:rsidRPr="00F03917">
        <w:rPr>
          <w:rStyle w:val="findhit"/>
          <w:rFonts w:cs="Calibri"/>
          <w:color w:val="000000"/>
          <w:szCs w:val="20"/>
          <w:shd w:val="clear" w:color="auto" w:fill="FFFFFF"/>
        </w:rPr>
        <w:t>Hemer,</w:t>
      </w:r>
      <w:r w:rsidRPr="00F03917">
        <w:rPr>
          <w:rStyle w:val="normaltextrun"/>
          <w:rFonts w:cs="Calibri"/>
          <w:color w:val="000000"/>
          <w:szCs w:val="20"/>
          <w:shd w:val="clear" w:color="auto" w:fill="FFFFFF"/>
        </w:rPr>
        <w:t xml:space="preserve"> M., A., Fan, Y., Mori, N., Semedo, A., Wang, X., L. (2013). Projected changes in wave climate from a multi-model ensemble. </w:t>
      </w:r>
      <w:r w:rsidRPr="00F03917">
        <w:rPr>
          <w:rStyle w:val="normaltextrun"/>
          <w:rFonts w:cs="Calibri"/>
          <w:i/>
          <w:color w:val="000000"/>
          <w:szCs w:val="20"/>
          <w:shd w:val="clear" w:color="auto" w:fill="FFFFFF"/>
        </w:rPr>
        <w:t>Nature Climate Change</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 xml:space="preserve">3(5): 471–476. </w:t>
      </w:r>
      <w:hyperlink r:id="rId318" w:tgtFrame="_blank" w:history="1">
        <w:r w:rsidR="00CF7540" w:rsidRPr="00F03917">
          <w:rPr>
            <w:rStyle w:val="Hyperlink"/>
          </w:rPr>
          <w:t>https://www.nature.com/articles/nclimate1791</w:t>
        </w:r>
      </w:hyperlink>
      <w:r w:rsidRPr="00F03917">
        <w:rPr>
          <w:rStyle w:val="normaltextrun"/>
          <w:rFonts w:cs="Calibri"/>
          <w:color w:val="000000"/>
          <w:szCs w:val="20"/>
          <w:shd w:val="clear" w:color="auto" w:fill="FFFFFF"/>
        </w:rPr>
        <w:t>.</w:t>
      </w:r>
    </w:p>
    <w:p w14:paraId="2CA6A907" w14:textId="77777777" w:rsidR="002A3853" w:rsidRPr="00F03917" w:rsidRDefault="002A3853" w:rsidP="002A3853">
      <w:pPr>
        <w:pStyle w:val="References"/>
      </w:pPr>
      <w:r w:rsidRPr="00F03917">
        <w:t xml:space="preserve">Herman, J.D., Reed, P.M., Zeff, H.B., Characklis, G.W. (2015). How should robustness be defined for water systems planning under change? </w:t>
      </w:r>
      <w:r w:rsidRPr="00F03917">
        <w:rPr>
          <w:i/>
          <w:iCs/>
        </w:rPr>
        <w:t>Journal of Water Resources Planning and Management-ASCE</w:t>
      </w:r>
      <w:r w:rsidRPr="00F03917">
        <w:t xml:space="preserve"> 141(10). </w:t>
      </w:r>
      <w:hyperlink r:id="rId319" w:history="1">
        <w:r w:rsidRPr="00F03917">
          <w:rPr>
            <w:rStyle w:val="Hyperlink"/>
            <w:rFonts w:eastAsia="Calibri" w:cs="Calibri"/>
            <w:szCs w:val="20"/>
          </w:rPr>
          <w:t>doi.org/10.1061/(ASCE)WR.1943-5452.0000509</w:t>
        </w:r>
      </w:hyperlink>
      <w:r w:rsidRPr="00F03917">
        <w:t>.</w:t>
      </w:r>
    </w:p>
    <w:p w14:paraId="10AF4A56" w14:textId="77777777" w:rsidR="002A3853" w:rsidRPr="00F03917" w:rsidRDefault="002A3853" w:rsidP="002A3853">
      <w:pPr>
        <w:pStyle w:val="References"/>
        <w:rPr>
          <w:color w:val="2C997B"/>
        </w:rPr>
      </w:pPr>
      <w:r w:rsidRPr="00F03917">
        <w:t xml:space="preserve">Hermans, L.M., Haasnoot, M., ter Maat, J., Kwakkel, J.H. (2017). Designing monitoring arrangements for collaborative learning about adaptation pathways. </w:t>
      </w:r>
      <w:r w:rsidRPr="00F03917">
        <w:rPr>
          <w:i/>
          <w:iCs/>
        </w:rPr>
        <w:t>Environmental Science and Policy</w:t>
      </w:r>
      <w:r w:rsidRPr="00F03917">
        <w:t xml:space="preserve"> 69: 29–38. </w:t>
      </w:r>
      <w:hyperlink r:id="rId320" w:history="1">
        <w:r w:rsidRPr="00F03917">
          <w:rPr>
            <w:rStyle w:val="Hyperlink"/>
            <w:rFonts w:eastAsia="Calibri" w:cs="Calibri"/>
            <w:szCs w:val="20"/>
          </w:rPr>
          <w:t>doi.org/10.1016/j.envsci.2016.12.005</w:t>
        </w:r>
      </w:hyperlink>
      <w:r w:rsidRPr="00F03917">
        <w:rPr>
          <w:color w:val="2C997B"/>
        </w:rPr>
        <w:t>.</w:t>
      </w:r>
    </w:p>
    <w:p w14:paraId="2FC38216" w14:textId="3F82B8A3" w:rsidR="002A3853" w:rsidRPr="00F03917" w:rsidRDefault="002A3853" w:rsidP="002A3853">
      <w:pPr>
        <w:pStyle w:val="References"/>
      </w:pPr>
      <w:r w:rsidRPr="00F03917">
        <w:t>Hewitt, J., E., Ellis, J., I., Thrush, S., F. (2016). Multiple stressors, nonlinear effects and the implication of climate change impacts on marine coastal ecosystems</w:t>
      </w:r>
      <w:r w:rsidRPr="00F03917">
        <w:rPr>
          <w:i/>
          <w:iCs/>
        </w:rPr>
        <w:t>.</w:t>
      </w:r>
      <w:r w:rsidRPr="00F03917">
        <w:t xml:space="preserve"> </w:t>
      </w:r>
      <w:r w:rsidRPr="00F03917">
        <w:rPr>
          <w:i/>
        </w:rPr>
        <w:t>Global Change Biology</w:t>
      </w:r>
      <w:r w:rsidRPr="00F03917">
        <w:t xml:space="preserve"> 22(8). 2665-2675. </w:t>
      </w:r>
      <w:hyperlink r:id="rId321" w:history="1">
        <w:r w:rsidRPr="00F03917">
          <w:rPr>
            <w:rStyle w:val="Hyperlink"/>
          </w:rPr>
          <w:t>https://doi.org/10.1111/gcb.13176</w:t>
        </w:r>
      </w:hyperlink>
    </w:p>
    <w:p w14:paraId="7A624C59" w14:textId="77777777" w:rsidR="002A3853" w:rsidRPr="00F03917" w:rsidRDefault="002A3853" w:rsidP="002A3853">
      <w:pPr>
        <w:pStyle w:val="References"/>
      </w:pPr>
      <w:r w:rsidRPr="00F03917">
        <w:t xml:space="preserve">Hikuroa, D. (2020). Mātauranga Māori and its role in coastal management. Coastal Systems and Sea Level Rise: What to look for in the future. pp. 5–9, </w:t>
      </w:r>
      <w:r w:rsidRPr="00F03917">
        <w:rPr>
          <w:i/>
        </w:rPr>
        <w:t>Special Publication 4, NZ Coastal Society</w:t>
      </w:r>
      <w:r w:rsidRPr="00F03917">
        <w:t xml:space="preserve">, Dec 2020. Retrieved from </w:t>
      </w:r>
      <w:hyperlink r:id="rId322" w:history="1">
        <w:r w:rsidRPr="00F03917">
          <w:rPr>
            <w:rStyle w:val="Hyperlink"/>
            <w:rFonts w:eastAsia="Calibri" w:cs="Calibri"/>
            <w:szCs w:val="20"/>
          </w:rPr>
          <w:t>www.coastalsociety.org.nz/media/view/publications/sea-level-rise/</w:t>
        </w:r>
      </w:hyperlink>
      <w:r w:rsidRPr="00F03917">
        <w:t>.</w:t>
      </w:r>
      <w:r w:rsidRPr="00F03917">
        <w:rPr>
          <w:rStyle w:val="Hyperlink"/>
          <w:rFonts w:eastAsia="Calibri" w:cs="Calibri"/>
          <w:szCs w:val="20"/>
        </w:rPr>
        <w:t xml:space="preserve"> </w:t>
      </w:r>
    </w:p>
    <w:p w14:paraId="2817E1AD" w14:textId="56352F4F" w:rsidR="002A3853" w:rsidRPr="00F03917" w:rsidRDefault="002A3853" w:rsidP="002A3853">
      <w:pPr>
        <w:pStyle w:val="References"/>
        <w:rPr>
          <w:color w:val="008080"/>
          <w:u w:val="single"/>
        </w:rPr>
      </w:pPr>
      <w:r w:rsidRPr="00F03917">
        <w:t xml:space="preserve">Hirschfeld, D., Behar, D., Nicholls, R., Cahill, N., James, T., Horton, B.P., Portman, M. E., Bell, R., Campo, M., Esteban, M., Goble, B., et al. (2023). Global survey shows planners use widely varying sea-level rise projections for coastal adaptation. </w:t>
      </w:r>
      <w:r w:rsidRPr="00F03917">
        <w:rPr>
          <w:i/>
        </w:rPr>
        <w:t xml:space="preserve">Communications Earth and Environment </w:t>
      </w:r>
      <w:r w:rsidRPr="00F03917">
        <w:rPr>
          <w:iCs/>
        </w:rPr>
        <w:t>4</w:t>
      </w:r>
      <w:r w:rsidRPr="00F03917">
        <w:t xml:space="preserve">: 102. </w:t>
      </w:r>
      <w:hyperlink r:id="rId323" w:history="1">
        <w:r w:rsidRPr="00F03917">
          <w:rPr>
            <w:rStyle w:val="Hyperlink"/>
            <w:rFonts w:eastAsia="Calibri" w:cs="Calibri"/>
            <w:szCs w:val="20"/>
          </w:rPr>
          <w:t>doi.org/10.1038/s43247-023-00703-x</w:t>
        </w:r>
      </w:hyperlink>
      <w:r w:rsidRPr="00F03917">
        <w:t>.</w:t>
      </w:r>
      <w:r w:rsidRPr="00F03917">
        <w:rPr>
          <w:color w:val="008080"/>
          <w:u w:val="single"/>
        </w:rPr>
        <w:t xml:space="preserve"> </w:t>
      </w:r>
    </w:p>
    <w:p w14:paraId="373980B1" w14:textId="5164C376" w:rsidR="002A3853" w:rsidRPr="00F03917" w:rsidRDefault="002A3853" w:rsidP="002A3853">
      <w:pPr>
        <w:pStyle w:val="References"/>
        <w:rPr>
          <w:rFonts w:asciiTheme="minorHAnsi" w:eastAsiaTheme="minorHAnsi" w:hAnsiTheme="minorHAnsi" w:cstheme="minorHAnsi"/>
          <w:kern w:val="2"/>
          <w:szCs w:val="20"/>
          <w:shd w:val="clear" w:color="auto" w:fill="FFFFFF"/>
          <w:lang w:eastAsia="en-US"/>
          <w14:ligatures w14:val="standardContextual"/>
        </w:rPr>
      </w:pPr>
      <w:r w:rsidRPr="00F03917">
        <w:rPr>
          <w:rStyle w:val="findhit"/>
          <w:rFonts w:cs="Calibri"/>
          <w:color w:val="000000"/>
          <w:szCs w:val="20"/>
          <w:shd w:val="clear" w:color="auto" w:fill="FFFFFF"/>
        </w:rPr>
        <w:t>Hoe</w:t>
      </w:r>
      <w:r w:rsidRPr="00F03917">
        <w:rPr>
          <w:rStyle w:val="normaltextrun"/>
          <w:rFonts w:cs="Calibri"/>
          <w:color w:val="000000"/>
          <w:szCs w:val="20"/>
          <w:shd w:val="clear" w:color="auto" w:fill="FFFFFF"/>
        </w:rPr>
        <w:t>kstra, A., Y. (2012). Computer-supported games and role plays in teaching water management</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Hydrology and Earth System Sciences</w:t>
      </w:r>
      <w:r w:rsidRPr="00F03917">
        <w:rPr>
          <w:rStyle w:val="normaltextrun"/>
          <w:rFonts w:cs="Calibri"/>
          <w:color w:val="000000"/>
          <w:szCs w:val="20"/>
          <w:shd w:val="clear" w:color="auto" w:fill="FFFFFF"/>
        </w:rPr>
        <w:t xml:space="preserve"> 16: 2985–2994. </w:t>
      </w:r>
      <w:hyperlink r:id="rId324" w:history="1">
        <w:r w:rsidR="00864789" w:rsidRPr="00F03917">
          <w:rPr>
            <w:rStyle w:val="Hyperlink"/>
            <w:rFonts w:cs="Calibri"/>
            <w:szCs w:val="20"/>
            <w:shd w:val="clear" w:color="auto" w:fill="FFFFFF"/>
          </w:rPr>
          <w:t>http://doi.org/10.5194/hess-16-2985-2012</w:t>
        </w:r>
      </w:hyperlink>
      <w:r w:rsidRPr="00F03917">
        <w:rPr>
          <w:rStyle w:val="normaltextrun"/>
          <w:rFonts w:cs="Calibri"/>
          <w:color w:val="000000"/>
          <w:szCs w:val="20"/>
          <w:shd w:val="clear" w:color="auto" w:fill="FFFFFF"/>
        </w:rPr>
        <w:t>.</w:t>
      </w:r>
      <w:r w:rsidRPr="00F03917">
        <w:rPr>
          <w:rStyle w:val="eop"/>
          <w:rFonts w:cs="Calibri"/>
          <w:color w:val="000000"/>
          <w:szCs w:val="20"/>
          <w:shd w:val="clear" w:color="auto" w:fill="FFFFFF"/>
        </w:rPr>
        <w:t> </w:t>
      </w:r>
    </w:p>
    <w:p w14:paraId="340ACDC9" w14:textId="6DE1E2A9" w:rsidR="002A3853" w:rsidRPr="00F03917" w:rsidRDefault="002A3853" w:rsidP="002A3853">
      <w:pPr>
        <w:pStyle w:val="References"/>
      </w:pPr>
      <w:r w:rsidRPr="00F03917">
        <w:t xml:space="preserve">Horton, B. P., Kopp, R. E., Garner, A. J., Hay, C. C., Khan, N. S., Roy, K., &amp; Shaw, T. A. (2018). Mapping sea-level change in time, space, and probability. </w:t>
      </w:r>
      <w:r w:rsidRPr="00F03917">
        <w:rPr>
          <w:i/>
        </w:rPr>
        <w:t>Annual Review of Environment and Resources</w:t>
      </w:r>
      <w:r w:rsidRPr="00F03917">
        <w:t>, 43, 481-521.</w:t>
      </w:r>
      <w:r w:rsidR="00177E4B" w:rsidRPr="00F03917">
        <w:t xml:space="preserve"> </w:t>
      </w:r>
      <w:hyperlink r:id="rId325" w:history="1">
        <w:r w:rsidR="00177E4B" w:rsidRPr="00F03917">
          <w:rPr>
            <w:rStyle w:val="Hyperlink"/>
          </w:rPr>
          <w:t>https://doi.org/10.1146/annurev-environ-102017-025826</w:t>
        </w:r>
      </w:hyperlink>
    </w:p>
    <w:p w14:paraId="1D855670" w14:textId="77777777" w:rsidR="002A3853" w:rsidRPr="00F03917" w:rsidRDefault="002A3853" w:rsidP="002A3853">
      <w:pPr>
        <w:pStyle w:val="References"/>
        <w:rPr>
          <w:shd w:val="clear" w:color="auto" w:fill="FFFFFF"/>
        </w:rPr>
      </w:pPr>
      <w:r w:rsidRPr="00F03917">
        <w:rPr>
          <w:shd w:val="clear" w:color="auto" w:fill="FFFFFF"/>
        </w:rPr>
        <w:t xml:space="preserve">Horton, B.P., Rahmstorf, S., Engelhart, S.E., Kemp, A.C. (2014). Expert assessment of sea-level rise by AD 2100 and AD 2300. </w:t>
      </w:r>
      <w:r w:rsidRPr="00F03917">
        <w:rPr>
          <w:i/>
          <w:iCs/>
          <w:shd w:val="clear" w:color="auto" w:fill="FFFFFF"/>
        </w:rPr>
        <w:t>Quaternary Science Reviews</w:t>
      </w:r>
      <w:r w:rsidRPr="00F03917">
        <w:rPr>
          <w:shd w:val="clear" w:color="auto" w:fill="FFFFFF"/>
        </w:rPr>
        <w:t xml:space="preserve"> 84: 1–6. Retrieved from </w:t>
      </w:r>
      <w:hyperlink r:id="rId326" w:history="1">
        <w:r w:rsidRPr="00F03917">
          <w:rPr>
            <w:rStyle w:val="Hyperlink"/>
            <w:rFonts w:eastAsia="Calibri" w:cs="Calibri"/>
          </w:rPr>
          <w:t>http://dx.doi.org/10.1016/j.quascirev.2013.11.002</w:t>
        </w:r>
      </w:hyperlink>
      <w:r w:rsidRPr="00F03917">
        <w:rPr>
          <w:rStyle w:val="Hyperlink"/>
          <w:rFonts w:eastAsia="Calibri" w:cs="Calibri"/>
        </w:rPr>
        <w:t>.</w:t>
      </w:r>
      <w:r w:rsidRPr="00F03917">
        <w:rPr>
          <w:shd w:val="clear" w:color="auto" w:fill="FFFFFF"/>
        </w:rPr>
        <w:t> </w:t>
      </w:r>
    </w:p>
    <w:p w14:paraId="1F51C5EE" w14:textId="77777777" w:rsidR="002A3853" w:rsidRPr="00F03917" w:rsidRDefault="002A3853" w:rsidP="002A3853">
      <w:pPr>
        <w:pStyle w:val="References"/>
        <w:rPr>
          <w:color w:val="008080"/>
          <w:u w:val="single"/>
        </w:rPr>
      </w:pPr>
      <w:r w:rsidRPr="00F03917">
        <w:t xml:space="preserve">Hounjet, M., Kieftenburg, A., Altamirano, A. (2016). Learning from flood events on critical infrastructure: relations and consequences for life and environment (CIrcle). In: </w:t>
      </w:r>
      <w:r w:rsidRPr="00F03917">
        <w:rPr>
          <w:i/>
          <w:iCs/>
        </w:rPr>
        <w:t>Coastal Management, Conference Proceedings</w:t>
      </w:r>
      <w:r w:rsidRPr="00F03917">
        <w:t xml:space="preserve">. ICE Publishing, pp. 407–413. </w:t>
      </w:r>
      <w:hyperlink r:id="rId327">
        <w:r w:rsidRPr="00F03917">
          <w:rPr>
            <w:rStyle w:val="Hyperlink"/>
            <w:rFonts w:eastAsia="Calibri" w:cs="Calibri"/>
          </w:rPr>
          <w:t>doi.org/10.1680/cm.61149.407</w:t>
        </w:r>
      </w:hyperlink>
      <w:r w:rsidRPr="00F03917">
        <w:t>.</w:t>
      </w:r>
      <w:r w:rsidRPr="00F03917">
        <w:rPr>
          <w:color w:val="008080"/>
          <w:u w:val="single"/>
        </w:rPr>
        <w:t xml:space="preserve"> </w:t>
      </w:r>
    </w:p>
    <w:p w14:paraId="1F22FAA1" w14:textId="47CA7581"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Howarth, J., D., Barth, N., C., Fitzsimons, S., J., … Richards-Dinger, K. (2021). Spatiotemporal clustering of great earthquakes in a transform fault controlled by geometry</w:t>
      </w:r>
      <w:r w:rsidRPr="00F03917">
        <w:rPr>
          <w:rStyle w:val="findhit"/>
          <w:rFonts w:cs="Calibri"/>
          <w:i/>
          <w:iCs/>
          <w:color w:val="000000"/>
          <w:szCs w:val="20"/>
          <w:shd w:val="clear" w:color="auto" w:fill="FFFFFF"/>
        </w:rPr>
        <w:t xml:space="preserve">. </w:t>
      </w:r>
      <w:r w:rsidRPr="00F03917">
        <w:rPr>
          <w:rStyle w:val="findhit"/>
          <w:rFonts w:cs="Calibri"/>
          <w:i/>
          <w:color w:val="000000"/>
          <w:szCs w:val="20"/>
          <w:shd w:val="clear" w:color="auto" w:fill="FFFFFF"/>
        </w:rPr>
        <w:t>Nature Geoscience</w:t>
      </w:r>
      <w:r w:rsidRPr="00F03917">
        <w:rPr>
          <w:rStyle w:val="findhit"/>
          <w:rFonts w:cs="Calibri"/>
          <w:color w:val="000000"/>
          <w:szCs w:val="20"/>
          <w:shd w:val="clear" w:color="auto" w:fill="FFFFFF"/>
        </w:rPr>
        <w:t xml:space="preserve"> 14(5). 1-7. </w:t>
      </w:r>
      <w:hyperlink r:id="rId328" w:history="1">
        <w:r w:rsidR="005341CA" w:rsidRPr="00F03917">
          <w:rPr>
            <w:rStyle w:val="Hyperlink"/>
            <w:rFonts w:cs="Calibri"/>
            <w:szCs w:val="20"/>
            <w:shd w:val="clear" w:color="auto" w:fill="FFFFFF"/>
          </w:rPr>
          <w:t>doi</w:t>
        </w:r>
        <w:r w:rsidRPr="00F03917">
          <w:rPr>
            <w:rStyle w:val="Hyperlink"/>
            <w:rFonts w:cs="Calibri"/>
            <w:szCs w:val="20"/>
            <w:shd w:val="clear" w:color="auto" w:fill="FFFFFF"/>
          </w:rPr>
          <w:t>:10.1038/s41561-021-00721-4</w:t>
        </w:r>
      </w:hyperlink>
      <w:r w:rsidRPr="00F03917">
        <w:rPr>
          <w:rStyle w:val="findhit"/>
          <w:rFonts w:cs="Calibri"/>
          <w:color w:val="000000"/>
          <w:szCs w:val="20"/>
          <w:shd w:val="clear" w:color="auto" w:fill="FFFFFF"/>
        </w:rPr>
        <w:t xml:space="preserve"> </w:t>
      </w:r>
    </w:p>
    <w:p w14:paraId="1BF5AAB0" w14:textId="1633E437" w:rsidR="002A3853" w:rsidRPr="00F03917" w:rsidRDefault="002A3853" w:rsidP="002A3853">
      <w:pPr>
        <w:pStyle w:val="References"/>
      </w:pPr>
      <w:r w:rsidRPr="00F03917">
        <w:rPr>
          <w:rStyle w:val="findhit"/>
          <w:rFonts w:cs="Calibri"/>
          <w:color w:val="000000"/>
          <w:szCs w:val="20"/>
          <w:shd w:val="clear" w:color="auto" w:fill="FFFFFF"/>
        </w:rPr>
        <w:t>Howell</w:t>
      </w:r>
      <w:r w:rsidRPr="00F03917">
        <w:rPr>
          <w:rStyle w:val="normaltextrun"/>
          <w:rFonts w:cs="Calibri"/>
          <w:color w:val="000000"/>
          <w:szCs w:val="20"/>
          <w:shd w:val="clear" w:color="auto" w:fill="FFFFFF"/>
        </w:rPr>
        <w:t xml:space="preserve">, A., &amp; Clark, K., J. (2022). Late Holocene coseismic uplift of the Kaikōura coast, New Zealand. </w:t>
      </w:r>
      <w:r w:rsidRPr="00F03917">
        <w:rPr>
          <w:rStyle w:val="normaltextrun"/>
          <w:rFonts w:cs="Calibri"/>
          <w:i/>
          <w:color w:val="000000"/>
          <w:szCs w:val="20"/>
          <w:shd w:val="clear" w:color="auto" w:fill="FFFFFF"/>
        </w:rPr>
        <w:t>Geosphere</w:t>
      </w:r>
      <w:r w:rsidRPr="00F03917">
        <w:rPr>
          <w:rStyle w:val="normaltextrun"/>
          <w:rFonts w:cs="Calibri"/>
          <w:i/>
          <w:iCs/>
          <w:color w:val="000000"/>
          <w:szCs w:val="20"/>
          <w:shd w:val="clear" w:color="auto" w:fill="FFFFFF"/>
        </w:rPr>
        <w:t xml:space="preserve"> 18(3)</w:t>
      </w:r>
      <w:r w:rsidRPr="00F03917">
        <w:rPr>
          <w:rStyle w:val="normaltextrun"/>
          <w:rFonts w:cs="Calibri"/>
          <w:color w:val="000000"/>
          <w:szCs w:val="20"/>
          <w:shd w:val="clear" w:color="auto" w:fill="FFFFFF"/>
        </w:rPr>
        <w:t xml:space="preserve">: 1104– 1137. </w:t>
      </w:r>
      <w:hyperlink r:id="rId329" w:tgtFrame="_blank" w:history="1">
        <w:r w:rsidRPr="00F03917">
          <w:rPr>
            <w:rStyle w:val="Hyperlink"/>
            <w:rFonts w:cs="Calibri"/>
            <w:szCs w:val="20"/>
            <w:shd w:val="clear" w:color="auto" w:fill="FFFFFF"/>
          </w:rPr>
          <w:t>https://doi.org/10.1130/GES02479.1 </w:t>
        </w:r>
        <w:r w:rsidRPr="00F03917">
          <w:rPr>
            <w:rStyle w:val="Hyperlink"/>
            <w:rFonts w:cs="Calibri"/>
            <w:shd w:val="clear" w:color="auto" w:fill="FFFFFF"/>
          </w:rPr>
          <w:t> </w:t>
        </w:r>
      </w:hyperlink>
    </w:p>
    <w:p w14:paraId="3AA1DE41" w14:textId="01AF6DF0"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Hugel, S., &amp; Davies, A., R. (2020). Public participation, engagement, and climate change adaptation: A review of the research literature. </w:t>
      </w:r>
      <w:r w:rsidRPr="00F03917">
        <w:rPr>
          <w:rStyle w:val="findhit"/>
          <w:rFonts w:cs="Calibri"/>
          <w:i/>
          <w:color w:val="000000"/>
          <w:szCs w:val="20"/>
          <w:shd w:val="clear" w:color="auto" w:fill="FFFFFF"/>
        </w:rPr>
        <w:t>WIREs Climate Change</w:t>
      </w:r>
      <w:r w:rsidRPr="00F03917">
        <w:rPr>
          <w:rStyle w:val="findhit"/>
          <w:rFonts w:cs="Calibri"/>
          <w:color w:val="000000"/>
          <w:szCs w:val="20"/>
          <w:shd w:val="clear" w:color="auto" w:fill="FFFFFF"/>
        </w:rPr>
        <w:t xml:space="preserve"> 11(4). </w:t>
      </w:r>
      <w:hyperlink r:id="rId330" w:history="1">
        <w:r w:rsidRPr="00F03917">
          <w:rPr>
            <w:rStyle w:val="Hyperlink"/>
            <w:rFonts w:cs="Calibri"/>
            <w:szCs w:val="20"/>
            <w:shd w:val="clear" w:color="auto" w:fill="FFFFFF"/>
          </w:rPr>
          <w:t>https://doi.org/10.1002/wcc.645</w:t>
        </w:r>
      </w:hyperlink>
    </w:p>
    <w:p w14:paraId="6ED845EB" w14:textId="461FAE1F" w:rsidR="002A3853" w:rsidRPr="00F03917" w:rsidRDefault="002A3853" w:rsidP="002A3853">
      <w:pPr>
        <w:pStyle w:val="References"/>
      </w:pPr>
      <w:r w:rsidRPr="00F03917">
        <w:rPr>
          <w:rStyle w:val="findhit"/>
          <w:rFonts w:cs="Calibri"/>
          <w:color w:val="000000"/>
          <w:szCs w:val="20"/>
          <w:shd w:val="clear" w:color="auto" w:fill="FFFFFF"/>
        </w:rPr>
        <w:t>Hunter,</w:t>
      </w:r>
      <w:r w:rsidRPr="00F03917">
        <w:rPr>
          <w:rStyle w:val="normaltextrun"/>
          <w:rFonts w:cs="Calibri"/>
          <w:color w:val="000000"/>
          <w:szCs w:val="20"/>
          <w:shd w:val="clear" w:color="auto" w:fill="FFFFFF"/>
        </w:rPr>
        <w:t xml:space="preserve"> J., R. (2015). Sea-level extremes at four New Zealand tide gauge locations and the impact of future sea-level rise. </w:t>
      </w:r>
      <w:r w:rsidRPr="00F03917">
        <w:rPr>
          <w:rStyle w:val="normaltextrun"/>
          <w:rFonts w:cs="Calibri"/>
          <w:i/>
          <w:color w:val="000000"/>
          <w:szCs w:val="20"/>
          <w:shd w:val="clear" w:color="auto" w:fill="FFFFFF"/>
        </w:rPr>
        <w:t>Prepared for Office of the Parliamentary Commissioner for the Environment</w:t>
      </w:r>
      <w:r w:rsidRPr="00F03917">
        <w:rPr>
          <w:rStyle w:val="normaltextrun"/>
          <w:rFonts w:cs="Calibri"/>
          <w:color w:val="000000"/>
          <w:szCs w:val="20"/>
          <w:shd w:val="clear" w:color="auto" w:fill="FFFFFF"/>
        </w:rPr>
        <w:t>. Wellington: Parliamentary Commissioner for the Environment.</w:t>
      </w:r>
      <w:r w:rsidR="00F45317" w:rsidRPr="00F03917">
        <w:rPr>
          <w:rStyle w:val="normaltextrun"/>
          <w:rFonts w:cs="Calibri"/>
          <w:color w:val="000000"/>
          <w:szCs w:val="20"/>
          <w:shd w:val="clear" w:color="auto" w:fill="FFFFFF"/>
        </w:rPr>
        <w:t xml:space="preserve"> Retrieved from </w:t>
      </w:r>
      <w:hyperlink r:id="rId331" w:history="1">
        <w:r w:rsidR="00F45317" w:rsidRPr="00F03917">
          <w:rPr>
            <w:rStyle w:val="Hyperlink"/>
            <w:rFonts w:cs="Calibri"/>
            <w:szCs w:val="20"/>
            <w:shd w:val="clear" w:color="auto" w:fill="FFFFFF"/>
          </w:rPr>
          <w:t>https://pce.parliament.nz/publications/preparing-new-zealand-for-rising-seas-certainty-and-uncertainty/</w:t>
        </w:r>
      </w:hyperlink>
      <w:r w:rsidR="00F45317" w:rsidRPr="00F03917">
        <w:rPr>
          <w:rStyle w:val="normaltextrun"/>
          <w:rFonts w:cs="Calibri"/>
          <w:color w:val="000000"/>
          <w:szCs w:val="20"/>
          <w:shd w:val="clear" w:color="auto" w:fill="FFFFFF"/>
        </w:rPr>
        <w:t xml:space="preserve">. </w:t>
      </w:r>
    </w:p>
    <w:p w14:paraId="79FF2E32" w14:textId="21AB76F0" w:rsidR="002A3853" w:rsidRPr="00F03917" w:rsidRDefault="002A3853" w:rsidP="002A3853">
      <w:pPr>
        <w:pStyle w:val="References"/>
      </w:pPr>
      <w:r w:rsidRPr="00F03917">
        <w:rPr>
          <w:rStyle w:val="findhit"/>
          <w:rFonts w:cs="Calibri"/>
          <w:color w:val="000000"/>
          <w:szCs w:val="20"/>
          <w:shd w:val="clear" w:color="auto" w:fill="FFFFFF"/>
        </w:rPr>
        <w:t>Hurl</w:t>
      </w:r>
      <w:r w:rsidRPr="00F03917">
        <w:rPr>
          <w:rStyle w:val="normaltextrun"/>
          <w:rFonts w:cs="Calibri"/>
          <w:color w:val="000000"/>
          <w:szCs w:val="20"/>
          <w:shd w:val="clear" w:color="auto" w:fill="FFFFFF"/>
        </w:rPr>
        <w:t>bert, M., &amp; Gupta, J. (2015). The split ladder of participation: A diagnostic, strategic, and evaluation tool to assess when participation is necessary</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Environmental Science &amp; Policy</w:t>
      </w:r>
      <w:r w:rsidRPr="00F03917">
        <w:rPr>
          <w:rStyle w:val="normaltextrun"/>
          <w:rFonts w:cs="Calibri"/>
          <w:color w:val="000000"/>
          <w:szCs w:val="20"/>
          <w:shd w:val="clear" w:color="auto" w:fill="FFFFFF"/>
        </w:rPr>
        <w:t xml:space="preserve"> 50: 100–113. </w:t>
      </w:r>
      <w:hyperlink r:id="rId332" w:tgtFrame="_blank" w:history="1">
        <w:r w:rsidRPr="00F03917">
          <w:rPr>
            <w:rStyle w:val="Hyperlink"/>
          </w:rPr>
          <w:t>http://dx.doi.org/10.1016/j.envsci.2015.01.011</w:t>
        </w:r>
      </w:hyperlink>
      <w:r w:rsidRPr="00F03917">
        <w:rPr>
          <w:rStyle w:val="normaltextrun"/>
          <w:rFonts w:cs="Calibri"/>
          <w:szCs w:val="20"/>
          <w:shd w:val="clear" w:color="auto" w:fill="FFFFFF"/>
        </w:rPr>
        <w:t>.</w:t>
      </w:r>
      <w:r w:rsidRPr="00F03917">
        <w:rPr>
          <w:rStyle w:val="eop"/>
          <w:rFonts w:cs="Calibri"/>
          <w:shd w:val="clear" w:color="auto" w:fill="FFFFFF"/>
        </w:rPr>
        <w:t> </w:t>
      </w:r>
    </w:p>
    <w:p w14:paraId="4D9C2EAC" w14:textId="50186359" w:rsidR="002A3853" w:rsidRPr="00F03917" w:rsidRDefault="002A3853" w:rsidP="002A3853">
      <w:pPr>
        <w:pStyle w:val="References"/>
      </w:pPr>
      <w:r w:rsidRPr="00F03917">
        <w:t xml:space="preserve">Hussain E., Wright T.J., Walters R.J., Bekaert D.P., Lloyd R., Hooper A. (2018). Constant strain accumulation rate between major earthquakes on the North Anatolian Fault. </w:t>
      </w:r>
      <w:r w:rsidRPr="00F03917">
        <w:rPr>
          <w:i/>
          <w:iCs/>
        </w:rPr>
        <w:t>Nature Communications</w:t>
      </w:r>
      <w:r w:rsidRPr="00F03917">
        <w:t xml:space="preserve"> 9(1): 1–9.</w:t>
      </w:r>
      <w:r w:rsidR="009D7B87" w:rsidRPr="00F03917">
        <w:t xml:space="preserve"> </w:t>
      </w:r>
      <w:r w:rsidR="00486FF6" w:rsidRPr="00F03917">
        <w:rPr>
          <w:rStyle w:val="Hyperlink"/>
        </w:rPr>
        <w:t>https://</w:t>
      </w:r>
      <w:hyperlink r:id="rId333" w:history="1">
        <w:r w:rsidR="009D7B87" w:rsidRPr="00F03917">
          <w:rPr>
            <w:rStyle w:val="Hyperlink"/>
          </w:rPr>
          <w:t>doi.org/10.1038/s41467-018-03739-2</w:t>
        </w:r>
      </w:hyperlink>
      <w:r w:rsidR="009D7B87" w:rsidRPr="00F03917">
        <w:t xml:space="preserve">. </w:t>
      </w:r>
    </w:p>
    <w:p w14:paraId="7BB755B8" w14:textId="77777777" w:rsidR="002A3853" w:rsidRPr="00F03917" w:rsidRDefault="002A3853" w:rsidP="002A3853">
      <w:pPr>
        <w:pStyle w:val="References"/>
      </w:pPr>
      <w:r w:rsidRPr="00F03917">
        <w:t xml:space="preserve">ICCI. (2023). State of the Cryosphere 2023: Two Degrees Is Too High. </w:t>
      </w:r>
      <w:r w:rsidRPr="00F03917">
        <w:rPr>
          <w:i/>
        </w:rPr>
        <w:t>Report by the International Cryosphere Climate Initiative.</w:t>
      </w:r>
      <w:r w:rsidRPr="00F03917">
        <w:t xml:space="preserve"> Retrieved from </w:t>
      </w:r>
      <w:hyperlink r:id="rId334" w:history="1">
        <w:r w:rsidRPr="00F03917">
          <w:rPr>
            <w:rStyle w:val="Hyperlink"/>
          </w:rPr>
          <w:t>https://iccinet.org/statecryo23/</w:t>
        </w:r>
      </w:hyperlink>
      <w:r w:rsidRPr="00F03917">
        <w:t>.</w:t>
      </w:r>
    </w:p>
    <w:p w14:paraId="436080DC" w14:textId="77777777" w:rsidR="002A3853" w:rsidRPr="00F03917" w:rsidRDefault="002A3853" w:rsidP="002A3853">
      <w:pPr>
        <w:pStyle w:val="References"/>
        <w:rPr>
          <w:color w:val="008080"/>
          <w:u w:val="single"/>
        </w:rPr>
      </w:pPr>
      <w:r w:rsidRPr="00F03917">
        <w:t>Ihirangi. (2021). Insight to the Rauora Indigenous Worldview Framework for the National Climate Change Adaptation Plan</w:t>
      </w:r>
      <w:r w:rsidRPr="00F03917">
        <w:rPr>
          <w:i/>
        </w:rPr>
        <w:t>.</w:t>
      </w:r>
      <w:r w:rsidRPr="00F03917">
        <w:t xml:space="preserve"> </w:t>
      </w:r>
      <w:r w:rsidRPr="00F03917">
        <w:rPr>
          <w:i/>
        </w:rPr>
        <w:t>Report prepared for the Ministry for the Environment</w:t>
      </w:r>
      <w:r w:rsidRPr="00F03917">
        <w:t xml:space="preserve">. Retrieved from </w:t>
      </w:r>
      <w:hyperlink r:id="rId335" w:history="1">
        <w:r w:rsidRPr="00F03917">
          <w:rPr>
            <w:rStyle w:val="Hyperlink"/>
            <w:rFonts w:eastAsia="Calibri" w:cs="Calibri"/>
          </w:rPr>
          <w:t>https://environment.govt.nz/publications/exploring-an-indigenous-worldview-framework-for-the-national-climate-change-adaptation-plan/</w:t>
        </w:r>
      </w:hyperlink>
      <w:r w:rsidRPr="00F03917">
        <w:t>.</w:t>
      </w:r>
      <w:r w:rsidRPr="00F03917">
        <w:rPr>
          <w:color w:val="008080"/>
          <w:u w:val="single"/>
        </w:rPr>
        <w:t xml:space="preserve"> </w:t>
      </w:r>
    </w:p>
    <w:p w14:paraId="683C4C10" w14:textId="77777777" w:rsidR="002A3853" w:rsidRPr="00F03917" w:rsidRDefault="002A3853" w:rsidP="002A3853">
      <w:pPr>
        <w:pStyle w:val="References"/>
        <w:rPr>
          <w:color w:val="008080"/>
          <w:u w:val="single"/>
        </w:rPr>
      </w:pPr>
      <w:r w:rsidRPr="00F03917">
        <w:t xml:space="preserve">Insurance Council of New Zealand. (2023). Submission on the Natural Hazards Insurance Bill. 26 May 2022. Available at: </w:t>
      </w:r>
      <w:hyperlink r:id="rId336" w:history="1">
        <w:r w:rsidRPr="00F03917">
          <w:rPr>
            <w:rStyle w:val="Hyperlink"/>
            <w:rFonts w:eastAsia="Calibri" w:cs="Calibri"/>
            <w:szCs w:val="20"/>
          </w:rPr>
          <w:t>https://www.icnz.org.nz/wp-content/uploads/2023/01/ICNZ_submission_on_Natural_Hazards_Insurance_Bill_260522.pdf</w:t>
        </w:r>
      </w:hyperlink>
      <w:r w:rsidRPr="00F03917">
        <w:rPr>
          <w:color w:val="008080"/>
          <w:u w:val="single"/>
        </w:rPr>
        <w:t xml:space="preserve"> </w:t>
      </w:r>
    </w:p>
    <w:p w14:paraId="6C3F0157" w14:textId="77777777" w:rsidR="002A3853" w:rsidRPr="00F03917" w:rsidRDefault="002A3853" w:rsidP="002A3853">
      <w:pPr>
        <w:pStyle w:val="References"/>
      </w:pPr>
      <w:r w:rsidRPr="00F03917">
        <w:rPr>
          <w:rStyle w:val="findhit"/>
          <w:rFonts w:cs="Calibri"/>
          <w:color w:val="000000"/>
          <w:szCs w:val="20"/>
          <w:shd w:val="clear" w:color="auto" w:fill="FFFFFF"/>
        </w:rPr>
        <w:t>Intergovernmental Oceanographic Commission</w:t>
      </w:r>
      <w:r w:rsidRPr="00F03917">
        <w:rPr>
          <w:rStyle w:val="normaltextrun"/>
          <w:rFonts w:cs="Calibri"/>
          <w:color w:val="000000"/>
          <w:szCs w:val="20"/>
          <w:shd w:val="clear" w:color="auto" w:fill="FFFFFF"/>
        </w:rPr>
        <w:t>. (2016). Tsunami Glossary. Paris: UNESCO.</w:t>
      </w:r>
    </w:p>
    <w:p w14:paraId="4823464A" w14:textId="49FE8C56" w:rsidR="002A3853" w:rsidRPr="00F03917" w:rsidRDefault="002A3853" w:rsidP="002A3853">
      <w:pPr>
        <w:pStyle w:val="References"/>
      </w:pPr>
      <w:r w:rsidRPr="00F03917">
        <w:rPr>
          <w:rStyle w:val="findhit"/>
          <w:rFonts w:cs="Calibri"/>
          <w:color w:val="000000"/>
          <w:szCs w:val="20"/>
          <w:shd w:val="clear" w:color="auto" w:fill="FFFFFF"/>
        </w:rPr>
        <w:t>International Association of Public Participation</w:t>
      </w:r>
      <w:r w:rsidRPr="00F03917">
        <w:rPr>
          <w:rStyle w:val="normaltextrun"/>
          <w:rFonts w:cs="Calibri"/>
          <w:color w:val="000000"/>
          <w:szCs w:val="20"/>
          <w:shd w:val="clear" w:color="auto" w:fill="FFFFFF"/>
        </w:rPr>
        <w:t xml:space="preserve">. (2014). IAP2 Spectrum of </w:t>
      </w:r>
      <w:r w:rsidR="00423982" w:rsidRPr="00F03917">
        <w:rPr>
          <w:rStyle w:val="normaltextrun"/>
          <w:rFonts w:cs="Calibri"/>
          <w:color w:val="000000"/>
          <w:szCs w:val="20"/>
          <w:shd w:val="clear" w:color="auto" w:fill="FFFFFF"/>
        </w:rPr>
        <w:t>Public</w:t>
      </w:r>
      <w:r w:rsidRPr="00F03917">
        <w:rPr>
          <w:rStyle w:val="normaltextrun"/>
          <w:rFonts w:cs="Calibri"/>
          <w:color w:val="000000"/>
          <w:szCs w:val="20"/>
          <w:shd w:val="clear" w:color="auto" w:fill="FFFFFF"/>
        </w:rPr>
        <w:t xml:space="preserve"> Participation. Retrieved from </w:t>
      </w:r>
      <w:hyperlink r:id="rId337" w:history="1">
        <w:r w:rsidR="00423982" w:rsidRPr="00F03917">
          <w:rPr>
            <w:rStyle w:val="Hyperlink"/>
            <w:rFonts w:cs="Calibri"/>
            <w:szCs w:val="20"/>
            <w:shd w:val="clear" w:color="auto" w:fill="FFFFFF"/>
          </w:rPr>
          <w:t>https://iap2.org.au/resources/spectrum/.</w:t>
        </w:r>
      </w:hyperlink>
    </w:p>
    <w:p w14:paraId="0C4C5D14" w14:textId="77777777" w:rsidR="002A3853" w:rsidRPr="00F03917" w:rsidRDefault="002A3853" w:rsidP="002A3853">
      <w:pPr>
        <w:pStyle w:val="References"/>
      </w:pPr>
      <w:r w:rsidRPr="00F03917">
        <w:t xml:space="preserve">IPCC. (2013). Climate Change 2013: The Physical Science Basis. Contribution of Working Group I to the Fifth Assessment Report of the Intergovernmental Panel on Climate Change. Cambridge: Cambridge University Press. Retrieved from </w:t>
      </w:r>
      <w:hyperlink r:id="rId338" w:history="1">
        <w:r w:rsidRPr="00F03917">
          <w:rPr>
            <w:rStyle w:val="Hyperlink"/>
            <w:rFonts w:eastAsia="Calibri" w:cs="Calibri"/>
            <w:szCs w:val="20"/>
          </w:rPr>
          <w:t>www.ipcc.ch/report/ar5/wg1/</w:t>
        </w:r>
      </w:hyperlink>
      <w:r w:rsidRPr="00F03917">
        <w:t>.</w:t>
      </w:r>
    </w:p>
    <w:p w14:paraId="689B73B9" w14:textId="337C20CE" w:rsidR="002A3853" w:rsidRPr="00F03917" w:rsidRDefault="002A3853" w:rsidP="002A3853">
      <w:pPr>
        <w:pStyle w:val="References"/>
      </w:pPr>
      <w:r w:rsidRPr="00F03917">
        <w:t xml:space="preserve">IPCC. (2014a). Summary for policymakers. In: C.B., Field, V.,R., Barros, D.J., Dokken, K.J., Mach, M.D., Mastrandrea, T.E., Bilir, M., Chatterjee, K.L., Ebi, Y.O., Estrada, R.C., Genova, B., Girma, E.S., Kissel, A.N., Levy, S., MacCracken, P.R., Mastrandrea, L.L., White (eds) </w:t>
      </w:r>
      <w:r w:rsidRPr="00F03917">
        <w:rPr>
          <w:i/>
          <w:iCs/>
        </w:rPr>
        <w:t>Climate Change 2014: Impacts, Adaptation, and Vulnerability. Part A: Global and Sectoral Aspects. Contribution of Working Group II to the Fifth Assessment Report of the Intergovernmental Panel on Climate Change</w:t>
      </w:r>
      <w:r w:rsidRPr="00F03917">
        <w:t xml:space="preserve">. Cambridge: Cambridge University Press: 32. Retrieved from </w:t>
      </w:r>
      <w:r w:rsidR="00BA3D74" w:rsidRPr="00F03917">
        <w:rPr>
          <w:rStyle w:val="Hyperlink"/>
        </w:rPr>
        <w:t>https://www.ipcc.ch/site/assets/uploads/2018/02/ar5_wgII_spm_en.pdf.</w:t>
      </w:r>
      <w:r w:rsidR="00BA3D74" w:rsidRPr="00F03917">
        <w:t xml:space="preserve"> </w:t>
      </w:r>
    </w:p>
    <w:p w14:paraId="2EB36789" w14:textId="77777777" w:rsidR="002A3853" w:rsidRPr="00F03917" w:rsidRDefault="002A3853" w:rsidP="002A3853">
      <w:pPr>
        <w:pStyle w:val="References"/>
      </w:pPr>
      <w:r w:rsidRPr="00F03917">
        <w:t xml:space="preserve">IPCC. (2014b). Climate Change 2014: Impacts, Adaptation, and Vulnerability. Part B: Regional Aspects. </w:t>
      </w:r>
      <w:r w:rsidRPr="00F03917">
        <w:rPr>
          <w:i/>
        </w:rPr>
        <w:t>Contribution of Working Group II to the Fifth Assessment Report of the Intergovernmental Panel on Climate Change.</w:t>
      </w:r>
      <w:r w:rsidRPr="00F03917">
        <w:t xml:space="preserve"> V.R., Barros, C.B., Field, D.J., Dokken, M.D., Mastrandrea, K.J., Mach, T.E., Bilir, M., Chatterjee, K.L., Ebi, Y.O., Estrada, R.C., Genova, B., Girma, E.S., Kissel, A.N., Levy, S., MacCracken, P.R., Mastrandrea, L.L., White (eds). Cambridge: Cambridge University Press: 688. Retrieved from </w:t>
      </w:r>
      <w:hyperlink r:id="rId339" w:history="1">
        <w:r w:rsidRPr="00F03917">
          <w:rPr>
            <w:rStyle w:val="Hyperlink"/>
            <w:rFonts w:eastAsia="Calibri" w:cs="Calibri"/>
            <w:szCs w:val="20"/>
          </w:rPr>
          <w:t>http://ipcc.ch/report/ar5/wg2/</w:t>
        </w:r>
      </w:hyperlink>
      <w:r w:rsidRPr="00F03917">
        <w:t>.</w:t>
      </w:r>
    </w:p>
    <w:p w14:paraId="3397B8C1" w14:textId="77777777" w:rsidR="002A3853" w:rsidRPr="00F03917" w:rsidRDefault="002A3853" w:rsidP="002A3853">
      <w:pPr>
        <w:pStyle w:val="References"/>
        <w:rPr>
          <w:color w:val="008080"/>
          <w:u w:val="single"/>
        </w:rPr>
      </w:pPr>
      <w:r w:rsidRPr="00F03917">
        <w:t xml:space="preserve">IPCC. (2021). Summary for Policymakers. </w:t>
      </w:r>
      <w:r w:rsidRPr="00F03917">
        <w:rPr>
          <w:i/>
        </w:rPr>
        <w:t>In: Climate Change 2021: The Physical Science Basis. Contribution of Working Group I to the Sixth Assessment Report of the Intergovernmental Panel on Climate Change.</w:t>
      </w:r>
      <w:r w:rsidRPr="00F03917">
        <w:t xml:space="preserve"> V., Masson-Delmotte, P., Zhai, A., Pirani, S.L., Connors, C., Péan, S., Berger, N., Caud, Y., Chen, L., Goldfarb, M.I., Gomis, M., Huang, K., Leitzell, E., Lonnoy, J.B.R., Matthews, T.K., Maycock, T., Waterfield, O., Yelekçi, R., Yu, B. Zhou (eds). Cambridge University Press, Cambridge, United Kingdom and New York, NY, USA. </w:t>
      </w:r>
      <w:hyperlink r:id="rId340" w:history="1">
        <w:r w:rsidRPr="00F03917">
          <w:rPr>
            <w:rStyle w:val="Hyperlink"/>
            <w:rFonts w:eastAsia="Calibri" w:cs="Calibri"/>
            <w:szCs w:val="20"/>
          </w:rPr>
          <w:t>www.ipcc.ch/report/ar6/wg1/downloads/report/IPCC_AR6_WGI_SPM.pdf</w:t>
        </w:r>
      </w:hyperlink>
      <w:r w:rsidRPr="00F03917">
        <w:t>.</w:t>
      </w:r>
      <w:r w:rsidRPr="00F03917">
        <w:rPr>
          <w:color w:val="008080"/>
          <w:u w:val="single"/>
        </w:rPr>
        <w:t xml:space="preserve"> </w:t>
      </w:r>
    </w:p>
    <w:p w14:paraId="5E97909D" w14:textId="77777777" w:rsidR="002A3853" w:rsidRPr="00F03917" w:rsidRDefault="002A3853" w:rsidP="002A3853">
      <w:pPr>
        <w:pStyle w:val="References"/>
        <w:rPr>
          <w:color w:val="008080"/>
          <w:u w:val="single"/>
        </w:rPr>
      </w:pPr>
      <w:r w:rsidRPr="00F03917">
        <w:t xml:space="preserve">IPCC. (2022). Summary for Policymakers [H.-O. Pörtner, D.C. Roberts, E.S. Poloczanska, K. Mintenbeck, M., Tignor, A., Alegría, M., Craig, S., Langsdorf, S., Löschke, V., Möller, A., Okem (eds). In: </w:t>
      </w:r>
      <w:r w:rsidRPr="00F03917">
        <w:rPr>
          <w:i/>
        </w:rPr>
        <w:t>Climate Change 2022: Impacts, Adaptation and Vulnerability. Contribution of Working Group II to the Sixth Assessment Report of the Intergovernmental Panel on Climate Change</w:t>
      </w:r>
      <w:r w:rsidRPr="00F03917">
        <w:rPr>
          <w:iCs/>
        </w:rPr>
        <w:t>.</w:t>
      </w:r>
      <w:r w:rsidRPr="00F03917">
        <w:t xml:space="preserve"> H.-O., Pörtner, D.C., Roberts, M., Tignor, E.S., Poloczanska, K., Mintenbeck, A., Alegría, M., Craig, S., Langsdorf, S., Löschke, V., Möller, A., Okem, B., Rama (eds). Cambridge University Press, Cambridge, UK and New York, NY, USA, pp. 3–33. </w:t>
      </w:r>
      <w:hyperlink r:id="rId341" w:history="1">
        <w:r w:rsidRPr="00F03917">
          <w:rPr>
            <w:rStyle w:val="Hyperlink"/>
            <w:rFonts w:eastAsia="Calibri" w:cs="Calibri"/>
            <w:szCs w:val="20"/>
          </w:rPr>
          <w:t>www.ipcc.ch/report/ar6/wg2/chapter/summary-for-policymakers/</w:t>
        </w:r>
      </w:hyperlink>
      <w:r w:rsidRPr="00F03917">
        <w:t>.</w:t>
      </w:r>
      <w:r w:rsidRPr="00F03917">
        <w:rPr>
          <w:color w:val="008080"/>
          <w:u w:val="single"/>
        </w:rPr>
        <w:t xml:space="preserve"> </w:t>
      </w:r>
    </w:p>
    <w:p w14:paraId="7793C254" w14:textId="3C03486B" w:rsidR="002A3853" w:rsidRPr="00F03917" w:rsidRDefault="002A3853" w:rsidP="002A3853">
      <w:pPr>
        <w:pStyle w:val="References"/>
      </w:pPr>
      <w:r w:rsidRPr="00F03917">
        <w:t xml:space="preserve">IPCC. (2023). Summary for Policymakers. In: Climate Change 2023: Synthesis Report. </w:t>
      </w:r>
      <w:r w:rsidRPr="00F03917">
        <w:rPr>
          <w:i/>
        </w:rPr>
        <w:t>Contribution of Working Groups I, II and III to the Sixth Assessment Report of the Intergovernmental Panel on Climate Change</w:t>
      </w:r>
      <w:r w:rsidRPr="00F03917">
        <w:t xml:space="preserve"> [Core Writing Team, H. Lee and J. Romero (eds.)]. IPCC, Geneva, Switzerland, pp. 1-34, </w:t>
      </w:r>
      <w:r w:rsidR="00B54E1E" w:rsidRPr="00F03917">
        <w:rPr>
          <w:rStyle w:val="Hyperlink"/>
        </w:rPr>
        <w:t>https://www.ipcc.ch/report/ar6/syr/</w:t>
      </w:r>
      <w:r w:rsidR="00B54E1E" w:rsidRPr="00F03917">
        <w:t>.</w:t>
      </w:r>
      <w:r w:rsidRPr="00F03917">
        <w:t xml:space="preserve"> </w:t>
      </w:r>
    </w:p>
    <w:p w14:paraId="7A9314E9"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Irvi</w:t>
      </w:r>
      <w:r w:rsidRPr="00F03917">
        <w:rPr>
          <w:rStyle w:val="normaltextrun"/>
          <w:rFonts w:cs="Calibri"/>
          <w:color w:val="000000"/>
          <w:szCs w:val="20"/>
          <w:shd w:val="clear" w:color="auto" w:fill="FFFFFF"/>
        </w:rPr>
        <w:t xml:space="preserve">n, R., A., &amp; Stansbury, J. (2004). Citizen participation in decision making: Is it worth the effort? </w:t>
      </w:r>
      <w:r w:rsidRPr="00F03917">
        <w:rPr>
          <w:rStyle w:val="normaltextrun"/>
          <w:rFonts w:cs="Calibri"/>
          <w:i/>
          <w:color w:val="000000"/>
          <w:szCs w:val="20"/>
          <w:shd w:val="clear" w:color="auto" w:fill="FFFFFF"/>
        </w:rPr>
        <w:t xml:space="preserve">Public Administration Review </w:t>
      </w:r>
      <w:r w:rsidRPr="00F03917">
        <w:rPr>
          <w:rStyle w:val="normaltextrun"/>
          <w:rFonts w:cs="Calibri"/>
          <w:color w:val="000000"/>
          <w:szCs w:val="20"/>
          <w:shd w:val="clear" w:color="auto" w:fill="FFFFFF"/>
        </w:rPr>
        <w:t>64(1): 55–65. Retrieved from</w:t>
      </w:r>
      <w:r w:rsidRPr="00F03917">
        <w:rPr>
          <w:rStyle w:val="Hyperlink"/>
        </w:rPr>
        <w:t xml:space="preserve"> </w:t>
      </w:r>
      <w:hyperlink r:id="rId342" w:tgtFrame="_blank" w:history="1">
        <w:r w:rsidRPr="00F03917">
          <w:rPr>
            <w:rStyle w:val="Hyperlink"/>
          </w:rPr>
          <w:t>http://dx.doi.org/10.1111/j.1540-6210.2004.00346.x</w:t>
        </w:r>
      </w:hyperlink>
      <w:r w:rsidRPr="00F03917">
        <w:rPr>
          <w:rStyle w:val="Hyperlink"/>
          <w:color w:val="auto"/>
        </w:rPr>
        <w:t>.</w:t>
      </w:r>
      <w:r w:rsidRPr="00F03917">
        <w:rPr>
          <w:rStyle w:val="eop"/>
          <w:rFonts w:cs="Calibri"/>
          <w:shd w:val="clear" w:color="auto" w:fill="FFFFFF"/>
        </w:rPr>
        <w:t> </w:t>
      </w:r>
    </w:p>
    <w:p w14:paraId="77962D58" w14:textId="298C53DB" w:rsidR="002A3853" w:rsidRPr="00F03917" w:rsidRDefault="002A3853" w:rsidP="002A3853">
      <w:pPr>
        <w:pStyle w:val="References"/>
      </w:pPr>
      <w:r w:rsidRPr="00F03917">
        <w:rPr>
          <w:rStyle w:val="findhit"/>
          <w:rFonts w:cs="Calibri"/>
          <w:color w:val="000000"/>
          <w:szCs w:val="20"/>
          <w:shd w:val="clear" w:color="auto" w:fill="FFFFFF"/>
        </w:rPr>
        <w:t>Ishihara,</w:t>
      </w:r>
      <w:r w:rsidRPr="00F03917">
        <w:rPr>
          <w:rStyle w:val="normaltextrun"/>
          <w:rFonts w:cs="Calibri"/>
          <w:color w:val="000000"/>
          <w:szCs w:val="20"/>
          <w:shd w:val="clear" w:color="auto" w:fill="FFFFFF"/>
        </w:rPr>
        <w:t xml:space="preserve"> K. (1985). Stability of natural deposits during earthquakes. </w:t>
      </w:r>
      <w:r w:rsidRPr="00F03917">
        <w:rPr>
          <w:rStyle w:val="normaltextrun"/>
          <w:rFonts w:cs="Calibri"/>
          <w:i/>
          <w:color w:val="000000"/>
          <w:szCs w:val="20"/>
          <w:shd w:val="clear" w:color="auto" w:fill="FFFFFF"/>
        </w:rPr>
        <w:t>In: Proceedings from 11th International Conference on Soil Mechanics and Foundation Engineering</w:t>
      </w:r>
      <w:r w:rsidRPr="00F03917">
        <w:rPr>
          <w:rStyle w:val="normaltextrun"/>
          <w:rFonts w:cs="Calibri"/>
          <w:color w:val="000000"/>
          <w:szCs w:val="20"/>
          <w:shd w:val="clear" w:color="auto" w:fill="FFFFFF"/>
        </w:rPr>
        <w:t>, Volume 1. San Francisco: CRC Press: 321–376.</w:t>
      </w:r>
      <w:r w:rsidR="006A1F7F" w:rsidRPr="00F03917">
        <w:rPr>
          <w:rStyle w:val="normaltextrun"/>
          <w:rFonts w:cs="Calibri"/>
          <w:color w:val="000000"/>
          <w:szCs w:val="20"/>
          <w:shd w:val="clear" w:color="auto" w:fill="FFFFFF"/>
        </w:rPr>
        <w:t xml:space="preserve"> Retrieved from </w:t>
      </w:r>
      <w:hyperlink r:id="rId343" w:history="1">
        <w:r w:rsidR="006A1F7F" w:rsidRPr="00F03917">
          <w:rPr>
            <w:rStyle w:val="Hyperlink"/>
            <w:rFonts w:cs="Calibri"/>
            <w:szCs w:val="20"/>
            <w:shd w:val="clear" w:color="auto" w:fill="FFFFFF"/>
          </w:rPr>
          <w:t>https://www.issmge.org/publications/publication/stability-of-natural-deposits-during-earthquakes</w:t>
        </w:r>
      </w:hyperlink>
      <w:r w:rsidR="006A1F7F" w:rsidRPr="00F03917">
        <w:rPr>
          <w:rStyle w:val="normaltextrun"/>
          <w:rFonts w:cs="Calibri"/>
          <w:color w:val="000000"/>
          <w:szCs w:val="20"/>
          <w:shd w:val="clear" w:color="auto" w:fill="FFFFFF"/>
        </w:rPr>
        <w:t xml:space="preserve">. </w:t>
      </w:r>
    </w:p>
    <w:p w14:paraId="57568F2A" w14:textId="77777777" w:rsidR="002A3853" w:rsidRPr="00F03917" w:rsidRDefault="002A3853" w:rsidP="002A3853">
      <w:pPr>
        <w:pStyle w:val="References"/>
      </w:pPr>
      <w:r w:rsidRPr="00F03917">
        <w:t xml:space="preserve">ISO. (2009). ISO Standard 31000:2009. Risk management – Principles and guidelines. </w:t>
      </w:r>
      <w:hyperlink r:id="rId344" w:history="1">
        <w:r w:rsidRPr="00F03917">
          <w:rPr>
            <w:rStyle w:val="Hyperlink"/>
          </w:rPr>
          <w:t>www.standards.govt.nz/shop/asnzs-iso-310002009/</w:t>
        </w:r>
      </w:hyperlink>
      <w:r w:rsidRPr="00F03917">
        <w:t xml:space="preserve">. </w:t>
      </w:r>
    </w:p>
    <w:p w14:paraId="2EBF2463" w14:textId="77777777" w:rsidR="002A3853" w:rsidRPr="00F03917" w:rsidRDefault="002A3853" w:rsidP="002A3853">
      <w:pPr>
        <w:pStyle w:val="References"/>
        <w:rPr>
          <w:color w:val="008080"/>
          <w:u w:val="single"/>
        </w:rPr>
      </w:pPr>
      <w:r w:rsidRPr="00F03917">
        <w:t xml:space="preserve">ISO. (2019). ISO Standard 14090:2019. Adaptation to climate change: Principles, requirements and guidelines. </w:t>
      </w:r>
      <w:hyperlink r:id="rId345" w:anchor="iso:std:iso:14090:ed-1:v1:en" w:history="1">
        <w:r w:rsidRPr="00F03917">
          <w:rPr>
            <w:rStyle w:val="Hyperlink"/>
            <w:rFonts w:eastAsia="Calibri" w:cs="Calibri"/>
            <w:szCs w:val="20"/>
          </w:rPr>
          <w:t>www.iso.org/obp/ui/#iso:std:iso:14090:ed-1:v1:en</w:t>
        </w:r>
      </w:hyperlink>
      <w:r w:rsidRPr="00F03917">
        <w:t>.</w:t>
      </w:r>
      <w:r w:rsidRPr="00F03917">
        <w:rPr>
          <w:color w:val="008080"/>
          <w:u w:val="single"/>
        </w:rPr>
        <w:t xml:space="preserve"> </w:t>
      </w:r>
    </w:p>
    <w:p w14:paraId="75E3B38B" w14:textId="77777777" w:rsidR="002A3853" w:rsidRPr="00F03917" w:rsidRDefault="002A3853" w:rsidP="002A3853">
      <w:pPr>
        <w:pStyle w:val="References"/>
        <w:rPr>
          <w:rStyle w:val="Hyperlink"/>
          <w:rFonts w:eastAsia="Calibri" w:cs="Calibri"/>
          <w:szCs w:val="20"/>
        </w:rPr>
      </w:pPr>
      <w:r w:rsidRPr="00F03917">
        <w:t xml:space="preserve">ISO. (2020). ISO Standard 14092:2020. Adaptation to climate change — Requirements and guidance on adaptation planning for local governments and communities. </w:t>
      </w:r>
      <w:hyperlink r:id="rId346" w:anchor="iso:std:iso:ts:14092:ed-1:v1:en" w:history="1">
        <w:r w:rsidRPr="00F03917">
          <w:rPr>
            <w:rStyle w:val="Hyperlink"/>
            <w:rFonts w:eastAsia="Calibri" w:cs="Calibri"/>
            <w:szCs w:val="20"/>
          </w:rPr>
          <w:t>www.iso.org/obp/ui/#iso:std:iso:ts:14092:ed-1:v1:en</w:t>
        </w:r>
      </w:hyperlink>
      <w:r w:rsidRPr="00F03917">
        <w:t>.</w:t>
      </w:r>
    </w:p>
    <w:p w14:paraId="3B6BC392" w14:textId="77777777" w:rsidR="002A3853" w:rsidRPr="00F03917" w:rsidRDefault="002A3853" w:rsidP="002A3853">
      <w:pPr>
        <w:pStyle w:val="References"/>
        <w:rPr>
          <w:color w:val="008080"/>
          <w:u w:val="single"/>
        </w:rPr>
      </w:pPr>
      <w:r w:rsidRPr="00F03917">
        <w:t xml:space="preserve">ISO. (2021). ISO Standard 14091:2021. Adaptation to climate change: Guidelines on vulnerability, impacts and risk assessment. </w:t>
      </w:r>
      <w:hyperlink r:id="rId347" w:anchor="iso:std:iso:14091:ed-1:v1:en" w:history="1">
        <w:r w:rsidRPr="00F03917">
          <w:rPr>
            <w:rStyle w:val="Hyperlink"/>
            <w:rFonts w:eastAsia="Calibri" w:cs="Calibri"/>
            <w:szCs w:val="20"/>
          </w:rPr>
          <w:t>www.iso.org/obp/ui/#iso:std:iso:14091:ed-1:v1:en</w:t>
        </w:r>
      </w:hyperlink>
      <w:r w:rsidRPr="00F03917">
        <w:t>.</w:t>
      </w:r>
      <w:r w:rsidRPr="00F03917">
        <w:rPr>
          <w:color w:val="008080"/>
          <w:u w:val="single"/>
        </w:rPr>
        <w:t xml:space="preserve"> </w:t>
      </w:r>
    </w:p>
    <w:p w14:paraId="303A9D6B" w14:textId="77777777" w:rsidR="002A3853" w:rsidRPr="00F03917" w:rsidRDefault="002A3853" w:rsidP="002A3853">
      <w:pPr>
        <w:pStyle w:val="References"/>
      </w:pPr>
      <w:r w:rsidRPr="00F03917">
        <w:t xml:space="preserve">Jackson, A-M., Mita N., Hakopa H. (2017). Hui-te-ana-nui: Understanding Kaitiakitanga in Our Marine Environment. </w:t>
      </w:r>
      <w:r w:rsidRPr="00F03917">
        <w:rPr>
          <w:i/>
        </w:rPr>
        <w:t>National Science Challenge: Sustainable Seas</w:t>
      </w:r>
      <w:r w:rsidRPr="00F03917">
        <w:t xml:space="preserve">. Retrieved from </w:t>
      </w:r>
      <w:hyperlink r:id="rId348" w:history="1">
        <w:r w:rsidRPr="00F03917">
          <w:rPr>
            <w:rStyle w:val="Hyperlink"/>
          </w:rPr>
          <w:t>www.sustainableseaschallenge.co.nz/tools-and-resources/hui-te-ana-nui-understanding-kaitiakitanga-in-our-marine-environment/</w:t>
        </w:r>
      </w:hyperlink>
      <w:r w:rsidRPr="00F03917">
        <w:t xml:space="preserve">. </w:t>
      </w:r>
    </w:p>
    <w:p w14:paraId="53B5E27E" w14:textId="730B7310"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Jennings,</w:t>
      </w:r>
      <w:r w:rsidRPr="00F03917">
        <w:rPr>
          <w:rStyle w:val="normaltextrun"/>
          <w:rFonts w:cs="Calibri"/>
          <w:color w:val="000000"/>
          <w:szCs w:val="20"/>
          <w:shd w:val="clear" w:color="auto" w:fill="FFFFFF"/>
        </w:rPr>
        <w:t xml:space="preserve"> R., Shulmeister, J. (2002).</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A field based classification scheme for gravel beaches</w:t>
      </w:r>
      <w:r w:rsidRPr="00F03917">
        <w:rPr>
          <w:rStyle w:val="normaltextrun"/>
          <w:rFonts w:cs="Calibri"/>
          <w:i/>
          <w:iCs/>
          <w:color w:val="000000"/>
          <w:szCs w:val="20"/>
          <w:shd w:val="clear" w:color="auto" w:fill="FFFFFF"/>
        </w:rPr>
        <w:t xml:space="preserve">. Marine </w:t>
      </w:r>
      <w:r w:rsidRPr="00F03917">
        <w:rPr>
          <w:rStyle w:val="normaltextrun"/>
          <w:rFonts w:cs="Calibri"/>
          <w:i/>
          <w:color w:val="000000"/>
          <w:szCs w:val="20"/>
          <w:shd w:val="clear" w:color="auto" w:fill="FFFFFF"/>
        </w:rPr>
        <w:t>Geology</w:t>
      </w:r>
      <w:r w:rsidRPr="00F03917">
        <w:rPr>
          <w:rStyle w:val="normaltextrun"/>
          <w:rFonts w:cs="Calibri"/>
          <w:color w:val="000000"/>
          <w:szCs w:val="20"/>
          <w:shd w:val="clear" w:color="auto" w:fill="FFFFFF"/>
        </w:rPr>
        <w:t xml:space="preserve"> 186(3–4): 211–228.</w:t>
      </w:r>
      <w:r w:rsidR="00BA4D9B" w:rsidRPr="00F03917">
        <w:rPr>
          <w:rStyle w:val="normaltextrun"/>
          <w:rFonts w:cs="Calibri"/>
          <w:color w:val="000000"/>
          <w:szCs w:val="20"/>
          <w:shd w:val="clear" w:color="auto" w:fill="FFFFFF"/>
        </w:rPr>
        <w:t xml:space="preserve"> </w:t>
      </w:r>
      <w:r w:rsidRPr="00F03917">
        <w:rPr>
          <w:rStyle w:val="normaltextrun"/>
          <w:rFonts w:cs="Calibri"/>
          <w:color w:val="000000"/>
          <w:szCs w:val="20"/>
          <w:shd w:val="clear" w:color="auto" w:fill="FFFFFF"/>
        </w:rPr>
        <w:t> </w:t>
      </w:r>
      <w:hyperlink r:id="rId349" w:history="1">
        <w:r w:rsidR="00BA4D9B" w:rsidRPr="00F03917">
          <w:rPr>
            <w:rStyle w:val="Hyperlink"/>
            <w:rFonts w:cs="Calibri"/>
            <w:szCs w:val="20"/>
            <w:shd w:val="clear" w:color="auto" w:fill="FFFFFF"/>
          </w:rPr>
          <w:t>https://doi.org/10.1016/S0025-3227(02)00314-6</w:t>
        </w:r>
      </w:hyperlink>
    </w:p>
    <w:p w14:paraId="03BEE6B3" w14:textId="77777777" w:rsidR="002A3853" w:rsidRPr="00F03917" w:rsidRDefault="002A3853" w:rsidP="002A3853">
      <w:pPr>
        <w:pStyle w:val="References"/>
      </w:pPr>
      <w:r w:rsidRPr="00F03917">
        <w:rPr>
          <w:shd w:val="clear" w:color="auto" w:fill="FFFFFF"/>
        </w:rPr>
        <w:t xml:space="preserve">Jevrejeva, S., Moore, J., C., Grinsted, A. (2012). </w:t>
      </w:r>
      <w:r w:rsidRPr="00F03917">
        <w:rPr>
          <w:iCs/>
          <w:shd w:val="clear" w:color="auto" w:fill="FFFFFF"/>
        </w:rPr>
        <w:t>Sea level projections to AD2500 with a new generation of climate change scenarios.</w:t>
      </w:r>
      <w:r w:rsidRPr="00F03917">
        <w:rPr>
          <w:shd w:val="clear" w:color="auto" w:fill="FFFFFF"/>
        </w:rPr>
        <w:t xml:space="preserve"> </w:t>
      </w:r>
      <w:r w:rsidRPr="00F03917">
        <w:rPr>
          <w:i/>
          <w:iCs/>
          <w:shd w:val="clear" w:color="auto" w:fill="FFFFFF"/>
        </w:rPr>
        <w:t>Global and Planetary Change</w:t>
      </w:r>
      <w:r w:rsidRPr="00F03917">
        <w:rPr>
          <w:shd w:val="clear" w:color="auto" w:fill="FFFFFF"/>
        </w:rPr>
        <w:t xml:space="preserve"> 80–81: 14–20. </w:t>
      </w:r>
      <w:hyperlink r:id="rId350" w:tgtFrame="_blank" w:history="1">
        <w:r w:rsidRPr="00F03917">
          <w:rPr>
            <w:rStyle w:val="Hyperlink"/>
            <w:rFonts w:eastAsia="Calibri"/>
          </w:rPr>
          <w:t>http://dx.doi.org/10.1016/j.gloplacha.2011.09.006</w:t>
        </w:r>
      </w:hyperlink>
      <w:r w:rsidRPr="00F03917">
        <w:rPr>
          <w:shd w:val="clear" w:color="auto" w:fill="FFFFFF"/>
        </w:rPr>
        <w:t>. </w:t>
      </w:r>
    </w:p>
    <w:p w14:paraId="4DA51C38" w14:textId="77777777" w:rsidR="002A3853" w:rsidRPr="00F03917" w:rsidRDefault="002A3853" w:rsidP="002A3853">
      <w:pPr>
        <w:pStyle w:val="References"/>
        <w:rPr>
          <w:color w:val="008080"/>
          <w:u w:val="single"/>
        </w:rPr>
      </w:pPr>
      <w:r w:rsidRPr="00F03917">
        <w:t>John, S., Martin, A. (2022). The need for infrastructure adaptation at the coast</w:t>
      </w:r>
      <w:r w:rsidRPr="00F03917">
        <w:rPr>
          <w:i/>
        </w:rPr>
        <w:t>.</w:t>
      </w:r>
      <w:r w:rsidRPr="00F03917">
        <w:t xml:space="preserve"> </w:t>
      </w:r>
      <w:r w:rsidRPr="00F03917">
        <w:rPr>
          <w:i/>
        </w:rPr>
        <w:t>Proceedings of the Australasian Coasts and Ports Conference, Christchurch, New Zealand</w:t>
      </w:r>
      <w:r w:rsidRPr="00F03917">
        <w:t>. Retr</w:t>
      </w:r>
      <w:r w:rsidRPr="00F03917">
        <w:rPr>
          <w:rFonts w:eastAsia="Calibri" w:cs="Calibri"/>
          <w:szCs w:val="20"/>
        </w:rPr>
        <w:t xml:space="preserve">ieved from </w:t>
      </w:r>
      <w:hyperlink r:id="rId351" w:history="1">
        <w:r w:rsidRPr="00F03917">
          <w:rPr>
            <w:rStyle w:val="Hyperlink"/>
            <w:rFonts w:eastAsia="Calibri" w:cs="Calibri"/>
            <w:szCs w:val="20"/>
          </w:rPr>
          <w:t>www.coastsandports.org/papers/2021/036_john_finalpaper-converted.pdf</w:t>
        </w:r>
      </w:hyperlink>
      <w:r w:rsidRPr="00F03917">
        <w:t>.</w:t>
      </w:r>
      <w:r w:rsidRPr="00F03917">
        <w:rPr>
          <w:color w:val="008080"/>
          <w:u w:val="single"/>
        </w:rPr>
        <w:t xml:space="preserve"> </w:t>
      </w:r>
    </w:p>
    <w:p w14:paraId="52387D37" w14:textId="38B6758D" w:rsidR="002A3853" w:rsidRPr="00F03917" w:rsidRDefault="002A3853" w:rsidP="002A3853">
      <w:pPr>
        <w:pStyle w:val="References"/>
      </w:pPr>
      <w:r w:rsidRPr="00F03917">
        <w:t xml:space="preserve">Johnson, D., Blackett, P., Allison, A.E.F., Broadbent, A.M. (2023). Measuring social vulnerability to climate change at the coast: Embracing complexity and context for more accurate and equitable analysis. </w:t>
      </w:r>
      <w:r w:rsidRPr="00F03917">
        <w:rPr>
          <w:i/>
          <w:iCs/>
        </w:rPr>
        <w:t>Water</w:t>
      </w:r>
      <w:r w:rsidRPr="00F03917">
        <w:t xml:space="preserve"> 15: 3408. </w:t>
      </w:r>
      <w:hyperlink r:id="rId352" w:history="1">
        <w:r w:rsidR="0085247F" w:rsidRPr="00F03917">
          <w:rPr>
            <w:rStyle w:val="Hyperlink"/>
          </w:rPr>
          <w:t>https://</w:t>
        </w:r>
        <w:r w:rsidRPr="00F03917">
          <w:rPr>
            <w:rStyle w:val="Hyperlink"/>
          </w:rPr>
          <w:t>doi.org/10.3390/w15193408</w:t>
        </w:r>
      </w:hyperlink>
      <w:r w:rsidRPr="00F03917">
        <w:t xml:space="preserve">. </w:t>
      </w:r>
    </w:p>
    <w:p w14:paraId="5C287DE5" w14:textId="1BF7E9C5" w:rsidR="002A3853" w:rsidRPr="00F03917" w:rsidRDefault="002A3853" w:rsidP="002A3853">
      <w:pPr>
        <w:pStyle w:val="References"/>
      </w:pPr>
      <w:r w:rsidRPr="00F03917">
        <w:t>Jones, B.D., Dickson, M.E., Ford, M., Hikuroa, D., Ryan, E.J. (2023).</w:t>
      </w:r>
      <w:r w:rsidRPr="00F03917">
        <w:rPr>
          <w:i/>
        </w:rPr>
        <w:t xml:space="preserve"> </w:t>
      </w:r>
      <w:r w:rsidRPr="00F03917">
        <w:t>Aotearoa New Zealand’s coastal archaeological heritage: A geostatistical overview of threatened sites.</w:t>
      </w:r>
      <w:r w:rsidRPr="00F03917">
        <w:rPr>
          <w:i/>
        </w:rPr>
        <w:t xml:space="preserve"> The Journal of Island and Coastal Archaeology</w:t>
      </w:r>
      <w:r w:rsidRPr="00F03917">
        <w:t xml:space="preserve">. </w:t>
      </w:r>
      <w:hyperlink r:id="rId353" w:history="1">
        <w:r w:rsidR="0085247F" w:rsidRPr="00F03917">
          <w:rPr>
            <w:rStyle w:val="Hyperlink"/>
          </w:rPr>
          <w:t>https://doi.org/10.1080/15564894.2023.2207493</w:t>
        </w:r>
      </w:hyperlink>
    </w:p>
    <w:p w14:paraId="1872AF02" w14:textId="77777777" w:rsidR="002A3853" w:rsidRPr="00F03917" w:rsidRDefault="002A3853" w:rsidP="002A3853">
      <w:pPr>
        <w:pStyle w:val="References"/>
      </w:pPr>
      <w:r w:rsidRPr="00F03917">
        <w:rPr>
          <w:rStyle w:val="findhit"/>
          <w:rFonts w:cs="Calibri"/>
          <w:color w:val="000000"/>
          <w:szCs w:val="20"/>
          <w:shd w:val="clear" w:color="auto" w:fill="FFFFFF"/>
        </w:rPr>
        <w:t>Kasem</w:t>
      </w:r>
      <w:r w:rsidRPr="00F03917">
        <w:rPr>
          <w:rStyle w:val="normaltextrun"/>
          <w:rFonts w:cs="Calibri"/>
          <w:color w:val="000000"/>
          <w:szCs w:val="20"/>
          <w:shd w:val="clear" w:color="auto" w:fill="FFFFFF"/>
        </w:rPr>
        <w:t>ir, B., Jager, J., Jaeger, C., C., Gardner, M., T. (2003). Public participation in sustainability science: A handbook. West Nyack, NY: Cambridge University Press.</w:t>
      </w:r>
    </w:p>
    <w:p w14:paraId="02B09A06" w14:textId="77777777" w:rsidR="002A3853" w:rsidRPr="00F03917" w:rsidRDefault="002A3853" w:rsidP="002A3853">
      <w:pPr>
        <w:pStyle w:val="References"/>
        <w:rPr>
          <w:color w:val="008080"/>
          <w:u w:val="single"/>
        </w:rPr>
      </w:pPr>
      <w:r w:rsidRPr="00F03917">
        <w:t xml:space="preserve">Kavale, E.T. (2022). Effective design and implementation of a monitoring system to support dynamic adaptive pathways planning (DAPP) for managing rising coastal risk in New Zealand. A thesis submitted to the Victoria University of Wellington, NZ in fulfilment of the requirements for the degree of Master of Science. Retrieved from </w:t>
      </w:r>
      <w:hyperlink r:id="rId354" w:history="1">
        <w:r w:rsidRPr="00F03917">
          <w:rPr>
            <w:rStyle w:val="Hyperlink"/>
          </w:rPr>
          <w:t>https://openaccess.wgtn.ac.nz/articles/thesis/Effective_design_and_implementation_of_a_monitoring_system_to_support_dynamic_adaptive_pathways_planning_DAPP_for_managing_rising_coastal_risk_in_New_Zealand/20304567</w:t>
        </w:r>
      </w:hyperlink>
      <w:r w:rsidRPr="00F03917">
        <w:t xml:space="preserve">.  </w:t>
      </w:r>
    </w:p>
    <w:p w14:paraId="4C1197CB" w14:textId="3893812C" w:rsidR="002A3853" w:rsidRPr="00F03917" w:rsidRDefault="002A3853" w:rsidP="002A3853">
      <w:pPr>
        <w:pStyle w:val="References"/>
        <w:rPr>
          <w:rStyle w:val="normaltextrun"/>
          <w:rFonts w:cs="Calibri"/>
          <w:color w:val="000000"/>
          <w:szCs w:val="20"/>
          <w:shd w:val="clear" w:color="auto" w:fill="FFFFFF"/>
        </w:rPr>
      </w:pPr>
      <w:r w:rsidRPr="00F03917">
        <w:rPr>
          <w:rStyle w:val="findhit"/>
          <w:rFonts w:cs="Calibri"/>
          <w:color w:val="000000"/>
          <w:szCs w:val="20"/>
          <w:shd w:val="clear" w:color="auto" w:fill="FFFFFF"/>
        </w:rPr>
        <w:t>Kettle,</w:t>
      </w:r>
      <w:r w:rsidRPr="00F03917">
        <w:rPr>
          <w:rStyle w:val="normaltextrun"/>
          <w:rFonts w:cs="Calibri"/>
          <w:color w:val="000000"/>
          <w:szCs w:val="20"/>
          <w:shd w:val="clear" w:color="auto" w:fill="FFFFFF"/>
        </w:rPr>
        <w:t xml:space="preserve"> N., P., &amp; Dow, K. (2016). The role of perceived risk, uncertainty, and trust on coastal climate change adaptation planning</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Environment and Behavior</w:t>
      </w:r>
      <w:r w:rsidRPr="00F03917">
        <w:rPr>
          <w:rStyle w:val="normaltextrun"/>
          <w:rFonts w:cs="Calibri"/>
          <w:color w:val="000000"/>
          <w:szCs w:val="20"/>
          <w:shd w:val="clear" w:color="auto" w:fill="FFFFFF"/>
        </w:rPr>
        <w:t xml:space="preserve"> 48(4): 579–606.</w:t>
      </w:r>
      <w:r w:rsidRPr="00F03917">
        <w:rPr>
          <w:rStyle w:val="eop"/>
          <w:rFonts w:cs="Calibri"/>
          <w:color w:val="000000"/>
          <w:szCs w:val="20"/>
          <w:shd w:val="clear" w:color="auto" w:fill="FFFFFF"/>
        </w:rPr>
        <w:t> </w:t>
      </w:r>
      <w:hyperlink r:id="rId355" w:history="1">
        <w:r w:rsidR="00134528" w:rsidRPr="00F03917">
          <w:rPr>
            <w:rStyle w:val="Hyperlink"/>
          </w:rPr>
          <w:t>https://doi.org/10.1177/0013916514551049</w:t>
        </w:r>
      </w:hyperlink>
    </w:p>
    <w:p w14:paraId="59F928C1" w14:textId="77777777" w:rsidR="002A3853" w:rsidRPr="00F03917" w:rsidRDefault="002A3853" w:rsidP="002A3853">
      <w:pPr>
        <w:pStyle w:val="References"/>
      </w:pPr>
      <w:r w:rsidRPr="00F03917">
        <w:t xml:space="preserve">King, D.N., Dalton, W., Bind, J., Srinivasan, M.S., Duncan, M., Skipper, A., Ashford-Hosking, D., Williams, B., Renata, H., Baker, M. (2012). Coastal adaptation to climate variability and change: Examining community risk, vulnerability and endurance at Manaia Settlement, Hauraki-Waikato, Aotearoa-New Zealand. Auckland: NIWA. Retrieved from </w:t>
      </w:r>
      <w:hyperlink r:id="rId356" w:history="1">
        <w:r w:rsidRPr="00F03917">
          <w:rPr>
            <w:rStyle w:val="Hyperlink"/>
            <w:rFonts w:eastAsia="Calibri" w:cs="Calibri"/>
            <w:szCs w:val="20"/>
          </w:rPr>
          <w:t>www.niwa.co.nz/sites/niwa.co.nz/files/niwa_report_akl2012-029.pdf</w:t>
        </w:r>
      </w:hyperlink>
      <w:r w:rsidRPr="00F03917">
        <w:t>.</w:t>
      </w:r>
    </w:p>
    <w:p w14:paraId="469D5512" w14:textId="77777777" w:rsidR="002A3853" w:rsidRPr="00F03917" w:rsidRDefault="002A3853" w:rsidP="002A3853">
      <w:pPr>
        <w:pStyle w:val="References"/>
      </w:pPr>
      <w:r w:rsidRPr="00F03917">
        <w:t xml:space="preserve">King, D.N., Dalton, W., Bind, J., Srinivasan, M.S., Hicks, D.M., Iti, W., Skipper, A., Home, M., Ashford-Hosking, D. (2013). Coastal adaptation to climate variability and change: Examining community risk, vulnerability and endurance at Mitimiti, Hokianga, Aotearoa-New Zealand. Auckland: NIWA. Retrieved from </w:t>
      </w:r>
      <w:hyperlink r:id="rId357" w:history="1">
        <w:r w:rsidRPr="00F03917">
          <w:rPr>
            <w:rStyle w:val="Hyperlink"/>
            <w:rFonts w:eastAsia="Calibri" w:cs="Calibri"/>
            <w:szCs w:val="20"/>
          </w:rPr>
          <w:t>www.niwa.co.nz/sites/niwa.co.nz/files/NIWA%20Report%20AKL2013-022_smaller.pdf</w:t>
        </w:r>
      </w:hyperlink>
      <w:r w:rsidRPr="00F03917">
        <w:t>.</w:t>
      </w:r>
    </w:p>
    <w:p w14:paraId="1CD56F07" w14:textId="77777777" w:rsidR="002A3853" w:rsidRPr="00F03917" w:rsidRDefault="002A3853" w:rsidP="002A3853">
      <w:pPr>
        <w:pStyle w:val="References"/>
      </w:pPr>
      <w:r w:rsidRPr="00F03917">
        <w:t xml:space="preserve">King, D.N., Dalton, W., Home, M., Srinivasan, M., Bind, J., Zammit, C., McKerchar, A., Ashford-Hosking, D., Skipper, A. (2011). Māori community adaptation to climate variability and change: examining risk, vulnerability and adaptive strategies with Ngāti Huirapa at Arowhenua Pā, Te Umu Kaha (Temuka), New Zealand. Prepared for Te Runanga o Arowhenua Society incorporated and the New Zealand Climate Change Research Institute Victoria University, by NIWA. Auckland: NIWA. Retrieved from </w:t>
      </w:r>
      <w:hyperlink r:id="rId358" w:history="1">
        <w:r w:rsidRPr="00F03917">
          <w:rPr>
            <w:rStyle w:val="Hyperlink"/>
            <w:rFonts w:eastAsia="Calibri" w:cs="Calibri"/>
            <w:szCs w:val="20"/>
          </w:rPr>
          <w:t>www.niwa.co.nz/sites/niwa.co.nz/files/niwa_report_akl2011-015_0.pdf</w:t>
        </w:r>
      </w:hyperlink>
      <w:r w:rsidRPr="00F03917">
        <w:t>.</w:t>
      </w:r>
    </w:p>
    <w:p w14:paraId="43113111" w14:textId="438E1C5B" w:rsidR="002A3853" w:rsidRPr="00F03917" w:rsidRDefault="002A3853" w:rsidP="002A3853">
      <w:pPr>
        <w:pStyle w:val="References"/>
      </w:pPr>
      <w:r w:rsidRPr="00F03917">
        <w:t xml:space="preserve">King, D.J., Newnham, R.M., Rees, A.B.H., Clark, K.J., Garrett, E., Gehrels, R., Naish, T.R., Levy, R.H. (2024). A ~200-year relative sea-level reconstruction from the Wellington region (New Zealand) reveals insights </w:t>
      </w:r>
      <w:r w:rsidRPr="00F03917">
        <w:rPr>
          <w:spacing w:val="-2"/>
        </w:rPr>
        <w:t xml:space="preserve">into vertical land movement trends. </w:t>
      </w:r>
      <w:r w:rsidRPr="00F03917">
        <w:rPr>
          <w:i/>
          <w:iCs/>
          <w:spacing w:val="-2"/>
        </w:rPr>
        <w:t>Marine Geology</w:t>
      </w:r>
      <w:r w:rsidRPr="00F03917">
        <w:rPr>
          <w:spacing w:val="-2"/>
        </w:rPr>
        <w:t xml:space="preserve"> 467: 107199. </w:t>
      </w:r>
      <w:hyperlink r:id="rId359" w:history="1">
        <w:r w:rsidR="00FB18EB" w:rsidRPr="00F03917">
          <w:rPr>
            <w:rStyle w:val="Hyperlink"/>
          </w:rPr>
          <w:t>https://</w:t>
        </w:r>
        <w:r w:rsidRPr="00F03917">
          <w:rPr>
            <w:rStyle w:val="Hyperlink"/>
          </w:rPr>
          <w:t>doi.org/10.1016/j.margeo.2023.107199</w:t>
        </w:r>
      </w:hyperlink>
      <w:r w:rsidRPr="00F03917">
        <w:rPr>
          <w:spacing w:val="-2"/>
        </w:rPr>
        <w:t>.</w:t>
      </w:r>
      <w:r w:rsidRPr="00F03917">
        <w:t xml:space="preserve"> </w:t>
      </w:r>
    </w:p>
    <w:p w14:paraId="059424A2" w14:textId="40E921B4" w:rsidR="002A3853" w:rsidRPr="00F03917" w:rsidRDefault="002A3853" w:rsidP="002A3853">
      <w:pPr>
        <w:pStyle w:val="References"/>
      </w:pPr>
      <w:r w:rsidRPr="00F03917">
        <w:rPr>
          <w:rStyle w:val="normaltextrun"/>
          <w:rFonts w:cs="Calibri"/>
          <w:color w:val="000000"/>
          <w:szCs w:val="20"/>
          <w:shd w:val="clear" w:color="auto" w:fill="FFFFFF"/>
        </w:rPr>
        <w:t>King, D., N., Nichol, S., L., Hume, T., M. (</w:t>
      </w:r>
      <w:r w:rsidRPr="00F03917">
        <w:rPr>
          <w:rStyle w:val="findhit"/>
          <w:rFonts w:cs="Calibri"/>
          <w:color w:val="000000"/>
          <w:szCs w:val="20"/>
          <w:shd w:val="clear" w:color="auto" w:fill="FFFFFF"/>
        </w:rPr>
        <w:t>2006)</w:t>
      </w:r>
      <w:r w:rsidRPr="00F03917">
        <w:rPr>
          <w:rStyle w:val="normaltextrun"/>
          <w:rFonts w:cs="Calibri"/>
          <w:color w:val="000000"/>
          <w:szCs w:val="20"/>
          <w:shd w:val="clear" w:color="auto" w:fill="FFFFFF"/>
        </w:rPr>
        <w:t xml:space="preserve">. Rapid onshore sand flux in a high energy littoral cell: Piha Beach, New Zealand. </w:t>
      </w:r>
      <w:r w:rsidRPr="00F03917">
        <w:rPr>
          <w:rStyle w:val="normaltextrun"/>
          <w:rFonts w:cs="Calibri"/>
          <w:i/>
          <w:color w:val="000000"/>
          <w:szCs w:val="20"/>
          <w:shd w:val="clear" w:color="auto" w:fill="FFFFFF"/>
        </w:rPr>
        <w:t>Journal of Coastal Research</w:t>
      </w:r>
      <w:r w:rsidRPr="00F03917">
        <w:rPr>
          <w:rStyle w:val="normaltextrun"/>
          <w:rFonts w:cs="Calibri"/>
          <w:color w:val="000000"/>
          <w:szCs w:val="20"/>
          <w:shd w:val="clear" w:color="auto" w:fill="FFFFFF"/>
        </w:rPr>
        <w:t xml:space="preserve"> 22(6): 1360–1369. </w:t>
      </w:r>
      <w:hyperlink r:id="rId360" w:history="1">
        <w:r w:rsidR="00ED41CD" w:rsidRPr="00F03917">
          <w:rPr>
            <w:rStyle w:val="Hyperlink"/>
          </w:rPr>
          <w:t>https://www.jstor.org/stable/30138402</w:t>
        </w:r>
        <w:r w:rsidRPr="00F03917">
          <w:rPr>
            <w:rStyle w:val="Hyperlink"/>
            <w:rFonts w:cs="Calibri"/>
            <w:szCs w:val="20"/>
            <w:shd w:val="clear" w:color="auto" w:fill="FFFFFF"/>
          </w:rPr>
          <w:t> </w:t>
        </w:r>
      </w:hyperlink>
    </w:p>
    <w:p w14:paraId="1F4E0AF5" w14:textId="64FDF295" w:rsidR="002A3853" w:rsidRPr="00F03917" w:rsidRDefault="002A3853" w:rsidP="002A3853">
      <w:pPr>
        <w:pStyle w:val="References"/>
      </w:pPr>
      <w:r w:rsidRPr="00F03917">
        <w:rPr>
          <w:rStyle w:val="findhit"/>
          <w:rFonts w:cs="Calibri"/>
          <w:color w:val="000000"/>
          <w:szCs w:val="20"/>
          <w:shd w:val="clear" w:color="auto" w:fill="FFFFFF"/>
        </w:rPr>
        <w:t>Kirk,</w:t>
      </w:r>
      <w:r w:rsidRPr="00F03917">
        <w:rPr>
          <w:rStyle w:val="normaltextrun"/>
          <w:rFonts w:cs="Calibri"/>
          <w:color w:val="000000"/>
          <w:szCs w:val="20"/>
          <w:shd w:val="clear" w:color="auto" w:fill="FFFFFF"/>
        </w:rPr>
        <w:t xml:space="preserve"> R. (1992). Experimental beach reconstruction-renourishment on mixed sand and gravel beaches, Washdyke Lagoon, South Canterbury, New Zealand</w:t>
      </w:r>
      <w:r w:rsidRPr="00F03917">
        <w:rPr>
          <w:rStyle w:val="normaltextrun"/>
          <w:rFonts w:cs="Calibri"/>
          <w:i/>
          <w:iCs/>
          <w:color w:val="000000"/>
          <w:szCs w:val="20"/>
          <w:shd w:val="clear" w:color="auto" w:fill="FFFFFF"/>
        </w:rPr>
        <w:t>.</w:t>
      </w:r>
      <w:r w:rsidRPr="00F03917">
        <w:rPr>
          <w:rStyle w:val="normaltextrun"/>
          <w:rFonts w:cs="Calibri"/>
          <w:i/>
          <w:color w:val="000000"/>
          <w:szCs w:val="20"/>
          <w:shd w:val="clear" w:color="auto" w:fill="FFFFFF"/>
        </w:rPr>
        <w:t xml:space="preserve"> Coastal Engineering</w:t>
      </w:r>
      <w:r w:rsidRPr="00F03917">
        <w:rPr>
          <w:rStyle w:val="normaltextrun"/>
          <w:rFonts w:cs="Calibri"/>
          <w:color w:val="000000"/>
          <w:szCs w:val="20"/>
          <w:shd w:val="clear" w:color="auto" w:fill="FFFFFF"/>
        </w:rPr>
        <w:t xml:space="preserve"> 17: 253–277. </w:t>
      </w:r>
      <w:hyperlink r:id="rId361" w:history="1">
        <w:r w:rsidR="00D15293" w:rsidRPr="00F03917">
          <w:rPr>
            <w:rStyle w:val="Hyperlink"/>
          </w:rPr>
          <w:t>https://doi.org/10.1016/0378-3839(92)90054-X</w:t>
        </w:r>
      </w:hyperlink>
      <w:r w:rsidRPr="00F03917">
        <w:rPr>
          <w:rStyle w:val="normaltextrun"/>
          <w:rFonts w:cs="Calibri"/>
          <w:color w:val="000000"/>
          <w:szCs w:val="20"/>
          <w:shd w:val="clear" w:color="auto" w:fill="FFFFFF"/>
        </w:rPr>
        <w:t>.</w:t>
      </w:r>
      <w:r w:rsidRPr="00F03917">
        <w:rPr>
          <w:rStyle w:val="eop"/>
          <w:rFonts w:cs="Calibri"/>
          <w:color w:val="000000"/>
          <w:szCs w:val="20"/>
          <w:shd w:val="clear" w:color="auto" w:fill="FFFFFF"/>
        </w:rPr>
        <w:t> </w:t>
      </w:r>
    </w:p>
    <w:p w14:paraId="10072403" w14:textId="77777777" w:rsidR="002A3853" w:rsidRPr="00F03917" w:rsidRDefault="002A3853" w:rsidP="002A3853">
      <w:pPr>
        <w:pStyle w:val="References"/>
      </w:pPr>
      <w:r w:rsidRPr="00F03917">
        <w:t xml:space="preserve">Kitchin, R., Tate, N.J. (2000). Conducting research into human geography: Theory, methodology and practice. Harlow (UK): Prentice Hall. 330. </w:t>
      </w:r>
    </w:p>
    <w:p w14:paraId="7CFD33BE" w14:textId="7261DDD7" w:rsidR="002A3853" w:rsidRPr="00F03917" w:rsidRDefault="002A3853" w:rsidP="002A3853">
      <w:pPr>
        <w:pStyle w:val="References"/>
      </w:pPr>
      <w:r w:rsidRPr="00F03917">
        <w:rPr>
          <w:rStyle w:val="findhit"/>
          <w:rFonts w:cs="Calibri"/>
          <w:color w:val="000000"/>
          <w:szCs w:val="20"/>
          <w:shd w:val="clear" w:color="auto" w:fill="FFFFFF"/>
        </w:rPr>
        <w:t>Kool</w:t>
      </w:r>
      <w:r w:rsidRPr="00F03917">
        <w:rPr>
          <w:rStyle w:val="normaltextrun"/>
          <w:rFonts w:cs="Calibri"/>
          <w:color w:val="000000"/>
          <w:szCs w:val="20"/>
          <w:shd w:val="clear" w:color="auto" w:fill="FFFFFF"/>
        </w:rPr>
        <w:t xml:space="preserve">, R., Lawrence, J., Drews, M., Bell, R. (2020). </w:t>
      </w:r>
      <w:r w:rsidRPr="00F03917">
        <w:rPr>
          <w:rStyle w:val="normaltextrun"/>
          <w:rFonts w:cs="Calibri"/>
          <w:i/>
          <w:iCs/>
          <w:color w:val="000000"/>
          <w:szCs w:val="20"/>
          <w:shd w:val="clear" w:color="auto" w:fill="FFFFFF"/>
        </w:rPr>
        <w:t>Preparing for sea-level rise through adaptive managed retreat of a New Zealand stormwater and wastewater network.</w:t>
      </w:r>
      <w:r w:rsidRPr="00F03917">
        <w:rPr>
          <w:rStyle w:val="normaltextrun"/>
          <w:rFonts w:cs="Calibri"/>
          <w:color w:val="000000"/>
          <w:szCs w:val="20"/>
          <w:shd w:val="clear" w:color="auto" w:fill="FFFFFF"/>
        </w:rPr>
        <w:t xml:space="preserve"> Infrastructures </w:t>
      </w:r>
      <w:r w:rsidRPr="00F03917">
        <w:rPr>
          <w:rStyle w:val="normaltextrun"/>
          <w:rFonts w:cs="Calibri"/>
          <w:i/>
          <w:iCs/>
          <w:color w:val="000000"/>
          <w:szCs w:val="20"/>
          <w:shd w:val="clear" w:color="auto" w:fill="FFFFFF"/>
        </w:rPr>
        <w:t>5(11)</w:t>
      </w:r>
      <w:r w:rsidRPr="00F03917">
        <w:rPr>
          <w:rStyle w:val="normaltextrun"/>
          <w:rFonts w:cs="Calibri"/>
          <w:color w:val="000000"/>
          <w:szCs w:val="20"/>
          <w:shd w:val="clear" w:color="auto" w:fill="FFFFFF"/>
        </w:rPr>
        <w:t xml:space="preserve">: 92. </w:t>
      </w:r>
      <w:hyperlink r:id="rId362" w:tgtFrame="_blank" w:history="1">
        <w:r w:rsidRPr="00F03917">
          <w:rPr>
            <w:rStyle w:val="Hyperlink"/>
            <w:rFonts w:eastAsia="Calibri"/>
          </w:rPr>
          <w:t>https://doi.org/10.3390/infrastructures5110092</w:t>
        </w:r>
      </w:hyperlink>
      <w:r w:rsidR="004E6664" w:rsidRPr="00F03917">
        <w:rPr>
          <w:rStyle w:val="Hyperlink"/>
          <w:rFonts w:eastAsia="Calibri"/>
        </w:rPr>
        <w:t>.</w:t>
      </w:r>
      <w:r w:rsidRPr="00F03917">
        <w:rPr>
          <w:rStyle w:val="normaltextrun"/>
          <w:rFonts w:cs="Calibri"/>
          <w:color w:val="000000"/>
          <w:szCs w:val="20"/>
          <w:shd w:val="clear" w:color="auto" w:fill="FFFFFF"/>
        </w:rPr>
        <w:t> </w:t>
      </w:r>
      <w:r w:rsidRPr="00F03917">
        <w:rPr>
          <w:rStyle w:val="eop"/>
          <w:rFonts w:cs="Calibri"/>
          <w:color w:val="000000"/>
          <w:shd w:val="clear" w:color="auto" w:fill="FFFFFF"/>
        </w:rPr>
        <w:t> </w:t>
      </w:r>
    </w:p>
    <w:p w14:paraId="18B70A1E" w14:textId="7D50236E" w:rsidR="002A3853" w:rsidRPr="00F03917" w:rsidRDefault="002A3853" w:rsidP="002A3853">
      <w:pPr>
        <w:pStyle w:val="References"/>
      </w:pPr>
      <w:r w:rsidRPr="00F03917">
        <w:t>Kopp, R.E., Horton, R.M., Little, C.M., Mitrovica, J.X., Oppenheimer, M., Rasmussen, D.J., Strauss, B.H., Tebaldi, C. (2014). Probabilistic 21st and 22nd century sea-level projections at a global network of tide-gauge sites</w:t>
      </w:r>
      <w:r w:rsidRPr="00F03917">
        <w:rPr>
          <w:i/>
          <w:iCs/>
        </w:rPr>
        <w:t>.</w:t>
      </w:r>
      <w:r w:rsidRPr="00F03917">
        <w:t xml:space="preserve"> </w:t>
      </w:r>
      <w:r w:rsidRPr="00F03917">
        <w:rPr>
          <w:i/>
          <w:iCs/>
        </w:rPr>
        <w:t>Earth’s Future</w:t>
      </w:r>
      <w:r w:rsidRPr="00F03917">
        <w:t xml:space="preserve"> 2(8): 383–406. </w:t>
      </w:r>
      <w:hyperlink r:id="rId363">
        <w:r w:rsidRPr="00F03917">
          <w:rPr>
            <w:rStyle w:val="Hyperlink"/>
            <w:rFonts w:eastAsia="Calibri" w:cs="Calibri"/>
          </w:rPr>
          <w:t>http://dx.doi.org/10.1002/2014EF000239</w:t>
        </w:r>
      </w:hyperlink>
      <w:r w:rsidRPr="00F03917">
        <w:t>.</w:t>
      </w:r>
    </w:p>
    <w:p w14:paraId="410BF1BF" w14:textId="066C22FC" w:rsidR="002A3853" w:rsidRPr="00F03917" w:rsidRDefault="002A3853" w:rsidP="002A3853">
      <w:pPr>
        <w:pStyle w:val="References"/>
      </w:pPr>
      <w:r w:rsidRPr="00F03917">
        <w:rPr>
          <w:shd w:val="clear" w:color="auto" w:fill="FFFFFF"/>
        </w:rPr>
        <w:t xml:space="preserve">Kopp, R.E., Kemp, A.C., Bittermann, K., Horton, B.P., Donnelly, J.P., Gehrels, W.R., Hay, C.C., Mitrovica, J.X., Morrow, E.D., Rahmstor, S. (2016). Temperature-driven global sea-level variability in the Common Era. </w:t>
      </w:r>
      <w:r w:rsidRPr="00F03917">
        <w:rPr>
          <w:i/>
          <w:iCs/>
          <w:shd w:val="clear" w:color="auto" w:fill="FFFFFF"/>
        </w:rPr>
        <w:t>Proceedings of the National Academy of Sciences</w:t>
      </w:r>
      <w:r w:rsidRPr="00F03917">
        <w:rPr>
          <w:shd w:val="clear" w:color="auto" w:fill="FFFFFF"/>
        </w:rPr>
        <w:t xml:space="preserve"> 113(11): E1434–E1441. </w:t>
      </w:r>
      <w:hyperlink r:id="rId364" w:tgtFrame="_blank" w:history="1">
        <w:r w:rsidRPr="00F03917">
          <w:rPr>
            <w:rStyle w:val="Hyperlink"/>
            <w:rFonts w:eastAsia="Calibri"/>
          </w:rPr>
          <w:t>http://dx.doi.org/10.1073/pnas.1517056113</w:t>
        </w:r>
      </w:hyperlink>
      <w:r w:rsidRPr="00F03917">
        <w:rPr>
          <w:shd w:val="clear" w:color="auto" w:fill="FFFFFF"/>
        </w:rPr>
        <w:t>. </w:t>
      </w:r>
    </w:p>
    <w:p w14:paraId="024605DB" w14:textId="3D1C523A" w:rsidR="002A3853" w:rsidRPr="00F03917" w:rsidRDefault="002A3853" w:rsidP="002A3853">
      <w:pPr>
        <w:pStyle w:val="References"/>
        <w:rPr>
          <w:color w:val="008080"/>
          <w:u w:val="single"/>
        </w:rPr>
      </w:pPr>
      <w:r w:rsidRPr="00F03917">
        <w:t xml:space="preserve">Kopp, R.E., Garner, G.G., Hermans, T.H.J., Jha, S., Kumar, P., Slangen, A.B.A., Turilli, M., Edwards, T.L., Gregory, J.M., Koubbe, G., Levermann, A., Merzky, A., Nowicki, S., Palmer, M.D., Smith, C. (2023). The Framework for Assessing Changes to Sea-level (FACTS) v1.0-rc: A platform for characterizing parametric and structural uncertainty in future global, relative, and extreme sea-level change. </w:t>
      </w:r>
      <w:r w:rsidRPr="00F03917">
        <w:rPr>
          <w:i/>
        </w:rPr>
        <w:t>EGUsphere</w:t>
      </w:r>
      <w:r w:rsidRPr="00F03917">
        <w:t xml:space="preserve"> [preprint]</w:t>
      </w:r>
      <w:r w:rsidR="009C63D5" w:rsidRPr="00F03917">
        <w:t>.</w:t>
      </w:r>
      <w:r w:rsidRPr="00F03917">
        <w:t xml:space="preserve"> </w:t>
      </w:r>
      <w:hyperlink r:id="rId365" w:history="1">
        <w:r w:rsidR="00454A6E" w:rsidRPr="00F03917">
          <w:rPr>
            <w:rStyle w:val="Hyperlink"/>
          </w:rPr>
          <w:t>https://doi.org/10.5194/egusphere-2023-14</w:t>
        </w:r>
      </w:hyperlink>
      <w:r w:rsidR="00454A6E" w:rsidRPr="00F03917">
        <w:rPr>
          <w:color w:val="008080"/>
          <w:u w:val="single"/>
        </w:rPr>
        <w:t xml:space="preserve">. </w:t>
      </w:r>
    </w:p>
    <w:p w14:paraId="535B5163" w14:textId="028B6240" w:rsidR="002A3853" w:rsidRPr="00F03917" w:rsidRDefault="002A3853" w:rsidP="002A3853">
      <w:pPr>
        <w:pStyle w:val="References"/>
      </w:pPr>
      <w:r w:rsidRPr="00F03917">
        <w:rPr>
          <w:rStyle w:val="findhit"/>
          <w:rFonts w:cs="Calibri"/>
          <w:color w:val="000000"/>
          <w:szCs w:val="20"/>
          <w:shd w:val="clear" w:color="auto" w:fill="FFFFFF"/>
        </w:rPr>
        <w:t>Korfm</w:t>
      </w:r>
      <w:r w:rsidRPr="00F03917">
        <w:rPr>
          <w:rStyle w:val="normaltextrun"/>
          <w:rFonts w:cs="Calibri"/>
          <w:color w:val="000000"/>
          <w:szCs w:val="20"/>
          <w:shd w:val="clear" w:color="auto" w:fill="FFFFFF"/>
        </w:rPr>
        <w:t>acher, K., S. (2001). The politics of participation in watershed modelling</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Environmental Management</w:t>
      </w:r>
      <w:r w:rsidRPr="00F03917">
        <w:rPr>
          <w:rStyle w:val="normaltextrun"/>
          <w:rFonts w:cs="Calibri"/>
          <w:color w:val="000000"/>
          <w:szCs w:val="20"/>
          <w:shd w:val="clear" w:color="auto" w:fill="FFFFFF"/>
        </w:rPr>
        <w:t xml:space="preserve"> 27(2): 161–176. </w:t>
      </w:r>
      <w:hyperlink r:id="rId366" w:tgtFrame="_blank" w:history="1">
        <w:r w:rsidRPr="00F03917">
          <w:rPr>
            <w:rStyle w:val="Hyperlink"/>
            <w:rFonts w:eastAsia="Calibri"/>
          </w:rPr>
          <w:t>http://dx.doi.org/10.1007/s002670010141</w:t>
        </w:r>
      </w:hyperlink>
      <w:r w:rsidRPr="00F03917">
        <w:rPr>
          <w:rStyle w:val="Hyperlink"/>
          <w:rFonts w:eastAsia="Calibri"/>
        </w:rPr>
        <w:t>.</w:t>
      </w:r>
      <w:r w:rsidRPr="00F03917">
        <w:rPr>
          <w:rStyle w:val="eop"/>
          <w:rFonts w:cs="Calibri"/>
          <w:color w:val="000000"/>
          <w:shd w:val="clear" w:color="auto" w:fill="FFFFFF"/>
        </w:rPr>
        <w:t> </w:t>
      </w:r>
    </w:p>
    <w:p w14:paraId="714E30F6" w14:textId="77777777" w:rsidR="002A3853" w:rsidRPr="00F03917" w:rsidRDefault="002A3853" w:rsidP="002A3853">
      <w:pPr>
        <w:pStyle w:val="References"/>
      </w:pPr>
      <w:r w:rsidRPr="00F03917">
        <w:rPr>
          <w:rStyle w:val="findhit"/>
          <w:rFonts w:cs="Calibri"/>
          <w:color w:val="000000"/>
          <w:szCs w:val="20"/>
          <w:shd w:val="clear" w:color="auto" w:fill="FFFFFF"/>
        </w:rPr>
        <w:t>Kous</w:t>
      </w:r>
      <w:r w:rsidRPr="00F03917">
        <w:rPr>
          <w:rStyle w:val="normaltextrun"/>
          <w:rFonts w:cs="Calibri"/>
          <w:color w:val="000000"/>
          <w:szCs w:val="20"/>
          <w:shd w:val="clear" w:color="auto" w:fill="FFFFFF"/>
        </w:rPr>
        <w:t xml:space="preserve">ky, C., Pratt, J., Zeckhauser, R. (2010). Virgin versus experienced risks. </w:t>
      </w:r>
      <w:r w:rsidRPr="00F03917">
        <w:rPr>
          <w:rStyle w:val="normaltextrun"/>
          <w:rFonts w:cs="Calibri"/>
          <w:i/>
          <w:color w:val="000000"/>
          <w:szCs w:val="20"/>
          <w:shd w:val="clear" w:color="auto" w:fill="FFFFFF"/>
        </w:rPr>
        <w:t>In: E Michel-Kerjan, P Slovic (eds) The Irrational Economist: Making decisions in a dangerous world</w:t>
      </w:r>
      <w:r w:rsidRPr="00F03917">
        <w:rPr>
          <w:rStyle w:val="normaltextrun"/>
          <w:rFonts w:cs="Calibri"/>
          <w:color w:val="000000"/>
          <w:szCs w:val="20"/>
          <w:shd w:val="clear" w:color="auto" w:fill="FFFFFF"/>
        </w:rPr>
        <w:t>: 99–106. New York: Public Affairs.</w:t>
      </w:r>
    </w:p>
    <w:p w14:paraId="5FB930B8" w14:textId="2FF83007" w:rsidR="002A3853" w:rsidRPr="00F03917" w:rsidRDefault="002A3853" w:rsidP="002A3853">
      <w:pPr>
        <w:pStyle w:val="References"/>
      </w:pPr>
      <w:r w:rsidRPr="00F03917">
        <w:t>Kwadijk, J.C., Haasnoot, M., Mulder, J.P., Hoogvliet, M.M., Jeuken, A.B., van der Krogt, R.A., ... de Wit, M.J. (2010). Using adaptation tipping points to prepare for climate change and sea level rise: A case study in the Netherlands. </w:t>
      </w:r>
      <w:r w:rsidRPr="00F03917">
        <w:rPr>
          <w:i/>
          <w:iCs/>
        </w:rPr>
        <w:t>Wiley Interdisciplinary Reviews: Climate Change</w:t>
      </w:r>
      <w:r w:rsidRPr="00F03917">
        <w:t> 1(5): 729–740.</w:t>
      </w:r>
      <w:r w:rsidR="00F365BF" w:rsidRPr="00F03917">
        <w:t xml:space="preserve"> </w:t>
      </w:r>
      <w:hyperlink r:id="rId367" w:history="1">
        <w:r w:rsidR="00F365BF" w:rsidRPr="00F03917">
          <w:rPr>
            <w:rStyle w:val="Hyperlink"/>
          </w:rPr>
          <w:t xml:space="preserve"> https://doi.org/10.1002/wcc.64</w:t>
        </w:r>
      </w:hyperlink>
    </w:p>
    <w:p w14:paraId="5E8EFDA6" w14:textId="77777777" w:rsidR="002A3853" w:rsidRPr="00F03917" w:rsidRDefault="002A3853" w:rsidP="002A3853">
      <w:pPr>
        <w:pStyle w:val="References"/>
        <w:rPr>
          <w:color w:val="008080"/>
          <w:u w:val="single"/>
        </w:rPr>
      </w:pPr>
      <w:r w:rsidRPr="00F03917">
        <w:t>Kwakkel, J., Haasnoot, M. (2019). Supporting DMDU: A taxonomy of approaches and tools</w:t>
      </w:r>
      <w:r w:rsidRPr="00F03917">
        <w:rPr>
          <w:i/>
          <w:iCs/>
        </w:rPr>
        <w:t>.</w:t>
      </w:r>
      <w:r w:rsidRPr="00F03917">
        <w:t xml:space="preserve"> In: V., Marchau, W., Walker, P., Bloeman (eds). </w:t>
      </w:r>
      <w:r w:rsidRPr="00F03917">
        <w:rPr>
          <w:i/>
          <w:iCs/>
        </w:rPr>
        <w:t>Decision making under deep uncertainty: From theory to practice</w:t>
      </w:r>
      <w:r w:rsidRPr="00F03917">
        <w:t xml:space="preserve">. Retrieved from </w:t>
      </w:r>
      <w:hyperlink r:id="rId368" w:history="1">
        <w:r w:rsidRPr="00F03917">
          <w:rPr>
            <w:rStyle w:val="Hyperlink"/>
          </w:rPr>
          <w:t>https://link.springer.com/chapter/10.1007/978-3-030-05252-2_15</w:t>
        </w:r>
      </w:hyperlink>
      <w:r w:rsidRPr="00F03917">
        <w:t xml:space="preserve">. </w:t>
      </w:r>
    </w:p>
    <w:p w14:paraId="2EA5BE58" w14:textId="006C18CF" w:rsidR="002A3853" w:rsidRPr="00F03917" w:rsidRDefault="002A3853" w:rsidP="002A3853">
      <w:pPr>
        <w:pStyle w:val="References"/>
      </w:pPr>
      <w:r w:rsidRPr="00F03917">
        <w:t xml:space="preserve">Kwakkel, J.H., Walker, W.E., Haasnoot, M. (2016). Coping with the wickedness of public policy problems: Approaches for decision making under deep uncertainty. </w:t>
      </w:r>
      <w:r w:rsidRPr="00F03917">
        <w:rPr>
          <w:i/>
          <w:iCs/>
        </w:rPr>
        <w:t>Journal of Water Resources Planning and Management-ASCE</w:t>
      </w:r>
      <w:r w:rsidRPr="00F03917">
        <w:t xml:space="preserve"> 142(3). </w:t>
      </w:r>
      <w:hyperlink r:id="rId369" w:history="1">
        <w:r w:rsidR="00F56687" w:rsidRPr="00F03917">
          <w:rPr>
            <w:rStyle w:val="Hyperlink"/>
          </w:rPr>
          <w:t>https://</w:t>
        </w:r>
        <w:r w:rsidRPr="00F03917">
          <w:rPr>
            <w:rStyle w:val="Hyperlink"/>
          </w:rPr>
          <w:t>doi.org/10.1061/(ASCE)WR.1943-5452.0000626</w:t>
        </w:r>
      </w:hyperlink>
      <w:r w:rsidRPr="00F03917">
        <w:t>.</w:t>
      </w:r>
    </w:p>
    <w:p w14:paraId="2784052B" w14:textId="77777777" w:rsidR="002A3853" w:rsidRPr="00F03917" w:rsidRDefault="002A3853" w:rsidP="002A3853">
      <w:pPr>
        <w:pStyle w:val="BodyText"/>
        <w:spacing w:before="0"/>
        <w:rPr>
          <w:rFonts w:asciiTheme="minorHAnsi" w:hAnsiTheme="minorHAnsi" w:cstheme="minorHAnsi"/>
          <w:sz w:val="20"/>
          <w:szCs w:val="20"/>
        </w:rPr>
      </w:pPr>
      <w:r w:rsidRPr="00F03917">
        <w:rPr>
          <w:rStyle w:val="findhit"/>
          <w:rFonts w:cs="Calibri"/>
          <w:color w:val="000000"/>
          <w:sz w:val="20"/>
          <w:szCs w:val="20"/>
          <w:shd w:val="clear" w:color="auto" w:fill="FFFFFF"/>
        </w:rPr>
        <w:t>Lebel,</w:t>
      </w:r>
      <w:r w:rsidRPr="00F03917">
        <w:rPr>
          <w:rStyle w:val="normaltextrun"/>
          <w:rFonts w:cs="Calibri"/>
          <w:color w:val="000000"/>
          <w:sz w:val="20"/>
          <w:szCs w:val="20"/>
          <w:shd w:val="clear" w:color="auto" w:fill="FFFFFF"/>
        </w:rPr>
        <w:t xml:space="preserve"> L., Anderies, J., M., Campbell, B., Folke, C., Hatfield-Dodds, S., Hughes, T., P., Wilson, J. (2006). Governance and the capacity to manage resilience in regional social-ecological systems</w:t>
      </w:r>
      <w:r w:rsidRPr="00F03917">
        <w:rPr>
          <w:rStyle w:val="normaltextrun"/>
          <w:rFonts w:cs="Calibri"/>
          <w:i/>
          <w:iCs/>
          <w:color w:val="000000"/>
          <w:sz w:val="20"/>
          <w:szCs w:val="20"/>
          <w:shd w:val="clear" w:color="auto" w:fill="FFFFFF"/>
        </w:rPr>
        <w:t xml:space="preserve">. </w:t>
      </w:r>
      <w:r w:rsidRPr="00F03917">
        <w:rPr>
          <w:rStyle w:val="normaltextrun"/>
          <w:rFonts w:cs="Calibri"/>
          <w:i/>
          <w:color w:val="000000"/>
          <w:sz w:val="20"/>
          <w:szCs w:val="20"/>
          <w:shd w:val="clear" w:color="auto" w:fill="FFFFFF"/>
        </w:rPr>
        <w:t>Ecology and Society</w:t>
      </w:r>
      <w:r w:rsidRPr="00F03917">
        <w:rPr>
          <w:rStyle w:val="normaltextrun"/>
          <w:rFonts w:cs="Calibri"/>
          <w:color w:val="000000"/>
          <w:sz w:val="20"/>
          <w:szCs w:val="20"/>
          <w:shd w:val="clear" w:color="auto" w:fill="FFFFFF"/>
        </w:rPr>
        <w:t xml:space="preserve"> 11(1): 19. Retrieved from</w:t>
      </w:r>
      <w:r w:rsidRPr="00F03917">
        <w:rPr>
          <w:rStyle w:val="Hyperlink"/>
          <w:rFonts w:eastAsia="Calibri"/>
          <w:sz w:val="20"/>
          <w:szCs w:val="20"/>
        </w:rPr>
        <w:t xml:space="preserve"> </w:t>
      </w:r>
      <w:hyperlink r:id="rId370" w:tgtFrame="_blank" w:history="1">
        <w:r w:rsidRPr="00F03917">
          <w:rPr>
            <w:rStyle w:val="Hyperlink"/>
            <w:rFonts w:eastAsia="Calibri"/>
            <w:sz w:val="20"/>
            <w:szCs w:val="20"/>
          </w:rPr>
          <w:t>www.ecologyandsociety.org/vol11/iss1/art19/</w:t>
        </w:r>
      </w:hyperlink>
      <w:r w:rsidRPr="00F03917">
        <w:rPr>
          <w:rStyle w:val="normaltextrun"/>
          <w:rFonts w:cs="Calibri"/>
          <w:color w:val="000000"/>
          <w:sz w:val="20"/>
          <w:szCs w:val="20"/>
          <w:shd w:val="clear" w:color="auto" w:fill="FFFFFF"/>
        </w:rPr>
        <w:t>.</w:t>
      </w:r>
    </w:p>
    <w:p w14:paraId="0EC71C3D" w14:textId="3E09C22C" w:rsidR="002A3853" w:rsidRPr="00F03917" w:rsidRDefault="002A3853" w:rsidP="002A3853">
      <w:pPr>
        <w:pStyle w:val="BodyText"/>
        <w:spacing w:before="0"/>
        <w:rPr>
          <w:rFonts w:asciiTheme="minorHAnsi" w:hAnsiTheme="minorHAnsi" w:cstheme="minorHAnsi"/>
          <w:sz w:val="20"/>
          <w:szCs w:val="20"/>
        </w:rPr>
      </w:pPr>
      <w:r w:rsidRPr="00F03917">
        <w:rPr>
          <w:rFonts w:asciiTheme="minorHAnsi" w:hAnsiTheme="minorHAnsi" w:cstheme="minorHAnsi"/>
          <w:sz w:val="20"/>
          <w:szCs w:val="20"/>
        </w:rPr>
        <w:t xml:space="preserve">Lan, C., Wild, A., Paulik, R., Wotherspoon, L., Zorn, C. (2023). Assessing indirect impacts of extreme sea level flooding on critical infrastructure. </w:t>
      </w:r>
      <w:r w:rsidRPr="00F03917">
        <w:rPr>
          <w:rFonts w:asciiTheme="minorHAnsi" w:hAnsiTheme="minorHAnsi" w:cstheme="minorHAnsi"/>
          <w:i/>
          <w:iCs/>
          <w:sz w:val="20"/>
          <w:szCs w:val="20"/>
        </w:rPr>
        <w:t>Journal of Marine Science and Engineering</w:t>
      </w:r>
      <w:r w:rsidRPr="00F03917">
        <w:rPr>
          <w:rFonts w:asciiTheme="minorHAnsi" w:hAnsiTheme="minorHAnsi" w:cstheme="minorHAnsi"/>
          <w:sz w:val="20"/>
          <w:szCs w:val="20"/>
        </w:rPr>
        <w:t xml:space="preserve"> 11: 1420. </w:t>
      </w:r>
      <w:hyperlink r:id="rId371" w:history="1">
        <w:r w:rsidR="00D403B8" w:rsidRPr="00F03917">
          <w:rPr>
            <w:rStyle w:val="Hyperlink"/>
            <w:sz w:val="20"/>
            <w:szCs w:val="20"/>
          </w:rPr>
          <w:t>https://</w:t>
        </w:r>
        <w:r w:rsidRPr="00F03917">
          <w:rPr>
            <w:rStyle w:val="Hyperlink"/>
            <w:sz w:val="20"/>
            <w:szCs w:val="20"/>
          </w:rPr>
          <w:t>doi.org/10.3390/jmse11071420</w:t>
        </w:r>
      </w:hyperlink>
      <w:r w:rsidRPr="00F03917">
        <w:rPr>
          <w:sz w:val="20"/>
          <w:szCs w:val="20"/>
        </w:rPr>
        <w:t>.</w:t>
      </w:r>
    </w:p>
    <w:p w14:paraId="07930CEE" w14:textId="21A0F6A4" w:rsidR="002A3853" w:rsidRPr="00F03917" w:rsidRDefault="002A3853" w:rsidP="002A3853">
      <w:pPr>
        <w:pStyle w:val="References"/>
      </w:pPr>
      <w:r w:rsidRPr="00F03917">
        <w:rPr>
          <w:rStyle w:val="findhit"/>
          <w:rFonts w:cs="Calibri"/>
          <w:color w:val="000000"/>
          <w:szCs w:val="20"/>
          <w:shd w:val="clear" w:color="auto" w:fill="FFFFFF"/>
        </w:rPr>
        <w:t>Law</w:t>
      </w:r>
      <w:r w:rsidRPr="00F03917">
        <w:rPr>
          <w:rStyle w:val="normaltextrun"/>
          <w:rFonts w:cs="Calibri"/>
          <w:color w:val="000000"/>
          <w:szCs w:val="20"/>
          <w:shd w:val="clear" w:color="auto" w:fill="FFFFFF"/>
        </w:rPr>
        <w:t>, C., S., Rickard, G., J., Mikaloff-Fletcher, S., E., Pinkerton, M., H., Behrens, E., Chiswell, S., M., Currie, K. (2018). Climate change projections for the surface ocean around New Zealand</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New Zealand Journal of Marine and Freshwater Research</w:t>
      </w:r>
      <w:r w:rsidRPr="00F03917">
        <w:rPr>
          <w:rStyle w:val="normaltextrun"/>
          <w:rFonts w:cs="Calibri"/>
          <w:color w:val="000000"/>
          <w:szCs w:val="20"/>
          <w:shd w:val="clear" w:color="auto" w:fill="FFFFFF"/>
        </w:rPr>
        <w:t>, 52(3): 309–335</w:t>
      </w:r>
      <w:r w:rsidR="001809B1" w:rsidRPr="00F03917">
        <w:rPr>
          <w:rStyle w:val="normaltextrun"/>
          <w:rFonts w:cs="Calibri"/>
          <w:color w:val="000000"/>
          <w:szCs w:val="20"/>
          <w:shd w:val="clear" w:color="auto" w:fill="FFFFFF"/>
        </w:rPr>
        <w:t>.</w:t>
      </w:r>
      <w:r w:rsidRPr="00F03917">
        <w:rPr>
          <w:rStyle w:val="normaltextrun"/>
          <w:rFonts w:cs="Calibri"/>
          <w:color w:val="000000"/>
          <w:szCs w:val="20"/>
          <w:shd w:val="clear" w:color="auto" w:fill="FFFFFF"/>
        </w:rPr>
        <w:t xml:space="preserve"> </w:t>
      </w:r>
      <w:hyperlink r:id="rId372" w:tgtFrame="_blank" w:history="1">
        <w:r w:rsidRPr="00F03917">
          <w:rPr>
            <w:rStyle w:val="Hyperlink"/>
            <w:rFonts w:eastAsia="Calibri"/>
          </w:rPr>
          <w:t>https://doi.org/10.1080/00288330.2017.1390772</w:t>
        </w:r>
      </w:hyperlink>
    </w:p>
    <w:p w14:paraId="2F63C5DA" w14:textId="77777777" w:rsidR="002A3853" w:rsidRPr="00F03917" w:rsidRDefault="002A3853" w:rsidP="002A3853">
      <w:pPr>
        <w:pStyle w:val="References"/>
      </w:pPr>
      <w:r w:rsidRPr="00F03917">
        <w:t xml:space="preserve">Lawrence, J. (2023). A Decade of Dynamic Adaptive Decision-making tools in New Zealand – Practice applications, lessons learned and next steps. </w:t>
      </w:r>
      <w:r w:rsidRPr="00F03917">
        <w:rPr>
          <w:i/>
        </w:rPr>
        <w:t>National Science Challenges</w:t>
      </w:r>
      <w:r w:rsidRPr="00F03917">
        <w:t xml:space="preserve">. Retrieved from </w:t>
      </w:r>
      <w:hyperlink r:id="rId373" w:history="1">
        <w:r w:rsidRPr="00F03917">
          <w:rPr>
            <w:rStyle w:val="Hyperlink"/>
          </w:rPr>
          <w:t>https://resiliencechallenge.nz/outputs/a-decade-of-dynamic-adaptive-decision-making-tools-in-new-zealand-practice-applications-lessons-learned-and-next-steps/</w:t>
        </w:r>
      </w:hyperlink>
      <w:r w:rsidRPr="00F03917">
        <w:t xml:space="preserve">. </w:t>
      </w:r>
    </w:p>
    <w:p w14:paraId="21AA094C" w14:textId="77777777" w:rsidR="002A3853" w:rsidRPr="00F03917" w:rsidRDefault="002A3853" w:rsidP="002A3853">
      <w:pPr>
        <w:pStyle w:val="References"/>
        <w:rPr>
          <w:color w:val="008080"/>
          <w:u w:val="single"/>
        </w:rPr>
      </w:pPr>
      <w:r w:rsidRPr="00F03917">
        <w:t xml:space="preserve">Lawrence, J., Bell, R. (2022). The foundations of the sea-level rise challenge: Coasts are a special case for adaptation. pp. 3–7. In: </w:t>
      </w:r>
      <w:r w:rsidRPr="00F03917">
        <w:rPr>
          <w:i/>
        </w:rPr>
        <w:t>Coastal Adaptation: Adapting to coastal change and hazard risk in Aotearoa New Zealand</w:t>
      </w:r>
      <w:r w:rsidRPr="00F03917">
        <w:t xml:space="preserve">. Special Publication No. 5, NZ Coastal Society. Retrieved from </w:t>
      </w:r>
      <w:hyperlink r:id="rId374" w:history="1">
        <w:r w:rsidRPr="00F03917">
          <w:rPr>
            <w:rStyle w:val="Hyperlink"/>
            <w:rFonts w:eastAsia="Calibri" w:cs="Calibri"/>
            <w:szCs w:val="20"/>
          </w:rPr>
          <w:t>www.coastalsociety.org.nz/media/view/publications/special-publication-5-coastal-adaptation/</w:t>
        </w:r>
      </w:hyperlink>
      <w:r w:rsidRPr="00F03917">
        <w:t>.</w:t>
      </w:r>
      <w:r w:rsidRPr="00F03917">
        <w:rPr>
          <w:color w:val="008080"/>
          <w:u w:val="single"/>
        </w:rPr>
        <w:t xml:space="preserve"> </w:t>
      </w:r>
    </w:p>
    <w:p w14:paraId="13337EEE" w14:textId="4B08B464" w:rsidR="002A3853" w:rsidRPr="00F03917" w:rsidRDefault="002A3853" w:rsidP="002A3853">
      <w:pPr>
        <w:pStyle w:val="References"/>
      </w:pPr>
      <w:r w:rsidRPr="00F03917">
        <w:t>Lawrence, J., Haasnoot, M. (2017). What it took to catalyse uptake of dynamic adaptive pathways planning to address climate change uncertainty. </w:t>
      </w:r>
      <w:r w:rsidRPr="00F03917">
        <w:rPr>
          <w:i/>
          <w:iCs/>
        </w:rPr>
        <w:t>Environmental Science &amp; Policy</w:t>
      </w:r>
      <w:r w:rsidRPr="00F03917">
        <w:t> 68: 47–57.</w:t>
      </w:r>
      <w:r w:rsidR="00C326C8" w:rsidRPr="00F03917">
        <w:t xml:space="preserve"> </w:t>
      </w:r>
      <w:hyperlink r:id="rId375" w:history="1">
        <w:r w:rsidR="00C326C8" w:rsidRPr="00F03917">
          <w:rPr>
            <w:rStyle w:val="Hyperlink"/>
          </w:rPr>
          <w:t>https://doi.org/10.1016/j.envsci.2016.12.003</w:t>
        </w:r>
      </w:hyperlink>
    </w:p>
    <w:p w14:paraId="39992D87" w14:textId="77777777" w:rsidR="002A3853" w:rsidRPr="00F03917" w:rsidRDefault="002A3853" w:rsidP="002A3853">
      <w:pPr>
        <w:pStyle w:val="References"/>
        <w:rPr>
          <w:color w:val="008080"/>
          <w:u w:val="single"/>
        </w:rPr>
      </w:pPr>
      <w:r w:rsidRPr="00F03917">
        <w:t xml:space="preserve">Lawrence, J., Allan, S., Clarke, L. (2021a). Enabling coastal adaptation: Using current legislative settings for managing the transition to a dynamic adaptive planning regime in New Zealand. Retrieved from </w:t>
      </w:r>
      <w:hyperlink r:id="rId376" w:history="1">
        <w:r w:rsidRPr="00F03917">
          <w:rPr>
            <w:rStyle w:val="Hyperlink"/>
            <w:rFonts w:eastAsia="Calibri" w:cs="Calibri"/>
            <w:szCs w:val="20"/>
          </w:rPr>
          <w:t>https://resiliencechallenge.nz/outputs/enabling-coastal-adaptation/</w:t>
        </w:r>
      </w:hyperlink>
      <w:r w:rsidRPr="00F03917">
        <w:t xml:space="preserve"> and Policy Briefing: </w:t>
      </w:r>
      <w:hyperlink r:id="rId377" w:history="1">
        <w:r w:rsidRPr="00F03917">
          <w:rPr>
            <w:rStyle w:val="Hyperlink"/>
            <w:rFonts w:eastAsia="Calibri" w:cs="Calibri"/>
            <w:szCs w:val="20"/>
          </w:rPr>
          <w:t>https://resiliencechallenge.nz/outputs/enabling-coastal-adaptation-2/</w:t>
        </w:r>
      </w:hyperlink>
      <w:r w:rsidRPr="00F03917">
        <w:t>.</w:t>
      </w:r>
      <w:r w:rsidRPr="00F03917">
        <w:rPr>
          <w:color w:val="008080"/>
          <w:u w:val="single"/>
        </w:rPr>
        <w:t xml:space="preserve"> </w:t>
      </w:r>
    </w:p>
    <w:p w14:paraId="44746F4E" w14:textId="0B4227C8" w:rsidR="002A3853" w:rsidRPr="00F03917" w:rsidRDefault="002A3853" w:rsidP="002A3853">
      <w:pPr>
        <w:pStyle w:val="References"/>
        <w:rPr>
          <w:color w:val="008080"/>
          <w:spacing w:val="-2"/>
          <w:u w:val="single"/>
        </w:rPr>
      </w:pPr>
      <w:r w:rsidRPr="00F03917">
        <w:t xml:space="preserve">Lawrence, J., Allan, S., Clarke, L. (2021b). Inadequacy revealed and the transition to adaptation as risk </w:t>
      </w:r>
      <w:r w:rsidRPr="00F03917">
        <w:rPr>
          <w:spacing w:val="-2"/>
        </w:rPr>
        <w:t xml:space="preserve">management in New Zealand. </w:t>
      </w:r>
      <w:r w:rsidRPr="00F03917">
        <w:rPr>
          <w:i/>
          <w:iCs/>
          <w:spacing w:val="-2"/>
        </w:rPr>
        <w:t>Frontiers in Climate</w:t>
      </w:r>
      <w:r w:rsidRPr="00F03917">
        <w:rPr>
          <w:spacing w:val="-2"/>
        </w:rPr>
        <w:t xml:space="preserve"> 3: 734726. </w:t>
      </w:r>
      <w:hyperlink r:id="rId378" w:history="1">
        <w:r w:rsidR="00E359E2" w:rsidRPr="00F03917">
          <w:rPr>
            <w:rStyle w:val="Hyperlink"/>
          </w:rPr>
          <w:t>https://</w:t>
        </w:r>
        <w:r w:rsidRPr="00F03917">
          <w:rPr>
            <w:rStyle w:val="Hyperlink"/>
          </w:rPr>
          <w:t>doi.org/10.3389/fclim.2021.734726</w:t>
        </w:r>
      </w:hyperlink>
      <w:r w:rsidRPr="00F03917">
        <w:t>.</w:t>
      </w:r>
      <w:r w:rsidRPr="00F03917">
        <w:rPr>
          <w:color w:val="008080"/>
          <w:spacing w:val="-2"/>
          <w:u w:val="single"/>
        </w:rPr>
        <w:t xml:space="preserve"> </w:t>
      </w:r>
    </w:p>
    <w:p w14:paraId="41DEE651" w14:textId="15A6DFC0" w:rsidR="002A3853" w:rsidRPr="00F03917" w:rsidRDefault="002A3853" w:rsidP="002A3853">
      <w:pPr>
        <w:pStyle w:val="References"/>
        <w:rPr>
          <w:color w:val="008080"/>
          <w:u w:val="single"/>
        </w:rPr>
      </w:pPr>
      <w:r w:rsidRPr="00F03917">
        <w:t xml:space="preserve">Lawrence, J., Bell, R.G., Blackett, P., Stephens, S.A., Collins, D., Cradock-Henry, N., Hardcastle, M. (2020b). Supporting decision making through adaptive tools in a changing climate: Practice guidance on signals and triggers. </w:t>
      </w:r>
      <w:r w:rsidRPr="00F03917">
        <w:rPr>
          <w:i/>
        </w:rPr>
        <w:t>Victoria University of Wellington Publication for the Deep South National Science Challenge, Wellington.</w:t>
      </w:r>
      <w:r w:rsidRPr="00F03917">
        <w:t xml:space="preserve"> 67 p. </w:t>
      </w:r>
      <w:r w:rsidR="00E359E2" w:rsidRPr="00F03917">
        <w:t>Retrieved from</w:t>
      </w:r>
      <w:r w:rsidRPr="00F03917">
        <w:t xml:space="preserve"> </w:t>
      </w:r>
      <w:hyperlink r:id="rId379" w:history="1">
        <w:r w:rsidRPr="00F03917">
          <w:rPr>
            <w:rStyle w:val="Hyperlink"/>
            <w:rFonts w:eastAsia="Calibri" w:cs="Calibri"/>
          </w:rPr>
          <w:t>www.deepsouthchallenge.co.nz/projects/tools-decision-makers</w:t>
        </w:r>
      </w:hyperlink>
      <w:r w:rsidRPr="00F03917">
        <w:t>.</w:t>
      </w:r>
      <w:r w:rsidRPr="00F03917">
        <w:rPr>
          <w:color w:val="008080"/>
          <w:u w:val="single"/>
        </w:rPr>
        <w:t xml:space="preserve"> </w:t>
      </w:r>
    </w:p>
    <w:p w14:paraId="1F36893E" w14:textId="5811CB1B" w:rsidR="002A3853" w:rsidRPr="00F03917" w:rsidRDefault="002A3853" w:rsidP="002A3853">
      <w:pPr>
        <w:pStyle w:val="References"/>
        <w:rPr>
          <w:color w:val="008080"/>
          <w:u w:val="single"/>
        </w:rPr>
      </w:pPr>
      <w:r w:rsidRPr="00F03917">
        <w:t>Lawrence, J., Bell, R.G., Stroombergen, A. (2019). A hybrid process to address uncertainty and changing climate risk in coastal areas using Dynamic Adaptive Pathways Planning, Multi-Criteria Decision Analysis &amp; Real Options Analysis</w:t>
      </w:r>
      <w:r w:rsidRPr="00F03917">
        <w:rPr>
          <w:i/>
          <w:iCs/>
        </w:rPr>
        <w:t xml:space="preserve">. </w:t>
      </w:r>
      <w:r w:rsidRPr="00F03917">
        <w:rPr>
          <w:i/>
        </w:rPr>
        <w:t>Sustainability</w:t>
      </w:r>
      <w:r w:rsidRPr="00F03917">
        <w:rPr>
          <w:iCs/>
        </w:rPr>
        <w:t xml:space="preserve"> 11:</w:t>
      </w:r>
      <w:r w:rsidRPr="00F03917">
        <w:t xml:space="preserve"> 406. Special Issue: Policy Pathways for Sustainability. </w:t>
      </w:r>
      <w:hyperlink r:id="rId380" w:history="1">
        <w:r w:rsidR="00933691" w:rsidRPr="00F03917">
          <w:rPr>
            <w:rStyle w:val="Hyperlink"/>
          </w:rPr>
          <w:t>https://doi.org/10.3390/su11020406</w:t>
        </w:r>
      </w:hyperlink>
      <w:r w:rsidRPr="00F03917">
        <w:t>.</w:t>
      </w:r>
      <w:r w:rsidRPr="00F03917">
        <w:rPr>
          <w:color w:val="008080"/>
          <w:u w:val="single"/>
        </w:rPr>
        <w:t xml:space="preserve"> </w:t>
      </w:r>
    </w:p>
    <w:p w14:paraId="0A3BE4DF" w14:textId="64882A3F" w:rsidR="002A3853" w:rsidRPr="00F03917" w:rsidRDefault="002A3853" w:rsidP="002A3853">
      <w:pPr>
        <w:pStyle w:val="References"/>
        <w:rPr>
          <w:color w:val="008080"/>
          <w:u w:val="single"/>
        </w:rPr>
      </w:pPr>
      <w:r w:rsidRPr="00F03917">
        <w:t xml:space="preserve">Lawrence, J., Blackett, P., Cradock-Henry, N.A. (2020a). Cascading climate change impacts and implications. </w:t>
      </w:r>
      <w:r w:rsidRPr="00F03917">
        <w:rPr>
          <w:i/>
          <w:iCs/>
        </w:rPr>
        <w:t>Climate Risk Management</w:t>
      </w:r>
      <w:r w:rsidRPr="00F03917">
        <w:t xml:space="preserve"> 29: 100234. </w:t>
      </w:r>
      <w:hyperlink r:id="rId381" w:history="1">
        <w:r w:rsidR="00324C5E" w:rsidRPr="00F03917">
          <w:rPr>
            <w:rStyle w:val="Hyperlink"/>
          </w:rPr>
          <w:t>https://</w:t>
        </w:r>
        <w:r w:rsidRPr="00F03917">
          <w:rPr>
            <w:rStyle w:val="Hyperlink"/>
          </w:rPr>
          <w:t>doi.org/10.1016/j.crm.2020.100234</w:t>
        </w:r>
      </w:hyperlink>
      <w:r w:rsidRPr="00F03917">
        <w:t>.</w:t>
      </w:r>
      <w:r w:rsidRPr="00F03917">
        <w:rPr>
          <w:color w:val="008080"/>
          <w:u w:val="single"/>
        </w:rPr>
        <w:t xml:space="preserve"> </w:t>
      </w:r>
    </w:p>
    <w:p w14:paraId="36C7EE38" w14:textId="0D54E2DD" w:rsidR="002A3853" w:rsidRPr="00F03917" w:rsidRDefault="002A3853" w:rsidP="002A3853">
      <w:pPr>
        <w:pStyle w:val="References"/>
      </w:pPr>
      <w:r w:rsidRPr="00F03917">
        <w:t xml:space="preserve">Lawrence, J., Blackett, P., Cradock-Henry, N., Nistor, B.J. (2018). Climate change: The cascade effect cascading impacts and implications for Aotearoa New Zealand. </w:t>
      </w:r>
      <w:r w:rsidRPr="00F03917">
        <w:rPr>
          <w:i/>
        </w:rPr>
        <w:t>Deep South Challenge</w:t>
      </w:r>
      <w:r w:rsidRPr="00F03917">
        <w:t xml:space="preserve">. </w:t>
      </w:r>
      <w:r w:rsidR="00324C5E" w:rsidRPr="00F03917">
        <w:t xml:space="preserve">Retrieved from </w:t>
      </w:r>
      <w:hyperlink r:id="rId382" w:history="1">
        <w:r w:rsidR="00324C5E" w:rsidRPr="00F03917">
          <w:rPr>
            <w:rStyle w:val="Hyperlink"/>
            <w:rFonts w:eastAsia="Calibri" w:cs="Calibri"/>
          </w:rPr>
          <w:t>https://deepsouthchallenge.co.nz/resource/climate-change-the-cascade-effect/</w:t>
        </w:r>
      </w:hyperlink>
      <w:r w:rsidRPr="00F03917">
        <w:t xml:space="preserve">. </w:t>
      </w:r>
    </w:p>
    <w:p w14:paraId="2F0A9E74" w14:textId="57BF77CD" w:rsidR="002A3853" w:rsidRPr="00F03917" w:rsidRDefault="002A3853" w:rsidP="002A3853">
      <w:pPr>
        <w:pStyle w:val="References"/>
        <w:rPr>
          <w:color w:val="008080"/>
          <w:u w:val="single"/>
        </w:rPr>
      </w:pPr>
      <w:r w:rsidRPr="00F03917">
        <w:t xml:space="preserve">Lawrence, J., Mackey, B., Chiew, F., Costello, M.J., Hall, N., Hennessy, K., Nidumolu, U.B., Pecl, G., Rickards, L., Tapper, N., Woodward, A., Wreford, A. (2022). Australasia. In: </w:t>
      </w:r>
      <w:r w:rsidRPr="00F03917">
        <w:rPr>
          <w:i/>
        </w:rPr>
        <w:t xml:space="preserve">Climate Change 2022: Impacts, Adaptation, and Vulnerability. Contribution of Working Group II to the Sixth </w:t>
      </w:r>
      <w:r w:rsidRPr="00F03917">
        <w:t>Assessment</w:t>
      </w:r>
      <w:r w:rsidRPr="00F03917">
        <w:rPr>
          <w:i/>
        </w:rPr>
        <w:t xml:space="preserve"> Report of the Intergovernmental Panel on Climate Change</w:t>
      </w:r>
      <w:r w:rsidRPr="00F03917">
        <w:rPr>
          <w:iCs/>
        </w:rPr>
        <w:t>.</w:t>
      </w:r>
      <w:r w:rsidRPr="00F03917">
        <w:t xml:space="preserve"> H.-O. Pörtner, D.C. Roberts, M. Tignor, E.S. Poloczanska, K. Mintenbeck, A. Alegría, M. Craig, S. Langsdorf, S. Löschke, V. Möller, A. Okem, B. Rama (eds). Cambridge University Press</w:t>
      </w:r>
      <w:r w:rsidR="00616667" w:rsidRPr="00F03917">
        <w:t>, Cambridge, UK and New York, NY, USA, pp. 1581–1688</w:t>
      </w:r>
      <w:r w:rsidRPr="00F03917" w:rsidDel="00616667">
        <w:t>.</w:t>
      </w:r>
      <w:r w:rsidRPr="00F03917">
        <w:t xml:space="preserve"> </w:t>
      </w:r>
      <w:hyperlink r:id="rId383" w:history="1">
        <w:r w:rsidR="00D964DA" w:rsidRPr="00F03917">
          <w:rPr>
            <w:rStyle w:val="Hyperlink"/>
          </w:rPr>
          <w:t>doi:10.1017/9781009325844.013</w:t>
        </w:r>
      </w:hyperlink>
      <w:r w:rsidR="00D964DA" w:rsidRPr="00F03917">
        <w:t>.</w:t>
      </w:r>
    </w:p>
    <w:p w14:paraId="456DA640" w14:textId="49ACC261" w:rsidR="002A3853" w:rsidRPr="00F03917" w:rsidRDefault="002A3853" w:rsidP="002A3853">
      <w:pPr>
        <w:pStyle w:val="References"/>
      </w:pPr>
      <w:r w:rsidRPr="00F03917">
        <w:t xml:space="preserve">Lawrence, J., Stephens, S., Blackett., Bell, R., Priestley, R. (2021c). Climate services transformed: Decision-making practice for the coast in a changing climate. </w:t>
      </w:r>
      <w:r w:rsidRPr="00F03917">
        <w:rPr>
          <w:i/>
          <w:iCs/>
        </w:rPr>
        <w:t>Frontiers in Marine Science, Special Issue Climate Services for Adaptation to Sea-Level Rise</w:t>
      </w:r>
      <w:r w:rsidRPr="00F03917">
        <w:t xml:space="preserve">. </w:t>
      </w:r>
      <w:hyperlink r:id="rId384" w:history="1">
        <w:r w:rsidR="005649A0" w:rsidRPr="00F03917">
          <w:rPr>
            <w:rStyle w:val="Hyperlink"/>
          </w:rPr>
          <w:t>https://</w:t>
        </w:r>
        <w:r w:rsidRPr="00F03917">
          <w:rPr>
            <w:rStyle w:val="Hyperlink"/>
          </w:rPr>
          <w:t>doi.org/10.3389/fmars.2021.703902</w:t>
        </w:r>
      </w:hyperlink>
      <w:r w:rsidRPr="00F03917">
        <w:t>.</w:t>
      </w:r>
    </w:p>
    <w:p w14:paraId="1A8FC47D" w14:textId="3DC5DCC7" w:rsidR="002A3853" w:rsidRPr="00F03917" w:rsidRDefault="002A3853" w:rsidP="002A3853">
      <w:pPr>
        <w:pStyle w:val="References"/>
      </w:pPr>
      <w:r w:rsidRPr="00F03917">
        <w:t xml:space="preserve">Le Cozannet, G., Rohmer, J., Cazenave, A., Idier, D., van de Wal, R., de Winter, R., Pedreros, R., Balouin, Y., Vinchon, C., Oliveros, C. (2015). Evaluating uncertainties of future marine flooding occurrence as sea-level rises. </w:t>
      </w:r>
      <w:r w:rsidRPr="00F03917">
        <w:rPr>
          <w:i/>
          <w:iCs/>
        </w:rPr>
        <w:t>Environmental Modelling &amp; Software</w:t>
      </w:r>
      <w:r w:rsidRPr="00F03917">
        <w:t xml:space="preserve"> 73: 44–56. </w:t>
      </w:r>
      <w:hyperlink r:id="rId385" w:history="1">
        <w:r w:rsidR="000C4E6B" w:rsidRPr="00F03917">
          <w:rPr>
            <w:rStyle w:val="Hyperlink"/>
          </w:rPr>
          <w:t>https://</w:t>
        </w:r>
        <w:r w:rsidRPr="00F03917">
          <w:rPr>
            <w:rStyle w:val="Hyperlink"/>
          </w:rPr>
          <w:t>doi.org/10.1016/j.envsoft.2015.07.021</w:t>
        </w:r>
      </w:hyperlink>
      <w:r w:rsidRPr="00F03917">
        <w:t>.</w:t>
      </w:r>
    </w:p>
    <w:p w14:paraId="18719DB8" w14:textId="2E5FD177" w:rsidR="002A3853" w:rsidRPr="00F03917" w:rsidRDefault="002A3853" w:rsidP="002A3853">
      <w:pPr>
        <w:pStyle w:val="References"/>
      </w:pPr>
      <w:r w:rsidRPr="00F03917">
        <w:t xml:space="preserve">Le Heron, E., Allen, W., Le Heron, R., Logie, M., Glavovic, B., Greenaway, A., ... &amp; Blackett, P. (2021). What does success look like? An indicative rubric to assess and guide the performance of marine participatory processes. </w:t>
      </w:r>
      <w:r w:rsidRPr="00F03917">
        <w:rPr>
          <w:i/>
        </w:rPr>
        <w:t>Ecology and Society</w:t>
      </w:r>
      <w:r w:rsidRPr="00F03917">
        <w:t xml:space="preserve">, 26(1). </w:t>
      </w:r>
      <w:hyperlink r:id="rId386" w:history="1">
        <w:r w:rsidR="000C4E6B" w:rsidRPr="00F03917">
          <w:rPr>
            <w:rStyle w:val="Hyperlink"/>
          </w:rPr>
          <w:t>https://doi.org/10.5751/ES-12211-260129</w:t>
        </w:r>
      </w:hyperlink>
    </w:p>
    <w:p w14:paraId="59BC590F" w14:textId="77777777" w:rsidR="002A3853" w:rsidRPr="00F03917" w:rsidRDefault="002A3853" w:rsidP="002A3853">
      <w:pPr>
        <w:pStyle w:val="References"/>
        <w:rPr>
          <w:color w:val="008080"/>
          <w:u w:val="single"/>
        </w:rPr>
      </w:pPr>
      <w:r w:rsidRPr="00F03917">
        <w:t xml:space="preserve">Lempert, R.J. (2019). </w:t>
      </w:r>
      <w:r w:rsidRPr="00F03917">
        <w:rPr>
          <w:iCs/>
        </w:rPr>
        <w:t>Robust decision making.</w:t>
      </w:r>
      <w:r w:rsidRPr="00F03917">
        <w:t xml:space="preserve"> Chapter 2, In: Marchau, V., Walker, W., Bloeman, P. </w:t>
      </w:r>
      <w:r w:rsidRPr="00F03917">
        <w:rPr>
          <w:i/>
          <w:iCs/>
        </w:rPr>
        <w:t>Decision making under deep uncertainty: From theory to practice</w:t>
      </w:r>
      <w:r w:rsidRPr="00F03917">
        <w:t xml:space="preserve">. Retrieved from </w:t>
      </w:r>
      <w:hyperlink r:id="rId387" w:history="1">
        <w:r w:rsidRPr="00F03917">
          <w:rPr>
            <w:rStyle w:val="Hyperlink"/>
          </w:rPr>
          <w:t>https://link.springer.com/chapter/10.1007/978-3-030-05252-2_2</w:t>
        </w:r>
      </w:hyperlink>
      <w:r w:rsidRPr="00F03917">
        <w:t xml:space="preserve">. </w:t>
      </w:r>
    </w:p>
    <w:p w14:paraId="29B17DA6" w14:textId="77777777" w:rsidR="002A3853" w:rsidRPr="00F03917" w:rsidRDefault="002A3853" w:rsidP="002A3853">
      <w:pPr>
        <w:pStyle w:val="References"/>
      </w:pPr>
      <w:r w:rsidRPr="00F03917">
        <w:t xml:space="preserve">Lempert, R.J., Popper, S.W., Bankes, S.C. (2003). Shaping the next one hundred years: New methods for quantitative, long-term policy analysis. </w:t>
      </w:r>
      <w:r w:rsidRPr="00F03917">
        <w:rPr>
          <w:i/>
        </w:rPr>
        <w:t>Santa Monica: RAND Corporation</w:t>
      </w:r>
      <w:r w:rsidRPr="00F03917">
        <w:t xml:space="preserve">. Retrieved from </w:t>
      </w:r>
      <w:hyperlink r:id="rId388" w:history="1">
        <w:r w:rsidRPr="00F03917">
          <w:rPr>
            <w:rStyle w:val="Hyperlink"/>
            <w:rFonts w:eastAsia="Calibri" w:cs="Calibri"/>
            <w:szCs w:val="20"/>
          </w:rPr>
          <w:t>www.rand.org/pubs/monograph_reports/MR1626.html</w:t>
        </w:r>
      </w:hyperlink>
      <w:r w:rsidRPr="00F03917">
        <w:t>.</w:t>
      </w:r>
    </w:p>
    <w:p w14:paraId="192E240C" w14:textId="6763CE82" w:rsidR="002A3853" w:rsidRPr="00F03917" w:rsidRDefault="002A3853" w:rsidP="002A3853">
      <w:pPr>
        <w:pStyle w:val="References"/>
      </w:pPr>
      <w:r w:rsidRPr="00F03917">
        <w:rPr>
          <w:rStyle w:val="findhit"/>
          <w:rFonts w:cs="Calibri"/>
          <w:color w:val="000000"/>
          <w:szCs w:val="20"/>
          <w:shd w:val="clear" w:color="auto" w:fill="FFFFFF"/>
        </w:rPr>
        <w:t>Leverman</w:t>
      </w:r>
      <w:r w:rsidRPr="00F03917">
        <w:rPr>
          <w:rStyle w:val="normaltextrun"/>
          <w:rFonts w:cs="Calibri"/>
          <w:color w:val="000000"/>
          <w:szCs w:val="20"/>
          <w:shd w:val="clear" w:color="auto" w:fill="FFFFFF"/>
        </w:rPr>
        <w:t xml:space="preserve">n, A., Clark, P., U., Marzeion, B., Milne, G., A., Pollard, D., Radic, V., Robinson, A. (2013). The multimillennial sea-level commitment of global warming. </w:t>
      </w:r>
      <w:r w:rsidRPr="00F03917">
        <w:rPr>
          <w:rStyle w:val="normaltextrun"/>
          <w:rFonts w:cs="Calibri"/>
          <w:i/>
          <w:color w:val="000000"/>
          <w:szCs w:val="20"/>
          <w:shd w:val="clear" w:color="auto" w:fill="FFFFFF"/>
        </w:rPr>
        <w:t>Proceedings of the National Academy of Sciences</w:t>
      </w:r>
      <w:r w:rsidRPr="00F03917">
        <w:rPr>
          <w:rStyle w:val="normaltextrun"/>
          <w:rFonts w:cs="Calibri"/>
          <w:color w:val="000000"/>
          <w:szCs w:val="20"/>
          <w:shd w:val="clear" w:color="auto" w:fill="FFFFFF"/>
        </w:rPr>
        <w:t xml:space="preserve"> 110(34): 13745–13750. </w:t>
      </w:r>
      <w:hyperlink r:id="rId389" w:tgtFrame="_blank" w:history="1">
        <w:r w:rsidRPr="00F03917">
          <w:rPr>
            <w:rStyle w:val="Hyperlink"/>
            <w:rFonts w:eastAsia="Calibri"/>
          </w:rPr>
          <w:t>http://dx.doi.org/10.1073/pnas.1219414110</w:t>
        </w:r>
      </w:hyperlink>
      <w:r w:rsidRPr="00F03917">
        <w:rPr>
          <w:rStyle w:val="normaltextrun"/>
          <w:rFonts w:cs="Calibri"/>
          <w:color w:val="000000"/>
          <w:szCs w:val="20"/>
          <w:shd w:val="clear" w:color="auto" w:fill="FFFFFF"/>
        </w:rPr>
        <w:t>.</w:t>
      </w:r>
      <w:r w:rsidRPr="00F03917">
        <w:rPr>
          <w:rStyle w:val="eop"/>
          <w:rFonts w:cs="Calibri"/>
          <w:color w:val="000000"/>
          <w:shd w:val="clear" w:color="auto" w:fill="FFFFFF"/>
        </w:rPr>
        <w:t> </w:t>
      </w:r>
    </w:p>
    <w:p w14:paraId="1A299290" w14:textId="77777777" w:rsidR="002A3853" w:rsidRPr="00F03917" w:rsidRDefault="002A3853" w:rsidP="002A3853">
      <w:pPr>
        <w:pStyle w:val="References"/>
      </w:pPr>
      <w:r w:rsidRPr="00F03917">
        <w:rPr>
          <w:rStyle w:val="findhit"/>
          <w:rFonts w:cs="Calibri"/>
          <w:color w:val="000000"/>
          <w:szCs w:val="20"/>
          <w:shd w:val="clear" w:color="auto" w:fill="FFFFFF"/>
        </w:rPr>
        <w:t>Levy</w:t>
      </w:r>
      <w:r w:rsidRPr="00F03917">
        <w:rPr>
          <w:rStyle w:val="normaltextrun"/>
          <w:rFonts w:cs="Calibri"/>
          <w:color w:val="000000"/>
          <w:szCs w:val="20"/>
          <w:shd w:val="clear" w:color="auto" w:fill="FFFFFF"/>
        </w:rPr>
        <w:t xml:space="preserve">, R., Naish, T., Bell, R., Golledge, N., Clarke, L., Garner, G., Hamling, I., Heine, Z., Hreinsdottir, S., Lawrence, J., Lowry, D., Priestley, R., Vargo, L. (2020). Te tai pari o Aotearoa – Future sea level rise around New Zealand’s dynamic coastline. p. 11-20. </w:t>
      </w:r>
      <w:r w:rsidRPr="00F03917">
        <w:rPr>
          <w:rStyle w:val="normaltextrun"/>
          <w:rFonts w:cs="Calibri"/>
          <w:i/>
          <w:color w:val="000000"/>
          <w:szCs w:val="20"/>
          <w:shd w:val="clear" w:color="auto" w:fill="FFFFFF"/>
        </w:rPr>
        <w:t>In: Hendtlass, C.; Morgan, S; Neale, D. (eds.), Coastal systems and sea level rise: What to look for in future. Special Publication 4, NZ Coastal Society</w:t>
      </w:r>
      <w:r w:rsidRPr="00F03917">
        <w:rPr>
          <w:rStyle w:val="normaltextrun"/>
          <w:rFonts w:cs="Calibri"/>
          <w:color w:val="000000"/>
          <w:szCs w:val="20"/>
          <w:shd w:val="clear" w:color="auto" w:fill="FFFFFF"/>
        </w:rPr>
        <w:t xml:space="preserve">, Dec 2020, ISBN: 978-0-473-55110-0. 68 p. </w:t>
      </w:r>
      <w:hyperlink r:id="rId390" w:tgtFrame="_blank" w:history="1">
        <w:r w:rsidRPr="00F03917">
          <w:rPr>
            <w:rStyle w:val="Hyperlink"/>
            <w:rFonts w:eastAsia="Calibri"/>
          </w:rPr>
          <w:t>https://www.coastalsociety.org.nz/media/view/publications/sea-level-rise/</w:t>
        </w:r>
      </w:hyperlink>
      <w:r w:rsidRPr="00F03917">
        <w:rPr>
          <w:rStyle w:val="normaltextrun"/>
          <w:rFonts w:cs="Calibri"/>
          <w:color w:val="000000"/>
          <w:szCs w:val="20"/>
          <w:shd w:val="clear" w:color="auto" w:fill="FFFFFF"/>
        </w:rPr>
        <w:t> </w:t>
      </w:r>
      <w:r w:rsidRPr="00F03917">
        <w:rPr>
          <w:rStyle w:val="eop"/>
          <w:rFonts w:cs="Calibri"/>
          <w:color w:val="000000"/>
          <w:shd w:val="clear" w:color="auto" w:fill="FFFFFF"/>
        </w:rPr>
        <w:t> </w:t>
      </w:r>
    </w:p>
    <w:p w14:paraId="47E86C9D" w14:textId="7676D7F6" w:rsidR="002A3853" w:rsidRPr="00F03917" w:rsidRDefault="002A3853" w:rsidP="002A3853">
      <w:pPr>
        <w:pStyle w:val="References"/>
      </w:pPr>
      <w:r w:rsidRPr="00F03917">
        <w:t xml:space="preserve">Levy, R., Naish, T., Lowry, D., Priestley, R., Winefield, R., Alevropolous-Borrill, A., et al. (2023). Melting ice and rising seas – connecting projected change in Antarctica’s ice sheets to communities in Aotearoa New Zealand. </w:t>
      </w:r>
      <w:r w:rsidRPr="00F03917">
        <w:rPr>
          <w:i/>
          <w:iCs/>
        </w:rPr>
        <w:t>Journal of the Royal Society of New Zealand</w:t>
      </w:r>
      <w:r w:rsidRPr="00F03917">
        <w:t xml:space="preserve"> 1–24. </w:t>
      </w:r>
      <w:hyperlink r:id="rId391" w:history="1">
        <w:r w:rsidR="00FA51D8" w:rsidRPr="00F03917">
          <w:rPr>
            <w:rStyle w:val="Hyperlink"/>
          </w:rPr>
          <w:t>https://</w:t>
        </w:r>
        <w:r w:rsidRPr="00F03917">
          <w:rPr>
            <w:rStyle w:val="Hyperlink"/>
          </w:rPr>
          <w:t>doi.org/10.1080/03036758.2023.2232743</w:t>
        </w:r>
      </w:hyperlink>
      <w:r w:rsidRPr="00F03917">
        <w:t xml:space="preserve">. </w:t>
      </w:r>
    </w:p>
    <w:p w14:paraId="3A9B95C2" w14:textId="013BC17C" w:rsidR="002A3853" w:rsidRPr="00F03917" w:rsidRDefault="002A3853" w:rsidP="002A3853">
      <w:pPr>
        <w:pStyle w:val="References"/>
      </w:pPr>
      <w:r w:rsidRPr="00F03917">
        <w:t xml:space="preserve">Local Government New Zealand. (2016a). Risk financing in local government. </w:t>
      </w:r>
      <w:r w:rsidRPr="00F03917">
        <w:rPr>
          <w:i/>
        </w:rPr>
        <w:t>Prepared for Local Government New Zealand by David Middleton, Kestrel Group</w:t>
      </w:r>
      <w:r w:rsidRPr="00F03917">
        <w:t xml:space="preserve">. Wellington: Local Government New Zealand. </w:t>
      </w:r>
    </w:p>
    <w:p w14:paraId="7DCCFB54" w14:textId="30926077" w:rsidR="002A3853" w:rsidRPr="00F03917" w:rsidRDefault="002A3853" w:rsidP="002A3853">
      <w:pPr>
        <w:pStyle w:val="References"/>
      </w:pPr>
      <w:r w:rsidRPr="00F03917">
        <w:t xml:space="preserve">Local Government New Zealand. (2016b). The 2050 challenge: future proofing our communities. </w:t>
      </w:r>
      <w:r w:rsidRPr="00F03917">
        <w:rPr>
          <w:i/>
        </w:rPr>
        <w:t>Prepared for Local Government New Zealand by Castalia Strategic Advisors</w:t>
      </w:r>
      <w:r w:rsidRPr="00F03917">
        <w:t xml:space="preserve">. Wellington: Local Government New Zealand. Retrieved from </w:t>
      </w:r>
      <w:hyperlink r:id="rId392" w:history="1">
        <w:r w:rsidR="0027309E" w:rsidRPr="00F03917">
          <w:rPr>
            <w:rStyle w:val="Hyperlink"/>
          </w:rPr>
          <w:t>https://ndhadeliver.natlib.govt.nz/delivery/DeliveryManagerServlet?dps_pid=IE27791832</w:t>
        </w:r>
      </w:hyperlink>
      <w:r w:rsidR="0027309E" w:rsidRPr="00F03917">
        <w:t>.</w:t>
      </w:r>
      <w:r w:rsidRPr="00F03917">
        <w:t xml:space="preserve"> </w:t>
      </w:r>
    </w:p>
    <w:p w14:paraId="3BD2CD23" w14:textId="77777777" w:rsidR="002A3853" w:rsidRPr="00F03917" w:rsidRDefault="002A3853" w:rsidP="002A3853">
      <w:pPr>
        <w:pStyle w:val="References"/>
        <w:rPr>
          <w:color w:val="008080"/>
          <w:u w:val="single"/>
        </w:rPr>
      </w:pPr>
      <w:r w:rsidRPr="00F03917">
        <w:t>Logan, T.M., Anderson, M.J., Reilly, A.C. (2023).</w:t>
      </w:r>
      <w:r w:rsidRPr="00F03917">
        <w:rPr>
          <w:i/>
        </w:rPr>
        <w:t xml:space="preserve"> </w:t>
      </w:r>
      <w:r w:rsidRPr="00F03917">
        <w:rPr>
          <w:iCs/>
        </w:rPr>
        <w:t>Risk of isolation increases the expected burden from sea-level rise.</w:t>
      </w:r>
      <w:r w:rsidRPr="00F03917">
        <w:t xml:space="preserve"> </w:t>
      </w:r>
      <w:r w:rsidRPr="00F03917">
        <w:rPr>
          <w:i/>
          <w:iCs/>
        </w:rPr>
        <w:t>Nature Climate Change</w:t>
      </w:r>
      <w:r w:rsidRPr="00F03917">
        <w:t xml:space="preserve"> 13: 397–402. </w:t>
      </w:r>
      <w:hyperlink r:id="rId393" w:history="1">
        <w:r w:rsidRPr="00F03917">
          <w:rPr>
            <w:rStyle w:val="Hyperlink"/>
            <w:rFonts w:eastAsia="Calibri" w:cs="Calibri"/>
            <w:szCs w:val="20"/>
          </w:rPr>
          <w:t>doi.org/10.1038/s41558-023-01642-3</w:t>
        </w:r>
      </w:hyperlink>
      <w:r w:rsidRPr="00F03917">
        <w:t>.</w:t>
      </w:r>
    </w:p>
    <w:p w14:paraId="211488DD" w14:textId="7A8B7358" w:rsidR="002A3853" w:rsidRPr="00F03917" w:rsidRDefault="002A3853" w:rsidP="002A3853">
      <w:pPr>
        <w:pStyle w:val="References"/>
      </w:pPr>
      <w:r w:rsidRPr="00F03917">
        <w:t xml:space="preserve">Logan, T.M., Aven, T., Guikema, S., Flage, R. (2021). </w:t>
      </w:r>
      <w:r w:rsidRPr="00F03917">
        <w:rPr>
          <w:iCs/>
        </w:rPr>
        <w:t>The role of time in risk and risk analysis: Implications for resilience, sustainability, and management.</w:t>
      </w:r>
      <w:r w:rsidRPr="00F03917">
        <w:t xml:space="preserve"> </w:t>
      </w:r>
      <w:r w:rsidRPr="00F03917">
        <w:rPr>
          <w:i/>
          <w:iCs/>
        </w:rPr>
        <w:t>Risk Analysis</w:t>
      </w:r>
      <w:r w:rsidRPr="00F03917">
        <w:t xml:space="preserve"> 41(11)</w:t>
      </w:r>
      <w:r w:rsidR="004B723A" w:rsidRPr="00F03917">
        <w:t>,</w:t>
      </w:r>
      <w:r w:rsidRPr="00F03917">
        <w:t xml:space="preserve"> 1959–1970. </w:t>
      </w:r>
      <w:hyperlink r:id="rId394" w:history="1">
        <w:r w:rsidRPr="00F03917">
          <w:rPr>
            <w:rStyle w:val="Hyperlink"/>
            <w:rFonts w:eastAsia="Calibri" w:cs="Calibri"/>
            <w:szCs w:val="20"/>
          </w:rPr>
          <w:t>doi.org/10.1111/risa.13733</w:t>
        </w:r>
      </w:hyperlink>
      <w:r w:rsidRPr="00F03917">
        <w:t>.</w:t>
      </w:r>
    </w:p>
    <w:p w14:paraId="2BD35543" w14:textId="7A705ED7" w:rsidR="002A3853" w:rsidRPr="00F03917" w:rsidRDefault="002A3853" w:rsidP="002A3853">
      <w:pPr>
        <w:pStyle w:val="References"/>
      </w:pPr>
      <w:r w:rsidRPr="00F03917">
        <w:t xml:space="preserve">Logan, T.M., Reilly, A.C. (2023). Risk of isolation increases the urgency and spatial extent of climate change adaptation. </w:t>
      </w:r>
      <w:r w:rsidRPr="00F03917">
        <w:rPr>
          <w:i/>
          <w:iCs/>
        </w:rPr>
        <w:t>Nature Climate Change</w:t>
      </w:r>
      <w:r w:rsidRPr="00F03917">
        <w:t xml:space="preserve"> 13(4): 322–323. </w:t>
      </w:r>
      <w:hyperlink r:id="rId395" w:history="1">
        <w:r w:rsidR="004B723A" w:rsidRPr="00F03917">
          <w:rPr>
            <w:rStyle w:val="Hyperlink"/>
          </w:rPr>
          <w:t>https://</w:t>
        </w:r>
        <w:r w:rsidRPr="00F03917">
          <w:rPr>
            <w:rStyle w:val="Hyperlink"/>
          </w:rPr>
          <w:t>doi.org/10.1038/s41558-023-01647-y</w:t>
        </w:r>
      </w:hyperlink>
      <w:r w:rsidRPr="00F03917">
        <w:t xml:space="preserve">. </w:t>
      </w:r>
    </w:p>
    <w:p w14:paraId="657AB00C" w14:textId="52D4E710" w:rsidR="002A3853" w:rsidRPr="00F03917" w:rsidRDefault="002A3853" w:rsidP="002A3853">
      <w:pPr>
        <w:pStyle w:val="References"/>
        <w:rPr>
          <w:rStyle w:val="normaltextrun"/>
          <w:rFonts w:cs="Calibri"/>
          <w:color w:val="000000"/>
          <w:szCs w:val="20"/>
          <w:shd w:val="clear" w:color="auto" w:fill="FFFFFF"/>
        </w:rPr>
      </w:pPr>
      <w:r w:rsidRPr="00F03917">
        <w:rPr>
          <w:rStyle w:val="findhit"/>
          <w:rFonts w:cs="Calibri"/>
          <w:color w:val="000000"/>
          <w:szCs w:val="20"/>
          <w:shd w:val="clear" w:color="auto" w:fill="FFFFFF"/>
        </w:rPr>
        <w:t>Magnan,</w:t>
      </w:r>
      <w:r w:rsidRPr="00F03917">
        <w:rPr>
          <w:rStyle w:val="normaltextrun"/>
          <w:rFonts w:cs="Calibri"/>
          <w:color w:val="000000"/>
          <w:szCs w:val="20"/>
          <w:shd w:val="clear" w:color="auto" w:fill="FFFFFF"/>
        </w:rPr>
        <w:t xml:space="preserve"> A., K., Colombier, M., Bille, R., Joos, F., Hoegh-Guldberg, O., Portner, H-O., Waisman, H., Spencer, T., Gattuso, J-P. (2016). Implications of the Paris agreement for the ocean</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 xml:space="preserve">Nature Climate Change </w:t>
      </w:r>
      <w:r w:rsidRPr="00F03917">
        <w:rPr>
          <w:rStyle w:val="normaltextrun"/>
          <w:rFonts w:cs="Calibri"/>
          <w:color w:val="000000"/>
          <w:szCs w:val="20"/>
          <w:shd w:val="clear" w:color="auto" w:fill="FFFFFF"/>
        </w:rPr>
        <w:t xml:space="preserve">6(8): 732–735. </w:t>
      </w:r>
      <w:hyperlink r:id="rId396" w:tgtFrame="_blank" w:history="1">
        <w:r w:rsidRPr="00F03917">
          <w:rPr>
            <w:rStyle w:val="Hyperlink"/>
          </w:rPr>
          <w:t>http://dx.doi.org/10.1038/nclimate3038</w:t>
        </w:r>
      </w:hyperlink>
      <w:r w:rsidRPr="00F03917">
        <w:rPr>
          <w:rStyle w:val="normaltextrun"/>
          <w:rFonts w:cs="Calibri"/>
          <w:color w:val="000000"/>
          <w:szCs w:val="20"/>
          <w:shd w:val="clear" w:color="auto" w:fill="FFFFFF"/>
        </w:rPr>
        <w:t>.</w:t>
      </w:r>
    </w:p>
    <w:p w14:paraId="2EC0ABDB" w14:textId="4CB12076" w:rsidR="002A3853" w:rsidRPr="00F03917" w:rsidRDefault="002A3853" w:rsidP="002A3853">
      <w:pPr>
        <w:pStyle w:val="References"/>
        <w:rPr>
          <w:rStyle w:val="normaltextrun"/>
          <w:rFonts w:cs="Calibri"/>
          <w:color w:val="000000"/>
          <w:szCs w:val="20"/>
          <w:shd w:val="clear" w:color="auto" w:fill="FFFFFF"/>
        </w:rPr>
      </w:pPr>
      <w:r w:rsidRPr="00F03917">
        <w:rPr>
          <w:rStyle w:val="normaltextrun"/>
          <w:rFonts w:cs="Calibri"/>
          <w:color w:val="000000"/>
          <w:szCs w:val="20"/>
          <w:shd w:val="clear" w:color="auto" w:fill="FFFFFF"/>
        </w:rPr>
        <w:t xml:space="preserve">Marchau, V. A., Walker, W. E., Bloemen, P. J., &amp; Popper, S. W. (2019). Decision making under deep uncertainty: </w:t>
      </w:r>
      <w:r w:rsidR="004E4A90" w:rsidRPr="00F03917">
        <w:rPr>
          <w:rStyle w:val="normaltextrun"/>
          <w:rFonts w:cs="Calibri"/>
          <w:color w:val="000000"/>
          <w:szCs w:val="20"/>
          <w:shd w:val="clear" w:color="auto" w:fill="FFFFFF"/>
        </w:rPr>
        <w:t>F</w:t>
      </w:r>
      <w:r w:rsidRPr="00F03917">
        <w:rPr>
          <w:rStyle w:val="normaltextrun"/>
          <w:rFonts w:cs="Calibri"/>
          <w:color w:val="000000"/>
          <w:szCs w:val="20"/>
          <w:shd w:val="clear" w:color="auto" w:fill="FFFFFF"/>
        </w:rPr>
        <w:t>rom theory to practice</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(p. 405).</w:t>
      </w:r>
      <w:r w:rsidRPr="00F03917">
        <w:rPr>
          <w:rStyle w:val="normaltextrun"/>
          <w:rFonts w:cs="Calibri"/>
          <w:i/>
          <w:color w:val="000000"/>
          <w:szCs w:val="20"/>
          <w:shd w:val="clear" w:color="auto" w:fill="FFFFFF"/>
        </w:rPr>
        <w:t xml:space="preserve"> Springer Nature</w:t>
      </w:r>
      <w:r w:rsidRPr="00F03917">
        <w:rPr>
          <w:rStyle w:val="normaltextrun"/>
          <w:rFonts w:cs="Calibri"/>
          <w:color w:val="000000"/>
          <w:szCs w:val="20"/>
          <w:shd w:val="clear" w:color="auto" w:fill="FFFFFF"/>
        </w:rPr>
        <w:t>.</w:t>
      </w:r>
      <w:r w:rsidR="00DC65F3" w:rsidRPr="00F03917">
        <w:rPr>
          <w:rStyle w:val="normaltextrun"/>
          <w:rFonts w:cs="Calibri"/>
          <w:color w:val="000000"/>
          <w:szCs w:val="20"/>
          <w:shd w:val="clear" w:color="auto" w:fill="FFFFFF"/>
        </w:rPr>
        <w:t xml:space="preserve"> Retrieved from </w:t>
      </w:r>
      <w:hyperlink r:id="rId397" w:history="1">
        <w:r w:rsidR="00DC65F3" w:rsidRPr="00F03917">
          <w:rPr>
            <w:rStyle w:val="Hyperlink"/>
            <w:rFonts w:cs="Calibri"/>
            <w:szCs w:val="20"/>
            <w:shd w:val="clear" w:color="auto" w:fill="FFFFFF"/>
          </w:rPr>
          <w:t>https://link.springer.com/book/10.1007/978-3-030-05252-2</w:t>
        </w:r>
      </w:hyperlink>
      <w:r w:rsidR="00DC65F3" w:rsidRPr="00F03917">
        <w:rPr>
          <w:rStyle w:val="normaltextrun"/>
          <w:rFonts w:cs="Calibri"/>
          <w:color w:val="000000"/>
          <w:szCs w:val="20"/>
          <w:shd w:val="clear" w:color="auto" w:fill="FFFFFF"/>
        </w:rPr>
        <w:t xml:space="preserve">. </w:t>
      </w:r>
    </w:p>
    <w:p w14:paraId="308DAED3" w14:textId="42372BEE" w:rsidR="002A3853" w:rsidRPr="00F03917" w:rsidRDefault="002A3853" w:rsidP="002A3853">
      <w:pPr>
        <w:pStyle w:val="References"/>
      </w:pPr>
      <w:r w:rsidRPr="00F03917">
        <w:rPr>
          <w:shd w:val="clear" w:color="auto" w:fill="FFFFFF"/>
        </w:rPr>
        <w:t>Marcos, M., Marzeion, B., Dangendorf, S., Slangen, A.B.A., Palanisamy, H., Fenoglio-Marc, L. (2016).</w:t>
      </w:r>
      <w:r w:rsidRPr="00F03917">
        <w:rPr>
          <w:i/>
          <w:iCs/>
          <w:shd w:val="clear" w:color="auto" w:fill="FFFFFF"/>
        </w:rPr>
        <w:t xml:space="preserve"> </w:t>
      </w:r>
      <w:r w:rsidRPr="00F03917">
        <w:rPr>
          <w:shd w:val="clear" w:color="auto" w:fill="FFFFFF"/>
        </w:rPr>
        <w:t>Internal variability versus anthropogenic forcing on sea level and its components.</w:t>
      </w:r>
      <w:r w:rsidRPr="00F03917">
        <w:rPr>
          <w:i/>
          <w:iCs/>
          <w:shd w:val="clear" w:color="auto" w:fill="FFFFFF"/>
        </w:rPr>
        <w:t xml:space="preserve"> Surveys in Geophysics</w:t>
      </w:r>
      <w:r w:rsidRPr="00F03917">
        <w:rPr>
          <w:shd w:val="clear" w:color="auto" w:fill="FFFFFF"/>
        </w:rPr>
        <w:t xml:space="preserve"> 1–20. </w:t>
      </w:r>
      <w:hyperlink r:id="rId398" w:tgtFrame="_blank" w:history="1">
        <w:r w:rsidRPr="00F03917">
          <w:rPr>
            <w:rStyle w:val="Hyperlink"/>
          </w:rPr>
          <w:t>http://dx.doi.org/10.1007/s10712-016-9373-3</w:t>
        </w:r>
      </w:hyperlink>
      <w:r w:rsidRPr="00F03917">
        <w:rPr>
          <w:shd w:val="clear" w:color="auto" w:fill="FFFFFF"/>
        </w:rPr>
        <w:t>. </w:t>
      </w:r>
    </w:p>
    <w:p w14:paraId="4678AC52" w14:textId="77777777" w:rsidR="002A3853" w:rsidRPr="00F03917" w:rsidRDefault="002A3853" w:rsidP="002A3853">
      <w:pPr>
        <w:pStyle w:val="References"/>
        <w:rPr>
          <w:color w:val="008080"/>
          <w:u w:val="single"/>
        </w:rPr>
      </w:pPr>
      <w:r w:rsidRPr="00F03917">
        <w:t xml:space="preserve">Marsh, S., Mills, W., Mourot, P., Hume, T., Liefting, R., Hunt, S. (2020). Wharekawa Coast 2120: Natural hazard risk assessment. </w:t>
      </w:r>
      <w:r w:rsidRPr="00F03917">
        <w:rPr>
          <w:i/>
        </w:rPr>
        <w:t>Waikato Regional Council Report TR 2020/08</w:t>
      </w:r>
      <w:r w:rsidRPr="00F03917">
        <w:t xml:space="preserve">. Retrieved from </w:t>
      </w:r>
      <w:hyperlink r:id="rId399" w:history="1">
        <w:r w:rsidRPr="00F03917">
          <w:rPr>
            <w:rStyle w:val="Hyperlink"/>
            <w:rFonts w:eastAsia="Calibri" w:cs="Calibri"/>
            <w:szCs w:val="20"/>
          </w:rPr>
          <w:t>www.waikatoregion.govt.nz/assets/WRC/TR202008.pdf</w:t>
        </w:r>
      </w:hyperlink>
      <w:r w:rsidRPr="00F03917">
        <w:t>.</w:t>
      </w:r>
      <w:r w:rsidRPr="00F03917">
        <w:rPr>
          <w:color w:val="008080"/>
          <w:u w:val="single"/>
        </w:rPr>
        <w:t xml:space="preserve"> </w:t>
      </w:r>
    </w:p>
    <w:p w14:paraId="1E778D33" w14:textId="4CDBB652" w:rsidR="002A3853" w:rsidRPr="00F03917" w:rsidRDefault="002A3853" w:rsidP="002A3853">
      <w:pPr>
        <w:pStyle w:val="References"/>
        <w:rPr>
          <w:color w:val="008080"/>
          <w:u w:val="single"/>
        </w:rPr>
      </w:pPr>
      <w:r w:rsidRPr="00F03917">
        <w:t>Masselink, G., Russell, P., Rennie, A., Brooks, S., Spencer, T. (2020). Impacts of climate change on coastal geomorphology and coastal erosion relevant to the coastal and marine environment around the UK</w:t>
      </w:r>
      <w:r w:rsidRPr="00F03917">
        <w:rPr>
          <w:i/>
          <w:iCs/>
        </w:rPr>
        <w:t>.</w:t>
      </w:r>
      <w:r w:rsidRPr="00F03917">
        <w:t xml:space="preserve"> </w:t>
      </w:r>
      <w:r w:rsidRPr="00F03917">
        <w:rPr>
          <w:i/>
          <w:iCs/>
        </w:rPr>
        <w:t>MCCIP Science Review 2020</w:t>
      </w:r>
      <w:r w:rsidR="0035353D" w:rsidRPr="00F03917">
        <w:rPr>
          <w:i/>
          <w:iCs/>
        </w:rPr>
        <w:t>,</w:t>
      </w:r>
      <w:r w:rsidRPr="00F03917">
        <w:t xml:space="preserve"> 158–189. </w:t>
      </w:r>
      <w:hyperlink r:id="rId400" w:history="1">
        <w:r w:rsidR="0035353D" w:rsidRPr="00F03917">
          <w:rPr>
            <w:rStyle w:val="Hyperlink"/>
          </w:rPr>
          <w:t>https://</w:t>
        </w:r>
        <w:r w:rsidRPr="00F03917">
          <w:rPr>
            <w:rStyle w:val="Hyperlink"/>
          </w:rPr>
          <w:t>doi.org/10.14465/2020.arc08.cgm</w:t>
        </w:r>
      </w:hyperlink>
      <w:r w:rsidRPr="00F03917">
        <w:t>.</w:t>
      </w:r>
      <w:r w:rsidRPr="00F03917">
        <w:rPr>
          <w:color w:val="008080"/>
          <w:u w:val="single"/>
        </w:rPr>
        <w:t xml:space="preserve"> </w:t>
      </w:r>
    </w:p>
    <w:p w14:paraId="6B7094F9" w14:textId="4ACEC3E1" w:rsidR="002A3853" w:rsidRPr="00F03917" w:rsidRDefault="002A3853" w:rsidP="002A3853">
      <w:pPr>
        <w:pStyle w:val="References"/>
      </w:pPr>
      <w:r w:rsidRPr="00F03917">
        <w:t>McAllister, T., Hikuroa, D., Macinnis-Ng, C. (2023). Connecting science to Indigenous Knowledge: Kaitiakitanga, conservation, and resource management</w:t>
      </w:r>
      <w:r w:rsidRPr="00F03917">
        <w:rPr>
          <w:i/>
          <w:iCs/>
        </w:rPr>
        <w:t>.</w:t>
      </w:r>
      <w:r w:rsidRPr="00F03917">
        <w:t xml:space="preserve"> </w:t>
      </w:r>
      <w:r w:rsidRPr="00F03917">
        <w:rPr>
          <w:i/>
          <w:iCs/>
        </w:rPr>
        <w:t>New Zealand Journal of Ecology</w:t>
      </w:r>
      <w:r w:rsidRPr="00F03917">
        <w:t xml:space="preserve"> 47(1). </w:t>
      </w:r>
      <w:hyperlink r:id="rId401" w:history="1">
        <w:r w:rsidR="00954791" w:rsidRPr="00F03917">
          <w:rPr>
            <w:rStyle w:val="Hyperlink"/>
          </w:rPr>
          <w:t>https://</w:t>
        </w:r>
        <w:r w:rsidRPr="00F03917">
          <w:rPr>
            <w:rStyle w:val="Hyperlink"/>
          </w:rPr>
          <w:t>doi.org/10.20417/nzjecol.47.3521</w:t>
        </w:r>
      </w:hyperlink>
      <w:r w:rsidRPr="00F03917">
        <w:t xml:space="preserve">. </w:t>
      </w:r>
    </w:p>
    <w:p w14:paraId="590FFE2E" w14:textId="41503D49"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McNie,</w:t>
      </w:r>
      <w:r w:rsidRPr="00F03917">
        <w:rPr>
          <w:rStyle w:val="normaltextrun"/>
          <w:rFonts w:cs="Calibri"/>
          <w:color w:val="000000"/>
          <w:szCs w:val="20"/>
          <w:shd w:val="clear" w:color="auto" w:fill="FFFFFF"/>
        </w:rPr>
        <w:t xml:space="preserve"> E., C. (2007). Reconciling the supply of scientific information with user demands: An analysis of the problem and review of the literature</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Environmental Science &amp; Policy</w:t>
      </w:r>
      <w:r w:rsidRPr="00F03917">
        <w:rPr>
          <w:rStyle w:val="normaltextrun"/>
          <w:rFonts w:cs="Calibri"/>
          <w:color w:val="000000"/>
          <w:szCs w:val="20"/>
          <w:shd w:val="clear" w:color="auto" w:fill="FFFFFF"/>
        </w:rPr>
        <w:t xml:space="preserve"> 10: 17–38. </w:t>
      </w:r>
      <w:hyperlink r:id="rId402" w:history="1">
        <w:r w:rsidR="005C7664" w:rsidRPr="00F03917">
          <w:rPr>
            <w:rStyle w:val="Hyperlink"/>
          </w:rPr>
          <w:t>https://doi.org/10.1016/j.envsci.2006.10.004</w:t>
        </w:r>
      </w:hyperlink>
      <w:r w:rsidRPr="00F03917">
        <w:rPr>
          <w:rStyle w:val="Hyperlink"/>
        </w:rPr>
        <w:t>.</w:t>
      </w:r>
      <w:r w:rsidRPr="00F03917">
        <w:rPr>
          <w:rStyle w:val="eop"/>
          <w:rFonts w:cs="Calibri"/>
          <w:color w:val="000000"/>
          <w:shd w:val="clear" w:color="auto" w:fill="FFFFFF"/>
        </w:rPr>
        <w:t> </w:t>
      </w:r>
    </w:p>
    <w:p w14:paraId="55970FF0" w14:textId="02F4C613"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Meinshausen, M., Nicholls, Z. R., Lewis, J., Gidden, M. J., Vogel, E., Freund, M., ... &amp; Wang, R. H. (2020). The shared socio-economic pathway (SSP) greenhouse gas concentrations and their extensions to 2500</w:t>
      </w:r>
      <w:r w:rsidRPr="00F03917">
        <w:rPr>
          <w:rStyle w:val="findhit"/>
          <w:rFonts w:cs="Calibri"/>
          <w:i/>
          <w:iCs/>
          <w:color w:val="000000"/>
          <w:szCs w:val="20"/>
          <w:shd w:val="clear" w:color="auto" w:fill="FFFFFF"/>
        </w:rPr>
        <w:t>.</w:t>
      </w:r>
      <w:r w:rsidRPr="00F03917">
        <w:rPr>
          <w:rStyle w:val="findhit"/>
          <w:rFonts w:cs="Calibri"/>
          <w:color w:val="000000"/>
          <w:szCs w:val="20"/>
          <w:shd w:val="clear" w:color="auto" w:fill="FFFFFF"/>
        </w:rPr>
        <w:t xml:space="preserve"> </w:t>
      </w:r>
      <w:r w:rsidRPr="00F03917">
        <w:rPr>
          <w:rStyle w:val="findhit"/>
          <w:rFonts w:cs="Calibri"/>
          <w:i/>
          <w:color w:val="000000"/>
          <w:szCs w:val="20"/>
          <w:shd w:val="clear" w:color="auto" w:fill="FFFFFF"/>
        </w:rPr>
        <w:t>Geoscientific Model Development</w:t>
      </w:r>
      <w:r w:rsidRPr="00F03917">
        <w:rPr>
          <w:rStyle w:val="findhit"/>
          <w:rFonts w:cs="Calibri"/>
          <w:color w:val="000000"/>
          <w:szCs w:val="20"/>
          <w:shd w:val="clear" w:color="auto" w:fill="FFFFFF"/>
        </w:rPr>
        <w:t xml:space="preserve">, 13(8), 3571-3605. </w:t>
      </w:r>
      <w:hyperlink r:id="rId403" w:history="1">
        <w:r w:rsidR="002A1E49" w:rsidRPr="00F03917">
          <w:rPr>
            <w:rStyle w:val="Hyperlink"/>
          </w:rPr>
          <w:t>https://doi.org/10.5194/gmd-13-3571-2020</w:t>
        </w:r>
      </w:hyperlink>
    </w:p>
    <w:p w14:paraId="1F4B533D" w14:textId="3E4BF47C" w:rsidR="002A3853" w:rsidRPr="00F03917" w:rsidRDefault="002A3853" w:rsidP="002A3853">
      <w:pPr>
        <w:pStyle w:val="References"/>
        <w:rPr>
          <w:rStyle w:val="normaltextrun"/>
          <w:rFonts w:cs="Calibri"/>
          <w:color w:val="000000"/>
          <w:szCs w:val="20"/>
          <w:shd w:val="clear" w:color="auto" w:fill="FFFFFF"/>
        </w:rPr>
      </w:pPr>
      <w:r w:rsidRPr="00F03917">
        <w:rPr>
          <w:rStyle w:val="findhit"/>
          <w:rFonts w:cs="Calibri"/>
          <w:color w:val="000000"/>
          <w:szCs w:val="20"/>
          <w:shd w:val="clear" w:color="auto" w:fill="FFFFFF"/>
        </w:rPr>
        <w:t>Meis</w:t>
      </w:r>
      <w:r w:rsidRPr="00F03917">
        <w:rPr>
          <w:rStyle w:val="normaltextrun"/>
          <w:rFonts w:cs="Calibri"/>
          <w:color w:val="000000"/>
          <w:szCs w:val="20"/>
          <w:shd w:val="clear" w:color="auto" w:fill="FFFFFF"/>
        </w:rPr>
        <w:t xml:space="preserve">ler, H., Leahy, P., P., Knobel, L., L. (1984). Effect of eustatic sea-level changes on saltwater-freshwater relations in the Northern Atlantic coastal plain: US Geological Survey Water-Supply Paper 225. </w:t>
      </w:r>
      <w:r w:rsidRPr="00F03917">
        <w:rPr>
          <w:rStyle w:val="normaltextrun"/>
          <w:rFonts w:cs="Calibri"/>
          <w:i/>
          <w:color w:val="000000"/>
          <w:szCs w:val="20"/>
          <w:shd w:val="clear" w:color="auto" w:fill="FFFFFF"/>
        </w:rPr>
        <w:t>Alexandria: US Geological Survey and Department for the Interior</w:t>
      </w:r>
      <w:r w:rsidRPr="00F03917">
        <w:rPr>
          <w:rStyle w:val="normaltextrun"/>
          <w:rFonts w:cs="Calibri"/>
          <w:color w:val="000000"/>
          <w:szCs w:val="20"/>
          <w:shd w:val="clear" w:color="auto" w:fill="FFFFFF"/>
        </w:rPr>
        <w:t xml:space="preserve">. Retrieved from </w:t>
      </w:r>
      <w:hyperlink r:id="rId404" w:history="1">
        <w:r w:rsidR="006F00D2" w:rsidRPr="00F03917">
          <w:rPr>
            <w:rStyle w:val="Hyperlink"/>
          </w:rPr>
          <w:t>https://doi.org/10.3133/wsp2255</w:t>
        </w:r>
      </w:hyperlink>
      <w:r w:rsidRPr="00F03917">
        <w:rPr>
          <w:rStyle w:val="Hyperlink"/>
        </w:rPr>
        <w:t>.</w:t>
      </w:r>
      <w:r w:rsidRPr="00F03917">
        <w:rPr>
          <w:rStyle w:val="eop"/>
          <w:rFonts w:cs="Calibri"/>
          <w:color w:val="000000"/>
          <w:shd w:val="clear" w:color="auto" w:fill="FFFFFF"/>
        </w:rPr>
        <w:t> </w:t>
      </w:r>
    </w:p>
    <w:p w14:paraId="27C517F7" w14:textId="7A158F70" w:rsidR="002A3853" w:rsidRPr="00F03917" w:rsidRDefault="002A3853" w:rsidP="002A3853">
      <w:pPr>
        <w:pStyle w:val="References"/>
      </w:pPr>
      <w:r w:rsidRPr="00F03917">
        <w:rPr>
          <w:rStyle w:val="normaltextrun"/>
          <w:rFonts w:cs="Calibri"/>
          <w:color w:val="000000"/>
          <w:szCs w:val="20"/>
          <w:shd w:val="clear" w:color="auto" w:fill="FFFFFF"/>
        </w:rPr>
        <w:t>Mengel, M., Levermann, A., Frieler, K., Robinson, A., Marzeion, B., &amp; Winkelmann, R. (2016). Future sea level rise constrained by observations and long-term commitment</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 xml:space="preserve">Proceedings of the National Academy of Sciences </w:t>
      </w:r>
      <w:r w:rsidRPr="00F03917">
        <w:rPr>
          <w:rStyle w:val="normaltextrun"/>
          <w:rFonts w:cs="Calibri"/>
          <w:color w:val="000000"/>
          <w:szCs w:val="20"/>
          <w:shd w:val="clear" w:color="auto" w:fill="FFFFFF"/>
        </w:rPr>
        <w:t xml:space="preserve">113(10): 2597–2602. </w:t>
      </w:r>
      <w:hyperlink r:id="rId405" w:history="1">
        <w:r w:rsidR="00505928" w:rsidRPr="00F03917">
          <w:rPr>
            <w:rStyle w:val="Hyperlink"/>
          </w:rPr>
          <w:t>https://doi.org/10.1073/pnas.1500515113</w:t>
        </w:r>
      </w:hyperlink>
      <w:r w:rsidRPr="00F03917">
        <w:rPr>
          <w:rStyle w:val="Hyperlink"/>
        </w:rPr>
        <w:t>.</w:t>
      </w:r>
      <w:r w:rsidRPr="00F03917">
        <w:rPr>
          <w:rStyle w:val="eop"/>
          <w:rFonts w:cs="Calibri"/>
          <w:color w:val="000000"/>
          <w:shd w:val="clear" w:color="auto" w:fill="FFFFFF"/>
        </w:rPr>
        <w:t> </w:t>
      </w:r>
    </w:p>
    <w:p w14:paraId="4F35192D" w14:textId="77777777" w:rsidR="002A3853" w:rsidRPr="00F03917" w:rsidRDefault="002A3853" w:rsidP="002A3853">
      <w:pPr>
        <w:pStyle w:val="References"/>
      </w:pPr>
      <w:r w:rsidRPr="00F03917">
        <w:t>Michael, D. R., &amp; Chen, S. L. (2005). Serious games: Games that educate, train, and inform</w:t>
      </w:r>
      <w:r w:rsidRPr="00F03917">
        <w:rPr>
          <w:i/>
          <w:iCs/>
        </w:rPr>
        <w:t>.</w:t>
      </w:r>
      <w:r w:rsidRPr="00F03917">
        <w:t xml:space="preserve"> Muska &amp; Lipman/Premier-Trade.</w:t>
      </w:r>
    </w:p>
    <w:p w14:paraId="4313A0E6" w14:textId="77777777" w:rsidR="002A3853" w:rsidRPr="00F03917" w:rsidRDefault="002A3853" w:rsidP="002A3853">
      <w:pPr>
        <w:pStyle w:val="References"/>
      </w:pPr>
      <w:r w:rsidRPr="00F03917">
        <w:t>Ministry of Business, Innovation and Employment. (2023)</w:t>
      </w:r>
      <w:r w:rsidRPr="00F03917">
        <w:rPr>
          <w:i/>
          <w:iCs/>
        </w:rPr>
        <w:t>.</w:t>
      </w:r>
      <w:r w:rsidRPr="00F03917">
        <w:rPr>
          <w:i/>
        </w:rPr>
        <w:t xml:space="preserve"> </w:t>
      </w:r>
      <w:r w:rsidRPr="00F03917">
        <w:t xml:space="preserve">Natural hazard provisions: Guidance on complying with Sections 71 to 74 of the Building Act 2004. Wellington: Ministry of Business, Innovation and Employment. Retrieved from </w:t>
      </w:r>
      <w:hyperlink r:id="rId406" w:history="1">
        <w:r w:rsidRPr="00F03917">
          <w:rPr>
            <w:rStyle w:val="Hyperlink"/>
          </w:rPr>
          <w:t>www.building.govt.nz/assets/Uploads/projects-and-consents/Planning-a-successful-build/Scope-and-design/natural-hazard-provisions-guidance.pdf</w:t>
        </w:r>
      </w:hyperlink>
      <w:r w:rsidRPr="00F03917">
        <w:t xml:space="preserve">. </w:t>
      </w:r>
    </w:p>
    <w:p w14:paraId="63107151" w14:textId="77777777" w:rsidR="002A3853" w:rsidRPr="00F03917" w:rsidRDefault="002A3853" w:rsidP="002A3853">
      <w:pPr>
        <w:pStyle w:val="References"/>
      </w:pPr>
      <w:r w:rsidRPr="00F03917">
        <w:t xml:space="preserve">Ministry for the Environment. (2008). Coastal hazards and climate change: A guidance manual for local government in New Zealand. Wellington: Ministry for the Environment. Retrieved from </w:t>
      </w:r>
      <w:hyperlink r:id="rId407" w:history="1">
        <w:r w:rsidRPr="00F03917">
          <w:rPr>
            <w:rStyle w:val="Hyperlink"/>
            <w:rFonts w:eastAsia="Calibri" w:cs="Calibri"/>
            <w:szCs w:val="20"/>
          </w:rPr>
          <w:t>https://environment.govt.nz/assets/Publications/Files/coastal-hazards-climate-change-guidance-manual-2008.pdf</w:t>
        </w:r>
      </w:hyperlink>
      <w:r w:rsidRPr="00F03917">
        <w:t xml:space="preserve">. </w:t>
      </w:r>
    </w:p>
    <w:p w14:paraId="08D8217F" w14:textId="2299B7DA" w:rsidR="002A3853" w:rsidRPr="00F03917" w:rsidRDefault="002A3853" w:rsidP="002A3853">
      <w:pPr>
        <w:pStyle w:val="References"/>
        <w:rPr>
          <w:color w:val="008080"/>
          <w:u w:val="single"/>
        </w:rPr>
      </w:pPr>
      <w:r w:rsidRPr="00F03917">
        <w:t xml:space="preserve">Ministry for the Environment. (2017). Coastal hazards and climate change: Guidance for Local Government. Wellington: Ministry for the Environment. Retrieved from </w:t>
      </w:r>
      <w:hyperlink r:id="rId408" w:history="1">
        <w:r w:rsidR="00784C77" w:rsidRPr="00F03917">
          <w:rPr>
            <w:rStyle w:val="Hyperlink"/>
          </w:rPr>
          <w:t>https://environment.govt.nz/publications/coastal-hazards-and-climate-change-guidance-for-local-government/</w:t>
        </w:r>
        <w:r w:rsidRPr="00F03917">
          <w:rPr>
            <w:rStyle w:val="Hyperlink"/>
          </w:rPr>
          <w:t>.</w:t>
        </w:r>
      </w:hyperlink>
      <w:r w:rsidRPr="00F03917">
        <w:rPr>
          <w:color w:val="008080"/>
          <w:u w:val="single"/>
        </w:rPr>
        <w:t xml:space="preserve"> </w:t>
      </w:r>
    </w:p>
    <w:p w14:paraId="6689BC48" w14:textId="77777777" w:rsidR="002A3853" w:rsidRPr="00F03917" w:rsidRDefault="002A3853" w:rsidP="002A3853">
      <w:pPr>
        <w:pStyle w:val="References"/>
        <w:rPr>
          <w:color w:val="008080"/>
          <w:u w:val="single"/>
        </w:rPr>
      </w:pPr>
      <w:r w:rsidRPr="00F03917">
        <w:t xml:space="preserve">Ministry for the Environment. (2018). Climate Change Projections for New Zealand (2nd Edition). Retrieved from </w:t>
      </w:r>
      <w:hyperlink r:id="rId409" w:history="1">
        <w:r w:rsidRPr="00F03917">
          <w:rPr>
            <w:rStyle w:val="Hyperlink"/>
            <w:rFonts w:eastAsia="Calibri" w:cs="Calibri"/>
            <w:szCs w:val="20"/>
          </w:rPr>
          <w:t>https://environment.govt.nz/publications/climate-change-projections-for-new-zealand/</w:t>
        </w:r>
      </w:hyperlink>
      <w:r w:rsidRPr="00F03917">
        <w:t>.</w:t>
      </w:r>
      <w:r w:rsidRPr="00F03917">
        <w:rPr>
          <w:color w:val="008080"/>
          <w:u w:val="single"/>
        </w:rPr>
        <w:t xml:space="preserve"> </w:t>
      </w:r>
    </w:p>
    <w:p w14:paraId="4D090A5F" w14:textId="77777777" w:rsidR="002A3853" w:rsidRPr="00F03917" w:rsidRDefault="002A3853" w:rsidP="002A3853">
      <w:pPr>
        <w:pStyle w:val="References"/>
        <w:rPr>
          <w:rStyle w:val="Hyperlink"/>
          <w:rFonts w:eastAsia="Calibri" w:cs="Calibri"/>
          <w:szCs w:val="20"/>
        </w:rPr>
      </w:pPr>
      <w:r w:rsidRPr="00F03917">
        <w:t xml:space="preserve">Ministry for the Environment. (2019). Arotakenga Huringa Āhuarangi: A Framework for the National Climate Change Risk Assessment for Aotearoa New Zealand. Wellington: Ministry for the Environment. Retrieved from </w:t>
      </w:r>
      <w:hyperlink r:id="rId410" w:history="1">
        <w:r w:rsidRPr="00F03917">
          <w:rPr>
            <w:rStyle w:val="Hyperlink"/>
            <w:rFonts w:eastAsia="Calibri" w:cs="Calibri"/>
            <w:szCs w:val="20"/>
          </w:rPr>
          <w:t>https://environment.govt.nz/publications/arotakenga-huringa-ahuarangi-a-framework-for-the-national-climate-change-risk-assessment-for-aotearoa-new-zealand/</w:t>
        </w:r>
      </w:hyperlink>
      <w:r w:rsidRPr="00F03917">
        <w:t>.</w:t>
      </w:r>
    </w:p>
    <w:p w14:paraId="6EDFADC9" w14:textId="77777777" w:rsidR="002A3853" w:rsidRPr="00F03917" w:rsidRDefault="002A3853" w:rsidP="002A3853">
      <w:pPr>
        <w:pStyle w:val="References"/>
        <w:keepLines/>
        <w:rPr>
          <w:color w:val="008080"/>
          <w:u w:val="single"/>
        </w:rPr>
      </w:pPr>
      <w:r w:rsidRPr="00F03917">
        <w:t xml:space="preserve">Ministry for the Environment. (2020a). National climate change risk assessment for New Zealand: Main report. Wellington: Ministry for the Environment. Retrieved from </w:t>
      </w:r>
      <w:hyperlink r:id="rId411" w:history="1">
        <w:r w:rsidRPr="00F03917">
          <w:rPr>
            <w:rStyle w:val="Hyperlink"/>
            <w:rFonts w:eastAsia="Calibri" w:cs="Calibri"/>
            <w:szCs w:val="20"/>
          </w:rPr>
          <w:t>https://environment.govt.nz/publications/national-climate-change-risk-assessment-for-new-zealand-main-report/</w:t>
        </w:r>
      </w:hyperlink>
      <w:r w:rsidRPr="00F03917">
        <w:t>.</w:t>
      </w:r>
      <w:r w:rsidRPr="00F03917">
        <w:rPr>
          <w:color w:val="008080"/>
          <w:u w:val="single"/>
        </w:rPr>
        <w:t xml:space="preserve"> </w:t>
      </w:r>
    </w:p>
    <w:p w14:paraId="161AD89B" w14:textId="77777777" w:rsidR="002A3853" w:rsidRPr="00F03917" w:rsidRDefault="002A3853" w:rsidP="002A3853">
      <w:pPr>
        <w:pStyle w:val="References"/>
        <w:rPr>
          <w:color w:val="008080"/>
          <w:u w:val="single"/>
        </w:rPr>
      </w:pPr>
      <w:r w:rsidRPr="00F03917">
        <w:t xml:space="preserve">Ministry for the Environment. (2020b). National climate change risk assessment for New Zealand: Method report. Wellington: Ministry for the Environment. Retrieved from </w:t>
      </w:r>
      <w:hyperlink r:id="rId412">
        <w:r w:rsidRPr="00F03917">
          <w:rPr>
            <w:rStyle w:val="Hyperlink"/>
            <w:rFonts w:eastAsia="Calibri" w:cs="Calibri"/>
            <w:szCs w:val="20"/>
          </w:rPr>
          <w:t>https://environment.govt.nz/publications/national-climate-change-risk-assessment-for-new-zealand-method-report/</w:t>
        </w:r>
      </w:hyperlink>
      <w:r w:rsidRPr="00F03917">
        <w:t>.</w:t>
      </w:r>
      <w:r w:rsidRPr="00F03917">
        <w:rPr>
          <w:color w:val="008080"/>
          <w:u w:val="single"/>
        </w:rPr>
        <w:t xml:space="preserve"> </w:t>
      </w:r>
    </w:p>
    <w:p w14:paraId="1EF46B08" w14:textId="77777777" w:rsidR="002A3853" w:rsidRPr="00F03917" w:rsidRDefault="002A3853" w:rsidP="002A3853">
      <w:pPr>
        <w:pStyle w:val="References"/>
      </w:pPr>
      <w:r w:rsidRPr="00F03917">
        <w:t xml:space="preserve">Ministry for the Environment. (2020c). National climate change risk assessment for New Zealand: Technical report. Wellington: Ministry for the Environment. Retrieved from </w:t>
      </w:r>
      <w:hyperlink r:id="rId413" w:history="1">
        <w:r w:rsidRPr="00F03917">
          <w:rPr>
            <w:rStyle w:val="Hyperlink"/>
            <w:rFonts w:eastAsia="Calibri" w:cs="Calibri"/>
            <w:szCs w:val="20"/>
          </w:rPr>
          <w:t>https://environment.govt.nz/publications/national-climate-change-risk-assessment-for-new-zealand-technical-report/</w:t>
        </w:r>
      </w:hyperlink>
      <w:r w:rsidRPr="00F03917">
        <w:t>.</w:t>
      </w:r>
    </w:p>
    <w:p w14:paraId="21BAD8A4" w14:textId="77777777" w:rsidR="002A3853" w:rsidRPr="00F03917" w:rsidRDefault="002A3853" w:rsidP="002A3853">
      <w:pPr>
        <w:pStyle w:val="References"/>
      </w:pPr>
      <w:r w:rsidRPr="00F03917">
        <w:t xml:space="preserve">Ministry for the Environment. (2021). He kupu ārahi mō te aromatawai tūraru huringa āhuarangi ā-rohe: A guide to local climate change risk assessments. Wellington: Ministry for the Environment. Retrieved from </w:t>
      </w:r>
      <w:hyperlink r:id="rId414" w:history="1">
        <w:r w:rsidRPr="00F03917">
          <w:rPr>
            <w:rStyle w:val="Hyperlink"/>
            <w:rFonts w:eastAsia="Calibri" w:cs="Calibri"/>
            <w:szCs w:val="20"/>
          </w:rPr>
          <w:t>https://environment.govt.nz/assets/publications/climate-risk-assessment-guide.pdf</w:t>
        </w:r>
      </w:hyperlink>
      <w:r w:rsidRPr="00F03917">
        <w:t xml:space="preserve">. </w:t>
      </w:r>
    </w:p>
    <w:p w14:paraId="1815D10A" w14:textId="77777777" w:rsidR="002A3853" w:rsidRPr="00F03917" w:rsidRDefault="002A3853" w:rsidP="002A3853">
      <w:pPr>
        <w:pStyle w:val="References"/>
        <w:rPr>
          <w:color w:val="008080"/>
          <w:u w:val="single"/>
        </w:rPr>
      </w:pPr>
      <w:r w:rsidRPr="00F03917">
        <w:t xml:space="preserve">Ministry for the Environment. (2022). Interim guidance on the use of new sea-level rise projections. Wellington: Ministry for the Environment Report. Retrieved from </w:t>
      </w:r>
      <w:hyperlink r:id="rId415" w:history="1">
        <w:r w:rsidRPr="00F03917">
          <w:rPr>
            <w:rStyle w:val="Hyperlink"/>
            <w:rFonts w:eastAsia="Calibri" w:cs="Calibri"/>
            <w:szCs w:val="20"/>
          </w:rPr>
          <w:t>https://environment.govt.nz/publications/interim-guidance-on-the-use-of-new-sea-level-rise-projections/</w:t>
        </w:r>
      </w:hyperlink>
      <w:r w:rsidRPr="00F03917">
        <w:t>.</w:t>
      </w:r>
      <w:r w:rsidRPr="00F03917">
        <w:rPr>
          <w:color w:val="008080"/>
          <w:u w:val="single"/>
        </w:rPr>
        <w:t xml:space="preserve"> </w:t>
      </w:r>
    </w:p>
    <w:p w14:paraId="18012EB9" w14:textId="77777777" w:rsidR="002A3853" w:rsidRPr="00F03917" w:rsidRDefault="002A3853" w:rsidP="002A3853">
      <w:pPr>
        <w:pStyle w:val="References"/>
        <w:rPr>
          <w:color w:val="008080"/>
          <w:u w:val="single"/>
        </w:rPr>
      </w:pPr>
      <w:r w:rsidRPr="00F03917">
        <w:t xml:space="preserve">Ministry for the Environment (2022a). Aotearoa New Zealand’s first national adaptation plan. Wellington: Ministry for the Environment. Retrieved from </w:t>
      </w:r>
      <w:hyperlink r:id="rId416" w:history="1">
        <w:r w:rsidRPr="00F03917">
          <w:rPr>
            <w:rStyle w:val="Hyperlink"/>
            <w:rFonts w:eastAsia="Calibri" w:cs="Calibri"/>
            <w:szCs w:val="20"/>
          </w:rPr>
          <w:t>https://environment.govt.nz/publications/aotearoa-new-zealands-first-national-adaptation-plan/our-first-national-adaptation-plan-2022-28/</w:t>
        </w:r>
      </w:hyperlink>
      <w:r w:rsidRPr="00F03917">
        <w:t>.</w:t>
      </w:r>
      <w:r w:rsidRPr="00F03917">
        <w:rPr>
          <w:color w:val="008080"/>
          <w:u w:val="single"/>
        </w:rPr>
        <w:t xml:space="preserve"> </w:t>
      </w:r>
    </w:p>
    <w:p w14:paraId="006A2AA1" w14:textId="77777777" w:rsidR="002A3853" w:rsidRPr="00F03917" w:rsidRDefault="002A3853" w:rsidP="002A3853">
      <w:pPr>
        <w:pStyle w:val="References"/>
      </w:pPr>
      <w:r w:rsidRPr="00F03917">
        <w:t xml:space="preserve">Ministry for the Environment (2022b). Aotearoa New Zealand’s first emissions reduction plan. Wellington: Ministry for the Environment. Retrieved from </w:t>
      </w:r>
      <w:hyperlink r:id="rId417" w:history="1">
        <w:r w:rsidRPr="00F03917">
          <w:rPr>
            <w:rStyle w:val="Hyperlink"/>
          </w:rPr>
          <w:t>https://environment.govt.nz/publications/aotearoa-new-zealands-first-emissions-reduction-plan/</w:t>
        </w:r>
      </w:hyperlink>
      <w:r w:rsidRPr="00F03917">
        <w:t xml:space="preserve">. </w:t>
      </w:r>
    </w:p>
    <w:p w14:paraId="03F2178B" w14:textId="77777777" w:rsidR="002A3853" w:rsidRPr="00F03917" w:rsidRDefault="002A3853" w:rsidP="002A3853">
      <w:pPr>
        <w:pStyle w:val="References"/>
      </w:pPr>
      <w:r w:rsidRPr="00F03917">
        <w:t xml:space="preserve">Ministry for the Environment. (2022c). National adaptation plan and emissions reduction plan: Resource Management Act 1991 guidance note. Wellington: Ministry for the Environment. Retrieved from </w:t>
      </w:r>
      <w:hyperlink r:id="rId418" w:history="1">
        <w:r w:rsidRPr="00F03917">
          <w:rPr>
            <w:rStyle w:val="Hyperlink"/>
          </w:rPr>
          <w:t>https://environment.govt.nz/publications/national-adaptation-plan-and-emissions-reduction-plan-resource-management-act-1991-guidance-note/</w:t>
        </w:r>
      </w:hyperlink>
      <w:r w:rsidRPr="00F03917">
        <w:t xml:space="preserve">. </w:t>
      </w:r>
    </w:p>
    <w:p w14:paraId="797DD3AF" w14:textId="77777777" w:rsidR="002A3853" w:rsidRPr="00F03917" w:rsidRDefault="002A3853" w:rsidP="002A3853">
      <w:pPr>
        <w:pStyle w:val="References"/>
      </w:pPr>
      <w:r w:rsidRPr="00F03917">
        <w:t xml:space="preserve">Ministry for the Environment. (2023a). Community-led retreat and adaptation funding: Issues and options. Wellington: Ministry for the Environment. Retrieved from </w:t>
      </w:r>
      <w:hyperlink r:id="rId419">
        <w:r w:rsidRPr="00F03917">
          <w:rPr>
            <w:rStyle w:val="Hyperlink"/>
          </w:rPr>
          <w:t>https://environment.govt.nz/publications/community-led-retreat-and-adaptation-funding-issues-and-options/</w:t>
        </w:r>
      </w:hyperlink>
      <w:r w:rsidRPr="00F03917">
        <w:t xml:space="preserve">. </w:t>
      </w:r>
    </w:p>
    <w:p w14:paraId="6B2EE201" w14:textId="77777777" w:rsidR="002A3853" w:rsidRPr="00F03917" w:rsidRDefault="002A3853" w:rsidP="002A3853">
      <w:pPr>
        <w:pStyle w:val="References"/>
      </w:pPr>
      <w:r w:rsidRPr="00F03917">
        <w:t xml:space="preserve">Ministry for the Environment. (2023b). Developing, adapting and applying environmental models in a regulatory context in New Zealand. Wellington: Ministry for the Environment. Retrieved from </w:t>
      </w:r>
      <w:hyperlink r:id="rId420" w:history="1">
        <w:r w:rsidRPr="00F03917">
          <w:rPr>
            <w:rStyle w:val="Hyperlink"/>
            <w:szCs w:val="20"/>
          </w:rPr>
          <w:t>https://environment.govt.nz/publications/developing-adapting-and-applying-environmental-models-in-a-regulatory-context-in-new-zealand/</w:t>
        </w:r>
      </w:hyperlink>
      <w:r w:rsidRPr="00F03917">
        <w:t xml:space="preserve">. </w:t>
      </w:r>
    </w:p>
    <w:p w14:paraId="00A143DE" w14:textId="77777777" w:rsidR="002A3853" w:rsidRPr="00F03917" w:rsidRDefault="002A3853" w:rsidP="002A3853">
      <w:pPr>
        <w:pStyle w:val="References"/>
      </w:pPr>
      <w:r w:rsidRPr="00F03917">
        <w:t xml:space="preserve">Ministry for the Environment and Stats NZ. (2023). New Zealand’s Environmental Reporting Series: Our atmosphere and climate 2023. Retrieved from </w:t>
      </w:r>
      <w:hyperlink r:id="rId421">
        <w:r w:rsidRPr="00F03917">
          <w:rPr>
            <w:rStyle w:val="Hyperlink"/>
          </w:rPr>
          <w:t>https://environment.govt.nz/assets/publications/Environmental-Reporting/Our-atmosphere-and-climate-2023.pdf</w:t>
        </w:r>
      </w:hyperlink>
      <w:r w:rsidRPr="00F03917">
        <w:t>.</w:t>
      </w:r>
    </w:p>
    <w:p w14:paraId="45B546BB" w14:textId="77777777" w:rsidR="002A3853" w:rsidRPr="00F03917" w:rsidRDefault="002A3853" w:rsidP="002A3853">
      <w:pPr>
        <w:pStyle w:val="References"/>
      </w:pPr>
      <w:r w:rsidRPr="00F03917">
        <w:rPr>
          <w:rStyle w:val="findhit"/>
          <w:rFonts w:cs="Calibri"/>
          <w:color w:val="000000"/>
          <w:szCs w:val="20"/>
          <w:shd w:val="clear" w:color="auto" w:fill="FFFFFF"/>
        </w:rPr>
        <w:t>Mitche</w:t>
      </w:r>
      <w:r w:rsidRPr="00F03917">
        <w:rPr>
          <w:rStyle w:val="normaltextrun"/>
          <w:rFonts w:cs="Calibri"/>
          <w:color w:val="000000"/>
          <w:szCs w:val="20"/>
          <w:shd w:val="clear" w:color="auto" w:fill="FFFFFF"/>
        </w:rPr>
        <w:t>ll Daysh. (2018). Report of the Northern and Southern Cell Assessment Panels. Final Report, Clifton to Tangoio Coastal Hazards Strategy 2120</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81 p. </w:t>
      </w:r>
      <w:hyperlink r:id="rId422" w:tgtFrame="_blank" w:history="1">
        <w:r w:rsidRPr="00F03917">
          <w:rPr>
            <w:rStyle w:val="Hyperlink"/>
          </w:rPr>
          <w:t>https://www.hbcoast.co.nz/assets/Uploads/Assessment-Panel-Report-FINAL-28.2.18-reduced-size.pdf</w:t>
        </w:r>
      </w:hyperlink>
      <w:r w:rsidRPr="00F03917">
        <w:rPr>
          <w:rStyle w:val="normaltextrun"/>
          <w:rFonts w:cs="Calibri"/>
          <w:color w:val="000000"/>
          <w:szCs w:val="20"/>
          <w:shd w:val="clear" w:color="auto" w:fill="FFFFFF"/>
        </w:rPr>
        <w:t> </w:t>
      </w:r>
      <w:r w:rsidRPr="00F03917">
        <w:rPr>
          <w:rStyle w:val="eop"/>
          <w:rFonts w:cs="Calibri"/>
          <w:color w:val="000000"/>
          <w:shd w:val="clear" w:color="auto" w:fill="FFFFFF"/>
        </w:rPr>
        <w:t> </w:t>
      </w:r>
    </w:p>
    <w:p w14:paraId="56675EC8" w14:textId="01CFFC85" w:rsidR="002A3853" w:rsidRPr="00F03917" w:rsidRDefault="002A3853" w:rsidP="002A3853">
      <w:pPr>
        <w:pStyle w:val="References"/>
        <w:rPr>
          <w:color w:val="008080"/>
          <w:u w:val="single"/>
        </w:rPr>
      </w:pPr>
      <w:r w:rsidRPr="00F03917">
        <w:t xml:space="preserve">Moftakhari, H., Salvadori, G., AghaKouchak, A., Sanders, B.F., Matthew, R.A. (2017). Compounding effects </w:t>
      </w:r>
      <w:r w:rsidRPr="00F03917">
        <w:rPr>
          <w:spacing w:val="-2"/>
        </w:rPr>
        <w:t>of sea level rise and fluvial flooding.</w:t>
      </w:r>
      <w:r w:rsidRPr="00F03917">
        <w:rPr>
          <w:i/>
          <w:iCs/>
          <w:spacing w:val="-2"/>
        </w:rPr>
        <w:t xml:space="preserve"> PNAS</w:t>
      </w:r>
      <w:r w:rsidRPr="00F03917">
        <w:rPr>
          <w:spacing w:val="-2"/>
        </w:rPr>
        <w:t xml:space="preserve"> 114(37): 9785–9790. </w:t>
      </w:r>
      <w:r w:rsidR="00800D20" w:rsidRPr="00F03917">
        <w:rPr>
          <w:rStyle w:val="Hyperlink"/>
        </w:rPr>
        <w:t>https://</w:t>
      </w:r>
      <w:hyperlink r:id="rId423" w:history="1">
        <w:r w:rsidRPr="00F03917">
          <w:rPr>
            <w:rStyle w:val="Hyperlink"/>
          </w:rPr>
          <w:t>doi.org/10.1073/pnas.1620325114</w:t>
        </w:r>
      </w:hyperlink>
      <w:r w:rsidRPr="00F03917">
        <w:t>.</w:t>
      </w:r>
      <w:r w:rsidRPr="00F03917">
        <w:rPr>
          <w:color w:val="008080"/>
          <w:u w:val="single"/>
        </w:rPr>
        <w:t xml:space="preserve"> </w:t>
      </w:r>
    </w:p>
    <w:p w14:paraId="56AC04B5" w14:textId="23214F09" w:rsidR="002A3853" w:rsidRPr="00F03917" w:rsidRDefault="002A3853" w:rsidP="002A3853">
      <w:pPr>
        <w:pStyle w:val="References"/>
      </w:pPr>
      <w:r w:rsidRPr="00F03917">
        <w:t xml:space="preserve">Moftakhari, H., Schubert, J., AghaKouchak, A., Matthew, R., Sanders, B. (2019). Linking </w:t>
      </w:r>
      <w:r w:rsidR="0004368A" w:rsidRPr="00F03917">
        <w:t>s</w:t>
      </w:r>
      <w:r w:rsidRPr="00F03917">
        <w:t xml:space="preserve">tatistical and </w:t>
      </w:r>
      <w:r w:rsidR="0004368A" w:rsidRPr="00F03917">
        <w:t>h</w:t>
      </w:r>
      <w:r w:rsidRPr="00F03917">
        <w:t xml:space="preserve">ydrodynamic </w:t>
      </w:r>
      <w:r w:rsidR="0004368A" w:rsidRPr="00F03917">
        <w:t>m</w:t>
      </w:r>
      <w:r w:rsidRPr="00F03917">
        <w:t xml:space="preserve">odeling for </w:t>
      </w:r>
      <w:r w:rsidR="0004368A" w:rsidRPr="00F03917">
        <w:t>c</w:t>
      </w:r>
      <w:r w:rsidRPr="00F03917">
        <w:t xml:space="preserve">ompound </w:t>
      </w:r>
      <w:r w:rsidR="0004368A" w:rsidRPr="00F03917">
        <w:t>f</w:t>
      </w:r>
      <w:r w:rsidRPr="00F03917">
        <w:t xml:space="preserve">lood </w:t>
      </w:r>
      <w:r w:rsidR="0004368A" w:rsidRPr="00F03917">
        <w:t>h</w:t>
      </w:r>
      <w:r w:rsidRPr="00F03917">
        <w:t xml:space="preserve">azard </w:t>
      </w:r>
      <w:r w:rsidR="0004368A" w:rsidRPr="00F03917">
        <w:t>a</w:t>
      </w:r>
      <w:r w:rsidRPr="00F03917">
        <w:t xml:space="preserve">ssessment in </w:t>
      </w:r>
      <w:r w:rsidR="0004368A" w:rsidRPr="00F03917">
        <w:t>t</w:t>
      </w:r>
      <w:r w:rsidRPr="00F03917">
        <w:t xml:space="preserve">idal </w:t>
      </w:r>
      <w:r w:rsidR="0004368A" w:rsidRPr="00F03917">
        <w:t>c</w:t>
      </w:r>
      <w:r w:rsidRPr="00F03917">
        <w:t xml:space="preserve">hannels and </w:t>
      </w:r>
      <w:r w:rsidR="0004368A" w:rsidRPr="00F03917">
        <w:t>e</w:t>
      </w:r>
      <w:r w:rsidRPr="00F03917">
        <w:t xml:space="preserve">stuaries. </w:t>
      </w:r>
      <w:r w:rsidRPr="00F03917">
        <w:rPr>
          <w:i/>
        </w:rPr>
        <w:t>Advances in Water Resources</w:t>
      </w:r>
      <w:r w:rsidR="007675A3" w:rsidRPr="00F03917">
        <w:rPr>
          <w:i/>
        </w:rPr>
        <w:t>,</w:t>
      </w:r>
      <w:r w:rsidRPr="00F03917">
        <w:t xml:space="preserve"> 128</w:t>
      </w:r>
      <w:r w:rsidR="00A50209" w:rsidRPr="00F03917">
        <w:t>, 28-38</w:t>
      </w:r>
      <w:r w:rsidRPr="00F03917">
        <w:t xml:space="preserve">. </w:t>
      </w:r>
      <w:hyperlink r:id="rId424" w:history="1">
        <w:r w:rsidR="0039721B" w:rsidRPr="00F03917">
          <w:rPr>
            <w:rStyle w:val="Hyperlink"/>
          </w:rPr>
          <w:t>https://doi.org/10.1016/j.advwatres.2019.04.009</w:t>
        </w:r>
      </w:hyperlink>
      <w:r w:rsidRPr="00F03917">
        <w:t>.</w:t>
      </w:r>
    </w:p>
    <w:p w14:paraId="203D7CBB" w14:textId="4FE1E31C" w:rsidR="002A3853" w:rsidRPr="00F03917" w:rsidRDefault="002A3853" w:rsidP="002A3853">
      <w:pPr>
        <w:pStyle w:val="References"/>
      </w:pPr>
      <w:r w:rsidRPr="00F03917">
        <w:rPr>
          <w:rStyle w:val="findhit"/>
          <w:rFonts w:cs="Calibri"/>
          <w:color w:val="000000"/>
          <w:szCs w:val="20"/>
          <w:shd w:val="clear" w:color="auto" w:fill="FFFFFF"/>
        </w:rPr>
        <w:t>Moor</w:t>
      </w:r>
      <w:r w:rsidRPr="00F03917">
        <w:rPr>
          <w:rStyle w:val="normaltextrun"/>
          <w:rFonts w:cs="Calibri"/>
          <w:color w:val="000000"/>
          <w:szCs w:val="20"/>
          <w:shd w:val="clear" w:color="auto" w:fill="FFFFFF"/>
        </w:rPr>
        <w:t xml:space="preserve">e, J., C., Grinsted, A., Zwinger, T., &amp; Jevrejeva, S. (2013). Semiempirical and process-based global sea level projections. </w:t>
      </w:r>
      <w:r w:rsidRPr="00F03917">
        <w:rPr>
          <w:rStyle w:val="normaltextrun"/>
          <w:rFonts w:cs="Calibri"/>
          <w:i/>
          <w:color w:val="000000"/>
          <w:szCs w:val="20"/>
          <w:shd w:val="clear" w:color="auto" w:fill="FFFFFF"/>
        </w:rPr>
        <w:t>Reviews of Geophysics</w:t>
      </w:r>
      <w:r w:rsidRPr="00F03917">
        <w:rPr>
          <w:rStyle w:val="normaltextrun"/>
          <w:rFonts w:cs="Calibri"/>
          <w:color w:val="000000"/>
          <w:szCs w:val="20"/>
          <w:shd w:val="clear" w:color="auto" w:fill="FFFFFF"/>
        </w:rPr>
        <w:t xml:space="preserve"> 51(3): 484–522. </w:t>
      </w:r>
      <w:hyperlink r:id="rId425" w:history="1">
        <w:r w:rsidR="00D512E5" w:rsidRPr="00F03917">
          <w:rPr>
            <w:rStyle w:val="Hyperlink"/>
          </w:rPr>
          <w:t>https://doi.org/10.1002/rog.20015</w:t>
        </w:r>
      </w:hyperlink>
      <w:r w:rsidRPr="00F03917">
        <w:rPr>
          <w:rStyle w:val="Hyperlink"/>
        </w:rPr>
        <w:t>.</w:t>
      </w:r>
      <w:r w:rsidRPr="00F03917">
        <w:rPr>
          <w:rStyle w:val="eop"/>
          <w:rFonts w:cs="Calibri"/>
          <w:color w:val="000000"/>
          <w:shd w:val="clear" w:color="auto" w:fill="FFFFFF"/>
        </w:rPr>
        <w:t> </w:t>
      </w:r>
    </w:p>
    <w:p w14:paraId="71E6D7C4" w14:textId="5BF07C19" w:rsidR="002A3853" w:rsidRPr="00F03917" w:rsidRDefault="002A3853" w:rsidP="002A3853">
      <w:pPr>
        <w:pStyle w:val="References"/>
      </w:pPr>
      <w:r w:rsidRPr="00F03917">
        <w:t xml:space="preserve">Montaño, J., Coco, G., Antolínez, J.A.A., Beuzen, T., Bryan, K.R., Cagigal, L., … Vos, K. (2020). Blind testing of shoreline evolution models. </w:t>
      </w:r>
      <w:r w:rsidRPr="00F03917">
        <w:rPr>
          <w:i/>
          <w:iCs/>
        </w:rPr>
        <w:t>Scientific Reports</w:t>
      </w:r>
      <w:r w:rsidR="00E837E0" w:rsidRPr="00F03917">
        <w:rPr>
          <w:i/>
          <w:iCs/>
        </w:rPr>
        <w:t>,</w:t>
      </w:r>
      <w:r w:rsidRPr="00F03917">
        <w:t xml:space="preserve"> 10: 2137. </w:t>
      </w:r>
      <w:hyperlink r:id="rId426" w:history="1">
        <w:r w:rsidRPr="00F03917">
          <w:rPr>
            <w:rStyle w:val="Hyperlink"/>
          </w:rPr>
          <w:t>doi.org/10.1038/s41598-020-59018-y</w:t>
        </w:r>
      </w:hyperlink>
      <w:r w:rsidRPr="00F03917">
        <w:t xml:space="preserve">. </w:t>
      </w:r>
    </w:p>
    <w:p w14:paraId="3FF05F22" w14:textId="25273ACE" w:rsidR="002A3853" w:rsidRPr="00F03917" w:rsidRDefault="002A3853" w:rsidP="002A3853">
      <w:pPr>
        <w:pStyle w:val="References"/>
        <w:rPr>
          <w:rStyle w:val="normaltextrun"/>
          <w:rFonts w:cs="Calibri"/>
          <w:color w:val="000000"/>
          <w:szCs w:val="20"/>
          <w:shd w:val="clear" w:color="auto" w:fill="FFFFFF"/>
        </w:rPr>
      </w:pPr>
      <w:r w:rsidRPr="00F03917">
        <w:rPr>
          <w:rStyle w:val="normaltextrun"/>
          <w:rFonts w:cs="Calibri"/>
          <w:color w:val="000000"/>
          <w:szCs w:val="20"/>
          <w:shd w:val="clear" w:color="auto" w:fill="FFFFFF"/>
        </w:rPr>
        <w:t>Morim, J., Herner, M., A., Wang, X., L., … Cartwright, N. (2019). Robustness and uncertainties in global multivariate wind-wave climate projections</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Nature Climate Change</w:t>
      </w:r>
      <w:r w:rsidR="00DC5283" w:rsidRPr="00F03917">
        <w:rPr>
          <w:rStyle w:val="normaltextrun"/>
          <w:rFonts w:cs="Calibri"/>
          <w:i/>
          <w:color w:val="000000"/>
          <w:szCs w:val="20"/>
          <w:shd w:val="clear" w:color="auto" w:fill="FFFFFF"/>
        </w:rPr>
        <w:t>,</w:t>
      </w:r>
      <w:r w:rsidRPr="00F03917">
        <w:rPr>
          <w:rStyle w:val="normaltextrun"/>
          <w:rFonts w:cs="Calibri"/>
          <w:color w:val="000000"/>
          <w:szCs w:val="20"/>
          <w:shd w:val="clear" w:color="auto" w:fill="FFFFFF"/>
        </w:rPr>
        <w:t xml:space="preserve"> 9(10)</w:t>
      </w:r>
      <w:r w:rsidR="00DC5283" w:rsidRPr="00F03917">
        <w:rPr>
          <w:rStyle w:val="normaltextrun"/>
          <w:rFonts w:cs="Calibri"/>
          <w:color w:val="000000"/>
          <w:szCs w:val="20"/>
          <w:shd w:val="clear" w:color="auto" w:fill="FFFFFF"/>
        </w:rPr>
        <w:t>,</w:t>
      </w:r>
      <w:r w:rsidRPr="00F03917">
        <w:rPr>
          <w:rStyle w:val="normaltextrun"/>
          <w:rFonts w:cs="Calibri"/>
          <w:color w:val="000000"/>
          <w:szCs w:val="20"/>
          <w:shd w:val="clear" w:color="auto" w:fill="FFFFFF"/>
        </w:rPr>
        <w:t xml:space="preserve"> 1-8. </w:t>
      </w:r>
      <w:hyperlink r:id="rId427" w:history="1">
        <w:r w:rsidR="00716A13" w:rsidRPr="00F03917">
          <w:rPr>
            <w:rStyle w:val="Hyperlink"/>
          </w:rPr>
          <w:t>https://doi.org/</w:t>
        </w:r>
        <w:r w:rsidRPr="00F03917">
          <w:rPr>
            <w:rStyle w:val="Hyperlink"/>
          </w:rPr>
          <w:t>10.1038/s41558-019-0542-5</w:t>
        </w:r>
      </w:hyperlink>
      <w:r w:rsidRPr="00F03917">
        <w:rPr>
          <w:rStyle w:val="normaltextrun"/>
          <w:rFonts w:cs="Calibri"/>
          <w:color w:val="000000"/>
          <w:szCs w:val="20"/>
          <w:shd w:val="clear" w:color="auto" w:fill="FFFFFF"/>
        </w:rPr>
        <w:t xml:space="preserve"> </w:t>
      </w:r>
    </w:p>
    <w:p w14:paraId="037E689B" w14:textId="2C4C072F" w:rsidR="002A3853" w:rsidRPr="00F03917" w:rsidRDefault="002A3853" w:rsidP="002A3853">
      <w:pPr>
        <w:pStyle w:val="References"/>
        <w:rPr>
          <w:rStyle w:val="normaltextrun"/>
          <w:rFonts w:cs="Calibri"/>
          <w:color w:val="000000"/>
          <w:szCs w:val="20"/>
          <w:shd w:val="clear" w:color="auto" w:fill="FFFFFF"/>
        </w:rPr>
      </w:pPr>
      <w:r w:rsidRPr="00F03917">
        <w:rPr>
          <w:rStyle w:val="normaltextrun"/>
          <w:rFonts w:cs="Calibri"/>
          <w:color w:val="000000"/>
          <w:szCs w:val="20"/>
          <w:shd w:val="clear" w:color="auto" w:fill="FFFFFF"/>
        </w:rPr>
        <w:t xml:space="preserve">Morim, J., Wahl, T., Vitousek, S., Santamaria-Aguilar, S., Young, I., &amp; Hemer, M. (2023). Understanding uncertainties in contemporary and future extreme wave events for broad-scale impact and adaptation planning. </w:t>
      </w:r>
      <w:r w:rsidRPr="00F03917">
        <w:rPr>
          <w:rStyle w:val="normaltextrun"/>
          <w:rFonts w:cs="Calibri"/>
          <w:i/>
          <w:color w:val="000000"/>
          <w:szCs w:val="20"/>
          <w:shd w:val="clear" w:color="auto" w:fill="FFFFFF"/>
        </w:rPr>
        <w:t>Science Advances</w:t>
      </w:r>
      <w:r w:rsidRPr="00F03917">
        <w:rPr>
          <w:rStyle w:val="normaltextrun"/>
          <w:rFonts w:cs="Calibri"/>
          <w:color w:val="000000"/>
          <w:szCs w:val="20"/>
          <w:shd w:val="clear" w:color="auto" w:fill="FFFFFF"/>
        </w:rPr>
        <w:t>, 9(2), eade3170.</w:t>
      </w:r>
      <w:r w:rsidR="001F021C" w:rsidRPr="00F03917">
        <w:rPr>
          <w:rStyle w:val="normaltextrun"/>
          <w:rFonts w:cs="Calibri"/>
          <w:color w:val="000000"/>
          <w:szCs w:val="20"/>
          <w:shd w:val="clear" w:color="auto" w:fill="FFFFFF"/>
        </w:rPr>
        <w:t xml:space="preserve"> </w:t>
      </w:r>
      <w:r w:rsidR="001F021C" w:rsidRPr="00F03917">
        <w:rPr>
          <w:rStyle w:val="Hyperlink"/>
        </w:rPr>
        <w:t>https://doi.org/10.1126/sciadv.ade3170</w:t>
      </w:r>
    </w:p>
    <w:p w14:paraId="237FC034" w14:textId="5A7C341F" w:rsidR="002A3853" w:rsidRPr="00F03917" w:rsidRDefault="002A3853" w:rsidP="002A3853">
      <w:pPr>
        <w:pStyle w:val="References"/>
      </w:pPr>
      <w:r w:rsidRPr="00F03917">
        <w:rPr>
          <w:rStyle w:val="findhit"/>
          <w:rFonts w:cs="Calibri"/>
          <w:color w:val="000000"/>
          <w:szCs w:val="20"/>
          <w:shd w:val="clear" w:color="auto" w:fill="FFFFFF"/>
        </w:rPr>
        <w:t>Moser,</w:t>
      </w:r>
      <w:r w:rsidRPr="00F03917">
        <w:rPr>
          <w:rStyle w:val="normaltextrun"/>
          <w:rFonts w:cs="Calibri"/>
          <w:color w:val="000000"/>
          <w:szCs w:val="20"/>
          <w:shd w:val="clear" w:color="auto" w:fill="FFFFFF"/>
        </w:rPr>
        <w:t xml:space="preserve"> S., C. (2016). Reflections on climate change communication research and practice in the second decade of the 21st century: What more is there to say? </w:t>
      </w:r>
      <w:r w:rsidRPr="00F03917">
        <w:rPr>
          <w:rStyle w:val="normaltextrun"/>
          <w:rFonts w:cs="Calibri"/>
          <w:i/>
          <w:color w:val="000000"/>
          <w:szCs w:val="20"/>
          <w:shd w:val="clear" w:color="auto" w:fill="FFFFFF"/>
        </w:rPr>
        <w:t>Wiley Interdisciplinary Review: Climate Change</w:t>
      </w:r>
      <w:r w:rsidR="00450E91" w:rsidRPr="00F03917">
        <w:rPr>
          <w:rStyle w:val="normaltextrun"/>
          <w:rFonts w:cs="Calibri"/>
          <w:i/>
          <w:color w:val="000000"/>
          <w:szCs w:val="20"/>
          <w:shd w:val="clear" w:color="auto" w:fill="FFFFFF"/>
        </w:rPr>
        <w:t>,</w:t>
      </w:r>
      <w:r w:rsidRPr="00F03917">
        <w:rPr>
          <w:rStyle w:val="normaltextrun"/>
          <w:rFonts w:cs="Calibri"/>
          <w:color w:val="000000"/>
          <w:szCs w:val="20"/>
          <w:shd w:val="clear" w:color="auto" w:fill="FFFFFF"/>
        </w:rPr>
        <w:t xml:space="preserve"> 7: 345–369. </w:t>
      </w:r>
      <w:hyperlink r:id="rId428" w:history="1">
        <w:r w:rsidR="00211132" w:rsidRPr="00F03917">
          <w:rPr>
            <w:rStyle w:val="Hyperlink"/>
          </w:rPr>
          <w:t>https://doi.org/10.1002/wcc.403</w:t>
        </w:r>
      </w:hyperlink>
      <w:r w:rsidRPr="00F03917">
        <w:rPr>
          <w:rStyle w:val="Hyperlink"/>
          <w:rFonts w:eastAsia="Calibri"/>
        </w:rPr>
        <w:t>.</w:t>
      </w:r>
      <w:r w:rsidRPr="00F03917">
        <w:rPr>
          <w:rStyle w:val="eop"/>
          <w:rFonts w:cs="Calibri"/>
          <w:color w:val="000000"/>
          <w:shd w:val="clear" w:color="auto" w:fill="FFFFFF"/>
        </w:rPr>
        <w:t> </w:t>
      </w:r>
    </w:p>
    <w:p w14:paraId="76FD3FB6" w14:textId="77777777" w:rsidR="002A3853" w:rsidRPr="00F03917" w:rsidRDefault="002A3853" w:rsidP="002A3853">
      <w:pPr>
        <w:pStyle w:val="References"/>
      </w:pPr>
      <w:r w:rsidRPr="00F03917">
        <w:rPr>
          <w:rStyle w:val="normaltextrun"/>
          <w:rFonts w:cs="Calibri"/>
          <w:color w:val="000000"/>
          <w:szCs w:val="20"/>
          <w:shd w:val="clear" w:color="auto" w:fill="FFFFFF"/>
        </w:rPr>
        <w:t>Moser, S., C., &amp; Dilling, L. (2007). Toward the social tipping point: creating a climate for change. In: SC Moser, L Dilling (eds</w:t>
      </w:r>
      <w:r w:rsidRPr="00F03917">
        <w:rPr>
          <w:rStyle w:val="normaltextrun"/>
          <w:rFonts w:cs="Calibri"/>
          <w:i/>
          <w:color w:val="000000"/>
          <w:szCs w:val="20"/>
          <w:shd w:val="clear" w:color="auto" w:fill="FFFFFF"/>
        </w:rPr>
        <w:t xml:space="preserve">) Creating a climate for change: Communicating climate change and facilitating social change: </w:t>
      </w:r>
      <w:r w:rsidRPr="00F03917">
        <w:rPr>
          <w:rStyle w:val="normaltextrun"/>
          <w:rFonts w:cs="Calibri"/>
          <w:color w:val="000000"/>
          <w:szCs w:val="20"/>
          <w:shd w:val="clear" w:color="auto" w:fill="FFFFFF"/>
        </w:rPr>
        <w:t>491–516. Cambridge: Cambridge University Press. ISBN-13: 9780521869232.</w:t>
      </w:r>
      <w:r w:rsidRPr="00F03917">
        <w:rPr>
          <w:rStyle w:val="eop"/>
          <w:rFonts w:cs="Calibri"/>
          <w:color w:val="000000"/>
          <w:szCs w:val="20"/>
          <w:shd w:val="clear" w:color="auto" w:fill="FFFFFF"/>
        </w:rPr>
        <w:t> </w:t>
      </w:r>
    </w:p>
    <w:p w14:paraId="6C822B7D" w14:textId="43F31E99" w:rsidR="002A3853" w:rsidRPr="00F03917" w:rsidRDefault="002A3853" w:rsidP="002A3853">
      <w:pPr>
        <w:pStyle w:val="References"/>
        <w:keepLines/>
      </w:pPr>
      <w:r w:rsidRPr="00F03917">
        <w:t>Moss, R.H., Edmonds, J.A., Hibbard, K.A., Manning, M.R., Rose, S.K., van Vuuren, D.P., Carter, T.R., Emori, S., Kainuma, M., Kram, T., Meehl, G.A., Mitchell, J.F.B., Nakicenovic, N., Riahi, K., Smith, S.J., Stouffer, R.J., Thomson, A.M., Weyant, J.P., Wilbanks, T.J. (2010). The next generation of scenarios for climate change research and assessment</w:t>
      </w:r>
      <w:r w:rsidRPr="00F03917">
        <w:rPr>
          <w:i/>
        </w:rPr>
        <w:t xml:space="preserve">. </w:t>
      </w:r>
      <w:r w:rsidRPr="00F03917">
        <w:rPr>
          <w:i/>
          <w:iCs/>
        </w:rPr>
        <w:t>Nature</w:t>
      </w:r>
      <w:r w:rsidR="00731573" w:rsidRPr="00F03917">
        <w:rPr>
          <w:i/>
          <w:iCs/>
        </w:rPr>
        <w:t>,</w:t>
      </w:r>
      <w:r w:rsidRPr="00F03917">
        <w:t xml:space="preserve"> 463(7282): 747–756. </w:t>
      </w:r>
      <w:hyperlink r:id="rId429" w:history="1">
        <w:r w:rsidR="00651BEA" w:rsidRPr="00F03917">
          <w:rPr>
            <w:rStyle w:val="Hyperlink"/>
          </w:rPr>
          <w:t>doi.org/10.1038/nature08823</w:t>
        </w:r>
      </w:hyperlink>
      <w:r w:rsidR="00651BEA" w:rsidRPr="00F03917">
        <w:t>.</w:t>
      </w:r>
    </w:p>
    <w:p w14:paraId="58CB5CB6" w14:textId="6B99ABD8"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Mullan, B., Carey-Smith, T.,Griffiths, G., Sood, A. (2011). Scenarios of Storminess and Regional Wind Extremes under Climate Change. </w:t>
      </w:r>
      <w:r w:rsidRPr="00F03917">
        <w:rPr>
          <w:rStyle w:val="findhit"/>
          <w:rFonts w:cs="Calibri"/>
          <w:i/>
          <w:iCs/>
          <w:color w:val="000000"/>
          <w:szCs w:val="20"/>
          <w:shd w:val="clear" w:color="auto" w:fill="FFFFFF"/>
        </w:rPr>
        <w:t>Prepared for Ministry of Agriculture and Forestry</w:t>
      </w:r>
      <w:r w:rsidRPr="00F03917">
        <w:rPr>
          <w:rStyle w:val="findhit"/>
          <w:rFonts w:cs="Calibri"/>
          <w:color w:val="000000"/>
          <w:szCs w:val="20"/>
          <w:shd w:val="clear" w:color="auto" w:fill="FFFFFF"/>
        </w:rPr>
        <w:t>. NIWA Client Report WLG2010-31.</w:t>
      </w:r>
      <w:r w:rsidR="00600805" w:rsidRPr="00F03917">
        <w:rPr>
          <w:rStyle w:val="findhit"/>
          <w:rFonts w:cs="Calibri"/>
          <w:color w:val="000000"/>
          <w:szCs w:val="20"/>
          <w:shd w:val="clear" w:color="auto" w:fill="FFFFFF"/>
        </w:rPr>
        <w:t xml:space="preserve"> Retrieved from </w:t>
      </w:r>
      <w:hyperlink r:id="rId430" w:history="1">
        <w:r w:rsidR="00600805" w:rsidRPr="00F03917">
          <w:rPr>
            <w:rStyle w:val="Hyperlink"/>
            <w:rFonts w:cs="Calibri"/>
            <w:szCs w:val="20"/>
            <w:shd w:val="clear" w:color="auto" w:fill="FFFFFF"/>
          </w:rPr>
          <w:t>https://niwa.co.nz/sites/niwa.co.nz/files/slmacc_extremewinds_slew093_may2011.pdf</w:t>
        </w:r>
      </w:hyperlink>
      <w:r w:rsidR="00600805" w:rsidRPr="00F03917">
        <w:rPr>
          <w:rStyle w:val="findhit"/>
          <w:rFonts w:cs="Calibri"/>
          <w:color w:val="000000"/>
          <w:szCs w:val="20"/>
          <w:shd w:val="clear" w:color="auto" w:fill="FFFFFF"/>
        </w:rPr>
        <w:t xml:space="preserve"> </w:t>
      </w:r>
    </w:p>
    <w:p w14:paraId="0CB0872A" w14:textId="60E9ABB2" w:rsidR="002A3853" w:rsidRPr="00F03917" w:rsidRDefault="002A3853" w:rsidP="002A3853">
      <w:pPr>
        <w:pStyle w:val="References"/>
      </w:pPr>
      <w:r w:rsidRPr="00F03917">
        <w:rPr>
          <w:rStyle w:val="findhit"/>
          <w:rFonts w:cs="Calibri"/>
          <w:color w:val="000000"/>
          <w:szCs w:val="20"/>
          <w:shd w:val="clear" w:color="auto" w:fill="FFFFFF"/>
        </w:rPr>
        <w:t>Muro,</w:t>
      </w:r>
      <w:r w:rsidRPr="00F03917">
        <w:rPr>
          <w:rStyle w:val="normaltextrun"/>
          <w:rFonts w:cs="Calibri"/>
          <w:color w:val="000000"/>
          <w:szCs w:val="20"/>
          <w:shd w:val="clear" w:color="auto" w:fill="FFFFFF"/>
        </w:rPr>
        <w:t xml:space="preserve"> M., &amp; Jeffrey, P. (2008). A critical review of the theory and application of social learning in participatory natural resource management processes</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Journal of Environmental Planning and Management</w:t>
      </w:r>
      <w:r w:rsidRPr="00F03917">
        <w:rPr>
          <w:rStyle w:val="normaltextrun"/>
          <w:rFonts w:cs="Calibri"/>
          <w:color w:val="000000"/>
          <w:szCs w:val="20"/>
          <w:shd w:val="clear" w:color="auto" w:fill="FFFFFF"/>
        </w:rPr>
        <w:t xml:space="preserve"> 51(3): 325–344. </w:t>
      </w:r>
      <w:hyperlink r:id="rId431" w:tgtFrame="_blank" w:history="1">
        <w:r w:rsidRPr="00F03917">
          <w:rPr>
            <w:rStyle w:val="Hyperlink"/>
          </w:rPr>
          <w:t>http://dx.doi.org/10.1080/09640560801977190</w:t>
        </w:r>
      </w:hyperlink>
      <w:r w:rsidRPr="00F03917">
        <w:rPr>
          <w:rStyle w:val="normaltextrun"/>
          <w:rFonts w:cs="Calibri"/>
          <w:color w:val="000000"/>
          <w:szCs w:val="20"/>
          <w:shd w:val="clear" w:color="auto" w:fill="FFFFFF"/>
        </w:rPr>
        <w:t>.</w:t>
      </w:r>
      <w:r w:rsidRPr="00F03917">
        <w:rPr>
          <w:rStyle w:val="eop"/>
          <w:rFonts w:cs="Calibri"/>
          <w:color w:val="000000"/>
          <w:shd w:val="clear" w:color="auto" w:fill="FFFFFF"/>
        </w:rPr>
        <w:t> </w:t>
      </w:r>
    </w:p>
    <w:p w14:paraId="6B3E0FF3" w14:textId="77777777" w:rsidR="002A3853" w:rsidRPr="00F03917" w:rsidRDefault="002A3853" w:rsidP="002A3853">
      <w:pPr>
        <w:pStyle w:val="References"/>
        <w:rPr>
          <w:color w:val="008080"/>
          <w:u w:val="single"/>
        </w:rPr>
      </w:pPr>
      <w:r w:rsidRPr="00F03917">
        <w:t xml:space="preserve">Naish T., Levy, R.H., Hamling, I.J., Garner, G., Hreinsdóttir, S., Kopp, R.E., Golledge, N.R., Bell, R., Paulik, R., Lawrence, J., Denys, P.H., Gillies, T., Bengston, S., Clark, K., King, D., Litchfield, N.J., Wallace, L., Newnham, R. (In review). The significance of vertical land movements at convergent plate boundaries in probabilistic sea-level projections for AR6 scenarios: The New Zealand case. </w:t>
      </w:r>
      <w:r w:rsidRPr="00F03917">
        <w:rPr>
          <w:i/>
        </w:rPr>
        <w:t>Submitted to Earth’s Future</w:t>
      </w:r>
      <w:r w:rsidRPr="00F03917">
        <w:t xml:space="preserve">. Working paper available at </w:t>
      </w:r>
      <w:hyperlink r:id="rId432">
        <w:r w:rsidRPr="00F03917">
          <w:rPr>
            <w:rStyle w:val="Hyperlink"/>
          </w:rPr>
          <w:t>www.searise.nz/publications</w:t>
        </w:r>
      </w:hyperlink>
      <w:r w:rsidRPr="00F03917">
        <w:t xml:space="preserve"> or </w:t>
      </w:r>
      <w:hyperlink r:id="rId433">
        <w:r w:rsidRPr="00F03917">
          <w:rPr>
            <w:rStyle w:val="Hyperlink"/>
          </w:rPr>
          <w:t>https://essopenarchive.org/doi/full/10.1002/essoar.10511878.1</w:t>
        </w:r>
      </w:hyperlink>
      <w:r w:rsidRPr="00F03917">
        <w:t xml:space="preserve">. </w:t>
      </w:r>
    </w:p>
    <w:p w14:paraId="46F6D83C" w14:textId="031C4CDA" w:rsidR="002A3853" w:rsidRPr="00F03917" w:rsidRDefault="002A3853" w:rsidP="002A3853">
      <w:pPr>
        <w:pStyle w:val="References"/>
      </w:pPr>
      <w:r w:rsidRPr="00F03917">
        <w:t>Nauels, A., Gütschow, J., Mengel, M., Meinshausen, M., Clark, P. U., &amp; Schleussner, C. F. (2019). Attributing long-term sea-level rise to Paris Agreement emission pledges</w:t>
      </w:r>
      <w:r w:rsidRPr="00F03917">
        <w:rPr>
          <w:i/>
          <w:iCs/>
        </w:rPr>
        <w:t>.</w:t>
      </w:r>
      <w:r w:rsidRPr="00F03917">
        <w:rPr>
          <w:i/>
        </w:rPr>
        <w:t xml:space="preserve"> Proceedings of the National Academy of Sciences</w:t>
      </w:r>
      <w:r w:rsidRPr="00F03917">
        <w:t>, 116(47), 23487-23492.</w:t>
      </w:r>
      <w:r w:rsidR="006C7AE0" w:rsidRPr="00F03917">
        <w:t xml:space="preserve"> </w:t>
      </w:r>
      <w:hyperlink r:id="rId434" w:history="1">
        <w:r w:rsidR="006C7AE0" w:rsidRPr="00F03917">
          <w:rPr>
            <w:rStyle w:val="Hyperlink"/>
          </w:rPr>
          <w:t>https://doi.org/10.1073/pnas.1907461116</w:t>
        </w:r>
      </w:hyperlink>
    </w:p>
    <w:p w14:paraId="06D2527D" w14:textId="77777777" w:rsidR="002A3853" w:rsidRPr="00F03917" w:rsidRDefault="002A3853" w:rsidP="002A3853">
      <w:pPr>
        <w:pStyle w:val="References"/>
        <w:rPr>
          <w:rFonts w:cs="Calibri"/>
          <w:color w:val="008080"/>
          <w:szCs w:val="20"/>
          <w:u w:val="single"/>
        </w:rPr>
      </w:pPr>
      <w:r w:rsidRPr="00F03917">
        <w:rPr>
          <w:rStyle w:val="cf01"/>
          <w:rFonts w:ascii="Calibri" w:hAnsi="Calibri" w:cs="Calibri"/>
          <w:sz w:val="20"/>
          <w:szCs w:val="20"/>
        </w:rPr>
        <w:t xml:space="preserve">National Climate Change Adaptation Research Facility. (2016). Guidance on risk assessment. Retrieved from </w:t>
      </w:r>
      <w:hyperlink r:id="rId435" w:history="1">
        <w:r w:rsidRPr="00F03917">
          <w:rPr>
            <w:rStyle w:val="Hyperlink"/>
          </w:rPr>
          <w:t>https://nccarf.edu.au/guidance-on-risk-assessment/</w:t>
        </w:r>
      </w:hyperlink>
      <w:r w:rsidRPr="00F03917">
        <w:rPr>
          <w:rStyle w:val="cf01"/>
          <w:rFonts w:ascii="Calibri" w:hAnsi="Calibri" w:cs="Calibri"/>
          <w:sz w:val="20"/>
          <w:szCs w:val="20"/>
        </w:rPr>
        <w:t xml:space="preserve"> </w:t>
      </w:r>
    </w:p>
    <w:p w14:paraId="4DB32CF9" w14:textId="77777777" w:rsidR="002A3853" w:rsidRPr="00F03917" w:rsidRDefault="002A3853" w:rsidP="002A3853">
      <w:pPr>
        <w:pStyle w:val="References"/>
        <w:rPr>
          <w:color w:val="008080"/>
          <w:u w:val="single"/>
        </w:rPr>
      </w:pPr>
      <w:r w:rsidRPr="00F03917">
        <w:t>NEMA. (2019). National Disaster Resilience Strategy: Rautaki ā-Motu Manawaroa Aituā</w:t>
      </w:r>
      <w:r w:rsidRPr="00F03917">
        <w:rPr>
          <w:i/>
        </w:rPr>
        <w:t>.</w:t>
      </w:r>
      <w:r w:rsidRPr="00F03917">
        <w:t xml:space="preserve"> Published by the National Emergency Management Agency, 10 April, 2019. 49 p. Retrieved from </w:t>
      </w:r>
      <w:hyperlink r:id="rId436" w:history="1">
        <w:r w:rsidRPr="00F03917">
          <w:rPr>
            <w:rStyle w:val="Hyperlink"/>
          </w:rPr>
          <w:t>www.civildefence.govt.nz/cdem-sector/plans-and-strategies/national-disaster-resilience-strategy/</w:t>
        </w:r>
      </w:hyperlink>
      <w:r w:rsidRPr="00F03917">
        <w:t>.</w:t>
      </w:r>
      <w:r w:rsidRPr="00F03917">
        <w:rPr>
          <w:color w:val="008080"/>
          <w:u w:val="single"/>
        </w:rPr>
        <w:t xml:space="preserve"> </w:t>
      </w:r>
    </w:p>
    <w:p w14:paraId="6DD122B2" w14:textId="57D1A312" w:rsidR="002A3853" w:rsidRPr="00F03917" w:rsidRDefault="002A3853" w:rsidP="002A3853">
      <w:pPr>
        <w:pStyle w:val="References"/>
      </w:pPr>
      <w:r w:rsidRPr="00F03917">
        <w:t>New, M., Reckien, D., Viner, D. (2022). Decision-Making Options for Managing Risk</w:t>
      </w:r>
      <w:r w:rsidRPr="00F03917">
        <w:rPr>
          <w:i/>
        </w:rPr>
        <w:t>. In: Climate Change 2022: Impacts, Adaptation and Vulnerability. Contribution of Working Group II to the Sixth Assessment Report of the Intergovernmental Panel on Climate Change</w:t>
      </w:r>
      <w:r w:rsidRPr="00F03917">
        <w:t xml:space="preserve"> [H.-O. Pörtner, D.C. Roberts, M. Tignor, E.S. Poloczanska, K. Mintenbeck, A. Alegría, M. Craig, S. Langsdorf, S. Löschke, V. Möller, A. Okem, B. Rama (eds.)]. Cambridge University Press, Cambridge, UK and New York, NY, USA, pp. 2539–2654</w:t>
      </w:r>
      <w:r w:rsidR="004A3F46" w:rsidRPr="00F03917">
        <w:t>.</w:t>
      </w:r>
      <w:r w:rsidRPr="00F03917">
        <w:t xml:space="preserve"> </w:t>
      </w:r>
      <w:hyperlink r:id="rId437" w:history="1">
        <w:r w:rsidR="004A3F46" w:rsidRPr="00F03917">
          <w:rPr>
            <w:rStyle w:val="Hyperlink"/>
          </w:rPr>
          <w:t>https://doi.org/</w:t>
        </w:r>
        <w:r w:rsidRPr="00F03917">
          <w:rPr>
            <w:rStyle w:val="Hyperlink"/>
          </w:rPr>
          <w:t>10.1017/9781009325844.026</w:t>
        </w:r>
      </w:hyperlink>
      <w:r w:rsidRPr="00F03917">
        <w:t>.</w:t>
      </w:r>
    </w:p>
    <w:p w14:paraId="0B2D097E" w14:textId="0EC4A3C5" w:rsidR="002A3853" w:rsidRPr="00F03917" w:rsidRDefault="002A3853" w:rsidP="002A3853">
      <w:pPr>
        <w:pStyle w:val="References"/>
      </w:pPr>
      <w:r w:rsidRPr="00F03917">
        <w:rPr>
          <w:rStyle w:val="normaltextrun"/>
          <w:rFonts w:cs="Calibri"/>
          <w:color w:val="000000"/>
          <w:szCs w:val="20"/>
          <w:shd w:val="clear" w:color="auto" w:fill="FFFFFF"/>
        </w:rPr>
        <w:t xml:space="preserve">New Zealand </w:t>
      </w:r>
      <w:r w:rsidRPr="00F03917">
        <w:rPr>
          <w:rStyle w:val="findhit"/>
          <w:rFonts w:cs="Calibri"/>
          <w:color w:val="000000"/>
          <w:szCs w:val="20"/>
          <w:shd w:val="clear" w:color="auto" w:fill="FFFFFF"/>
        </w:rPr>
        <w:t>Geotechnical Society</w:t>
      </w:r>
      <w:r w:rsidRPr="00F03917">
        <w:rPr>
          <w:rStyle w:val="normaltextrun"/>
          <w:rFonts w:cs="Calibri"/>
          <w:color w:val="000000"/>
          <w:szCs w:val="20"/>
          <w:shd w:val="clear" w:color="auto" w:fill="FFFFFF"/>
        </w:rPr>
        <w:t xml:space="preserve"> and Ministry of Business, Innovation and Employment. (2016). Earthquake Geotechnical Engineering Practice in New Zealand. Module 3: Identification, assessment and mitigation of liquefaction hazards. Wellington: New Zealand </w:t>
      </w:r>
      <w:r w:rsidRPr="00F03917">
        <w:rPr>
          <w:rStyle w:val="findhit"/>
          <w:rFonts w:cs="Calibri"/>
          <w:color w:val="000000"/>
          <w:szCs w:val="20"/>
          <w:shd w:val="clear" w:color="auto" w:fill="FFFFFF"/>
        </w:rPr>
        <w:t>Geotechnical Society</w:t>
      </w:r>
      <w:r w:rsidRPr="00F03917">
        <w:rPr>
          <w:rStyle w:val="normaltextrun"/>
          <w:rFonts w:cs="Calibri"/>
          <w:color w:val="000000"/>
          <w:szCs w:val="20"/>
          <w:shd w:val="clear" w:color="auto" w:fill="FFFFFF"/>
        </w:rPr>
        <w:t xml:space="preserve"> and Ministry of Business, Innovation and Employment.</w:t>
      </w:r>
      <w:r w:rsidR="00BC5EBB" w:rsidRPr="00F03917">
        <w:rPr>
          <w:rStyle w:val="normaltextrun"/>
          <w:rFonts w:cs="Calibri"/>
          <w:color w:val="000000"/>
          <w:szCs w:val="20"/>
          <w:shd w:val="clear" w:color="auto" w:fill="FFFFFF"/>
        </w:rPr>
        <w:t xml:space="preserve"> Retrieved from </w:t>
      </w:r>
      <w:hyperlink r:id="rId438" w:history="1">
        <w:r w:rsidR="00BC5EBB" w:rsidRPr="00F03917">
          <w:rPr>
            <w:rStyle w:val="Hyperlink"/>
            <w:rFonts w:cs="Calibri"/>
            <w:szCs w:val="20"/>
            <w:shd w:val="clear" w:color="auto" w:fill="FFFFFF"/>
          </w:rPr>
          <w:t>https://www.building.govt.nz/building-code-compliance/b-stability/b1-structure/module-3-identify-liquefaction-hazards/</w:t>
        </w:r>
      </w:hyperlink>
      <w:r w:rsidR="00BC5EBB" w:rsidRPr="00F03917">
        <w:rPr>
          <w:rStyle w:val="normaltextrun"/>
          <w:rFonts w:cs="Calibri"/>
          <w:color w:val="000000"/>
          <w:szCs w:val="20"/>
          <w:shd w:val="clear" w:color="auto" w:fill="FFFFFF"/>
        </w:rPr>
        <w:t xml:space="preserve">. </w:t>
      </w:r>
    </w:p>
    <w:p w14:paraId="59D1DFF1" w14:textId="77777777" w:rsidR="002A3853" w:rsidRPr="00F03917" w:rsidRDefault="002A3853" w:rsidP="002A3853">
      <w:pPr>
        <w:pStyle w:val="References"/>
      </w:pPr>
      <w:r w:rsidRPr="00F03917">
        <w:t xml:space="preserve">New Zealand Standard for Land Development and Subdivision Infrastructure (NZS 4404:2010). Retrieved from </w:t>
      </w:r>
      <w:hyperlink r:id="rId439" w:history="1">
        <w:r w:rsidRPr="00F03917">
          <w:rPr>
            <w:rStyle w:val="Hyperlink"/>
          </w:rPr>
          <w:t>www.standards.govt.nz/shop/nzs-44042010/</w:t>
        </w:r>
      </w:hyperlink>
      <w:r w:rsidRPr="00F03917">
        <w:t xml:space="preserve">. </w:t>
      </w:r>
    </w:p>
    <w:p w14:paraId="63891117" w14:textId="5AE33E08" w:rsidR="002A3853" w:rsidRPr="00F03917" w:rsidRDefault="002A3853" w:rsidP="002A3853">
      <w:pPr>
        <w:pStyle w:val="References"/>
      </w:pPr>
      <w:r w:rsidRPr="00F03917">
        <w:t xml:space="preserve">Nightingale, A., Eriksen, S., Taylor, M., Forsyth, T., Pelling, M., Newsham, A., Boyd, E., Brown, K., Harvey, B., Jones, L., et al. (2020). Beyond technical fixes: Climate solutions and the great derangement. </w:t>
      </w:r>
      <w:r w:rsidRPr="00F03917">
        <w:rPr>
          <w:i/>
          <w:iCs/>
        </w:rPr>
        <w:t>Climate and Development</w:t>
      </w:r>
      <w:r w:rsidRPr="00F03917">
        <w:t xml:space="preserve"> 12(4): 343–352. </w:t>
      </w:r>
      <w:hyperlink r:id="rId440" w:history="1">
        <w:r w:rsidR="00486F33" w:rsidRPr="00F03917">
          <w:rPr>
            <w:rStyle w:val="Hyperlink"/>
          </w:rPr>
          <w:t>https://</w:t>
        </w:r>
        <w:r w:rsidRPr="00F03917">
          <w:rPr>
            <w:rStyle w:val="Hyperlink"/>
          </w:rPr>
          <w:t>doi.org/10.1080/17565529.2019.1624495</w:t>
        </w:r>
      </w:hyperlink>
      <w:r w:rsidRPr="00F03917">
        <w:t xml:space="preserve">. </w:t>
      </w:r>
    </w:p>
    <w:p w14:paraId="1C6198D1" w14:textId="77777777" w:rsidR="002A3853" w:rsidRPr="00F03917" w:rsidRDefault="002A3853" w:rsidP="002A3853">
      <w:pPr>
        <w:pStyle w:val="References"/>
      </w:pPr>
      <w:r w:rsidRPr="00F03917">
        <w:rPr>
          <w:rStyle w:val="findhit"/>
          <w:rFonts w:cs="Calibri"/>
          <w:color w:val="000000"/>
          <w:szCs w:val="20"/>
          <w:shd w:val="clear" w:color="auto" w:fill="FFFFFF"/>
        </w:rPr>
        <w:t>Olss</w:t>
      </w:r>
      <w:r w:rsidRPr="00F03917">
        <w:rPr>
          <w:rStyle w:val="normaltextrun"/>
          <w:rFonts w:cs="Calibri"/>
          <w:color w:val="000000"/>
          <w:szCs w:val="20"/>
          <w:shd w:val="clear" w:color="auto" w:fill="FFFFFF"/>
        </w:rPr>
        <w:t xml:space="preserve">on, P., Gunderson, L., H., Carpenter, S., R., Ryan, P., Lebel, L., Folke, C., Holling, C., S. (2006). Shooting the rapids: Navigating transitions to adaptive governance of social-ecological systems. </w:t>
      </w:r>
      <w:r w:rsidRPr="00F03917">
        <w:rPr>
          <w:rStyle w:val="normaltextrun"/>
          <w:rFonts w:cs="Calibri"/>
          <w:i/>
          <w:color w:val="000000"/>
          <w:szCs w:val="20"/>
          <w:shd w:val="clear" w:color="auto" w:fill="FFFFFF"/>
        </w:rPr>
        <w:t xml:space="preserve">Ecology and Society </w:t>
      </w:r>
      <w:r w:rsidRPr="00F03917">
        <w:rPr>
          <w:rStyle w:val="normaltextrun"/>
          <w:rFonts w:cs="Calibri"/>
          <w:color w:val="000000"/>
          <w:szCs w:val="20"/>
          <w:shd w:val="clear" w:color="auto" w:fill="FFFFFF"/>
        </w:rPr>
        <w:t>11(1): 18. Retrieved from</w:t>
      </w:r>
      <w:r w:rsidRPr="00F03917">
        <w:rPr>
          <w:rStyle w:val="Hyperlink"/>
        </w:rPr>
        <w:t xml:space="preserve"> </w:t>
      </w:r>
      <w:hyperlink r:id="rId441" w:tgtFrame="_blank" w:history="1">
        <w:r w:rsidRPr="00F03917">
          <w:rPr>
            <w:rStyle w:val="Hyperlink"/>
          </w:rPr>
          <w:t>http://www.ecologyandsociety.org/vol11/iss1/art18/</w:t>
        </w:r>
      </w:hyperlink>
      <w:r w:rsidRPr="00F03917">
        <w:rPr>
          <w:rStyle w:val="normaltextrun"/>
          <w:rFonts w:cs="Calibri"/>
          <w:color w:val="000000"/>
          <w:szCs w:val="20"/>
          <w:shd w:val="clear" w:color="auto" w:fill="FFFFFF"/>
        </w:rPr>
        <w:t>.</w:t>
      </w:r>
      <w:r w:rsidRPr="00F03917">
        <w:rPr>
          <w:rStyle w:val="eop"/>
          <w:rFonts w:cs="Calibri"/>
          <w:color w:val="000000"/>
          <w:shd w:val="clear" w:color="auto" w:fill="FFFFFF"/>
        </w:rPr>
        <w:t> </w:t>
      </w:r>
    </w:p>
    <w:p w14:paraId="67304E42" w14:textId="1A7FF286" w:rsidR="002A3853" w:rsidRPr="00F03917" w:rsidRDefault="002A3853" w:rsidP="002A3853">
      <w:pPr>
        <w:pStyle w:val="References"/>
      </w:pPr>
      <w:r w:rsidRPr="00F03917">
        <w:t xml:space="preserve">O’Neill, B., van Aalst, M., Ibrahim, Z.Z. (2022). Key Risks Across Sectors and Regions. </w:t>
      </w:r>
      <w:r w:rsidRPr="00F03917">
        <w:rPr>
          <w:i/>
        </w:rPr>
        <w:t>In: Climate Change 2022: Impacts, Adaptation and Vulnerability. Contribution of Working Group II to the Sixth Assessment Report of the Intergovernmental Panel on Climate Change</w:t>
      </w:r>
      <w:r w:rsidRPr="00F03917">
        <w:t xml:space="preserve"> [H.-O. Pörtner, D.C. Roberts, M. Tignor, E.S. Poloczanska, K. Mintenbeck, A. Alegría, M. Craig, S. Langsdorf, S. Löschke, V. Möller, A. Okem, B. Rama (eds.)]. Cambridge University Press, Cambridge, UK and New York, NY, USA, pp. 2411–2538, </w:t>
      </w:r>
      <w:hyperlink r:id="rId442" w:history="1">
        <w:r w:rsidR="00CA2C58" w:rsidRPr="00F03917">
          <w:rPr>
            <w:rStyle w:val="Hyperlink"/>
          </w:rPr>
          <w:t>https://doi.org/10.1017/9781009325844.025</w:t>
        </w:r>
      </w:hyperlink>
      <w:r w:rsidRPr="00F03917">
        <w:t>.</w:t>
      </w:r>
    </w:p>
    <w:p w14:paraId="43372CFE" w14:textId="3987D0A7" w:rsidR="002A3853" w:rsidRPr="00F03917" w:rsidRDefault="002A3853" w:rsidP="002A3853">
      <w:pPr>
        <w:pStyle w:val="References"/>
        <w:rPr>
          <w:color w:val="008080"/>
          <w:u w:val="single"/>
        </w:rPr>
      </w:pPr>
      <w:r w:rsidRPr="00F03917">
        <w:t>Oppenheimer, M., Glavovic, B.C., Hinkel, J., van de Wal, R., Magnan, A. K., Abd-Elgawad, A., Cai, R., Cifuentes-Jara, M., DeConto, R. M., Ghosh, T., Hay, J., Isla, F., Marzeion, B., Meyssignac, B., Sebesvari, Z. (2019). Sea Level Rise and Implications for Low-Lying Islands, Coasts and Communities</w:t>
      </w:r>
      <w:r w:rsidRPr="00F03917">
        <w:rPr>
          <w:i/>
        </w:rPr>
        <w:t>. In: IPCC Special Report on the Ocean and Cryosphere in a Changing Climate.</w:t>
      </w:r>
      <w:r w:rsidRPr="00F03917">
        <w:t xml:space="preserve"> H.-O., Pörtner, D.C., Roberts, V., Masson-Delmotte, P., Zhai, M., Tignor, E., Poloczanska, K., Mintenbeck, A., Alegría, M., Nicolai, A., Okem, J., Petzold, B., Rama, N.M., Weyer (eds). Cambridge University Press, Cambridge, UK and New York, NY, USA, pp. 321–445.</w:t>
      </w:r>
      <w:hyperlink r:id="rId443" w:history="1">
        <w:r w:rsidRPr="00F03917">
          <w:rPr>
            <w:rStyle w:val="Hyperlink"/>
          </w:rPr>
          <w:t xml:space="preserve"> </w:t>
        </w:r>
        <w:r w:rsidR="00F45694" w:rsidRPr="00F03917">
          <w:rPr>
            <w:rStyle w:val="Hyperlink"/>
          </w:rPr>
          <w:t>https://doi.org/10.1017/9781009157964.006</w:t>
        </w:r>
      </w:hyperlink>
      <w:r w:rsidRPr="00F03917">
        <w:t>.</w:t>
      </w:r>
      <w:r w:rsidRPr="00F03917">
        <w:rPr>
          <w:color w:val="008080"/>
          <w:u w:val="single"/>
        </w:rPr>
        <w:t xml:space="preserve"> </w:t>
      </w:r>
    </w:p>
    <w:p w14:paraId="36C5DF25" w14:textId="750A35A3"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Ottinger, G. (2013). Changing Knowledge, Local Knowledge, and Knowledge Gaps: STS Insights into Procedural Justice. </w:t>
      </w:r>
      <w:r w:rsidRPr="00F03917">
        <w:rPr>
          <w:rStyle w:val="findhit"/>
          <w:rFonts w:cs="Calibri"/>
          <w:i/>
          <w:iCs/>
          <w:color w:val="000000"/>
          <w:szCs w:val="20"/>
          <w:shd w:val="clear" w:color="auto" w:fill="FFFFFF"/>
        </w:rPr>
        <w:t>Science, Technology, &amp; Human Values</w:t>
      </w:r>
      <w:r w:rsidRPr="00F03917">
        <w:rPr>
          <w:rStyle w:val="findhit"/>
          <w:rFonts w:cs="Calibri"/>
          <w:color w:val="000000"/>
          <w:szCs w:val="20"/>
          <w:shd w:val="clear" w:color="auto" w:fill="FFFFFF"/>
        </w:rPr>
        <w:t xml:space="preserve"> 38(2): 250-270.</w:t>
      </w:r>
      <w:r w:rsidR="00CE08DB" w:rsidRPr="00F03917">
        <w:rPr>
          <w:rStyle w:val="findhit"/>
          <w:rFonts w:cs="Calibri"/>
          <w:color w:val="000000"/>
          <w:szCs w:val="20"/>
          <w:shd w:val="clear" w:color="auto" w:fill="FFFFFF"/>
        </w:rPr>
        <w:t xml:space="preserve"> Retrieved from </w:t>
      </w:r>
      <w:r w:rsidR="00CE08DB" w:rsidRPr="00F03917">
        <w:rPr>
          <w:rStyle w:val="Hyperlink"/>
        </w:rPr>
        <w:t>https://www.jstor.org/stable/23474495</w:t>
      </w:r>
      <w:r w:rsidR="00CE08DB" w:rsidRPr="00F03917">
        <w:rPr>
          <w:rStyle w:val="findhit"/>
          <w:rFonts w:cs="Calibri"/>
          <w:color w:val="000000"/>
          <w:szCs w:val="20"/>
          <w:shd w:val="clear" w:color="auto" w:fill="FFFFFF"/>
        </w:rPr>
        <w:t>.</w:t>
      </w:r>
    </w:p>
    <w:p w14:paraId="600E643C" w14:textId="2095A31C"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Pahl</w:t>
      </w:r>
      <w:r w:rsidRPr="00F03917">
        <w:rPr>
          <w:rStyle w:val="normaltextrun"/>
          <w:rFonts w:cs="Calibri"/>
          <w:color w:val="000000"/>
          <w:szCs w:val="20"/>
          <w:shd w:val="clear" w:color="auto" w:fill="FFFFFF"/>
        </w:rPr>
        <w:t>-Wostl, C., &amp; Hare, M. (2004). Processes of social learning in integrated resources management</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Journal of Community &amp; Applied Social Psychology</w:t>
      </w:r>
      <w:r w:rsidRPr="00F03917">
        <w:rPr>
          <w:rStyle w:val="normaltextrun"/>
          <w:rFonts w:cs="Calibri"/>
          <w:color w:val="000000"/>
          <w:szCs w:val="20"/>
          <w:shd w:val="clear" w:color="auto" w:fill="FFFFFF"/>
        </w:rPr>
        <w:t xml:space="preserve"> 14: 193–206. Retrieved from </w:t>
      </w:r>
      <w:hyperlink r:id="rId444" w:history="1">
        <w:r w:rsidR="002A45AE" w:rsidRPr="00F03917">
          <w:rPr>
            <w:rStyle w:val="Hyperlink"/>
          </w:rPr>
          <w:t>https://doi.org/10.1002/casp.774</w:t>
        </w:r>
      </w:hyperlink>
      <w:r w:rsidRPr="00F03917">
        <w:rPr>
          <w:rStyle w:val="Hyperlink"/>
          <w:rFonts w:eastAsia="Calibri"/>
        </w:rPr>
        <w:t>.</w:t>
      </w:r>
    </w:p>
    <w:p w14:paraId="23282AD0" w14:textId="77777777" w:rsidR="002A3853" w:rsidRPr="00F03917" w:rsidRDefault="002A3853" w:rsidP="002A3853">
      <w:pPr>
        <w:pStyle w:val="References"/>
        <w:rPr>
          <w:shd w:val="clear" w:color="auto" w:fill="FFFFFF"/>
        </w:rPr>
      </w:pPr>
      <w:r w:rsidRPr="00F03917">
        <w:rPr>
          <w:shd w:val="clear" w:color="auto" w:fill="FFFFFF"/>
        </w:rPr>
        <w:t xml:space="preserve">Parliamentary Commissioner for the Environment. (2014). Changing climate and rising seas: Understanding the science. </w:t>
      </w:r>
      <w:r w:rsidRPr="00F03917">
        <w:rPr>
          <w:i/>
          <w:shd w:val="clear" w:color="auto" w:fill="FFFFFF"/>
        </w:rPr>
        <w:t>Wellington: Parliamentary Commissioner for the Environment</w:t>
      </w:r>
      <w:r w:rsidRPr="00F03917">
        <w:rPr>
          <w:shd w:val="clear" w:color="auto" w:fill="FFFFFF"/>
        </w:rPr>
        <w:t xml:space="preserve">. Retrieved from </w:t>
      </w:r>
      <w:hyperlink r:id="rId445" w:history="1">
        <w:r w:rsidRPr="00F03917">
          <w:rPr>
            <w:rStyle w:val="Hyperlink"/>
            <w:rFonts w:cs="Calibri"/>
            <w:szCs w:val="20"/>
            <w:shd w:val="clear" w:color="auto" w:fill="FFFFFF"/>
          </w:rPr>
          <w:t>https://pce.parliament.nz/publications/changing-climate-and-rising-seas-understanding-the-science/</w:t>
        </w:r>
      </w:hyperlink>
      <w:r w:rsidRPr="00F03917">
        <w:t>.</w:t>
      </w:r>
      <w:r w:rsidRPr="00F03917">
        <w:rPr>
          <w:shd w:val="clear" w:color="auto" w:fill="FFFFFF"/>
        </w:rPr>
        <w:t xml:space="preserve"> </w:t>
      </w:r>
    </w:p>
    <w:p w14:paraId="56FF3F4F" w14:textId="77777777" w:rsidR="002A3853" w:rsidRPr="00F03917" w:rsidRDefault="002A3853" w:rsidP="002A3853">
      <w:pPr>
        <w:pStyle w:val="References"/>
      </w:pPr>
      <w:r w:rsidRPr="00F03917">
        <w:t xml:space="preserve">Parliamentary Commissioner for the Environment. (2015). Preparing New Zealand for rising seas: certainty and uncertainty. </w:t>
      </w:r>
      <w:r w:rsidRPr="00F03917">
        <w:rPr>
          <w:i/>
        </w:rPr>
        <w:t>Wellington: Parliamentary Commissioner for the Environment</w:t>
      </w:r>
      <w:r w:rsidRPr="00F03917">
        <w:t xml:space="preserve">. Retrieved from </w:t>
      </w:r>
      <w:hyperlink r:id="rId446" w:history="1">
        <w:r w:rsidRPr="00F03917">
          <w:rPr>
            <w:rStyle w:val="Hyperlink"/>
            <w:rFonts w:eastAsia="Calibri" w:cs="Calibri"/>
            <w:szCs w:val="20"/>
          </w:rPr>
          <w:t>www.pce.parliament.nz/publications/preparing-new-zealand-for-rising-seas-certainty-and-uncertainty</w:t>
        </w:r>
      </w:hyperlink>
      <w:r w:rsidRPr="00F03917">
        <w:t>.</w:t>
      </w:r>
    </w:p>
    <w:p w14:paraId="192C9A0F"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Patra, A., Min, S-K., Kumar, P., Wang, X., L. (2021). Changes in extreme ocean wave heights under 1.5</w:t>
      </w:r>
      <w:r w:rsidRPr="00F03917">
        <w:rPr>
          <w:rStyle w:val="findhit"/>
          <w:rFonts w:cs="Calibri"/>
          <w:color w:val="000000"/>
          <w:szCs w:val="20"/>
          <w:shd w:val="clear" w:color="auto" w:fill="FFFFFF"/>
          <w:vertAlign w:val="superscript"/>
        </w:rPr>
        <w:t>o</w:t>
      </w:r>
      <w:r w:rsidRPr="00F03917">
        <w:rPr>
          <w:rStyle w:val="findhit"/>
          <w:rFonts w:cs="Calibri"/>
          <w:color w:val="000000"/>
          <w:szCs w:val="20"/>
          <w:shd w:val="clear" w:color="auto" w:fill="FFFFFF"/>
        </w:rPr>
        <w:t>C, 2</w:t>
      </w:r>
      <w:r w:rsidRPr="00F03917">
        <w:rPr>
          <w:rStyle w:val="findhit"/>
          <w:rFonts w:cs="Calibri"/>
          <w:color w:val="000000"/>
          <w:szCs w:val="20"/>
          <w:shd w:val="clear" w:color="auto" w:fill="FFFFFF"/>
          <w:vertAlign w:val="superscript"/>
        </w:rPr>
        <w:t>o</w:t>
      </w:r>
      <w:r w:rsidRPr="00F03917">
        <w:rPr>
          <w:rStyle w:val="findhit"/>
          <w:rFonts w:cs="Calibri"/>
          <w:color w:val="000000"/>
          <w:szCs w:val="20"/>
          <w:shd w:val="clear" w:color="auto" w:fill="FFFFFF"/>
        </w:rPr>
        <w:t>C, and 3</w:t>
      </w:r>
      <w:r w:rsidRPr="00F03917">
        <w:rPr>
          <w:rStyle w:val="findhit"/>
          <w:rFonts w:cs="Calibri"/>
          <w:color w:val="000000"/>
          <w:szCs w:val="20"/>
          <w:shd w:val="clear" w:color="auto" w:fill="FFFFFF"/>
          <w:vertAlign w:val="superscript"/>
        </w:rPr>
        <w:t>o</w:t>
      </w:r>
      <w:r w:rsidRPr="00F03917">
        <w:rPr>
          <w:rStyle w:val="findhit"/>
          <w:rFonts w:cs="Calibri"/>
          <w:color w:val="000000"/>
          <w:szCs w:val="20"/>
          <w:shd w:val="clear" w:color="auto" w:fill="FFFFFF"/>
        </w:rPr>
        <w:t>C global warming</w:t>
      </w:r>
      <w:r w:rsidRPr="00F03917">
        <w:rPr>
          <w:rStyle w:val="findhit"/>
          <w:rFonts w:cs="Calibri"/>
          <w:i/>
          <w:iCs/>
          <w:color w:val="000000"/>
          <w:szCs w:val="20"/>
          <w:shd w:val="clear" w:color="auto" w:fill="FFFFFF"/>
        </w:rPr>
        <w:t xml:space="preserve">. </w:t>
      </w:r>
      <w:r w:rsidRPr="00F03917">
        <w:rPr>
          <w:rStyle w:val="findhit"/>
          <w:rFonts w:cs="Calibri"/>
          <w:i/>
          <w:color w:val="000000"/>
          <w:szCs w:val="20"/>
          <w:shd w:val="clear" w:color="auto" w:fill="FFFFFF"/>
        </w:rPr>
        <w:t>Weather and Climate Extremes</w:t>
      </w:r>
      <w:r w:rsidRPr="00F03917">
        <w:rPr>
          <w:rStyle w:val="findhit"/>
          <w:rFonts w:cs="Calibri"/>
          <w:color w:val="000000"/>
          <w:szCs w:val="20"/>
          <w:shd w:val="clear" w:color="auto" w:fill="FFFFFF"/>
        </w:rPr>
        <w:t xml:space="preserve">. 33. </w:t>
      </w:r>
      <w:hyperlink r:id="rId447" w:history="1">
        <w:r w:rsidRPr="00F03917">
          <w:rPr>
            <w:rStyle w:val="Hyperlink"/>
            <w:rFonts w:cs="Calibri"/>
            <w:szCs w:val="20"/>
            <w:shd w:val="clear" w:color="auto" w:fill="FFFFFF"/>
          </w:rPr>
          <w:t>https://doi.org/10.1016/j.wace.2021.100358</w:t>
        </w:r>
      </w:hyperlink>
      <w:r w:rsidRPr="00F03917">
        <w:rPr>
          <w:rStyle w:val="findhit"/>
          <w:rFonts w:cs="Calibri"/>
          <w:color w:val="000000"/>
          <w:szCs w:val="20"/>
          <w:shd w:val="clear" w:color="auto" w:fill="FFFFFF"/>
        </w:rPr>
        <w:t xml:space="preserve"> </w:t>
      </w:r>
    </w:p>
    <w:p w14:paraId="5F1EFB8D" w14:textId="71FCB6A0" w:rsidR="002A3853" w:rsidRPr="00F03917" w:rsidRDefault="002A3853" w:rsidP="002A3853">
      <w:pPr>
        <w:pStyle w:val="References"/>
      </w:pPr>
      <w:r w:rsidRPr="00F03917">
        <w:rPr>
          <w:rStyle w:val="findhit"/>
          <w:rFonts w:cs="Calibri"/>
          <w:color w:val="000000"/>
          <w:szCs w:val="20"/>
          <w:shd w:val="clear" w:color="auto" w:fill="FFFFFF"/>
        </w:rPr>
        <w:t>Patty</w:t>
      </w:r>
      <w:r w:rsidRPr="00F03917">
        <w:rPr>
          <w:rStyle w:val="normaltextrun"/>
          <w:rFonts w:cs="Calibri"/>
          <w:color w:val="000000"/>
          <w:szCs w:val="20"/>
          <w:shd w:val="clear" w:color="auto" w:fill="FFFFFF"/>
        </w:rPr>
        <w:t xml:space="preserve">n, F., &amp; Morlighem, M. (2020). The uncertain future of the Antarctic Ice Sheet. </w:t>
      </w:r>
      <w:r w:rsidRPr="00F03917">
        <w:rPr>
          <w:rStyle w:val="normaltextrun"/>
          <w:rFonts w:cs="Calibri"/>
          <w:i/>
          <w:iCs/>
          <w:color w:val="000000"/>
          <w:szCs w:val="20"/>
          <w:shd w:val="clear" w:color="auto" w:fill="FFFFFF"/>
        </w:rPr>
        <w:t>Science</w:t>
      </w:r>
      <w:r w:rsidRPr="00F03917">
        <w:rPr>
          <w:rStyle w:val="normaltextrun"/>
          <w:rFonts w:cs="Calibri"/>
          <w:color w:val="000000"/>
          <w:szCs w:val="20"/>
          <w:shd w:val="clear" w:color="auto" w:fill="FFFFFF"/>
        </w:rPr>
        <w:t xml:space="preserve"> 367: 1331–1335. </w:t>
      </w:r>
      <w:hyperlink r:id="rId448" w:history="1">
        <w:r w:rsidR="00B14D8D" w:rsidRPr="00F03917">
          <w:rPr>
            <w:rStyle w:val="Hyperlink"/>
          </w:rPr>
          <w:t>https://doi.org/10.1126/science.aaz5487</w:t>
        </w:r>
      </w:hyperlink>
    </w:p>
    <w:p w14:paraId="42A542B7" w14:textId="4DE2D7FC" w:rsidR="002A3853" w:rsidRPr="00F03917" w:rsidRDefault="002A3853" w:rsidP="002A3853">
      <w:pPr>
        <w:pStyle w:val="References"/>
        <w:rPr>
          <w:color w:val="008080"/>
          <w:u w:val="single"/>
        </w:rPr>
      </w:pPr>
      <w:r w:rsidRPr="00F03917">
        <w:t xml:space="preserve">Paulik, R., Stephens, S.A, Bell, R.G., Wadhwa, S., Popovich, B. (2020). </w:t>
      </w:r>
      <w:r w:rsidRPr="00F03917">
        <w:rPr>
          <w:iCs/>
        </w:rPr>
        <w:t>National-scale built-environment exposure to 100-year extreme sea levels and sea-level rise.</w:t>
      </w:r>
      <w:r w:rsidRPr="00F03917">
        <w:rPr>
          <w:i/>
        </w:rPr>
        <w:t xml:space="preserve"> </w:t>
      </w:r>
      <w:r w:rsidRPr="00F03917">
        <w:rPr>
          <w:i/>
          <w:iCs/>
        </w:rPr>
        <w:t>Sustainability</w:t>
      </w:r>
      <w:r w:rsidRPr="00F03917">
        <w:t xml:space="preserve"> 12(4): 1513. (Special issue ‘Understanding and Preparing for Uncertainty in Sustainable Disaster Risk Management’.) </w:t>
      </w:r>
      <w:hyperlink r:id="rId449" w:history="1">
        <w:r w:rsidR="002C75B5" w:rsidRPr="00F03917">
          <w:rPr>
            <w:rStyle w:val="Hyperlink"/>
          </w:rPr>
          <w:t>https://</w:t>
        </w:r>
        <w:r w:rsidRPr="00F03917">
          <w:rPr>
            <w:rStyle w:val="Hyperlink"/>
          </w:rPr>
          <w:t>doi.org/10.3390/su12041513</w:t>
        </w:r>
      </w:hyperlink>
      <w:r w:rsidRPr="00F03917">
        <w:t>.</w:t>
      </w:r>
      <w:r w:rsidRPr="00F03917">
        <w:rPr>
          <w:color w:val="008080"/>
          <w:u w:val="single"/>
        </w:rPr>
        <w:t xml:space="preserve"> </w:t>
      </w:r>
    </w:p>
    <w:p w14:paraId="58FD2EEF" w14:textId="153D0B54" w:rsidR="002A3853" w:rsidRPr="00F03917" w:rsidRDefault="002A3853" w:rsidP="002A3853">
      <w:pPr>
        <w:pStyle w:val="References"/>
        <w:rPr>
          <w:color w:val="008080"/>
          <w:u w:val="single"/>
        </w:rPr>
      </w:pPr>
      <w:r w:rsidRPr="00F03917">
        <w:t xml:space="preserve">Paulik, R., Wild, A., Stephens, S.A., Wadhwa, S., Bell, R.G. (2021). Cumulative building exposure to extreme sea level flooding in coastal urban areas. </w:t>
      </w:r>
      <w:r w:rsidRPr="00F03917">
        <w:rPr>
          <w:i/>
        </w:rPr>
        <w:t>International Journal of Disaster Risk Reduction</w:t>
      </w:r>
      <w:r w:rsidRPr="00F03917">
        <w:t xml:space="preserve"> 66: 102612. </w:t>
      </w:r>
      <w:hyperlink r:id="rId450" w:history="1">
        <w:r w:rsidR="00E53C87" w:rsidRPr="00F03917">
          <w:rPr>
            <w:rStyle w:val="Hyperlink"/>
          </w:rPr>
          <w:t>https://</w:t>
        </w:r>
        <w:r w:rsidRPr="00F03917">
          <w:rPr>
            <w:rStyle w:val="Hyperlink"/>
          </w:rPr>
          <w:t>doi.org/10.1016/j.ijdrr.2021.102612</w:t>
        </w:r>
      </w:hyperlink>
      <w:r w:rsidRPr="00F03917">
        <w:t>.</w:t>
      </w:r>
      <w:r w:rsidRPr="00F03917">
        <w:rPr>
          <w:color w:val="008080"/>
          <w:u w:val="single"/>
        </w:rPr>
        <w:t xml:space="preserve"> </w:t>
      </w:r>
    </w:p>
    <w:p w14:paraId="03FE7978" w14:textId="77777777" w:rsidR="002A3853" w:rsidRPr="00F03917" w:rsidRDefault="002A3853" w:rsidP="002A3853">
      <w:pPr>
        <w:pStyle w:val="References"/>
      </w:pPr>
      <w:r w:rsidRPr="00F03917">
        <w:t xml:space="preserve">Paulik, R., Stephens, S., Wadhwa, S., Bell, R., Popovich, B., &amp; Robinson, B. (2019). Coastal flooding exposure under future sea-level rise for New Zealand. </w:t>
      </w:r>
      <w:r w:rsidRPr="00F03917">
        <w:rPr>
          <w:i/>
          <w:iCs/>
        </w:rPr>
        <w:t>NIWA Client Report 2019119WN</w:t>
      </w:r>
      <w:r w:rsidRPr="00F03917">
        <w:t>, prepared for The Deep South Science Challenge, 2019.</w:t>
      </w:r>
    </w:p>
    <w:p w14:paraId="5486A09F" w14:textId="3A56D3F4" w:rsidR="002A3853" w:rsidRPr="00F03917" w:rsidRDefault="002A3853" w:rsidP="002A3853">
      <w:pPr>
        <w:pStyle w:val="References"/>
        <w:rPr>
          <w:color w:val="008080"/>
          <w:u w:val="single"/>
        </w:rPr>
      </w:pPr>
      <w:r w:rsidRPr="00F03917">
        <w:t xml:space="preserve">Paulik, R., Wild, A., Stephens, S., Welsh, R., Wadhwa, S. (2023). </w:t>
      </w:r>
      <w:r w:rsidRPr="00F03917">
        <w:rPr>
          <w:iCs/>
        </w:rPr>
        <w:t>National assessment of extreme sea-level driven inundation under rising sea levels</w:t>
      </w:r>
      <w:r w:rsidRPr="00F03917">
        <w:rPr>
          <w:i/>
        </w:rPr>
        <w:t>.</w:t>
      </w:r>
      <w:r w:rsidRPr="00F03917">
        <w:t xml:space="preserve"> </w:t>
      </w:r>
      <w:r w:rsidRPr="00F03917">
        <w:rPr>
          <w:i/>
          <w:iCs/>
        </w:rPr>
        <w:t>Frontiers in Environmental Science</w:t>
      </w:r>
      <w:r w:rsidRPr="00F03917">
        <w:t xml:space="preserve"> 10: 1045743. </w:t>
      </w:r>
      <w:hyperlink r:id="rId451" w:history="1">
        <w:r w:rsidR="00681F27" w:rsidRPr="00F03917">
          <w:rPr>
            <w:rStyle w:val="Hyperlink"/>
          </w:rPr>
          <w:t>https://</w:t>
        </w:r>
        <w:r w:rsidRPr="00F03917">
          <w:rPr>
            <w:rStyle w:val="Hyperlink"/>
          </w:rPr>
          <w:t>doi.org/10.3389/fenvs.2022.1045743</w:t>
        </w:r>
      </w:hyperlink>
      <w:r w:rsidRPr="00F03917">
        <w:t>.</w:t>
      </w:r>
      <w:r w:rsidRPr="00F03917">
        <w:rPr>
          <w:color w:val="008080"/>
          <w:u w:val="single"/>
        </w:rPr>
        <w:t xml:space="preserve"> </w:t>
      </w:r>
    </w:p>
    <w:p w14:paraId="4BCCDE29" w14:textId="77777777" w:rsidR="002A3853" w:rsidRPr="00F03917" w:rsidRDefault="002A3853" w:rsidP="002A3853">
      <w:pPr>
        <w:pStyle w:val="References"/>
      </w:pPr>
      <w:r w:rsidRPr="00F03917">
        <w:t xml:space="preserve">Pearson, C. (2004). Joint probabilities of sea levels and Buller River floods. </w:t>
      </w:r>
      <w:r w:rsidRPr="00F03917">
        <w:rPr>
          <w:i/>
        </w:rPr>
        <w:t>NIWA Client Report CHC2004–092.</w:t>
      </w:r>
      <w:r w:rsidRPr="00F03917">
        <w:t xml:space="preserve"> Wellington: NIWA. </w:t>
      </w:r>
    </w:p>
    <w:p w14:paraId="0D73A20A" w14:textId="2084E22C" w:rsidR="002A3853" w:rsidRPr="00F03917" w:rsidRDefault="002A3853" w:rsidP="002A3853">
      <w:pPr>
        <w:pStyle w:val="References"/>
      </w:pPr>
      <w:r w:rsidRPr="00F03917">
        <w:rPr>
          <w:shd w:val="clear" w:color="auto" w:fill="FFFFFF"/>
        </w:rPr>
        <w:t xml:space="preserve">Perrette, M., Landerer, F., Riva, R., Frieler, K., Meinshausen, M. (2013). </w:t>
      </w:r>
      <w:r w:rsidRPr="00F03917">
        <w:rPr>
          <w:iCs/>
          <w:shd w:val="clear" w:color="auto" w:fill="FFFFFF"/>
        </w:rPr>
        <w:t>A scaling approach to project regional sea level rise and its uncertainties</w:t>
      </w:r>
      <w:r w:rsidRPr="00F03917">
        <w:rPr>
          <w:i/>
          <w:shd w:val="clear" w:color="auto" w:fill="FFFFFF"/>
        </w:rPr>
        <w:t xml:space="preserve">. </w:t>
      </w:r>
      <w:r w:rsidRPr="00F03917">
        <w:rPr>
          <w:i/>
          <w:iCs/>
          <w:shd w:val="clear" w:color="auto" w:fill="FFFFFF"/>
        </w:rPr>
        <w:t>Earth System Dynamics</w:t>
      </w:r>
      <w:r w:rsidRPr="00F03917">
        <w:rPr>
          <w:shd w:val="clear" w:color="auto" w:fill="FFFFFF"/>
        </w:rPr>
        <w:t xml:space="preserve"> 4(1): 11–29. </w:t>
      </w:r>
      <w:hyperlink r:id="rId452" w:history="1">
        <w:r w:rsidR="0066065D" w:rsidRPr="00F03917">
          <w:rPr>
            <w:rStyle w:val="Hyperlink"/>
          </w:rPr>
          <w:t>https://dx.doi.org/10.5194/esd-4-11-2013</w:t>
        </w:r>
      </w:hyperlink>
      <w:r w:rsidRPr="00F03917">
        <w:rPr>
          <w:shd w:val="clear" w:color="auto" w:fill="FFFFFF"/>
        </w:rPr>
        <w:t>. </w:t>
      </w:r>
    </w:p>
    <w:p w14:paraId="281C16A0" w14:textId="24E587B4"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Power,</w:t>
      </w:r>
      <w:r w:rsidRPr="00F03917">
        <w:rPr>
          <w:rStyle w:val="normaltextrun"/>
          <w:rFonts w:cs="Calibri"/>
          <w:color w:val="000000"/>
          <w:szCs w:val="20"/>
          <w:shd w:val="clear" w:color="auto" w:fill="FFFFFF"/>
        </w:rPr>
        <w:t xml:space="preserve"> W., L. (2013). Review of tsunami hazard in New Zealand (2013 update). </w:t>
      </w:r>
      <w:r w:rsidRPr="00F03917">
        <w:rPr>
          <w:rStyle w:val="normaltextrun"/>
          <w:rFonts w:cs="Calibri"/>
          <w:i/>
          <w:color w:val="000000"/>
          <w:szCs w:val="20"/>
          <w:shd w:val="clear" w:color="auto" w:fill="FFFFFF"/>
        </w:rPr>
        <w:t>Wellington: GNS Science</w:t>
      </w:r>
      <w:r w:rsidRPr="00F03917">
        <w:rPr>
          <w:rStyle w:val="normaltextrun"/>
          <w:rFonts w:cs="Calibri"/>
          <w:color w:val="000000"/>
          <w:szCs w:val="20"/>
          <w:shd w:val="clear" w:color="auto" w:fill="FFFFFF"/>
        </w:rPr>
        <w:t xml:space="preserve">. Retrieved from </w:t>
      </w:r>
      <w:r w:rsidR="008917CF" w:rsidRPr="00F03917">
        <w:rPr>
          <w:rStyle w:val="Hyperlink"/>
        </w:rPr>
        <w:t>https://www.gns.cri.nz/assets/Data-and-Resources/Download-files/Tsunami-Report-2013.pdf</w:t>
      </w:r>
      <w:r w:rsidRPr="00F03917">
        <w:rPr>
          <w:rStyle w:val="Hyperlink"/>
          <w:rFonts w:eastAsia="Calibri"/>
        </w:rPr>
        <w:t>.</w:t>
      </w:r>
      <w:r w:rsidRPr="00F03917">
        <w:rPr>
          <w:rStyle w:val="eop"/>
          <w:rFonts w:cs="Calibri"/>
          <w:color w:val="000000"/>
          <w:shd w:val="clear" w:color="auto" w:fill="FFFFFF"/>
        </w:rPr>
        <w:t> </w:t>
      </w:r>
    </w:p>
    <w:p w14:paraId="589CCC6B"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Pugh,</w:t>
      </w:r>
      <w:r w:rsidRPr="00F03917">
        <w:rPr>
          <w:rStyle w:val="normaltextrun"/>
          <w:rFonts w:cs="Calibri"/>
          <w:color w:val="000000"/>
          <w:szCs w:val="20"/>
          <w:shd w:val="clear" w:color="auto" w:fill="FFFFFF"/>
        </w:rPr>
        <w:t xml:space="preserve"> D., T. (1996).</w:t>
      </w:r>
      <w:r w:rsidRPr="00F03917">
        <w:rPr>
          <w:rStyle w:val="normaltextrun"/>
          <w:rFonts w:cs="Calibri"/>
          <w:i/>
          <w:color w:val="000000"/>
          <w:szCs w:val="20"/>
          <w:shd w:val="clear" w:color="auto" w:fill="FFFFFF"/>
        </w:rPr>
        <w:t xml:space="preserve"> </w:t>
      </w:r>
      <w:r w:rsidRPr="00F03917">
        <w:rPr>
          <w:rStyle w:val="normaltextrun"/>
          <w:rFonts w:cs="Calibri"/>
          <w:i/>
          <w:iCs/>
          <w:color w:val="000000"/>
          <w:szCs w:val="20"/>
          <w:shd w:val="clear" w:color="auto" w:fill="FFFFFF"/>
        </w:rPr>
        <w:t>Tides, surges and mean sea-level</w:t>
      </w:r>
      <w:r w:rsidRPr="00F03917">
        <w:rPr>
          <w:rStyle w:val="normaltextrun"/>
          <w:rFonts w:cs="Calibri"/>
          <w:color w:val="000000"/>
          <w:szCs w:val="20"/>
          <w:shd w:val="clear" w:color="auto" w:fill="FFFFFF"/>
        </w:rPr>
        <w:t xml:space="preserve"> (reprinted with corrections). </w:t>
      </w:r>
      <w:r w:rsidRPr="00F03917">
        <w:rPr>
          <w:rStyle w:val="normaltextrun"/>
          <w:rFonts w:cs="Calibri"/>
          <w:i/>
          <w:color w:val="000000"/>
          <w:szCs w:val="20"/>
          <w:shd w:val="clear" w:color="auto" w:fill="FFFFFF"/>
        </w:rPr>
        <w:t>Chichester: John Wiley &amp; Sons Ltd</w:t>
      </w:r>
      <w:r w:rsidRPr="00F03917">
        <w:rPr>
          <w:rStyle w:val="normaltextrun"/>
          <w:rFonts w:cs="Calibri"/>
          <w:color w:val="000000"/>
          <w:szCs w:val="20"/>
          <w:shd w:val="clear" w:color="auto" w:fill="FFFFFF"/>
        </w:rPr>
        <w:t xml:space="preserve">: 486. </w:t>
      </w:r>
      <w:hyperlink r:id="rId453" w:tgtFrame="_blank" w:history="1">
        <w:r w:rsidRPr="00F03917">
          <w:rPr>
            <w:rStyle w:val="Hyperlink"/>
            <w:rFonts w:eastAsia="Calibri"/>
          </w:rPr>
          <w:t>http://eprints.soton.ac.uk/19157/1/sea-level.pdf</w:t>
        </w:r>
      </w:hyperlink>
      <w:r w:rsidRPr="00F03917">
        <w:rPr>
          <w:rStyle w:val="Hyperlink"/>
          <w:rFonts w:eastAsia="Calibri"/>
        </w:rPr>
        <w:t>.</w:t>
      </w:r>
    </w:p>
    <w:p w14:paraId="125B0BFA"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Quilter,</w:t>
      </w:r>
      <w:r w:rsidRPr="00F03917">
        <w:rPr>
          <w:rStyle w:val="normaltextrun"/>
          <w:rFonts w:cs="Calibri"/>
          <w:color w:val="000000"/>
          <w:szCs w:val="20"/>
          <w:shd w:val="clear" w:color="auto" w:fill="FFFFFF"/>
        </w:rPr>
        <w:t xml:space="preserve"> P. (2015). The effect of sea level rise on liquefaction vulnerability: A case study for consideration of development on coastal plains and reclamations</w:t>
      </w:r>
      <w:r w:rsidRPr="00F03917">
        <w:rPr>
          <w:rStyle w:val="normaltextrun"/>
          <w:rFonts w:cs="Calibri"/>
          <w:i/>
          <w:color w:val="000000"/>
          <w:szCs w:val="20"/>
          <w:shd w:val="clear" w:color="auto" w:fill="FFFFFF"/>
        </w:rPr>
        <w:t>. In: Proceedings of the Australasian Coasts and Ports Conference 2015</w:t>
      </w:r>
      <w:r w:rsidRPr="00F03917">
        <w:rPr>
          <w:rStyle w:val="normaltextrun"/>
          <w:rFonts w:cs="Calibri"/>
          <w:color w:val="000000"/>
          <w:szCs w:val="20"/>
          <w:shd w:val="clear" w:color="auto" w:fill="FFFFFF"/>
        </w:rPr>
        <w:t>. Auckland.</w:t>
      </w:r>
    </w:p>
    <w:p w14:paraId="49E726E6" w14:textId="1493D671" w:rsidR="002A3853" w:rsidRPr="00F03917" w:rsidRDefault="002A3853" w:rsidP="002A3853">
      <w:pPr>
        <w:pStyle w:val="References"/>
      </w:pPr>
      <w:r w:rsidRPr="00F03917">
        <w:rPr>
          <w:rStyle w:val="findhit"/>
          <w:rFonts w:cs="Calibri"/>
          <w:color w:val="000000"/>
          <w:szCs w:val="20"/>
          <w:shd w:val="clear" w:color="auto" w:fill="FFFFFF"/>
        </w:rPr>
        <w:t>Rah</w:t>
      </w:r>
      <w:r w:rsidRPr="00F03917">
        <w:rPr>
          <w:rStyle w:val="normaltextrun"/>
          <w:rFonts w:cs="Calibri"/>
          <w:color w:val="000000"/>
          <w:szCs w:val="20"/>
          <w:shd w:val="clear" w:color="auto" w:fill="FFFFFF"/>
        </w:rPr>
        <w:t>mstorf, S., Perrette, M., &amp; Vermeer, M. (2012). Testing the robustness of semi-empirical sea level projections</w:t>
      </w:r>
      <w:r w:rsidRPr="00F03917">
        <w:rPr>
          <w:rStyle w:val="normaltextrun"/>
          <w:rFonts w:cs="Calibri"/>
          <w:i/>
          <w:color w:val="000000"/>
          <w:szCs w:val="20"/>
          <w:shd w:val="clear" w:color="auto" w:fill="FFFFFF"/>
        </w:rPr>
        <w:t>. Climate Dynamics</w:t>
      </w:r>
      <w:r w:rsidRPr="00F03917">
        <w:rPr>
          <w:rStyle w:val="normaltextrun"/>
          <w:rFonts w:cs="Calibri"/>
          <w:color w:val="000000"/>
          <w:szCs w:val="20"/>
          <w:shd w:val="clear" w:color="auto" w:fill="FFFFFF"/>
        </w:rPr>
        <w:t xml:space="preserve"> 39(3): 861–875. </w:t>
      </w:r>
      <w:hyperlink r:id="rId454" w:tgtFrame="_blank" w:history="1">
        <w:r w:rsidRPr="00F03917">
          <w:rPr>
            <w:rStyle w:val="Hyperlink"/>
          </w:rPr>
          <w:t>http://dx.doi.org/10.1007/s00382-011-1226-7</w:t>
        </w:r>
      </w:hyperlink>
      <w:r w:rsidRPr="00F03917">
        <w:rPr>
          <w:rStyle w:val="Hyperlink"/>
          <w:rFonts w:eastAsia="Calibri"/>
        </w:rPr>
        <w:t>.</w:t>
      </w:r>
      <w:r w:rsidRPr="00F03917">
        <w:rPr>
          <w:rStyle w:val="eop"/>
          <w:rFonts w:cs="Calibri"/>
          <w:color w:val="000000"/>
          <w:shd w:val="clear" w:color="auto" w:fill="FFFFFF"/>
        </w:rPr>
        <w:t> </w:t>
      </w:r>
    </w:p>
    <w:p w14:paraId="43CC1E6B" w14:textId="5054C814" w:rsidR="002A3853" w:rsidRPr="00F03917" w:rsidRDefault="002A3853" w:rsidP="002A3853">
      <w:pPr>
        <w:pStyle w:val="References"/>
      </w:pPr>
      <w:r w:rsidRPr="00F03917">
        <w:rPr>
          <w:rStyle w:val="findhit"/>
          <w:rFonts w:cs="Calibri"/>
          <w:color w:val="000000"/>
          <w:szCs w:val="20"/>
          <w:shd w:val="clear" w:color="auto" w:fill="FFFFFF"/>
        </w:rPr>
        <w:t>Ramsa</w:t>
      </w:r>
      <w:r w:rsidRPr="00F03917">
        <w:rPr>
          <w:rStyle w:val="normaltextrun"/>
          <w:rFonts w:cs="Calibri"/>
          <w:color w:val="000000"/>
          <w:szCs w:val="20"/>
          <w:shd w:val="clear" w:color="auto" w:fill="FFFFFF"/>
        </w:rPr>
        <w:t>y, D., &amp; Stephens. S. (2006). Double trouble: How often do large waves occur with high water levels?</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Coastal News</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32: 4–5. Published by the NZ Coastal Society, June 2006.</w:t>
      </w:r>
      <w:r w:rsidR="00875874" w:rsidRPr="00F03917">
        <w:rPr>
          <w:rStyle w:val="eop"/>
          <w:rFonts w:cs="Calibri"/>
          <w:color w:val="000000"/>
          <w:szCs w:val="20"/>
          <w:shd w:val="clear" w:color="auto" w:fill="FFFFFF"/>
        </w:rPr>
        <w:t xml:space="preserve"> Retrieved from </w:t>
      </w:r>
      <w:hyperlink r:id="rId455" w:history="1">
        <w:r w:rsidR="00875874" w:rsidRPr="00F03917">
          <w:rPr>
            <w:rStyle w:val="Hyperlink"/>
          </w:rPr>
          <w:t>https://www.coastalsociety.org.nz/assets/Uploads/files/CN-32-2006-06.pdf</w:t>
        </w:r>
      </w:hyperlink>
      <w:r w:rsidR="00875874" w:rsidRPr="00F03917">
        <w:rPr>
          <w:rStyle w:val="eop"/>
          <w:rFonts w:cs="Calibri"/>
          <w:color w:val="000000"/>
          <w:szCs w:val="20"/>
          <w:shd w:val="clear" w:color="auto" w:fill="FFFFFF"/>
        </w:rPr>
        <w:t>.</w:t>
      </w:r>
    </w:p>
    <w:p w14:paraId="08B7D90C" w14:textId="5F8C939C" w:rsidR="002A3853" w:rsidRPr="00F03917" w:rsidRDefault="002A3853" w:rsidP="002A3853">
      <w:pPr>
        <w:pStyle w:val="References"/>
      </w:pPr>
      <w:r w:rsidRPr="00F03917">
        <w:t xml:space="preserve">Ramsay, D.L.G., Gibberd, B., Dahm, J., Bell, R.G. (2012). Defining coastal hazard zones and setback lines: A guide to good practice. Hamilton: NIWA. Retrieved from </w:t>
      </w:r>
      <w:r w:rsidR="001F6BAE" w:rsidRPr="00F03917">
        <w:rPr>
          <w:rStyle w:val="Hyperlink"/>
        </w:rPr>
        <w:t>https://ref.coastalrestorationtrust.org.nz/site/assets/files/8926/defining20coastal-hazard20zones20for20setbacks20lines_1.pdf</w:t>
      </w:r>
      <w:r w:rsidRPr="00F03917">
        <w:t xml:space="preserve">. </w:t>
      </w:r>
    </w:p>
    <w:p w14:paraId="100E6399" w14:textId="77777777" w:rsidR="002A3853" w:rsidRPr="00F03917" w:rsidRDefault="002A3853" w:rsidP="002A3853">
      <w:pPr>
        <w:pStyle w:val="References"/>
      </w:pPr>
      <w:r w:rsidRPr="00F03917">
        <w:rPr>
          <w:rStyle w:val="findhit"/>
          <w:rFonts w:cs="Calibri"/>
          <w:color w:val="000000"/>
          <w:szCs w:val="20"/>
          <w:shd w:val="clear" w:color="auto" w:fill="FFFFFF"/>
        </w:rPr>
        <w:t>Ranasinghe,</w:t>
      </w:r>
      <w:r w:rsidRPr="00F03917">
        <w:rPr>
          <w:rStyle w:val="normaltextrun"/>
          <w:rFonts w:cs="Calibri"/>
          <w:color w:val="000000"/>
          <w:szCs w:val="20"/>
          <w:shd w:val="clear" w:color="auto" w:fill="FFFFFF"/>
        </w:rPr>
        <w:t xml:space="preserve"> R., McLoughlin, R., Short, A., Symonds, G. (2004). The Southern Oscillation Index, wave climate, and beach rotation.</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Marine Geology</w:t>
      </w:r>
      <w:r w:rsidRPr="00F03917">
        <w:rPr>
          <w:rStyle w:val="normaltextrun"/>
          <w:rFonts w:cs="Calibri"/>
          <w:color w:val="000000"/>
          <w:szCs w:val="20"/>
          <w:shd w:val="clear" w:color="auto" w:fill="FFFFFF"/>
        </w:rPr>
        <w:t xml:space="preserve"> 204(3): 273–287. </w:t>
      </w:r>
      <w:hyperlink r:id="rId456" w:tgtFrame="_blank" w:history="1">
        <w:r w:rsidRPr="00F03917">
          <w:rPr>
            <w:rStyle w:val="Hyperlink"/>
            <w:rFonts w:eastAsia="Calibri"/>
          </w:rPr>
          <w:t>http://dx.doi.org/10.1016/S0025-3227(04)00002-7</w:t>
        </w:r>
      </w:hyperlink>
      <w:r w:rsidRPr="00F03917">
        <w:rPr>
          <w:rStyle w:val="Hyperlink"/>
          <w:rFonts w:eastAsia="Calibri"/>
        </w:rPr>
        <w:t>.</w:t>
      </w:r>
      <w:r w:rsidRPr="00F03917">
        <w:rPr>
          <w:rStyle w:val="eop"/>
          <w:rFonts w:cs="Calibri"/>
          <w:sz w:val="19"/>
          <w:szCs w:val="19"/>
          <w:shd w:val="clear" w:color="auto" w:fill="FFFFFF"/>
        </w:rPr>
        <w:t> </w:t>
      </w:r>
    </w:p>
    <w:p w14:paraId="130FADF1" w14:textId="54AB3B36" w:rsidR="002A3853" w:rsidRPr="00F03917" w:rsidRDefault="002A3853" w:rsidP="002A3853">
      <w:pPr>
        <w:pStyle w:val="References"/>
        <w:rPr>
          <w:color w:val="008080"/>
          <w:u w:val="single"/>
        </w:rPr>
      </w:pPr>
      <w:r w:rsidRPr="00F03917">
        <w:t>Rasmussen, D.J., Bittermann, K., Buchanan, M.K., Kulp, S., Strauss, B.H., Kopp, R.E., Oppenheimer, M. (2018). Extreme sea level implications of 1.5°C, 2.0°C, and 2.5°C temperature stabilization targets in the 21st and 22nd centuries</w:t>
      </w:r>
      <w:r w:rsidRPr="00F03917">
        <w:rPr>
          <w:i/>
        </w:rPr>
        <w:t>.</w:t>
      </w:r>
      <w:r w:rsidRPr="00F03917">
        <w:t xml:space="preserve"> </w:t>
      </w:r>
      <w:r w:rsidRPr="00F03917">
        <w:rPr>
          <w:i/>
        </w:rPr>
        <w:t>Environmental Research Letters</w:t>
      </w:r>
      <w:r w:rsidRPr="00F03917">
        <w:t xml:space="preserve"> 13: 034040. </w:t>
      </w:r>
      <w:r w:rsidR="005D7536" w:rsidRPr="00F03917">
        <w:rPr>
          <w:rStyle w:val="Hyperlink"/>
        </w:rPr>
        <w:t>https://doi.org/10.1088/1748-9326/aaac87</w:t>
      </w:r>
      <w:r w:rsidRPr="00F03917">
        <w:t>.</w:t>
      </w:r>
      <w:r w:rsidRPr="00F03917">
        <w:rPr>
          <w:color w:val="008080"/>
          <w:u w:val="single"/>
        </w:rPr>
        <w:t xml:space="preserve"> </w:t>
      </w:r>
    </w:p>
    <w:p w14:paraId="5B90A35B" w14:textId="78758589" w:rsidR="002A3853" w:rsidRPr="00F03917" w:rsidRDefault="002A3853" w:rsidP="002A3853">
      <w:pPr>
        <w:pStyle w:val="References"/>
        <w:rPr>
          <w:color w:val="008080"/>
          <w:u w:val="single"/>
        </w:rPr>
      </w:pPr>
      <w:r w:rsidRPr="00F03917">
        <w:t xml:space="preserve">Rasmussen, D.J., Kulp, S., Kopp, R.E., Oppenheimer, M., Strauss, B.H. (2022). </w:t>
      </w:r>
      <w:r w:rsidRPr="00F03917">
        <w:rPr>
          <w:iCs/>
        </w:rPr>
        <w:t xml:space="preserve">Popular extreme sea level </w:t>
      </w:r>
      <w:r w:rsidRPr="00F03917">
        <w:rPr>
          <w:iCs/>
          <w:spacing w:val="-2"/>
        </w:rPr>
        <w:t>metrics can better communicate impacts.</w:t>
      </w:r>
      <w:r w:rsidRPr="00F03917">
        <w:rPr>
          <w:spacing w:val="-2"/>
        </w:rPr>
        <w:t xml:space="preserve"> </w:t>
      </w:r>
      <w:r w:rsidRPr="00F03917">
        <w:rPr>
          <w:i/>
          <w:iCs/>
          <w:spacing w:val="-2"/>
        </w:rPr>
        <w:t>Climatic Change</w:t>
      </w:r>
      <w:r w:rsidRPr="00F03917">
        <w:rPr>
          <w:spacing w:val="-2"/>
        </w:rPr>
        <w:t xml:space="preserve"> 170(30). </w:t>
      </w:r>
      <w:hyperlink r:id="rId457" w:history="1">
        <w:r w:rsidR="002E1DB2" w:rsidRPr="00F03917">
          <w:rPr>
            <w:rStyle w:val="Hyperlink"/>
          </w:rPr>
          <w:t>https://</w:t>
        </w:r>
        <w:r w:rsidRPr="00F03917">
          <w:rPr>
            <w:rStyle w:val="Hyperlink"/>
          </w:rPr>
          <w:t>doi.org/10.1007/s10584-021-03288-6</w:t>
        </w:r>
      </w:hyperlink>
      <w:r w:rsidRPr="00F03917">
        <w:rPr>
          <w:spacing w:val="-2"/>
        </w:rPr>
        <w:t>.</w:t>
      </w:r>
      <w:r w:rsidRPr="00F03917">
        <w:rPr>
          <w:color w:val="008080"/>
          <w:u w:val="single"/>
        </w:rPr>
        <w:t xml:space="preserve"> </w:t>
      </w:r>
    </w:p>
    <w:p w14:paraId="56D7CBB9" w14:textId="480B5EE2" w:rsidR="002A3853" w:rsidRPr="00F03917" w:rsidRDefault="002A3853" w:rsidP="002A3853">
      <w:pPr>
        <w:pStyle w:val="References"/>
        <w:rPr>
          <w:lang w:val="en-AU"/>
        </w:rPr>
      </w:pPr>
      <w:r w:rsidRPr="00F03917">
        <w:rPr>
          <w:rStyle w:val="findhit"/>
          <w:rFonts w:cs="Calibri"/>
          <w:color w:val="000000"/>
          <w:szCs w:val="20"/>
          <w:shd w:val="clear" w:color="auto" w:fill="FFFFFF"/>
        </w:rPr>
        <w:t>Reed,</w:t>
      </w:r>
      <w:r w:rsidRPr="00F03917">
        <w:rPr>
          <w:rStyle w:val="normaltextrun"/>
          <w:rFonts w:cs="Calibri"/>
          <w:color w:val="000000"/>
          <w:szCs w:val="20"/>
          <w:shd w:val="clear" w:color="auto" w:fill="FFFFFF"/>
        </w:rPr>
        <w:t xml:space="preserve"> M., S., Graves, A., Dandy, N., Posthumus, H., Hubacek, K., Morris, J., Prell, C., Quinn, C., H., Stringer, L., C. (2009). Who’s in and why? A typology of stakeholder analysis methods for natural resource management. </w:t>
      </w:r>
      <w:r w:rsidRPr="00F03917">
        <w:rPr>
          <w:rStyle w:val="normaltextrun"/>
          <w:rFonts w:cs="Calibri"/>
          <w:i/>
          <w:color w:val="000000"/>
          <w:szCs w:val="20"/>
          <w:shd w:val="clear" w:color="auto" w:fill="FFFFFF"/>
        </w:rPr>
        <w:t>Journal of Environmental Management</w:t>
      </w:r>
      <w:r w:rsidRPr="00F03917">
        <w:rPr>
          <w:rStyle w:val="normaltextrun"/>
          <w:rFonts w:cs="Calibri"/>
          <w:color w:val="000000"/>
          <w:szCs w:val="20"/>
          <w:shd w:val="clear" w:color="auto" w:fill="FFFFFF"/>
        </w:rPr>
        <w:t xml:space="preserve"> 90(5): 1933–1949. </w:t>
      </w:r>
      <w:hyperlink r:id="rId458" w:tgtFrame="_blank" w:history="1">
        <w:r w:rsidRPr="00F03917">
          <w:rPr>
            <w:rStyle w:val="Hyperlink"/>
            <w:rFonts w:eastAsia="Calibri"/>
          </w:rPr>
          <w:t>http://dx.doi.org/10.1016/j.jenvman.2009.01.001</w:t>
        </w:r>
      </w:hyperlink>
      <w:r w:rsidRPr="00F03917">
        <w:rPr>
          <w:rStyle w:val="Hyperlink"/>
          <w:rFonts w:eastAsia="Calibri"/>
        </w:rPr>
        <w:t>.</w:t>
      </w:r>
      <w:r w:rsidRPr="00F03917">
        <w:rPr>
          <w:rStyle w:val="eop"/>
          <w:rFonts w:cs="Calibri"/>
          <w:color w:val="000000"/>
          <w:shd w:val="clear" w:color="auto" w:fill="FFFFFF"/>
        </w:rPr>
        <w:t> </w:t>
      </w:r>
    </w:p>
    <w:p w14:paraId="2FAF671A" w14:textId="77777777" w:rsidR="002A3853" w:rsidRPr="00F03917" w:rsidRDefault="002A3853" w:rsidP="002A3853">
      <w:pPr>
        <w:pStyle w:val="References"/>
      </w:pPr>
      <w:r w:rsidRPr="00F03917">
        <w:t xml:space="preserve">Reinen-Hamill, R., Hegan, B., Shand, T. (2006). Regional Assessment of Areas Susceptible to Coastal Erosion. </w:t>
      </w:r>
      <w:r w:rsidRPr="00F03917">
        <w:rPr>
          <w:i/>
        </w:rPr>
        <w:t>Prepared by Tonkin &amp; Taylor Ltd for Auckland Regional Council</w:t>
      </w:r>
      <w:r w:rsidRPr="00F03917">
        <w:t xml:space="preserve">. Auckland Regional Council Technical Report 2009/009. </w:t>
      </w:r>
    </w:p>
    <w:p w14:paraId="771323B0" w14:textId="77777777" w:rsidR="002A3853" w:rsidRPr="00F03917" w:rsidRDefault="002A3853" w:rsidP="002A3853">
      <w:pPr>
        <w:pStyle w:val="References"/>
      </w:pPr>
      <w:r w:rsidRPr="00F03917">
        <w:t xml:space="preserve">Reisinger, A., Howden, M., Vera, C., et al. (2020). The Concept of Risk in the IPCC Sixth Assessment Report: A Summary of Cross-Working Group Discussions. Intergovernmental Panel on Climate Change, Geneva, Switzerland. Retrieved from </w:t>
      </w:r>
      <w:hyperlink r:id="rId459" w:history="1">
        <w:r w:rsidRPr="00F03917">
          <w:rPr>
            <w:rStyle w:val="Hyperlink"/>
            <w:rFonts w:eastAsia="Calibri" w:cs="Calibri"/>
          </w:rPr>
          <w:t>www.ipcc.ch/event/guidance-note-concept-of-risk-in-the-6ar-cross-wg-discussions/</w:t>
        </w:r>
      </w:hyperlink>
      <w:r w:rsidRPr="00F03917">
        <w:t>.</w:t>
      </w:r>
    </w:p>
    <w:p w14:paraId="344D0F93" w14:textId="32DC252F" w:rsidR="002A3853" w:rsidRPr="00F03917" w:rsidRDefault="002A3853" w:rsidP="002A3853">
      <w:pPr>
        <w:pStyle w:val="References"/>
      </w:pPr>
      <w:r w:rsidRPr="00F03917">
        <w:t xml:space="preserve">Riahi, K., Schaeffer, R., Arango, J., Calvin, K., Guivarch, C., Hasegawa, T., Jiang, K., Kriegler, E., Matthews, R., Peters, G. P., Rao, A., Robertson, S., Mohammed Sebbit, A., Steinberger, J., Tavoni, M., van Vuuren, D. P. (2022). </w:t>
      </w:r>
      <w:r w:rsidRPr="00F03917">
        <w:rPr>
          <w:iCs/>
        </w:rPr>
        <w:t>Mitigation pathways compatible with long-term goals</w:t>
      </w:r>
      <w:r w:rsidRPr="00F03917">
        <w:t xml:space="preserve">. In IPCC, 2022: </w:t>
      </w:r>
      <w:r w:rsidRPr="00F03917">
        <w:rPr>
          <w:i/>
          <w:iCs/>
        </w:rPr>
        <w:t>Climate Change 2022: Mitigation of Climate Change. Contribution of Working Group III to the Sixth Assessment Report of the Intergovernmental Panel on Climate Change</w:t>
      </w:r>
      <w:r w:rsidRPr="00F03917">
        <w:t xml:space="preserve">. P.R., Shukla, J., Skea, R., Slade, A., Al Khourdajie, R., van Diemen, D., McCollum, M., Pathak, S., Some, P., Vyas, R., Fradera, M,. Belkacemi, A., Hasija, G., Lisboa, S., Luz, J., Malley, (eds). Cambridge University Press, Cambridge, UK and New York, NY, USA. </w:t>
      </w:r>
      <w:r w:rsidR="00DB4FF9" w:rsidRPr="00F03917">
        <w:rPr>
          <w:rStyle w:val="Hyperlink"/>
        </w:rPr>
        <w:t>https://doi.org/10.1017/9781009157926.005</w:t>
      </w:r>
      <w:r w:rsidRPr="00F03917">
        <w:t xml:space="preserve">. </w:t>
      </w:r>
    </w:p>
    <w:p w14:paraId="0B5B3EF7" w14:textId="428B3D30" w:rsidR="002A3853" w:rsidRPr="00F03917" w:rsidRDefault="002A3853" w:rsidP="002A3853">
      <w:pPr>
        <w:pStyle w:val="References"/>
      </w:pPr>
      <w:r w:rsidRPr="00F03917">
        <w:rPr>
          <w:rStyle w:val="findhit"/>
          <w:rFonts w:cs="Calibri"/>
          <w:color w:val="000000"/>
          <w:szCs w:val="20"/>
          <w:shd w:val="clear" w:color="auto" w:fill="FFFFFF"/>
        </w:rPr>
        <w:t>Rigno</w:t>
      </w:r>
      <w:r w:rsidRPr="00F03917">
        <w:rPr>
          <w:rStyle w:val="normaltextrun"/>
          <w:rFonts w:cs="Calibri"/>
          <w:color w:val="000000"/>
          <w:szCs w:val="20"/>
          <w:shd w:val="clear" w:color="auto" w:fill="FFFFFF"/>
        </w:rPr>
        <w:t>t, E., Mouginot, J., Morlighem, M., Seroussi, H., Scheuchl, B. (2014). Widespread, rapid grounding line retreat of Pine Island, Thwaites, Smith, and Kohler glaciers, West Antarctica, from 1992 to 2011</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Geophysical Research Letters</w:t>
      </w:r>
      <w:r w:rsidRPr="00F03917">
        <w:rPr>
          <w:rStyle w:val="normaltextrun"/>
          <w:rFonts w:cs="Calibri"/>
          <w:color w:val="000000"/>
          <w:szCs w:val="20"/>
          <w:shd w:val="clear" w:color="auto" w:fill="FFFFFF"/>
        </w:rPr>
        <w:t xml:space="preserve"> 41(10): 3502–3509. </w:t>
      </w:r>
      <w:hyperlink r:id="rId460" w:tgtFrame="_blank" w:history="1">
        <w:r w:rsidRPr="00F03917">
          <w:rPr>
            <w:rStyle w:val="Hyperlink"/>
          </w:rPr>
          <w:t>http://dx.doi.org/10.1002/2014GL060140</w:t>
        </w:r>
      </w:hyperlink>
      <w:r w:rsidRPr="00F03917">
        <w:rPr>
          <w:rStyle w:val="normaltextrun"/>
          <w:rFonts w:cs="Calibri"/>
          <w:color w:val="000000"/>
          <w:szCs w:val="20"/>
          <w:shd w:val="clear" w:color="auto" w:fill="FFFFFF"/>
        </w:rPr>
        <w:t>.</w:t>
      </w:r>
      <w:r w:rsidRPr="00F03917">
        <w:rPr>
          <w:rStyle w:val="eop"/>
          <w:rFonts w:cs="Calibri"/>
          <w:color w:val="000000"/>
          <w:shd w:val="clear" w:color="auto" w:fill="FFFFFF"/>
        </w:rPr>
        <w:t> </w:t>
      </w:r>
    </w:p>
    <w:p w14:paraId="468B44EC" w14:textId="1A93D8EB" w:rsidR="002A3853" w:rsidRPr="00F03917" w:rsidRDefault="002A3853" w:rsidP="002A3853">
      <w:pPr>
        <w:pStyle w:val="References"/>
      </w:pPr>
      <w:r w:rsidRPr="00F03917">
        <w:rPr>
          <w:rStyle w:val="normaltextrun"/>
          <w:rFonts w:cs="Calibri"/>
          <w:color w:val="000000"/>
          <w:szCs w:val="20"/>
          <w:shd w:val="clear" w:color="auto" w:fill="FFFFFF"/>
        </w:rPr>
        <w:t xml:space="preserve">Ritz, C., Edwards, T., L., Durand, G., Payne, A., J., Peyaud, V., Hindmarsh, R., C., A. (2015). Potential sea-level rise from Antarctic ice-sheet instability constrained by observations. </w:t>
      </w:r>
      <w:r w:rsidRPr="00F03917">
        <w:rPr>
          <w:rStyle w:val="normaltextrun"/>
          <w:rFonts w:cs="Calibri"/>
          <w:i/>
          <w:color w:val="000000"/>
          <w:szCs w:val="20"/>
          <w:shd w:val="clear" w:color="auto" w:fill="FFFFFF"/>
        </w:rPr>
        <w:t>Nature</w:t>
      </w:r>
      <w:r w:rsidRPr="00F03917">
        <w:rPr>
          <w:rStyle w:val="normaltextrun"/>
          <w:rFonts w:cs="Calibri"/>
          <w:color w:val="000000"/>
          <w:szCs w:val="20"/>
          <w:shd w:val="clear" w:color="auto" w:fill="FFFFFF"/>
        </w:rPr>
        <w:t xml:space="preserve"> 528(7580): 115–118. </w:t>
      </w:r>
      <w:r w:rsidR="00DB40F2" w:rsidRPr="00F03917">
        <w:rPr>
          <w:rStyle w:val="eop"/>
          <w:rFonts w:cs="Calibri"/>
          <w:color w:val="000000"/>
          <w:shd w:val="clear" w:color="auto" w:fill="FFFFFF"/>
        </w:rPr>
        <w:t xml:space="preserve">Retrieved from </w:t>
      </w:r>
      <w:hyperlink r:id="rId461" w:history="1">
        <w:r w:rsidR="00DB40F2" w:rsidRPr="00F03917">
          <w:rPr>
            <w:rStyle w:val="Hyperlink"/>
            <w:rFonts w:cs="Calibri"/>
            <w:shd w:val="clear" w:color="auto" w:fill="FFFFFF"/>
          </w:rPr>
          <w:t>https://pubmed.ncbi.nlm.nih.gov/26580020/</w:t>
        </w:r>
      </w:hyperlink>
      <w:r w:rsidR="00DB40F2" w:rsidRPr="00F03917">
        <w:rPr>
          <w:rStyle w:val="eop"/>
          <w:rFonts w:cs="Calibri"/>
          <w:color w:val="000000"/>
          <w:shd w:val="clear" w:color="auto" w:fill="FFFFFF"/>
        </w:rPr>
        <w:t xml:space="preserve">. </w:t>
      </w:r>
    </w:p>
    <w:p w14:paraId="67DFFE9A" w14:textId="77777777" w:rsidR="002A3853" w:rsidRPr="00F03917" w:rsidRDefault="002A3853" w:rsidP="002A3853">
      <w:pPr>
        <w:pStyle w:val="References"/>
      </w:pPr>
      <w:r w:rsidRPr="00F03917">
        <w:t xml:space="preserve">Robinson, B., Stephens, S.A. (2015). Nelson extreme storm tide plus wave setup and runup. </w:t>
      </w:r>
      <w:r w:rsidRPr="00F03917">
        <w:rPr>
          <w:i/>
        </w:rPr>
        <w:t>Prepared for Nelson City Council by NIWA</w:t>
      </w:r>
      <w:r w:rsidRPr="00F03917">
        <w:t xml:space="preserve">. Hamilton: NIWA. </w:t>
      </w:r>
    </w:p>
    <w:p w14:paraId="1737573A" w14:textId="77777777" w:rsidR="002A3853" w:rsidRPr="00F03917" w:rsidRDefault="002A3853" w:rsidP="002A3853">
      <w:pPr>
        <w:pStyle w:val="References"/>
      </w:pPr>
      <w:r w:rsidRPr="00F03917">
        <w:t>Robinson, B., Stephens, S.A., Gorman, R.M. (2014</w:t>
      </w:r>
      <w:r w:rsidRPr="00F03917">
        <w:rPr>
          <w:i/>
        </w:rPr>
        <w:t xml:space="preserve">). </w:t>
      </w:r>
      <w:r w:rsidRPr="00F03917">
        <w:rPr>
          <w:i/>
          <w:iCs/>
        </w:rPr>
        <w:t>Extreme sea-level elevations from storm-tides and waves: Tasman and Golden Bay coastlines</w:t>
      </w:r>
      <w:r w:rsidRPr="00F03917">
        <w:t xml:space="preserve">. </w:t>
      </w:r>
      <w:r w:rsidRPr="00F03917">
        <w:rPr>
          <w:i/>
        </w:rPr>
        <w:t>Prepared for Tasman District Council by NIWA.</w:t>
      </w:r>
      <w:r w:rsidRPr="00F03917">
        <w:t xml:space="preserve"> Hamilton: NIWA. </w:t>
      </w:r>
    </w:p>
    <w:p w14:paraId="411A1A85" w14:textId="597AE931" w:rsidR="002A3853" w:rsidRPr="00F03917" w:rsidRDefault="002A3853" w:rsidP="002A3853">
      <w:pPr>
        <w:pStyle w:val="References"/>
      </w:pPr>
      <w:r w:rsidRPr="00F03917">
        <w:rPr>
          <w:rStyle w:val="findhit"/>
          <w:rFonts w:cs="Calibri"/>
          <w:color w:val="000000"/>
          <w:szCs w:val="20"/>
          <w:shd w:val="clear" w:color="auto" w:fill="FFFFFF"/>
        </w:rPr>
        <w:t>Rogel</w:t>
      </w:r>
      <w:r w:rsidRPr="00F03917">
        <w:rPr>
          <w:rStyle w:val="normaltextrun"/>
          <w:rFonts w:cs="Calibri"/>
          <w:color w:val="000000"/>
          <w:szCs w:val="20"/>
          <w:shd w:val="clear" w:color="auto" w:fill="FFFFFF"/>
        </w:rPr>
        <w:t>j, J., den Elzen, M., Höhne, N., Fransen, T., Fekete, H., Winkler, H., Schaeffer, R., Sha, F., Riahi, K., Meinshausen, M. (2016).</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Paris Agreement climate proposals need a boost to keep warming well below 2°C</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 xml:space="preserve">Nature </w:t>
      </w:r>
      <w:r w:rsidRPr="00F03917">
        <w:rPr>
          <w:rStyle w:val="normaltextrun"/>
          <w:rFonts w:cs="Calibri"/>
          <w:color w:val="000000"/>
          <w:szCs w:val="20"/>
          <w:shd w:val="clear" w:color="auto" w:fill="FFFFFF"/>
        </w:rPr>
        <w:t>534: 631–639.</w:t>
      </w:r>
      <w:r w:rsidR="000B5534" w:rsidRPr="00F03917">
        <w:rPr>
          <w:rStyle w:val="normaltextrun"/>
          <w:rFonts w:cs="Calibri"/>
          <w:color w:val="000000"/>
          <w:szCs w:val="20"/>
          <w:shd w:val="clear" w:color="auto" w:fill="FFFFFF"/>
        </w:rPr>
        <w:t xml:space="preserve"> </w:t>
      </w:r>
      <w:hyperlink r:id="rId462" w:history="1">
        <w:r w:rsidR="0049173D" w:rsidRPr="00F03917">
          <w:rPr>
            <w:rStyle w:val="Hyperlink"/>
            <w:rFonts w:cs="Calibri"/>
            <w:szCs w:val="20"/>
            <w:shd w:val="clear" w:color="auto" w:fill="FFFFFF"/>
          </w:rPr>
          <w:t>doi.org.10.1038/nature18</w:t>
        </w:r>
        <w:r w:rsidR="000B5534" w:rsidRPr="00F03917">
          <w:rPr>
            <w:rStyle w:val="Hyperlink"/>
            <w:rFonts w:cs="Calibri"/>
            <w:szCs w:val="20"/>
            <w:shd w:val="clear" w:color="auto" w:fill="FFFFFF"/>
          </w:rPr>
          <w:t>307</w:t>
        </w:r>
      </w:hyperlink>
      <w:r w:rsidR="000B5534" w:rsidRPr="00F03917">
        <w:rPr>
          <w:rStyle w:val="normaltextrun"/>
          <w:rFonts w:cs="Calibri"/>
          <w:color w:val="000000"/>
          <w:szCs w:val="20"/>
          <w:shd w:val="clear" w:color="auto" w:fill="FFFFFF"/>
        </w:rPr>
        <w:t>.</w:t>
      </w:r>
    </w:p>
    <w:p w14:paraId="217840FA" w14:textId="77777777" w:rsidR="002A3853" w:rsidRPr="00F03917" w:rsidRDefault="002A3853" w:rsidP="002A3853">
      <w:pPr>
        <w:pStyle w:val="References"/>
      </w:pPr>
      <w:r w:rsidRPr="00F03917">
        <w:t xml:space="preserve">Rouse, H.L., Blackett, P. (2011). Engaging communities: Making it work. Coastal Adaptation to Climate Change. Christchurch: NIWA. Retrieved from </w:t>
      </w:r>
      <w:hyperlink r:id="rId463" w:history="1">
        <w:r w:rsidRPr="00F03917">
          <w:rPr>
            <w:rStyle w:val="Hyperlink"/>
          </w:rPr>
          <w:t>www.niwa.co.nz/sites/niwa.co.nz/files/making_it_work_final_december2011.pdf</w:t>
        </w:r>
      </w:hyperlink>
      <w:r w:rsidRPr="00F03917">
        <w:t>.</w:t>
      </w:r>
    </w:p>
    <w:p w14:paraId="1D617670" w14:textId="77777777" w:rsidR="002A3853" w:rsidRPr="00F03917" w:rsidRDefault="002A3853" w:rsidP="002A3853">
      <w:pPr>
        <w:pStyle w:val="References"/>
      </w:pPr>
      <w:r w:rsidRPr="00F03917">
        <w:t xml:space="preserve">Rouse, H.L., Blackett, P., Hume, T.M., Bell, R.G., Britton, R., Dahm, J. (2013). Coastal adaptation to climate change: </w:t>
      </w:r>
      <w:r w:rsidRPr="00F03917">
        <w:rPr>
          <w:spacing w:val="-2"/>
        </w:rPr>
        <w:t>A New Zealand story</w:t>
      </w:r>
      <w:r w:rsidRPr="00F03917">
        <w:rPr>
          <w:i/>
          <w:iCs/>
          <w:spacing w:val="-2"/>
        </w:rPr>
        <w:t xml:space="preserve">. </w:t>
      </w:r>
      <w:r w:rsidRPr="00F03917">
        <w:rPr>
          <w:spacing w:val="-2"/>
        </w:rPr>
        <w:t>In: D.C., Conley, G., Masselink, P.E., Russell, T.J., O’Hare (eds). Proceedings 12th International</w:t>
      </w:r>
      <w:r w:rsidRPr="00F03917">
        <w:t xml:space="preserve"> Coastal Symposium (Plymouth, England). </w:t>
      </w:r>
      <w:r w:rsidRPr="00F03917">
        <w:rPr>
          <w:i/>
          <w:iCs/>
        </w:rPr>
        <w:t>Journal of Coastal Research</w:t>
      </w:r>
      <w:r w:rsidRPr="00F03917">
        <w:t>. Special Issue No. 65: 1957–1962.</w:t>
      </w:r>
    </w:p>
    <w:p w14:paraId="3F096255" w14:textId="77777777" w:rsidR="002A3853" w:rsidRPr="00F03917" w:rsidRDefault="002A3853" w:rsidP="002A3853">
      <w:pPr>
        <w:pStyle w:val="References"/>
      </w:pPr>
      <w:r w:rsidRPr="00F03917">
        <w:t xml:space="preserve">Rouse, H.L., Blackett, P., Hume, T.M., Bell, R.G., Ramsay, D., Rickard, D., Smith, E., Dahm, J., Wishart, P., Singleton, P., Pickett, V. (2011). Engaging with communities on coastal adaptation to climate change: Whitianga experience. Auckland: NIWA. </w:t>
      </w:r>
    </w:p>
    <w:p w14:paraId="660E20D5" w14:textId="187821A4" w:rsidR="002A3853" w:rsidRPr="00F03917" w:rsidRDefault="002A3853" w:rsidP="002A3853">
      <w:pPr>
        <w:pStyle w:val="References"/>
      </w:pPr>
      <w:r w:rsidRPr="00F03917">
        <w:t>Rouse, H.L., Bell, R.G., Lundquist, C.J., Blackett, P.E., Hicks, D.M., King, D.N. (2016). Coastal adaptation to climate change in Aotearoa-New Zealand</w:t>
      </w:r>
      <w:r w:rsidRPr="00F03917">
        <w:rPr>
          <w:i/>
          <w:iCs/>
        </w:rPr>
        <w:t>.</w:t>
      </w:r>
      <w:r w:rsidRPr="00F03917">
        <w:t xml:space="preserve"> </w:t>
      </w:r>
      <w:r w:rsidRPr="00F03917">
        <w:rPr>
          <w:i/>
          <w:iCs/>
        </w:rPr>
        <w:t>New Zealand Journal of Marine and Freshwater Research</w:t>
      </w:r>
      <w:r w:rsidRPr="00F03917">
        <w:t xml:space="preserve"> 1–40. </w:t>
      </w:r>
      <w:r w:rsidR="007B2D90" w:rsidRPr="00F03917">
        <w:rPr>
          <w:rStyle w:val="Hyperlink"/>
        </w:rPr>
        <w:t>https://doi.org/10.1080/00288330.2016.1185736</w:t>
      </w:r>
      <w:r w:rsidRPr="00F03917">
        <w:t>.</w:t>
      </w:r>
    </w:p>
    <w:p w14:paraId="470E6FEF" w14:textId="773C79B6"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Royston, S., Watson, C., S., Legrésy, B., King, M., A., Church, J., A., Bos, M., S. (2018</w:t>
      </w:r>
      <w:r w:rsidRPr="00F03917">
        <w:rPr>
          <w:rStyle w:val="findhit"/>
          <w:rFonts w:cs="Calibri"/>
          <w:i/>
          <w:color w:val="000000"/>
          <w:szCs w:val="20"/>
          <w:shd w:val="clear" w:color="auto" w:fill="FFFFFF"/>
        </w:rPr>
        <w:t>).</w:t>
      </w:r>
      <w:r w:rsidRPr="00F03917">
        <w:rPr>
          <w:rStyle w:val="findhit"/>
          <w:rFonts w:cs="Calibri"/>
          <w:i/>
          <w:iCs/>
          <w:color w:val="000000"/>
          <w:szCs w:val="20"/>
          <w:shd w:val="clear" w:color="auto" w:fill="FFFFFF"/>
        </w:rPr>
        <w:t xml:space="preserve"> Sea-Level Trend Uncertainty with Pacific Climatic Variability and Temporally-Correlated Noise.</w:t>
      </w:r>
      <w:r w:rsidRPr="00F03917">
        <w:rPr>
          <w:rStyle w:val="findhit"/>
          <w:rFonts w:cs="Calibri"/>
          <w:i/>
          <w:color w:val="000000"/>
          <w:szCs w:val="20"/>
          <w:shd w:val="clear" w:color="auto" w:fill="FFFFFF"/>
        </w:rPr>
        <w:t xml:space="preserve"> Oceans </w:t>
      </w:r>
      <w:r w:rsidRPr="00F03917">
        <w:rPr>
          <w:rStyle w:val="findhit"/>
          <w:rFonts w:cs="Calibri"/>
          <w:color w:val="000000"/>
          <w:szCs w:val="20"/>
          <w:shd w:val="clear" w:color="auto" w:fill="FFFFFF"/>
        </w:rPr>
        <w:t xml:space="preserve">123(3). </w:t>
      </w:r>
      <w:hyperlink r:id="rId464" w:history="1">
        <w:r w:rsidRPr="00F03917">
          <w:rPr>
            <w:rStyle w:val="Hyperlink"/>
            <w:rFonts w:cs="Calibri"/>
            <w:szCs w:val="20"/>
            <w:shd w:val="clear" w:color="auto" w:fill="FFFFFF"/>
          </w:rPr>
          <w:t>https://doi.org/10.1002/2017JC013655</w:t>
        </w:r>
      </w:hyperlink>
      <w:r w:rsidRPr="00F03917">
        <w:rPr>
          <w:rStyle w:val="findhit"/>
          <w:rFonts w:cs="Calibri"/>
          <w:color w:val="000000"/>
          <w:szCs w:val="20"/>
          <w:shd w:val="clear" w:color="auto" w:fill="FFFFFF"/>
        </w:rPr>
        <w:t>.</w:t>
      </w:r>
    </w:p>
    <w:p w14:paraId="0FE8F486" w14:textId="392A65A1"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Rumore,</w:t>
      </w:r>
      <w:r w:rsidRPr="00F03917">
        <w:rPr>
          <w:rStyle w:val="normaltextrun"/>
          <w:rFonts w:cs="Calibri"/>
          <w:color w:val="000000"/>
          <w:szCs w:val="20"/>
          <w:shd w:val="clear" w:color="auto" w:fill="FFFFFF"/>
        </w:rPr>
        <w:t xml:space="preserve"> D., Schenk, T., Susskind, L. (2016). Role-play simulations for climate change adaptation education and engagement.</w:t>
      </w:r>
      <w:r w:rsidRPr="00F03917">
        <w:rPr>
          <w:rStyle w:val="normaltextrun"/>
          <w:rFonts w:cs="Calibri"/>
          <w:i/>
          <w:iCs/>
          <w:color w:val="000000"/>
          <w:szCs w:val="20"/>
          <w:shd w:val="clear" w:color="auto" w:fill="FFFFFF"/>
        </w:rPr>
        <w:t xml:space="preserve"> Nature </w:t>
      </w:r>
      <w:r w:rsidRPr="00F03917">
        <w:rPr>
          <w:rStyle w:val="normaltextrun"/>
          <w:rFonts w:cs="Calibri"/>
          <w:i/>
          <w:color w:val="000000"/>
          <w:szCs w:val="20"/>
          <w:shd w:val="clear" w:color="auto" w:fill="FFFFFF"/>
        </w:rPr>
        <w:t>Climate Change</w:t>
      </w:r>
      <w:r w:rsidRPr="00F03917">
        <w:rPr>
          <w:rStyle w:val="normaltextrun"/>
          <w:rFonts w:cs="Calibri"/>
          <w:color w:val="000000"/>
          <w:szCs w:val="20"/>
          <w:shd w:val="clear" w:color="auto" w:fill="FFFFFF"/>
        </w:rPr>
        <w:t xml:space="preserve"> 6: 745-750. </w:t>
      </w:r>
      <w:hyperlink r:id="rId465" w:history="1">
        <w:r w:rsidR="002C65A2" w:rsidRPr="00F03917">
          <w:rPr>
            <w:rStyle w:val="Hyperlink"/>
          </w:rPr>
          <w:t>doi.org/10.1038/nclimate3084</w:t>
        </w:r>
      </w:hyperlink>
      <w:r w:rsidRPr="00F03917">
        <w:rPr>
          <w:rStyle w:val="normaltextrun"/>
          <w:rFonts w:cs="Calibri"/>
          <w:color w:val="000000"/>
          <w:szCs w:val="20"/>
          <w:shd w:val="clear" w:color="auto" w:fill="FFFFFF"/>
        </w:rPr>
        <w:t>.</w:t>
      </w:r>
      <w:r w:rsidRPr="00F03917">
        <w:rPr>
          <w:rStyle w:val="eop"/>
          <w:rFonts w:cs="Calibri"/>
          <w:color w:val="000000"/>
          <w:szCs w:val="20"/>
          <w:shd w:val="clear" w:color="auto" w:fill="FFFFFF"/>
        </w:rPr>
        <w:t> </w:t>
      </w:r>
    </w:p>
    <w:p w14:paraId="76F98434" w14:textId="77777777" w:rsidR="002A3853" w:rsidRPr="00F03917" w:rsidRDefault="002A3853" w:rsidP="002A3853">
      <w:pPr>
        <w:pStyle w:val="References"/>
        <w:rPr>
          <w:rStyle w:val="normaltextrun"/>
          <w:rFonts w:cs="Calibri"/>
          <w:color w:val="000000"/>
          <w:szCs w:val="20"/>
          <w:shd w:val="clear" w:color="auto" w:fill="FFFFFF"/>
        </w:rPr>
      </w:pPr>
      <w:r w:rsidRPr="00F03917">
        <w:rPr>
          <w:rStyle w:val="findhit"/>
          <w:rFonts w:cs="Calibri"/>
          <w:color w:val="000000"/>
          <w:szCs w:val="20"/>
          <w:shd w:val="clear" w:color="auto" w:fill="FFFFFF"/>
        </w:rPr>
        <w:t>Ryan</w:t>
      </w:r>
      <w:r w:rsidRPr="00F03917">
        <w:rPr>
          <w:rStyle w:val="normaltextrun"/>
          <w:rFonts w:cs="Calibri"/>
          <w:color w:val="000000"/>
          <w:szCs w:val="20"/>
          <w:shd w:val="clear" w:color="auto" w:fill="FFFFFF"/>
        </w:rPr>
        <w:t xml:space="preserve">, E., J., Owen, S., D., Lawrence, J., Glavovic, B., Robichaux, L., Dickson, M., Kench, P., S., Schneider, P., Bell, R., G., Blackett, P. (2021). Formulating a 100-year strategy for managing coastal hazard risk in a changing climate: Lessons learned from Hawke’s Bay, New Zealand. </w:t>
      </w:r>
      <w:r w:rsidRPr="00F03917">
        <w:rPr>
          <w:rStyle w:val="normaltextrun"/>
          <w:rFonts w:cs="Calibri"/>
          <w:i/>
          <w:color w:val="000000"/>
          <w:szCs w:val="20"/>
          <w:shd w:val="clear" w:color="auto" w:fill="FFFFFF"/>
        </w:rPr>
        <w:t>Environmental Science and Policy</w:t>
      </w:r>
      <w:r w:rsidRPr="00F03917">
        <w:rPr>
          <w:rStyle w:val="normaltextrun"/>
          <w:rFonts w:cs="Calibri"/>
          <w:color w:val="000000"/>
          <w:szCs w:val="20"/>
          <w:shd w:val="clear" w:color="auto" w:fill="FFFFFF"/>
        </w:rPr>
        <w:t xml:space="preserve"> 127: 1–11. </w:t>
      </w:r>
      <w:hyperlink r:id="rId466" w:tgtFrame="_blank" w:history="1">
        <w:r w:rsidRPr="00F03917">
          <w:rPr>
            <w:rStyle w:val="Hyperlink"/>
          </w:rPr>
          <w:t>https://doi.org/10.1016/j.envsci.2021.10.012</w:t>
        </w:r>
      </w:hyperlink>
    </w:p>
    <w:p w14:paraId="5D51C2B0" w14:textId="2A899F6A" w:rsidR="002A3853" w:rsidRPr="00F03917" w:rsidRDefault="002A3853" w:rsidP="002A3853">
      <w:pPr>
        <w:pStyle w:val="References"/>
      </w:pPr>
      <w:r w:rsidRPr="00F03917">
        <w:rPr>
          <w:rStyle w:val="normaltextrun"/>
          <w:rFonts w:cs="Calibri"/>
          <w:color w:val="000000"/>
          <w:szCs w:val="20"/>
          <w:shd w:val="clear" w:color="auto" w:fill="FFFFFF"/>
        </w:rPr>
        <w:t xml:space="preserve">Sanderson, B., M., O’Neill, B., C., Tebaldi, C. (2016). What would it take to achieve the Paris temperature targets? </w:t>
      </w:r>
      <w:r w:rsidRPr="00F03917">
        <w:rPr>
          <w:rStyle w:val="normaltextrun"/>
          <w:rFonts w:cs="Calibri"/>
          <w:i/>
          <w:color w:val="000000"/>
          <w:szCs w:val="20"/>
          <w:shd w:val="clear" w:color="auto" w:fill="FFFFFF"/>
        </w:rPr>
        <w:t>Geophysical Research Letters</w:t>
      </w:r>
      <w:r w:rsidRPr="00F03917">
        <w:rPr>
          <w:rStyle w:val="normaltextrun"/>
          <w:rFonts w:cs="Calibri"/>
          <w:color w:val="000000"/>
          <w:szCs w:val="20"/>
          <w:shd w:val="clear" w:color="auto" w:fill="FFFFFF"/>
        </w:rPr>
        <w:t xml:space="preserve"> 43(13): 7133–7142. </w:t>
      </w:r>
      <w:hyperlink r:id="rId467" w:tgtFrame="_blank" w:history="1">
        <w:r w:rsidRPr="00F03917">
          <w:rPr>
            <w:rStyle w:val="Hyperlink"/>
          </w:rPr>
          <w:t>http://dx.doi.org/10.1002/2016GL069563</w:t>
        </w:r>
      </w:hyperlink>
    </w:p>
    <w:p w14:paraId="24A6C743" w14:textId="77777777" w:rsidR="002A3853" w:rsidRPr="00F03917" w:rsidRDefault="002A3853" w:rsidP="002A3853">
      <w:pPr>
        <w:pStyle w:val="References"/>
      </w:pPr>
      <w:r w:rsidRPr="00F03917">
        <w:t>San Francisco Planning. (2020). Sea level rise vulnerability and consequences assessment</w:t>
      </w:r>
      <w:r w:rsidRPr="00F03917">
        <w:rPr>
          <w:i/>
          <w:iCs/>
        </w:rPr>
        <w:t xml:space="preserve">. </w:t>
      </w:r>
      <w:r w:rsidRPr="00F03917">
        <w:t xml:space="preserve">Retrieved from </w:t>
      </w:r>
      <w:hyperlink r:id="rId468" w:anchor="info" w:history="1">
        <w:r w:rsidRPr="00F03917">
          <w:rPr>
            <w:rStyle w:val="Hyperlink"/>
            <w:rFonts w:eastAsia="Calibri" w:cs="Calibri"/>
            <w:szCs w:val="20"/>
          </w:rPr>
          <w:t>https://sfplanning.org/sea-level-rise-action-plan#info</w:t>
        </w:r>
      </w:hyperlink>
      <w:r w:rsidRPr="00F03917">
        <w:t>.</w:t>
      </w:r>
      <w:r w:rsidRPr="00F03917">
        <w:rPr>
          <w:color w:val="008080"/>
          <w:u w:val="single"/>
        </w:rPr>
        <w:t xml:space="preserve"> </w:t>
      </w:r>
    </w:p>
    <w:p w14:paraId="2D370957" w14:textId="77777777" w:rsidR="002A3853" w:rsidRPr="00F03917" w:rsidRDefault="002A3853" w:rsidP="002A3853">
      <w:pPr>
        <w:pStyle w:val="References"/>
      </w:pPr>
      <w:r w:rsidRPr="00F03917">
        <w:t>Saunders, W.S.A. (2017). Setting the scene: The role of iwi management plans in natural hazard management. GNS Science report 2017/30. Lower Hutt: GNS Science. doi: 10.21420/G26D2V. Retrieved from</w:t>
      </w:r>
      <w:r w:rsidRPr="00F03917">
        <w:rPr>
          <w:rFonts w:eastAsiaTheme="minorHAnsi"/>
          <w:szCs w:val="24"/>
        </w:rPr>
        <w:t xml:space="preserve"> </w:t>
      </w:r>
      <w:hyperlink r:id="rId469" w:history="1">
        <w:r w:rsidRPr="00F03917">
          <w:rPr>
            <w:rStyle w:val="Hyperlink"/>
          </w:rPr>
          <w:t>www.unisdr.org/preventionweb/files/57370_roleofiwimanagementplansinnaturalha.pdf</w:t>
        </w:r>
      </w:hyperlink>
      <w:r w:rsidRPr="00F03917">
        <w:t>.</w:t>
      </w:r>
    </w:p>
    <w:p w14:paraId="336E2AB2" w14:textId="4280D31C" w:rsidR="002A3853" w:rsidRPr="00F03917" w:rsidRDefault="002A3853" w:rsidP="002A3853">
      <w:pPr>
        <w:pStyle w:val="References"/>
      </w:pPr>
      <w:r w:rsidRPr="00F03917">
        <w:rPr>
          <w:rStyle w:val="findhit"/>
          <w:rFonts w:cs="Calibri"/>
          <w:color w:val="000000"/>
          <w:szCs w:val="20"/>
          <w:shd w:val="clear" w:color="auto" w:fill="FFFFFF"/>
        </w:rPr>
        <w:t>Schell</w:t>
      </w:r>
      <w:r w:rsidRPr="00F03917">
        <w:rPr>
          <w:rStyle w:val="normaltextrun"/>
          <w:rFonts w:cs="Calibri"/>
          <w:color w:val="000000"/>
          <w:szCs w:val="20"/>
          <w:shd w:val="clear" w:color="auto" w:fill="FFFFFF"/>
        </w:rPr>
        <w:t>nhuber, H., J., Rahmstorf, S., Winkelmann, R. (2016). Why the right climate target was agreed in Paris</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Nature Climate Change</w:t>
      </w:r>
      <w:r w:rsidRPr="00F03917">
        <w:rPr>
          <w:rStyle w:val="normaltextrun"/>
          <w:rFonts w:cs="Calibri"/>
          <w:color w:val="000000"/>
          <w:szCs w:val="20"/>
          <w:shd w:val="clear" w:color="auto" w:fill="FFFFFF"/>
        </w:rPr>
        <w:t xml:space="preserve"> 6(7): 649–653. </w:t>
      </w:r>
      <w:hyperlink r:id="rId470" w:history="1">
        <w:r w:rsidR="00922D2F" w:rsidRPr="00F03917">
          <w:rPr>
            <w:rStyle w:val="Hyperlink"/>
          </w:rPr>
          <w:t>doi.org/10.1038/nclimate3013</w:t>
        </w:r>
        <w:r w:rsidRPr="00F03917">
          <w:rPr>
            <w:rStyle w:val="Hyperlink"/>
            <w:rFonts w:cs="Calibri"/>
            <w:szCs w:val="20"/>
            <w:shd w:val="clear" w:color="auto" w:fill="FFFFFF"/>
          </w:rPr>
          <w:t>.</w:t>
        </w:r>
      </w:hyperlink>
    </w:p>
    <w:p w14:paraId="2468AB35" w14:textId="7EB1A6EA" w:rsidR="002A3853" w:rsidRPr="00F03917" w:rsidRDefault="002A3853" w:rsidP="002A3853">
      <w:pPr>
        <w:pStyle w:val="References"/>
      </w:pPr>
      <w:r w:rsidRPr="00F03917">
        <w:t xml:space="preserve">Schipper, E.L.F., Revi, A., Preston, B.L. (2022). Climate Resilient Development Pathways. </w:t>
      </w:r>
      <w:r w:rsidRPr="00F03917">
        <w:rPr>
          <w:i/>
        </w:rPr>
        <w:t>In: Climate Change 2022: Impacts, Adaptation and Vulnerability. Contribution of Working Group II to the Sixth Assessment Report of the Intergovernmental Panel on Climate Change</w:t>
      </w:r>
      <w:r w:rsidRPr="00F03917">
        <w:t xml:space="preserve"> [H.-O. Pörtner, D.C. Roberts, M. Tignor, E.S. Poloczanska, K. Mintenbeck, A. Alegría, M. Craig, S. Langsdorf, S. Löschke, V. Möller, A. Okem, B. Rama (eds.)]. Cambridge University Press, Cambridge, UK and New York, NY, USA, </w:t>
      </w:r>
      <w:r w:rsidRPr="00F03917">
        <w:br/>
        <w:t>pp. 2655–2807</w:t>
      </w:r>
      <w:r w:rsidR="00992BCE" w:rsidRPr="00F03917">
        <w:t>.</w:t>
      </w:r>
      <w:r w:rsidRPr="00F03917">
        <w:t xml:space="preserve"> </w:t>
      </w:r>
      <w:r w:rsidR="00992BCE" w:rsidRPr="00F03917">
        <w:rPr>
          <w:rStyle w:val="Hyperlink"/>
        </w:rPr>
        <w:t>https://doi.org/10.1017/9781009325844.027</w:t>
      </w:r>
      <w:r w:rsidRPr="00F03917">
        <w:t>.</w:t>
      </w:r>
    </w:p>
    <w:p w14:paraId="5E7CE11A" w14:textId="77777777" w:rsidR="002A3853" w:rsidRPr="00F03917" w:rsidRDefault="002A3853" w:rsidP="002A3853">
      <w:pPr>
        <w:pStyle w:val="References"/>
      </w:pPr>
      <w:r w:rsidRPr="00F03917">
        <w:t xml:space="preserve">Schneider, P.P. (2014). Local reality and the climate change adaptation dilemma: Beyond technical fixes and ‘business as usual’. Palmerston North: Massey University. Retrieved from </w:t>
      </w:r>
      <w:hyperlink r:id="rId471" w:history="1">
        <w:r w:rsidRPr="00F03917">
          <w:rPr>
            <w:rStyle w:val="Hyperlink"/>
          </w:rPr>
          <w:t>https://mro.massey.ac.nz/items/e5e7c4d6-c88f-413f-be5e-d42cac7db122</w:t>
        </w:r>
      </w:hyperlink>
      <w:r w:rsidRPr="00F03917">
        <w:t xml:space="preserve">. </w:t>
      </w:r>
    </w:p>
    <w:p w14:paraId="77D47BE8" w14:textId="77777777" w:rsidR="002A3853" w:rsidRPr="00F03917" w:rsidRDefault="002A3853" w:rsidP="002A3853">
      <w:pPr>
        <w:pStyle w:val="References"/>
      </w:pPr>
      <w:r w:rsidRPr="00F03917">
        <w:rPr>
          <w:rStyle w:val="findhit"/>
          <w:rFonts w:cs="Calibri"/>
          <w:color w:val="000000"/>
          <w:szCs w:val="20"/>
          <w:shd w:val="clear" w:color="auto" w:fill="FFFFFF"/>
        </w:rPr>
        <w:t>Schneider</w:t>
      </w:r>
      <w:r w:rsidRPr="00F03917">
        <w:rPr>
          <w:rStyle w:val="normaltextrun"/>
          <w:rFonts w:cs="Calibri"/>
          <w:color w:val="000000"/>
          <w:szCs w:val="20"/>
          <w:shd w:val="clear" w:color="auto" w:fill="FFFFFF"/>
        </w:rPr>
        <w:t xml:space="preserve">, P., Lawrence, J., Glavovic, B., Ryan, E., Blackett, P. (2020). A rising tide of adaptation action: Comparing two coastal regions of Aotearoa-New Zealand. </w:t>
      </w:r>
      <w:r w:rsidRPr="00F03917">
        <w:rPr>
          <w:rStyle w:val="normaltextrun"/>
          <w:rFonts w:cs="Calibri"/>
          <w:i/>
          <w:color w:val="000000"/>
          <w:szCs w:val="20"/>
          <w:shd w:val="clear" w:color="auto" w:fill="FFFFFF"/>
        </w:rPr>
        <w:t>Climate Risk Management</w:t>
      </w:r>
      <w:r w:rsidRPr="00F03917">
        <w:rPr>
          <w:rStyle w:val="normaltextrun"/>
          <w:rFonts w:cs="Calibri"/>
          <w:color w:val="000000"/>
          <w:szCs w:val="20"/>
          <w:shd w:val="clear" w:color="auto" w:fill="FFFFFF"/>
        </w:rPr>
        <w:t xml:space="preserve"> 30: 100244. </w:t>
      </w:r>
      <w:hyperlink r:id="rId472" w:tgtFrame="_blank" w:history="1">
        <w:r w:rsidRPr="00F03917">
          <w:rPr>
            <w:rStyle w:val="Hyperlink"/>
          </w:rPr>
          <w:t>https://doi.org/10.1016/j.crm.2020.100244</w:t>
        </w:r>
      </w:hyperlink>
    </w:p>
    <w:p w14:paraId="2DA26ED7" w14:textId="77777777" w:rsidR="002A3853" w:rsidRPr="00F03917" w:rsidRDefault="002A3853" w:rsidP="002A3853">
      <w:pPr>
        <w:pStyle w:val="References"/>
      </w:pPr>
      <w:r w:rsidRPr="00F03917">
        <w:t xml:space="preserve">Shand, T.I., Knook, P., Reinen-Hamill, R. (2014). Coastal erosion hazard zone assessment for selected Northland sites. </w:t>
      </w:r>
      <w:r w:rsidRPr="00F03917">
        <w:rPr>
          <w:i/>
        </w:rPr>
        <w:t>Report prepared for Northland Regional Council by Tonkin+Taylor Ltd</w:t>
      </w:r>
      <w:r w:rsidRPr="00F03917">
        <w:t xml:space="preserve">. Whangarei: Northland Regional Council. </w:t>
      </w:r>
    </w:p>
    <w:p w14:paraId="4B82F5D0" w14:textId="5B26E248" w:rsidR="002A3853" w:rsidRPr="00F03917" w:rsidRDefault="002A3853" w:rsidP="002A3853">
      <w:pPr>
        <w:pStyle w:val="References"/>
      </w:pPr>
      <w:r w:rsidRPr="00F03917">
        <w:rPr>
          <w:rStyle w:val="findhit"/>
          <w:rFonts w:cs="Calibri"/>
          <w:color w:val="000000"/>
          <w:szCs w:val="20"/>
          <w:shd w:val="clear" w:color="auto" w:fill="FFFFFF"/>
        </w:rPr>
        <w:t>Shepp</w:t>
      </w:r>
      <w:r w:rsidRPr="00F03917">
        <w:rPr>
          <w:rStyle w:val="normaltextrun"/>
          <w:rFonts w:cs="Calibri"/>
          <w:color w:val="000000"/>
          <w:szCs w:val="20"/>
          <w:shd w:val="clear" w:color="auto" w:fill="FFFFFF"/>
        </w:rPr>
        <w:t>ard, S., R., J., Shaw, A., Flanders, D., Burch, S., Wiek, A., Carmichael, J., Robinson, J., Cohen, S. (2011). Future visioning of local climate change: A framework for community engagement and planning with scenarios and visualisation</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 xml:space="preserve">Futures </w:t>
      </w:r>
      <w:r w:rsidRPr="00F03917">
        <w:rPr>
          <w:rStyle w:val="normaltextrun"/>
          <w:rFonts w:cs="Calibri"/>
          <w:color w:val="000000"/>
          <w:szCs w:val="20"/>
          <w:shd w:val="clear" w:color="auto" w:fill="FFFFFF"/>
        </w:rPr>
        <w:t xml:space="preserve">43: 400–412. </w:t>
      </w:r>
      <w:r w:rsidR="00206AB7" w:rsidRPr="00F03917">
        <w:rPr>
          <w:rStyle w:val="Hyperlink"/>
        </w:rPr>
        <w:t>https://doi.org/10.1016/j.futures.2011.01.009</w:t>
      </w:r>
      <w:r w:rsidRPr="00F03917">
        <w:rPr>
          <w:rStyle w:val="normaltextrun"/>
          <w:rFonts w:cs="Calibri"/>
          <w:color w:val="000000"/>
          <w:szCs w:val="20"/>
          <w:shd w:val="clear" w:color="auto" w:fill="FFFFFF"/>
        </w:rPr>
        <w:t>.</w:t>
      </w:r>
      <w:r w:rsidRPr="00F03917">
        <w:rPr>
          <w:rStyle w:val="eop"/>
          <w:rFonts w:cs="Calibri"/>
          <w:color w:val="000000"/>
          <w:shd w:val="clear" w:color="auto" w:fill="FFFFFF"/>
        </w:rPr>
        <w:t> </w:t>
      </w:r>
    </w:p>
    <w:p w14:paraId="7A1CFFE1" w14:textId="77777777" w:rsidR="002A3853" w:rsidRPr="00F03917" w:rsidRDefault="002A3853" w:rsidP="002A3853">
      <w:pPr>
        <w:pStyle w:val="References"/>
      </w:pPr>
      <w:r w:rsidRPr="00F03917">
        <w:t xml:space="preserve">Selby, R., Moore, P., Mulholland, M. (2010). Māori and the Environment: Kaitiaki. </w:t>
      </w:r>
      <w:r w:rsidRPr="00F03917">
        <w:rPr>
          <w:i/>
        </w:rPr>
        <w:t>Huia Press</w:t>
      </w:r>
      <w:r w:rsidRPr="00F03917">
        <w:t>.</w:t>
      </w:r>
    </w:p>
    <w:p w14:paraId="45915A57" w14:textId="5BF9EF66" w:rsidR="002A3853" w:rsidRPr="00F03917" w:rsidRDefault="002A3853" w:rsidP="002A3853">
      <w:pPr>
        <w:pStyle w:val="References"/>
      </w:pPr>
      <w:r w:rsidRPr="00F03917">
        <w:t xml:space="preserve">Seroussi, H., Nowicki, S., Payne, A. J., Goelzer, H., Lipscomb, W. H., Abe-Ouchi, A., ... &amp; Zwinger, T. (2020). ISMIP6 Antarctica: a multi-model ensemble of the Antarctic ice sheet evolution over the 21st century. </w:t>
      </w:r>
      <w:r w:rsidRPr="00F03917">
        <w:rPr>
          <w:i/>
        </w:rPr>
        <w:t>The Cryosphere</w:t>
      </w:r>
      <w:r w:rsidRPr="00F03917">
        <w:t>, 14(9), 3033-3070.</w:t>
      </w:r>
      <w:r w:rsidR="00727425" w:rsidRPr="00F03917">
        <w:t xml:space="preserve"> </w:t>
      </w:r>
      <w:r w:rsidR="00727425" w:rsidRPr="00F03917">
        <w:rPr>
          <w:rStyle w:val="Hyperlink"/>
        </w:rPr>
        <w:t>https://doi.org/10.5194/tc-14-3033-2020</w:t>
      </w:r>
      <w:r w:rsidR="00727425" w:rsidRPr="00F03917">
        <w:t>.</w:t>
      </w:r>
    </w:p>
    <w:p w14:paraId="7443A254" w14:textId="0BADED32" w:rsidR="002A3853" w:rsidRPr="00F03917" w:rsidRDefault="002A3853" w:rsidP="002A3853">
      <w:pPr>
        <w:pStyle w:val="References"/>
        <w:rPr>
          <w:color w:val="008080"/>
          <w:u w:val="single"/>
        </w:rPr>
      </w:pPr>
      <w:r w:rsidRPr="00F03917">
        <w:t>Simonson, T., Hall, G. (20</w:t>
      </w:r>
      <w:r w:rsidR="001B4434" w:rsidRPr="00F03917">
        <w:t>19</w:t>
      </w:r>
      <w:r w:rsidRPr="00F03917">
        <w:t xml:space="preserve">). Vulnerable: </w:t>
      </w:r>
      <w:r w:rsidR="000B657B" w:rsidRPr="00F03917">
        <w:t>T</w:t>
      </w:r>
      <w:r w:rsidRPr="00F03917">
        <w:t xml:space="preserve">he quantum of local government infrastructure exposed to sea-level rise. 43 p. Retrieved from </w:t>
      </w:r>
      <w:hyperlink r:id="rId473" w:history="1">
        <w:r w:rsidR="00B94559" w:rsidRPr="00F03917">
          <w:rPr>
            <w:rStyle w:val="Hyperlink"/>
          </w:rPr>
          <w:t>https://d1pepq1a2249p5.cloudfront.net/media/documents/Planning-for-Sea-Level-Rise-v7-FINAL.pdf</w:t>
        </w:r>
      </w:hyperlink>
      <w:r w:rsidR="00B94559" w:rsidRPr="00F03917">
        <w:rPr>
          <w:color w:val="008080"/>
          <w:u w:val="single"/>
        </w:rPr>
        <w:t xml:space="preserve">. </w:t>
      </w:r>
    </w:p>
    <w:p w14:paraId="61B771D7" w14:textId="2A7153B5" w:rsidR="002A3853" w:rsidRPr="00F03917" w:rsidRDefault="002A3853" w:rsidP="002A3853">
      <w:pPr>
        <w:pStyle w:val="References"/>
        <w:rPr>
          <w:rStyle w:val="normaltextrun"/>
          <w:rFonts w:cs="Calibri"/>
          <w:color w:val="000000"/>
          <w:szCs w:val="20"/>
          <w:shd w:val="clear" w:color="auto" w:fill="FFFFFF"/>
        </w:rPr>
      </w:pPr>
      <w:r w:rsidRPr="00F03917">
        <w:rPr>
          <w:rStyle w:val="findhit"/>
          <w:rFonts w:cs="Calibri"/>
          <w:color w:val="000000"/>
          <w:szCs w:val="20"/>
          <w:shd w:val="clear" w:color="auto" w:fill="FFFFFF"/>
        </w:rPr>
        <w:t>Simps</w:t>
      </w:r>
      <w:r w:rsidRPr="00F03917">
        <w:rPr>
          <w:rStyle w:val="normaltextrun"/>
          <w:rFonts w:cs="Calibri"/>
          <w:color w:val="000000"/>
          <w:szCs w:val="20"/>
          <w:shd w:val="clear" w:color="auto" w:fill="FFFFFF"/>
        </w:rPr>
        <w:t>on, N., P., Mach, K., J., Constable, A., Hess, J., Hogarth, R., Howden, M., Lawrence, J., Lempert, R., J., Muccione, V., Mackey, B., New, M., G., O’Neill, B., Otto, F., Pörtner, H-O., Reisinger, A. et al (2021). A framework for complex climate change risk assessment</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One Earth</w:t>
      </w:r>
      <w:r w:rsidRPr="00F03917">
        <w:rPr>
          <w:rStyle w:val="normaltextrun"/>
          <w:rFonts w:cs="Calibri"/>
          <w:color w:val="000000"/>
          <w:szCs w:val="20"/>
          <w:shd w:val="clear" w:color="auto" w:fill="FFFFFF"/>
        </w:rPr>
        <w:t xml:space="preserve"> 4: 489-501. </w:t>
      </w:r>
      <w:r w:rsidR="002A01C3" w:rsidRPr="00F03917">
        <w:rPr>
          <w:rStyle w:val="Hyperlink"/>
        </w:rPr>
        <w:t>https://doi.org/10.1016/j.oneear.2021.03.005</w:t>
      </w:r>
      <w:r w:rsidR="002A01C3" w:rsidRPr="00F03917">
        <w:t>.</w:t>
      </w:r>
      <w:hyperlink w:history="1"/>
    </w:p>
    <w:p w14:paraId="559732B9" w14:textId="733E8557" w:rsidR="002A3853" w:rsidRPr="00F03917" w:rsidRDefault="002A3853" w:rsidP="002A3853">
      <w:pPr>
        <w:pStyle w:val="References"/>
      </w:pPr>
      <w:r w:rsidRPr="00F03917">
        <w:rPr>
          <w:shd w:val="clear" w:color="auto" w:fill="FFFFFF"/>
        </w:rPr>
        <w:t>Slangen, A.B.A., Church, J.A., Agosta, C., Fettweis, X., Marzeion, B., Richter, K. (2016). Anthropogenic forcing dominates global mean sea-level rise since 1970.</w:t>
      </w:r>
      <w:r w:rsidRPr="00F03917">
        <w:rPr>
          <w:i/>
          <w:iCs/>
          <w:shd w:val="clear" w:color="auto" w:fill="FFFFFF"/>
        </w:rPr>
        <w:t xml:space="preserve"> Nature Climate Change</w:t>
      </w:r>
      <w:r w:rsidRPr="00F03917">
        <w:rPr>
          <w:shd w:val="clear" w:color="auto" w:fill="FFFFFF"/>
        </w:rPr>
        <w:t xml:space="preserve"> 6(7): 701–705. </w:t>
      </w:r>
      <w:hyperlink r:id="rId474" w:tgtFrame="_blank" w:history="1">
        <w:r w:rsidRPr="00F03917">
          <w:rPr>
            <w:rStyle w:val="Hyperlink"/>
            <w:rFonts w:eastAsia="Calibri"/>
          </w:rPr>
          <w:t>http://dx.doi.org/10.1038/nclimate2991</w:t>
        </w:r>
      </w:hyperlink>
      <w:r w:rsidRPr="00F03917">
        <w:rPr>
          <w:shd w:val="clear" w:color="auto" w:fill="FFFFFF"/>
        </w:rPr>
        <w:t>. </w:t>
      </w:r>
    </w:p>
    <w:p w14:paraId="2481D972" w14:textId="408E43CE" w:rsidR="002A3853" w:rsidRPr="00F03917" w:rsidRDefault="002A3853" w:rsidP="002A3853">
      <w:pPr>
        <w:pStyle w:val="References"/>
        <w:rPr>
          <w:color w:val="008080"/>
          <w:u w:val="single"/>
        </w:rPr>
      </w:pPr>
      <w:r w:rsidRPr="00F03917">
        <w:t xml:space="preserve">Slangen, A.B.A., Haasnoot, M., Winter, G. (2022). Rethinking sea-level projections using families and timing differences. </w:t>
      </w:r>
      <w:r w:rsidRPr="00F03917">
        <w:rPr>
          <w:i/>
          <w:iCs/>
        </w:rPr>
        <w:t>Earth’s Future</w:t>
      </w:r>
      <w:r w:rsidRPr="00F03917">
        <w:t xml:space="preserve"> 10: e2021EF002576. </w:t>
      </w:r>
      <w:r w:rsidR="000F626B" w:rsidRPr="00F03917">
        <w:rPr>
          <w:rStyle w:val="Hyperlink"/>
        </w:rPr>
        <w:t>https://doi.org/10.1029/2021EF002576</w:t>
      </w:r>
      <w:r w:rsidRPr="00F03917">
        <w:t>.</w:t>
      </w:r>
      <w:r w:rsidRPr="00F03917">
        <w:rPr>
          <w:color w:val="008080"/>
          <w:u w:val="single"/>
        </w:rPr>
        <w:t xml:space="preserve"> </w:t>
      </w:r>
    </w:p>
    <w:p w14:paraId="247FB605" w14:textId="2BA4AFF8" w:rsidR="002A3853" w:rsidRPr="00F03917" w:rsidRDefault="002A3853" w:rsidP="002A3853">
      <w:pPr>
        <w:pStyle w:val="References"/>
        <w:rPr>
          <w:shd w:val="clear" w:color="auto" w:fill="FFFFFF"/>
        </w:rPr>
      </w:pPr>
      <w:r w:rsidRPr="00F03917">
        <w:rPr>
          <w:shd w:val="clear" w:color="auto" w:fill="FFFFFF"/>
        </w:rPr>
        <w:t xml:space="preserve">Slangen, A.B.A., Katsman, C.A., van de Wal, R.S.W., Vermeersen, L.L.A., Riva, R.E.M. (2012). Towards regional projections of twenty-first century sea-level change based on IPCC SRES scenarios. </w:t>
      </w:r>
      <w:r w:rsidRPr="00F03917">
        <w:rPr>
          <w:i/>
          <w:iCs/>
          <w:shd w:val="clear" w:color="auto" w:fill="FFFFFF"/>
        </w:rPr>
        <w:t>Climate Dynamics</w:t>
      </w:r>
      <w:r w:rsidRPr="00F03917">
        <w:rPr>
          <w:shd w:val="clear" w:color="auto" w:fill="FFFFFF"/>
        </w:rPr>
        <w:t xml:space="preserve"> 38(5): 1191–1209. </w:t>
      </w:r>
      <w:hyperlink r:id="rId475" w:tgtFrame="_blank" w:history="1">
        <w:r w:rsidRPr="00F03917">
          <w:rPr>
            <w:rStyle w:val="Hyperlink"/>
          </w:rPr>
          <w:t>http://dx.doi.org/10.1007/s00382-011-1057-6</w:t>
        </w:r>
      </w:hyperlink>
      <w:r w:rsidRPr="00F03917">
        <w:rPr>
          <w:shd w:val="clear" w:color="auto" w:fill="FFFFFF"/>
        </w:rPr>
        <w:t>. </w:t>
      </w:r>
    </w:p>
    <w:p w14:paraId="52769BDB" w14:textId="67FF8B64" w:rsidR="002A3853" w:rsidRPr="00F03917" w:rsidRDefault="002A3853" w:rsidP="002A3853">
      <w:pPr>
        <w:pStyle w:val="References"/>
        <w:rPr>
          <w:color w:val="008080"/>
          <w:u w:val="single"/>
        </w:rPr>
      </w:pPr>
      <w:r w:rsidRPr="00F03917">
        <w:t>Slangen, A.B.A., Palmer, M.D., Camargo, C.M.L., Church, J.A., Edwards, T.L., Hermans, T.H.J., Hewitt, H., Garner, G.G., Gregory, J.M., Kopp, R.E., Santos, V.M., van de Wal, R.S.W. (2023). The evolution of 21st century sea-level projections from IPCC AR5 to AR6 and beyond.</w:t>
      </w:r>
      <w:r w:rsidRPr="00F03917">
        <w:rPr>
          <w:i/>
          <w:iCs/>
        </w:rPr>
        <w:t xml:space="preserve"> </w:t>
      </w:r>
      <w:r w:rsidRPr="00F03917">
        <w:t xml:space="preserve">Cambridge Prisms: </w:t>
      </w:r>
      <w:r w:rsidRPr="00F03917">
        <w:rPr>
          <w:i/>
        </w:rPr>
        <w:t>Coastal Futures</w:t>
      </w:r>
      <w:r w:rsidRPr="00F03917">
        <w:rPr>
          <w:i/>
          <w:iCs/>
        </w:rPr>
        <w:t>:</w:t>
      </w:r>
      <w:r w:rsidRPr="00F03917">
        <w:t xml:space="preserve"> </w:t>
      </w:r>
      <w:r w:rsidRPr="00F03917">
        <w:br/>
        <w:t xml:space="preserve">1–33. </w:t>
      </w:r>
      <w:r w:rsidR="004E3E8C" w:rsidRPr="00F03917">
        <w:rPr>
          <w:rStyle w:val="Hyperlink"/>
        </w:rPr>
        <w:t>https://doi.org/10.1017/cft.2022.8</w:t>
      </w:r>
      <w:r w:rsidRPr="00F03917">
        <w:t>.</w:t>
      </w:r>
      <w:r w:rsidRPr="00F03917">
        <w:rPr>
          <w:color w:val="008080"/>
          <w:u w:val="single"/>
        </w:rPr>
        <w:t xml:space="preserve"> </w:t>
      </w:r>
    </w:p>
    <w:p w14:paraId="2B4609AF" w14:textId="1E6820C3" w:rsidR="002A3853" w:rsidRPr="00F03917" w:rsidRDefault="002A3853" w:rsidP="002A3853">
      <w:pPr>
        <w:pStyle w:val="References"/>
      </w:pPr>
      <w:r w:rsidRPr="00F03917">
        <w:t xml:space="preserve">Splinter, K.D., Coco, G. (2021). Challenges and opportunities in coastal shoreline prediction. </w:t>
      </w:r>
      <w:r w:rsidRPr="00F03917">
        <w:rPr>
          <w:i/>
          <w:iCs/>
        </w:rPr>
        <w:t>Frontiers in Marine Science</w:t>
      </w:r>
      <w:r w:rsidRPr="00F03917">
        <w:t xml:space="preserve"> 8: 788657. </w:t>
      </w:r>
      <w:r w:rsidR="000B2ED8" w:rsidRPr="00F03917">
        <w:rPr>
          <w:rStyle w:val="Hyperlink"/>
        </w:rPr>
        <w:t>https://doi.org/10.3389/fmars.2021.788657</w:t>
      </w:r>
      <w:r w:rsidRPr="00F03917">
        <w:t>. </w:t>
      </w:r>
    </w:p>
    <w:p w14:paraId="38EE5258" w14:textId="77777777" w:rsidR="002A3853" w:rsidRPr="00F03917" w:rsidRDefault="002A3853" w:rsidP="002A3853">
      <w:pPr>
        <w:pStyle w:val="References"/>
        <w:rPr>
          <w:rFonts w:cs="Calibri"/>
          <w:color w:val="000000"/>
          <w:shd w:val="clear" w:color="auto" w:fill="FFFFFF"/>
        </w:rPr>
      </w:pPr>
      <w:r w:rsidRPr="00F03917">
        <w:rPr>
          <w:rFonts w:cs="Calibri"/>
          <w:color w:val="000000"/>
          <w:szCs w:val="20"/>
          <w:shd w:val="clear" w:color="auto" w:fill="FFFFFF"/>
        </w:rPr>
        <w:t xml:space="preserve">StatsNZ. (2020). Indicators: temperature. </w:t>
      </w:r>
      <w:r w:rsidRPr="00F03917">
        <w:rPr>
          <w:rStyle w:val="Hyperlink"/>
        </w:rPr>
        <w:t>https://www.stats.govt.nz/indicators/temperature</w:t>
      </w:r>
    </w:p>
    <w:p w14:paraId="29D9D6A8" w14:textId="77777777" w:rsidR="002A3853" w:rsidRPr="00F03917" w:rsidRDefault="002A3853" w:rsidP="002A3853">
      <w:pPr>
        <w:pStyle w:val="References"/>
      </w:pPr>
      <w:r w:rsidRPr="00F03917">
        <w:t xml:space="preserve">Stephens, S.A. (2015). The effect of sea-level rise on the frequency of extreme sea levels in New Zealand. </w:t>
      </w:r>
      <w:r w:rsidRPr="00F03917">
        <w:rPr>
          <w:i/>
        </w:rPr>
        <w:t>Prepared by NIWA for the Parliamentary Commissioner for the Environment</w:t>
      </w:r>
      <w:r w:rsidRPr="00F03917">
        <w:t xml:space="preserve">. Wellington: Parliamentary Commissioner for the Environment. Retrieved from </w:t>
      </w:r>
      <w:hyperlink r:id="rId476" w:history="1">
        <w:r w:rsidRPr="00F03917">
          <w:rPr>
            <w:rStyle w:val="Hyperlink"/>
            <w:rFonts w:eastAsia="Calibri" w:cs="Calibri"/>
            <w:szCs w:val="20"/>
          </w:rPr>
          <w:t>www.pce.parliament.nz/media/1382/the-effect-of-sea-level-rise-on-the-frequency-of-extreme-sea-levels-in-new-zealand-niwa-2015.pdf</w:t>
        </w:r>
      </w:hyperlink>
      <w:r w:rsidRPr="00F03917">
        <w:t>.</w:t>
      </w:r>
    </w:p>
    <w:p w14:paraId="250CB8F5" w14:textId="77777777" w:rsidR="002A3853" w:rsidRPr="00F03917" w:rsidRDefault="002A3853" w:rsidP="002A3853">
      <w:pPr>
        <w:pStyle w:val="References"/>
      </w:pPr>
      <w:r w:rsidRPr="00F03917">
        <w:t xml:space="preserve">Stephens, S.A., Allis, M., Robinson, B., Gorman, R.M. (2015a). Storm-tides and wave runup in the Canterbury Region. </w:t>
      </w:r>
      <w:r w:rsidRPr="00F03917">
        <w:rPr>
          <w:i/>
        </w:rPr>
        <w:t>NIWA Client Report to Environment Canterbury</w:t>
      </w:r>
      <w:r w:rsidRPr="00F03917">
        <w:t>, HAM2015-129: 133.</w:t>
      </w:r>
    </w:p>
    <w:p w14:paraId="7420653E" w14:textId="2194E840" w:rsidR="002A3853" w:rsidRPr="00F03917" w:rsidRDefault="002A3853" w:rsidP="002A3853">
      <w:pPr>
        <w:pStyle w:val="paragraph"/>
        <w:spacing w:before="0" w:beforeAutospacing="0" w:after="120" w:afterAutospacing="0"/>
        <w:textAlignment w:val="baseline"/>
        <w:rPr>
          <w:rFonts w:asciiTheme="minorHAnsi" w:hAnsiTheme="minorHAnsi" w:cstheme="minorHAnsi"/>
          <w:sz w:val="20"/>
          <w:szCs w:val="20"/>
        </w:rPr>
      </w:pPr>
      <w:r w:rsidRPr="00F03917">
        <w:rPr>
          <w:rStyle w:val="findhit"/>
          <w:rFonts w:ascii="Calibri" w:hAnsi="Calibri" w:cs="Calibri"/>
          <w:sz w:val="20"/>
        </w:rPr>
        <w:t>Stephens</w:t>
      </w:r>
      <w:r w:rsidRPr="00F03917">
        <w:rPr>
          <w:rStyle w:val="normaltextrun"/>
          <w:rFonts w:ascii="Calibri" w:hAnsi="Calibri" w:cs="Calibri"/>
          <w:sz w:val="20"/>
        </w:rPr>
        <w:t xml:space="preserve">, S., A., Bell, R., G., Haigh, I. (2020). Spatial and temporal analysis of extreme storm-tide and skew-surge events around the coastline of New Zealand. </w:t>
      </w:r>
      <w:r w:rsidRPr="00F03917">
        <w:rPr>
          <w:rStyle w:val="normaltextrun"/>
          <w:rFonts w:asciiTheme="minorHAnsi" w:hAnsiTheme="minorHAnsi" w:cstheme="minorHAnsi"/>
          <w:i/>
          <w:sz w:val="20"/>
          <w:szCs w:val="20"/>
        </w:rPr>
        <w:t>Natural Hazards and Earth System Sciences</w:t>
      </w:r>
      <w:r w:rsidRPr="00F03917">
        <w:rPr>
          <w:rStyle w:val="normaltextrun"/>
          <w:rFonts w:asciiTheme="minorHAnsi" w:hAnsiTheme="minorHAnsi" w:cstheme="minorHAnsi"/>
          <w:sz w:val="20"/>
          <w:szCs w:val="20"/>
        </w:rPr>
        <w:t xml:space="preserve"> 20: 783–796. </w:t>
      </w:r>
      <w:hyperlink r:id="rId477" w:tgtFrame="_blank" w:history="1">
        <w:r w:rsidRPr="00F03917">
          <w:rPr>
            <w:rStyle w:val="Hyperlink"/>
            <w:rFonts w:asciiTheme="minorHAnsi" w:hAnsiTheme="minorHAnsi" w:cstheme="minorHAnsi"/>
            <w:sz w:val="20"/>
            <w:szCs w:val="20"/>
          </w:rPr>
          <w:t>https://doi.org/10.5194/nhess-20-783-2020</w:t>
        </w:r>
      </w:hyperlink>
      <w:r w:rsidR="004829D6" w:rsidRPr="00F03917">
        <w:rPr>
          <w:rStyle w:val="normaltextrun"/>
          <w:rFonts w:asciiTheme="minorHAnsi" w:hAnsiTheme="minorHAnsi" w:cstheme="minorHAnsi"/>
          <w:color w:val="2C997B"/>
          <w:sz w:val="20"/>
          <w:szCs w:val="20"/>
        </w:rPr>
        <w:t>.</w:t>
      </w:r>
    </w:p>
    <w:p w14:paraId="19D8FE5A" w14:textId="77777777" w:rsidR="002A3853" w:rsidRPr="00F03917" w:rsidRDefault="002A3853" w:rsidP="002A3853">
      <w:pPr>
        <w:pStyle w:val="References"/>
        <w:rPr>
          <w:color w:val="2C997B"/>
        </w:rPr>
      </w:pPr>
      <w:r w:rsidRPr="00F03917">
        <w:rPr>
          <w:rFonts w:asciiTheme="minorHAnsi" w:hAnsiTheme="minorHAnsi" w:cstheme="minorHAnsi"/>
          <w:szCs w:val="20"/>
        </w:rPr>
        <w:t>Stephens, S., Bell, R., Lawrence, J. (2017). Applying principles</w:t>
      </w:r>
      <w:r w:rsidRPr="00F03917">
        <w:t xml:space="preserve"> of uncertainty within coastal hazard assessments to better support coastal adaptation. </w:t>
      </w:r>
      <w:r w:rsidRPr="00F03917">
        <w:rPr>
          <w:i/>
          <w:iCs/>
        </w:rPr>
        <w:t>Journal of Marine Science and Engineering</w:t>
      </w:r>
      <w:r w:rsidRPr="00F03917">
        <w:t xml:space="preserve"> 5(3): 40. Retrieved from </w:t>
      </w:r>
      <w:hyperlink r:id="rId478" w:history="1">
        <w:r w:rsidRPr="00F03917">
          <w:rPr>
            <w:rStyle w:val="Hyperlink"/>
            <w:rFonts w:eastAsia="Calibri" w:cs="Calibri"/>
            <w:szCs w:val="20"/>
          </w:rPr>
          <w:t>www.mdpi.com/2077-1312/5/3/40</w:t>
        </w:r>
      </w:hyperlink>
      <w:r w:rsidRPr="00F03917">
        <w:rPr>
          <w:color w:val="2C997B"/>
        </w:rPr>
        <w:t>.</w:t>
      </w:r>
    </w:p>
    <w:p w14:paraId="34A27BDE" w14:textId="77777777" w:rsidR="002A3853" w:rsidRPr="00F03917" w:rsidRDefault="002A3853" w:rsidP="002A3853">
      <w:pPr>
        <w:pStyle w:val="References"/>
        <w:rPr>
          <w:color w:val="008080"/>
          <w:u w:val="single"/>
        </w:rPr>
      </w:pPr>
      <w:r w:rsidRPr="00F03917">
        <w:t xml:space="preserve">Stephens, S.A., Bell, R.G., Lawrence, J. (2018). </w:t>
      </w:r>
      <w:r w:rsidRPr="00F03917">
        <w:rPr>
          <w:iCs/>
        </w:rPr>
        <w:t>Developing signals to trigger adaptation to sea-level rise.</w:t>
      </w:r>
      <w:r w:rsidRPr="00F03917">
        <w:rPr>
          <w:i/>
        </w:rPr>
        <w:t xml:space="preserve"> </w:t>
      </w:r>
      <w:r w:rsidRPr="00F03917">
        <w:rPr>
          <w:i/>
          <w:iCs/>
        </w:rPr>
        <w:t>Environmental Research Letters</w:t>
      </w:r>
      <w:r w:rsidRPr="00F03917">
        <w:t xml:space="preserve"> 13(10): 104004. Retrieved from </w:t>
      </w:r>
      <w:hyperlink r:id="rId479" w:history="1">
        <w:r w:rsidRPr="00F03917">
          <w:rPr>
            <w:rStyle w:val="Hyperlink"/>
            <w:rFonts w:eastAsia="Calibri" w:cs="Calibri"/>
            <w:szCs w:val="20"/>
          </w:rPr>
          <w:t>https://iopscience.iop.org/article/10.1088/1748-9326/aadf96</w:t>
        </w:r>
      </w:hyperlink>
      <w:r w:rsidRPr="00F03917">
        <w:t>.</w:t>
      </w:r>
      <w:r w:rsidRPr="00F03917">
        <w:rPr>
          <w:color w:val="008080"/>
          <w:u w:val="single"/>
        </w:rPr>
        <w:t xml:space="preserve"> </w:t>
      </w:r>
    </w:p>
    <w:p w14:paraId="5876BDD4" w14:textId="1BBD8859" w:rsidR="002A3853" w:rsidRPr="00F03917" w:rsidRDefault="002A3853" w:rsidP="002A3853">
      <w:pPr>
        <w:pStyle w:val="References"/>
        <w:rPr>
          <w:color w:val="008080"/>
          <w:u w:val="single"/>
        </w:rPr>
      </w:pPr>
      <w:r w:rsidRPr="00F03917">
        <w:t>Stephens, S.A., Paulik, R., Reeve, G., Wadhwa, S., Popovich, B., Shand, T. (2021). Future changes in built environment risk to coastal flooding, permanent inundation and coastal erosion hazards</w:t>
      </w:r>
      <w:r w:rsidRPr="00F03917">
        <w:rPr>
          <w:i/>
        </w:rPr>
        <w:t>.</w:t>
      </w:r>
      <w:r w:rsidRPr="00F03917">
        <w:t xml:space="preserve"> </w:t>
      </w:r>
      <w:r w:rsidRPr="00F03917">
        <w:rPr>
          <w:i/>
        </w:rPr>
        <w:t>Journal of Marine Science and Engineering</w:t>
      </w:r>
      <w:r w:rsidRPr="00F03917">
        <w:t xml:space="preserve"> 9: 1011. </w:t>
      </w:r>
      <w:r w:rsidR="00832539" w:rsidRPr="00F03917">
        <w:rPr>
          <w:rStyle w:val="Hyperlink"/>
        </w:rPr>
        <w:t>https://doi.org/10.3390/jmse9091011</w:t>
      </w:r>
      <w:r w:rsidRPr="00F03917">
        <w:t>.</w:t>
      </w:r>
      <w:r w:rsidRPr="00F03917">
        <w:rPr>
          <w:color w:val="008080"/>
          <w:u w:val="single"/>
        </w:rPr>
        <w:t xml:space="preserve"> </w:t>
      </w:r>
    </w:p>
    <w:p w14:paraId="5E5D411C" w14:textId="77777777" w:rsidR="002A3853" w:rsidRPr="00F03917" w:rsidRDefault="002A3853" w:rsidP="002A3853">
      <w:pPr>
        <w:pStyle w:val="References"/>
      </w:pPr>
      <w:r w:rsidRPr="00F03917">
        <w:rPr>
          <w:rStyle w:val="normaltextrun"/>
          <w:rFonts w:cs="Calibri"/>
          <w:color w:val="000000"/>
          <w:szCs w:val="20"/>
          <w:shd w:val="clear" w:color="auto" w:fill="FFFFFF"/>
        </w:rPr>
        <w:t xml:space="preserve">Stephens, S., A., Robinson, B., Bell, R., G. (2015b). Analysis of Whitianga, Tararu and Kawhia sea-level records to 2014. </w:t>
      </w:r>
      <w:r w:rsidRPr="00F03917">
        <w:rPr>
          <w:rStyle w:val="normaltextrun"/>
          <w:rFonts w:cs="Calibri"/>
          <w:i/>
          <w:color w:val="000000"/>
          <w:szCs w:val="20"/>
          <w:shd w:val="clear" w:color="auto" w:fill="FFFFFF"/>
        </w:rPr>
        <w:t>NIWA Client Report to Waikato Regional Council</w:t>
      </w:r>
      <w:r w:rsidRPr="00F03917">
        <w:rPr>
          <w:rStyle w:val="normaltextrun"/>
          <w:rFonts w:cs="Calibri"/>
          <w:color w:val="000000"/>
          <w:szCs w:val="20"/>
          <w:shd w:val="clear" w:color="auto" w:fill="FFFFFF"/>
        </w:rPr>
        <w:t>, HAM2015-046: 98.</w:t>
      </w:r>
      <w:r w:rsidRPr="00F03917">
        <w:rPr>
          <w:rStyle w:val="eop"/>
          <w:rFonts w:cs="Calibri"/>
          <w:color w:val="000000"/>
          <w:szCs w:val="20"/>
          <w:shd w:val="clear" w:color="auto" w:fill="FFFFFF"/>
        </w:rPr>
        <w:t> </w:t>
      </w:r>
    </w:p>
    <w:p w14:paraId="3A97B9DF" w14:textId="77777777" w:rsidR="002A3853" w:rsidRPr="00F03917" w:rsidRDefault="002A3853" w:rsidP="002A3853">
      <w:pPr>
        <w:pStyle w:val="References"/>
      </w:pPr>
      <w:r w:rsidRPr="00F03917">
        <w:t xml:space="preserve">Stephens, S.A., Robinson, B., Gorman, R.M. (2014). Extreme sea-level elevations from storm-tides and waves along the Gisborne District coastline. </w:t>
      </w:r>
      <w:r w:rsidRPr="00F03917">
        <w:rPr>
          <w:i/>
        </w:rPr>
        <w:t>NIWA Client Report to Gisborne District Council</w:t>
      </w:r>
      <w:r w:rsidRPr="00F03917">
        <w:t xml:space="preserve"> </w:t>
      </w:r>
      <w:r w:rsidRPr="00F03917">
        <w:br/>
        <w:t>HAM2014-052: 106.</w:t>
      </w:r>
    </w:p>
    <w:p w14:paraId="69C26CA9" w14:textId="77777777" w:rsidR="002A3853" w:rsidRPr="00F03917" w:rsidRDefault="002A3853" w:rsidP="002A3853">
      <w:pPr>
        <w:pStyle w:val="References"/>
      </w:pPr>
      <w:r w:rsidRPr="00F03917">
        <w:t xml:space="preserve">Stephens, S.A., Wadhwa, S., Gorman, R., Goodhue, N., Pritchard, M., Ovenden, R., Reeve, G. (2013). Coastal inundation by storm-tides and waves in the Auckland Region. </w:t>
      </w:r>
      <w:r w:rsidRPr="00F03917">
        <w:rPr>
          <w:i/>
        </w:rPr>
        <w:t xml:space="preserve">Prepared for Auckland Council by NIWA. </w:t>
      </w:r>
      <w:r w:rsidRPr="00F03917">
        <w:t xml:space="preserve">Auckland: Auckland Council. </w:t>
      </w:r>
    </w:p>
    <w:p w14:paraId="62CF88A0" w14:textId="77777777" w:rsidR="002A3853" w:rsidRPr="00F03917" w:rsidRDefault="002A3853" w:rsidP="002A3853">
      <w:pPr>
        <w:pStyle w:val="References"/>
      </w:pPr>
      <w:r w:rsidRPr="00F03917">
        <w:t xml:space="preserve">Stephens, S.A., Wadhwa, S., Tuckey, B. (2016). Coastal inundation by storm-tides and waves in the Auckland Region. </w:t>
      </w:r>
      <w:r w:rsidRPr="00F03917">
        <w:rPr>
          <w:i/>
        </w:rPr>
        <w:t>Prepared by the National Institute of Water and Atmospheric Research and DHI Ltd for Auckland Council.</w:t>
      </w:r>
      <w:r w:rsidRPr="00F03917">
        <w:t xml:space="preserve"> Auckland Council Technical Report TR2016/017.</w:t>
      </w:r>
    </w:p>
    <w:p w14:paraId="4EB95E48" w14:textId="37A4D2DA" w:rsidR="002A3853" w:rsidRPr="00F03917" w:rsidRDefault="002A3853" w:rsidP="002A3853">
      <w:pPr>
        <w:pStyle w:val="References"/>
        <w:rPr>
          <w:color w:val="008080"/>
          <w:u w:val="single"/>
        </w:rPr>
      </w:pPr>
      <w:r w:rsidRPr="00F03917">
        <w:t>Stephens, S.A., Wu, W. (2022). Mapping dependence between extreme skew-surge, rainfall, and river-</w:t>
      </w:r>
      <w:r w:rsidRPr="00F03917">
        <w:rPr>
          <w:spacing w:val="-2"/>
        </w:rPr>
        <w:t>flow</w:t>
      </w:r>
      <w:r w:rsidRPr="00F03917">
        <w:rPr>
          <w:i/>
          <w:spacing w:val="-2"/>
        </w:rPr>
        <w:t>.</w:t>
      </w:r>
      <w:r w:rsidRPr="00F03917">
        <w:rPr>
          <w:spacing w:val="-2"/>
        </w:rPr>
        <w:t xml:space="preserve"> </w:t>
      </w:r>
      <w:r w:rsidRPr="00F03917">
        <w:rPr>
          <w:i/>
          <w:spacing w:val="-2"/>
        </w:rPr>
        <w:t>Journal of Marine Science and Engineering</w:t>
      </w:r>
      <w:r w:rsidRPr="00F03917">
        <w:rPr>
          <w:spacing w:val="-2"/>
        </w:rPr>
        <w:t xml:space="preserve"> 10: 1818. </w:t>
      </w:r>
      <w:r w:rsidR="000F1B4C" w:rsidRPr="00F03917">
        <w:rPr>
          <w:rStyle w:val="Hyperlink"/>
        </w:rPr>
        <w:t>https://doi.org/10.3390/jmse10121818</w:t>
      </w:r>
      <w:r w:rsidRPr="00F03917">
        <w:rPr>
          <w:rStyle w:val="Hyperlink"/>
          <w:rFonts w:eastAsia="Calibri" w:cs="Calibri"/>
          <w:spacing w:val="-2"/>
          <w:szCs w:val="20"/>
        </w:rPr>
        <w:t>.</w:t>
      </w:r>
      <w:r w:rsidRPr="00F03917">
        <w:rPr>
          <w:color w:val="008080"/>
          <w:u w:val="single"/>
        </w:rPr>
        <w:t xml:space="preserve"> </w:t>
      </w:r>
    </w:p>
    <w:p w14:paraId="3862C92C" w14:textId="7C8D2E6B"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Stirling, M., McVerry, G., Gerstenberger, M., Litchfield, N., Van Dissen, R., Berryman, K., ... &amp; Jacobs, K. (2012). National seismic hazard model for New Zealand: 2010 update. </w:t>
      </w:r>
      <w:r w:rsidRPr="00F03917">
        <w:rPr>
          <w:rStyle w:val="findhit"/>
          <w:rFonts w:cs="Calibri"/>
          <w:i/>
          <w:color w:val="000000"/>
          <w:szCs w:val="20"/>
          <w:shd w:val="clear" w:color="auto" w:fill="FFFFFF"/>
        </w:rPr>
        <w:t>Bulletin of the Seismological Society of America,</w:t>
      </w:r>
      <w:r w:rsidRPr="00F03917">
        <w:rPr>
          <w:rStyle w:val="findhit"/>
          <w:rFonts w:cs="Calibri"/>
          <w:color w:val="000000"/>
          <w:szCs w:val="20"/>
          <w:shd w:val="clear" w:color="auto" w:fill="FFFFFF"/>
        </w:rPr>
        <w:t xml:space="preserve"> 102(4), 1514-1542.</w:t>
      </w:r>
      <w:r w:rsidR="00527F3D" w:rsidRPr="00F03917">
        <w:rPr>
          <w:rStyle w:val="findhit"/>
          <w:rFonts w:cs="Calibri"/>
          <w:color w:val="000000"/>
          <w:szCs w:val="20"/>
          <w:shd w:val="clear" w:color="auto" w:fill="FFFFFF"/>
        </w:rPr>
        <w:t xml:space="preserve"> </w:t>
      </w:r>
      <w:r w:rsidR="00527F3D" w:rsidRPr="00F03917">
        <w:rPr>
          <w:rStyle w:val="Hyperlink"/>
        </w:rPr>
        <w:t>https://doi.org/10.1785/0120110170</w:t>
      </w:r>
      <w:r w:rsidR="00527F3D" w:rsidRPr="00F03917">
        <w:rPr>
          <w:rStyle w:val="findhit"/>
          <w:rFonts w:cs="Calibri"/>
          <w:color w:val="000000"/>
          <w:szCs w:val="20"/>
          <w:shd w:val="clear" w:color="auto" w:fill="FFFFFF"/>
        </w:rPr>
        <w:t>.</w:t>
      </w:r>
    </w:p>
    <w:p w14:paraId="40CC6EBB" w14:textId="4939BBDA"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Stive,</w:t>
      </w:r>
      <w:r w:rsidRPr="00F03917">
        <w:rPr>
          <w:rStyle w:val="normaltextrun"/>
          <w:rFonts w:cs="Calibri"/>
          <w:color w:val="000000"/>
          <w:szCs w:val="20"/>
          <w:shd w:val="clear" w:color="auto" w:fill="FFFFFF"/>
        </w:rPr>
        <w:t xml:space="preserve"> M., J., F. (2004). How important is global warming for coastal erosion? </w:t>
      </w:r>
      <w:r w:rsidRPr="00F03917">
        <w:rPr>
          <w:rStyle w:val="normaltextrun"/>
          <w:rFonts w:cs="Calibri"/>
          <w:i/>
          <w:color w:val="000000"/>
          <w:szCs w:val="20"/>
          <w:shd w:val="clear" w:color="auto" w:fill="FFFFFF"/>
        </w:rPr>
        <w:t>Climatic Change</w:t>
      </w:r>
      <w:r w:rsidRPr="00F03917">
        <w:rPr>
          <w:rStyle w:val="normaltextrun"/>
          <w:rFonts w:cs="Calibri"/>
          <w:color w:val="000000"/>
          <w:szCs w:val="20"/>
          <w:shd w:val="clear" w:color="auto" w:fill="FFFFFF"/>
        </w:rPr>
        <w:t xml:space="preserve"> 64(1): 27–39. </w:t>
      </w:r>
      <w:r w:rsidR="00393BE9" w:rsidRPr="00F03917">
        <w:rPr>
          <w:rStyle w:val="Hyperlink"/>
        </w:rPr>
        <w:t>https://doi.org/10.1023/B:CLIM.0000024785.91858.1d</w:t>
      </w:r>
      <w:r w:rsidRPr="00F03917">
        <w:rPr>
          <w:rStyle w:val="normaltextrun"/>
          <w:rFonts w:cs="Calibri"/>
          <w:color w:val="000000"/>
          <w:szCs w:val="20"/>
          <w:shd w:val="clear" w:color="auto" w:fill="FFFFFF"/>
        </w:rPr>
        <w:t>.</w:t>
      </w:r>
    </w:p>
    <w:p w14:paraId="7DC0DC4A" w14:textId="46E87F0C" w:rsidR="002A3853" w:rsidRPr="00F03917" w:rsidRDefault="002A3853" w:rsidP="002A3853">
      <w:pPr>
        <w:pStyle w:val="References"/>
      </w:pPr>
      <w:r w:rsidRPr="00F03917">
        <w:rPr>
          <w:rStyle w:val="findhit"/>
          <w:rFonts w:cs="Calibri"/>
          <w:color w:val="000000"/>
          <w:szCs w:val="20"/>
          <w:shd w:val="clear" w:color="auto" w:fill="FFFFFF"/>
        </w:rPr>
        <w:t>Strauss,</w:t>
      </w:r>
      <w:r w:rsidRPr="00F03917">
        <w:rPr>
          <w:rStyle w:val="normaltextrun"/>
          <w:rFonts w:cs="Calibri"/>
          <w:color w:val="000000"/>
          <w:szCs w:val="20"/>
          <w:shd w:val="clear" w:color="auto" w:fill="FFFFFF"/>
        </w:rPr>
        <w:t xml:space="preserve"> B., H., Kulp, S., Levermann, A. (2015). Carbon choices determine US cities committed to futures below sea level. </w:t>
      </w:r>
      <w:r w:rsidRPr="00F03917">
        <w:rPr>
          <w:rStyle w:val="normaltextrun"/>
          <w:rFonts w:cs="Calibri"/>
          <w:i/>
          <w:color w:val="000000"/>
          <w:szCs w:val="20"/>
          <w:shd w:val="clear" w:color="auto" w:fill="FFFFFF"/>
        </w:rPr>
        <w:t>Proceedings of the National Academy of Sciences</w:t>
      </w:r>
      <w:r w:rsidRPr="00F03917">
        <w:rPr>
          <w:rStyle w:val="normaltextrun"/>
          <w:rFonts w:cs="Calibri"/>
          <w:color w:val="000000"/>
          <w:szCs w:val="20"/>
          <w:shd w:val="clear" w:color="auto" w:fill="FFFFFF"/>
        </w:rPr>
        <w:t xml:space="preserve"> 112(44): 13508–13513. </w:t>
      </w:r>
      <w:hyperlink r:id="rId480" w:tgtFrame="_blank" w:history="1">
        <w:r w:rsidRPr="00F03917">
          <w:rPr>
            <w:rStyle w:val="Hyperlink"/>
          </w:rPr>
          <w:t>http://dx.doi.org/10.1073/pnas.1511186112</w:t>
        </w:r>
      </w:hyperlink>
      <w:r w:rsidRPr="00F03917">
        <w:rPr>
          <w:rStyle w:val="normaltextrun"/>
          <w:rFonts w:cs="Calibri"/>
          <w:color w:val="000000"/>
          <w:szCs w:val="20"/>
          <w:shd w:val="clear" w:color="auto" w:fill="FFFFFF"/>
        </w:rPr>
        <w:t>.</w:t>
      </w:r>
    </w:p>
    <w:p w14:paraId="225F0D61" w14:textId="77777777" w:rsidR="00872FD3" w:rsidRPr="00F03917" w:rsidRDefault="002A3853" w:rsidP="002A3853">
      <w:pPr>
        <w:pStyle w:val="References"/>
      </w:pPr>
      <w:r w:rsidRPr="00F03917">
        <w:rPr>
          <w:rStyle w:val="findhit"/>
          <w:rFonts w:cs="Calibri"/>
          <w:color w:val="000000"/>
          <w:szCs w:val="20"/>
          <w:shd w:val="clear" w:color="auto" w:fill="FFFFFF"/>
        </w:rPr>
        <w:t>String</w:t>
      </w:r>
      <w:r w:rsidRPr="00F03917">
        <w:rPr>
          <w:rStyle w:val="normaltextrun"/>
          <w:rFonts w:cs="Calibri"/>
          <w:color w:val="000000"/>
          <w:szCs w:val="20"/>
          <w:shd w:val="clear" w:color="auto" w:fill="FFFFFF"/>
        </w:rPr>
        <w:t xml:space="preserve">er, L., C., Dougill, A., J., Fraser, E., Hubacek, K., Prell, C., Reed, M. (2006). Unpacking “Participation” in the adaptive management of social–ecological systems: A critical review. </w:t>
      </w:r>
      <w:r w:rsidRPr="00F03917">
        <w:rPr>
          <w:rStyle w:val="normaltextrun"/>
          <w:rFonts w:cs="Calibri"/>
          <w:i/>
          <w:color w:val="000000"/>
          <w:szCs w:val="20"/>
          <w:shd w:val="clear" w:color="auto" w:fill="FFFFFF"/>
        </w:rPr>
        <w:t>Ecology and Society</w:t>
      </w:r>
      <w:r w:rsidRPr="00F03917">
        <w:rPr>
          <w:rStyle w:val="normaltextrun"/>
          <w:rFonts w:cs="Calibri"/>
          <w:color w:val="000000"/>
          <w:szCs w:val="20"/>
          <w:shd w:val="clear" w:color="auto" w:fill="FFFFFF"/>
        </w:rPr>
        <w:t xml:space="preserve"> 11(2): 39. Retrieved from </w:t>
      </w:r>
      <w:hyperlink r:id="rId481" w:tgtFrame="_blank" w:history="1">
        <w:r w:rsidRPr="00F03917">
          <w:rPr>
            <w:rStyle w:val="Hyperlink"/>
          </w:rPr>
          <w:t>www.ecologyandsociety.org/vol11/iss2/art39/</w:t>
        </w:r>
      </w:hyperlink>
      <w:r w:rsidRPr="00F03917">
        <w:t>.</w:t>
      </w:r>
    </w:p>
    <w:p w14:paraId="6ACFF359" w14:textId="6388D901" w:rsidR="002A3853" w:rsidRPr="00F03917" w:rsidRDefault="002A3853" w:rsidP="002A3853">
      <w:pPr>
        <w:pStyle w:val="References"/>
        <w:rPr>
          <w:color w:val="008080"/>
          <w:u w:val="single"/>
        </w:rPr>
      </w:pPr>
      <w:r w:rsidRPr="00F03917">
        <w:t xml:space="preserve">Stroombergen, A., Lawrence, J. (2022). A novel illustration of real options analysis to address the problem of probabilities under deep uncertainty and changing climate risk. </w:t>
      </w:r>
      <w:r w:rsidRPr="00F03917">
        <w:rPr>
          <w:i/>
          <w:iCs/>
        </w:rPr>
        <w:t>Climate Risk Management</w:t>
      </w:r>
      <w:r w:rsidRPr="00F03917">
        <w:t xml:space="preserve"> 38: 100458. </w:t>
      </w:r>
      <w:r w:rsidR="00931A1E" w:rsidRPr="00F03917">
        <w:rPr>
          <w:rStyle w:val="Hyperlink"/>
        </w:rPr>
        <w:t>https://doi.org/10.1016/j.crm.2022.100458</w:t>
      </w:r>
      <w:r w:rsidRPr="00F03917">
        <w:t>.</w:t>
      </w:r>
      <w:r w:rsidRPr="00F03917">
        <w:rPr>
          <w:color w:val="008080"/>
          <w:u w:val="single"/>
        </w:rPr>
        <w:t xml:space="preserve"> </w:t>
      </w:r>
    </w:p>
    <w:p w14:paraId="46B78FE6" w14:textId="0C8003E8"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Sung, H. M., Kim, J., Lee, J. H., Shim, S., Boo, K. O., Ha, J. C., &amp; Kim, Y. H. (2021). Future changes in the global and regional sea level rise and sea surface temperature based on CMIP6 models. </w:t>
      </w:r>
      <w:r w:rsidRPr="00F03917">
        <w:rPr>
          <w:rStyle w:val="findhit"/>
          <w:rFonts w:cs="Calibri"/>
          <w:i/>
          <w:iCs/>
          <w:color w:val="000000"/>
          <w:szCs w:val="20"/>
          <w:shd w:val="clear" w:color="auto" w:fill="FFFFFF"/>
        </w:rPr>
        <w:t>Atmosphere</w:t>
      </w:r>
      <w:r w:rsidRPr="00F03917">
        <w:rPr>
          <w:rStyle w:val="findhit"/>
          <w:rFonts w:cs="Calibri"/>
          <w:color w:val="000000"/>
          <w:szCs w:val="20"/>
          <w:shd w:val="clear" w:color="auto" w:fill="FFFFFF"/>
        </w:rPr>
        <w:t>, 12(1), 90.</w:t>
      </w:r>
      <w:r w:rsidR="00D015DB" w:rsidRPr="00F03917">
        <w:rPr>
          <w:rStyle w:val="findhit"/>
          <w:rFonts w:cs="Calibri"/>
          <w:color w:val="000000"/>
          <w:szCs w:val="20"/>
          <w:shd w:val="clear" w:color="auto" w:fill="FFFFFF"/>
        </w:rPr>
        <w:t xml:space="preserve"> </w:t>
      </w:r>
      <w:r w:rsidR="00D015DB" w:rsidRPr="00F03917">
        <w:rPr>
          <w:rStyle w:val="Hyperlink"/>
        </w:rPr>
        <w:t>https://doi.org/10.3390/atmos12010090</w:t>
      </w:r>
      <w:r w:rsidR="00D015DB" w:rsidRPr="00F03917">
        <w:rPr>
          <w:rStyle w:val="findhit"/>
          <w:rFonts w:cs="Calibri"/>
          <w:color w:val="000000"/>
          <w:szCs w:val="20"/>
          <w:shd w:val="clear" w:color="auto" w:fill="FFFFFF"/>
        </w:rPr>
        <w:t>.</w:t>
      </w:r>
    </w:p>
    <w:p w14:paraId="0B183A0F" w14:textId="13F9FA38" w:rsidR="002A3853" w:rsidRPr="00F03917" w:rsidRDefault="002A3853" w:rsidP="002A3853">
      <w:pPr>
        <w:pStyle w:val="References"/>
      </w:pPr>
      <w:r w:rsidRPr="00F03917">
        <w:rPr>
          <w:rStyle w:val="findhit"/>
          <w:rFonts w:cs="Calibri"/>
          <w:color w:val="000000"/>
          <w:szCs w:val="20"/>
          <w:shd w:val="clear" w:color="auto" w:fill="FFFFFF"/>
        </w:rPr>
        <w:t>Swales</w:t>
      </w:r>
      <w:r w:rsidRPr="00F03917">
        <w:rPr>
          <w:rStyle w:val="normaltextrun"/>
          <w:rFonts w:cs="Calibri"/>
          <w:color w:val="000000"/>
          <w:szCs w:val="20"/>
          <w:shd w:val="clear" w:color="auto" w:fill="FFFFFF"/>
        </w:rPr>
        <w:t>, A., Bell, R., G., Lohrer, A. (2020</w:t>
      </w:r>
      <w:r w:rsidRPr="00F03917">
        <w:rPr>
          <w:rStyle w:val="normaltextrun"/>
          <w:rFonts w:cs="Calibri"/>
          <w:i/>
          <w:color w:val="000000"/>
          <w:szCs w:val="20"/>
          <w:shd w:val="clear" w:color="auto" w:fill="FFFFFF"/>
        </w:rPr>
        <w:t xml:space="preserve">). </w:t>
      </w:r>
      <w:r w:rsidRPr="00F03917">
        <w:rPr>
          <w:rStyle w:val="normaltextrun"/>
          <w:rFonts w:cs="Calibri"/>
          <w:i/>
          <w:iCs/>
          <w:color w:val="000000"/>
          <w:szCs w:val="20"/>
          <w:shd w:val="clear" w:color="auto" w:fill="FFFFFF"/>
        </w:rPr>
        <w:t>Estuaries and lowland brackish habitats.</w:t>
      </w:r>
      <w:r w:rsidRPr="00F03917">
        <w:rPr>
          <w:rStyle w:val="normaltextrun"/>
          <w:rFonts w:cs="Calibri"/>
          <w:color w:val="000000"/>
          <w:szCs w:val="20"/>
          <w:shd w:val="clear" w:color="auto" w:fill="FFFFFF"/>
        </w:rPr>
        <w:t xml:space="preserve"> p 55-64. </w:t>
      </w:r>
      <w:r w:rsidRPr="00F03917">
        <w:rPr>
          <w:rStyle w:val="normaltextrun"/>
          <w:rFonts w:cs="Calibri"/>
          <w:i/>
          <w:color w:val="000000"/>
          <w:szCs w:val="20"/>
          <w:shd w:val="clear" w:color="auto" w:fill="FFFFFF"/>
        </w:rPr>
        <w:t xml:space="preserve">In: Hendtlass, C.; Morgan, S; Neale, D. (eds.), Coastal systems and sea level rise: What to look for in future. Special Publication 4, NZ Coastal Society, </w:t>
      </w:r>
      <w:r w:rsidRPr="00F03917">
        <w:rPr>
          <w:rStyle w:val="normaltextrun"/>
          <w:rFonts w:cs="Calibri"/>
          <w:color w:val="000000"/>
          <w:szCs w:val="20"/>
          <w:shd w:val="clear" w:color="auto" w:fill="FFFFFF"/>
        </w:rPr>
        <w:t xml:space="preserve">Dec 2020, ISBN: 978-0-473-55110-0. 68 p. </w:t>
      </w:r>
      <w:r w:rsidR="002548F0" w:rsidRPr="00F03917">
        <w:rPr>
          <w:rStyle w:val="Hyperlink"/>
        </w:rPr>
        <w:t>https://www.coastalsociety.org.nz/assets/Publications/Special-Issues/SP4-Low-res-version.pdf.</w:t>
      </w:r>
      <w:hyperlink w:history="1"/>
    </w:p>
    <w:p w14:paraId="3B77FA36" w14:textId="4F4E0D14" w:rsidR="002A3853" w:rsidRPr="00F03917" w:rsidRDefault="002A3853" w:rsidP="002A3853">
      <w:pPr>
        <w:pStyle w:val="References"/>
      </w:pPr>
      <w:r w:rsidRPr="00F03917">
        <w:rPr>
          <w:rStyle w:val="findhit"/>
          <w:rFonts w:cs="Calibri"/>
          <w:color w:val="000000"/>
          <w:szCs w:val="20"/>
          <w:shd w:val="clear" w:color="auto" w:fill="FFFFFF"/>
        </w:rPr>
        <w:t>Sweet,</w:t>
      </w:r>
      <w:r w:rsidRPr="00F03917">
        <w:rPr>
          <w:rStyle w:val="normaltextrun"/>
          <w:rFonts w:cs="Calibri"/>
          <w:color w:val="000000"/>
          <w:szCs w:val="20"/>
          <w:shd w:val="clear" w:color="auto" w:fill="FFFFFF"/>
        </w:rPr>
        <w:t xml:space="preserve"> W., V., &amp; Park, J. (2014). From the extreme to the mean: Acceleration and tipping points of coastal inundation from sea level rise</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Earth’s Future</w:t>
      </w:r>
      <w:r w:rsidRPr="00F03917">
        <w:rPr>
          <w:rStyle w:val="normaltextrun"/>
          <w:rFonts w:cs="Calibri"/>
          <w:color w:val="000000"/>
          <w:szCs w:val="20"/>
          <w:shd w:val="clear" w:color="auto" w:fill="FFFFFF"/>
        </w:rPr>
        <w:t xml:space="preserve"> 2(12): 579–600.</w:t>
      </w:r>
      <w:r w:rsidR="00E80682" w:rsidRPr="00F03917">
        <w:rPr>
          <w:rStyle w:val="normaltextrun"/>
          <w:rFonts w:cs="Calibri"/>
          <w:color w:val="000000"/>
          <w:szCs w:val="20"/>
          <w:shd w:val="clear" w:color="auto" w:fill="FFFFFF"/>
        </w:rPr>
        <w:t xml:space="preserve"> </w:t>
      </w:r>
      <w:r w:rsidR="00E80682" w:rsidRPr="00F03917">
        <w:rPr>
          <w:rStyle w:val="Hyperlink"/>
        </w:rPr>
        <w:t>https://doi.org/10.1002/2014EF000272</w:t>
      </w:r>
      <w:r w:rsidR="00E80682" w:rsidRPr="00F03917">
        <w:rPr>
          <w:rStyle w:val="normaltextrun"/>
          <w:rFonts w:cs="Calibri"/>
          <w:color w:val="000000"/>
          <w:szCs w:val="20"/>
          <w:shd w:val="clear" w:color="auto" w:fill="FFFFFF"/>
        </w:rPr>
        <w:t>.</w:t>
      </w:r>
    </w:p>
    <w:p w14:paraId="04C6BC44" w14:textId="77777777" w:rsidR="002A3853" w:rsidRPr="00F03917" w:rsidRDefault="002A3853" w:rsidP="002A3853">
      <w:pPr>
        <w:pStyle w:val="References"/>
      </w:pPr>
      <w:r w:rsidRPr="00F03917">
        <w:rPr>
          <w:rStyle w:val="findhit"/>
          <w:rFonts w:cs="Calibri"/>
          <w:color w:val="000000"/>
          <w:szCs w:val="20"/>
          <w:shd w:val="clear" w:color="auto" w:fill="FFFFFF"/>
        </w:rPr>
        <w:t>Sweet,</w:t>
      </w:r>
      <w:r w:rsidRPr="00F03917">
        <w:rPr>
          <w:rStyle w:val="normaltextrun"/>
          <w:rFonts w:cs="Calibri"/>
          <w:color w:val="000000"/>
          <w:szCs w:val="20"/>
          <w:shd w:val="clear" w:color="auto" w:fill="FFFFFF"/>
        </w:rPr>
        <w:t xml:space="preserve"> W., V., Park, J., Marra, J., Zervas, C., Gill, S. (2014). Sea level rise and nuisance flood frequency changes around the United States: NOAA Technical Report NOS CO-OPS 073. </w:t>
      </w:r>
      <w:r w:rsidRPr="00F03917">
        <w:rPr>
          <w:rStyle w:val="normaltextrun"/>
          <w:rFonts w:cs="Calibri"/>
          <w:i/>
          <w:color w:val="000000"/>
          <w:szCs w:val="20"/>
          <w:shd w:val="clear" w:color="auto" w:fill="FFFFFF"/>
        </w:rPr>
        <w:t>Maryland: National Oceanic and Atmospheric Administration</w:t>
      </w:r>
      <w:r w:rsidRPr="00F03917">
        <w:rPr>
          <w:rStyle w:val="normaltextrun"/>
          <w:rFonts w:cs="Calibri"/>
          <w:color w:val="000000"/>
          <w:szCs w:val="20"/>
          <w:shd w:val="clear" w:color="auto" w:fill="FFFFFF"/>
        </w:rPr>
        <w:t xml:space="preserve">. Retrieved from </w:t>
      </w:r>
      <w:hyperlink r:id="rId482" w:tgtFrame="_blank" w:history="1">
        <w:r w:rsidRPr="00F03917">
          <w:rPr>
            <w:rStyle w:val="Hyperlink"/>
          </w:rPr>
          <w:t>http://tidesandcurrents.noaa.gov/publications/NOAA_Technical_Report_NOS_COOPS_073.pdf</w:t>
        </w:r>
      </w:hyperlink>
      <w:r w:rsidRPr="00F03917">
        <w:rPr>
          <w:rStyle w:val="normaltextrun"/>
          <w:rFonts w:cs="Calibri"/>
          <w:color w:val="000000"/>
          <w:szCs w:val="20"/>
          <w:shd w:val="clear" w:color="auto" w:fill="FFFFFF"/>
        </w:rPr>
        <w:t>.</w:t>
      </w:r>
    </w:p>
    <w:p w14:paraId="57313D97" w14:textId="698F18FB" w:rsidR="002A3853" w:rsidRPr="00F03917" w:rsidRDefault="002A3853" w:rsidP="002A3853">
      <w:pPr>
        <w:pStyle w:val="References"/>
      </w:pPr>
      <w:r w:rsidRPr="00F03917">
        <w:t xml:space="preserve">Tapsell, E.K.C. (2022). Transitional environmental governance in Aotearoa: Tikanga Māori and a political ethic of care. </w:t>
      </w:r>
      <w:r w:rsidRPr="00F03917">
        <w:rPr>
          <w:i/>
        </w:rPr>
        <w:t>Master’s Thesis</w:t>
      </w:r>
      <w:r w:rsidRPr="00F03917">
        <w:t>. Victoria University of Wellington.</w:t>
      </w:r>
      <w:r w:rsidR="005B6718" w:rsidRPr="00F03917">
        <w:t xml:space="preserve"> </w:t>
      </w:r>
      <w:hyperlink r:id="rId483" w:history="1">
        <w:r w:rsidR="005B6718" w:rsidRPr="00F03917">
          <w:rPr>
            <w:rStyle w:val="Hyperlink"/>
          </w:rPr>
          <w:t>https://doi.org/10.26686/wgtn.21685091</w:t>
        </w:r>
      </w:hyperlink>
    </w:p>
    <w:p w14:paraId="1714AF3C" w14:textId="77777777" w:rsidR="002A3853" w:rsidRPr="00F03917" w:rsidRDefault="002A3853" w:rsidP="002A3853">
      <w:pPr>
        <w:pStyle w:val="References"/>
        <w:rPr>
          <w:color w:val="008080"/>
          <w:u w:val="single"/>
        </w:rPr>
      </w:pPr>
      <w:r w:rsidRPr="00F03917">
        <w:t xml:space="preserve">Tasman District Council. (2020). Coastal Management Project: Coastal Risk Assessment for Tasman Bay/Te Tai o Aorere and Golden Bay/Mohua. December 2020, 30 p. Retrieved from </w:t>
      </w:r>
      <w:hyperlink r:id="rId484" w:history="1">
        <w:r w:rsidRPr="00F03917">
          <w:rPr>
            <w:rStyle w:val="Hyperlink"/>
            <w:rFonts w:eastAsia="Calibri" w:cs="Calibri"/>
            <w:szCs w:val="20"/>
          </w:rPr>
          <w:t>https://tasman.govt.nz/my-council/projects/coastal-management-responding-to-climate-change/coastal-risk-assessment/</w:t>
        </w:r>
      </w:hyperlink>
      <w:r w:rsidRPr="00F03917">
        <w:t>.</w:t>
      </w:r>
      <w:r w:rsidRPr="00F03917">
        <w:rPr>
          <w:color w:val="008080"/>
          <w:u w:val="single"/>
        </w:rPr>
        <w:t xml:space="preserve"> </w:t>
      </w:r>
    </w:p>
    <w:p w14:paraId="0F93616C" w14:textId="77777777" w:rsidR="002A3853" w:rsidRPr="00F03917" w:rsidRDefault="002A3853" w:rsidP="002A3853">
      <w:pPr>
        <w:pStyle w:val="References"/>
      </w:pPr>
      <w:r w:rsidRPr="00F03917">
        <w:t>Te Puni Kōkiri. (2002</w:t>
      </w:r>
      <w:r w:rsidRPr="00F03917">
        <w:rPr>
          <w:i/>
        </w:rPr>
        <w:t xml:space="preserve">). </w:t>
      </w:r>
      <w:r w:rsidRPr="00F03917">
        <w:rPr>
          <w:rStyle w:val="Emphasis"/>
          <w:rFonts w:asciiTheme="minorHAnsi" w:hAnsiTheme="minorHAnsi" w:cstheme="minorHAnsi"/>
          <w:i w:val="0"/>
          <w:color w:val="000000"/>
          <w:szCs w:val="20"/>
          <w:shd w:val="clear" w:color="auto" w:fill="FFFFFF"/>
        </w:rPr>
        <w:t>He Tirohanga ō Kawa ki te Tiriti o Waitangi: A Guide to the Principles of the Treaty of Waitangi as expressed by the Courts and the Waitangi Tribunal.</w:t>
      </w:r>
      <w:r w:rsidRPr="00F03917">
        <w:rPr>
          <w:rStyle w:val="Emphasis"/>
          <w:rFonts w:asciiTheme="minorHAnsi" w:hAnsiTheme="minorHAnsi" w:cstheme="minorHAnsi"/>
          <w:color w:val="000000"/>
          <w:szCs w:val="20"/>
          <w:shd w:val="clear" w:color="auto" w:fill="FFFFFF"/>
        </w:rPr>
        <w:t xml:space="preserve"> </w:t>
      </w:r>
      <w:r w:rsidRPr="00F03917">
        <w:rPr>
          <w:rStyle w:val="Emphasis"/>
          <w:rFonts w:asciiTheme="minorHAnsi" w:hAnsiTheme="minorHAnsi" w:cstheme="minorHAnsi"/>
          <w:i w:val="0"/>
          <w:iCs w:val="0"/>
          <w:color w:val="000000"/>
          <w:szCs w:val="20"/>
          <w:shd w:val="clear" w:color="auto" w:fill="FFFFFF"/>
        </w:rPr>
        <w:t xml:space="preserve">Retrieved from </w:t>
      </w:r>
      <w:hyperlink r:id="rId485" w:history="1">
        <w:r w:rsidRPr="00F03917">
          <w:rPr>
            <w:rStyle w:val="Hyperlink"/>
            <w:rFonts w:asciiTheme="minorHAnsi" w:hAnsiTheme="minorHAnsi" w:cstheme="minorHAnsi"/>
            <w:szCs w:val="20"/>
            <w:shd w:val="clear" w:color="auto" w:fill="FFFFFF"/>
          </w:rPr>
          <w:t>www.waitangitribunal.govt.nz/assets/Documents/Publications/WT-Principles-of-the-Treaty-of-Waitangi-as-expressed-by-the-Courts-and-the-Waitangi-Tribunal.pdf</w:t>
        </w:r>
      </w:hyperlink>
      <w:r w:rsidRPr="00F03917">
        <w:t>.</w:t>
      </w:r>
      <w:r w:rsidRPr="00F03917">
        <w:rPr>
          <w:rStyle w:val="Emphasis"/>
          <w:rFonts w:asciiTheme="minorHAnsi" w:hAnsiTheme="minorHAnsi" w:cstheme="minorHAnsi"/>
          <w:i w:val="0"/>
          <w:iCs w:val="0"/>
          <w:color w:val="000000"/>
          <w:szCs w:val="20"/>
          <w:shd w:val="clear" w:color="auto" w:fill="FFFFFF"/>
        </w:rPr>
        <w:t xml:space="preserve"> </w:t>
      </w:r>
    </w:p>
    <w:p w14:paraId="240D30CC" w14:textId="77777777" w:rsidR="002A3853" w:rsidRPr="00F03917" w:rsidRDefault="002A3853" w:rsidP="002A3853">
      <w:pPr>
        <w:pStyle w:val="References"/>
      </w:pPr>
      <w:r w:rsidRPr="00F03917">
        <w:t xml:space="preserve">Te Puni Kōkiri. (2023). Understanding Climate Hazards for Hapori Māori – Insights for Policy Makers. Retrieved from </w:t>
      </w:r>
      <w:hyperlink r:id="rId486" w:history="1">
        <w:r w:rsidRPr="00F03917">
          <w:rPr>
            <w:rStyle w:val="Hyperlink"/>
          </w:rPr>
          <w:t>www.tpk.govt.nz/en/o-matou-mohiotanga/te-taiao/understanding-climate-hazards-for-hapori-maori-ins</w:t>
        </w:r>
      </w:hyperlink>
      <w:r w:rsidRPr="00F03917">
        <w:t>.</w:t>
      </w:r>
    </w:p>
    <w:p w14:paraId="2915BD4E" w14:textId="77777777" w:rsidR="002A3853" w:rsidRPr="00F03917" w:rsidRDefault="002A3853" w:rsidP="002A3853">
      <w:pPr>
        <w:pStyle w:val="References"/>
      </w:pPr>
      <w:r w:rsidRPr="00F03917">
        <w:t xml:space="preserve">Thekdi, S., Aven, T. (2023). A classiﬁcation system for characterizing the integrity and quality of evidence in risk studies. </w:t>
      </w:r>
      <w:r w:rsidRPr="00F03917">
        <w:rPr>
          <w:i/>
          <w:iCs/>
        </w:rPr>
        <w:t>Risk Analysis</w:t>
      </w:r>
      <w:r w:rsidRPr="00F03917">
        <w:t xml:space="preserve">. </w:t>
      </w:r>
      <w:hyperlink r:id="rId487" w:history="1">
        <w:r w:rsidRPr="00F03917">
          <w:rPr>
            <w:rStyle w:val="Hyperlink"/>
          </w:rPr>
          <w:t>doi.org/10.1111/risa.14153</w:t>
        </w:r>
      </w:hyperlink>
      <w:r w:rsidRPr="00F03917">
        <w:t xml:space="preserve">. </w:t>
      </w:r>
    </w:p>
    <w:p w14:paraId="420C1FD8" w14:textId="58FA192D"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Tippet</w:t>
      </w:r>
      <w:r w:rsidRPr="00F03917">
        <w:rPr>
          <w:rStyle w:val="normaltextrun"/>
          <w:rFonts w:cs="Calibri"/>
          <w:color w:val="000000"/>
          <w:szCs w:val="20"/>
          <w:shd w:val="clear" w:color="auto" w:fill="FFFFFF"/>
        </w:rPr>
        <w:t>t, J., Handley, J., F., Ravetz, J., R. (2007). Meeting the challenges of sustainable development: A conceptual appraisal of a new methodology for participatory ecological planning</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Progress in Planning</w:t>
      </w:r>
      <w:r w:rsidRPr="00F03917">
        <w:rPr>
          <w:rStyle w:val="normaltextrun"/>
          <w:rFonts w:cs="Calibri"/>
          <w:color w:val="000000"/>
          <w:szCs w:val="20"/>
          <w:shd w:val="clear" w:color="auto" w:fill="FFFFFF"/>
        </w:rPr>
        <w:t xml:space="preserve"> 67: 9–98. </w:t>
      </w:r>
      <w:hyperlink r:id="rId488" w:tgtFrame="_blank" w:history="1">
        <w:r w:rsidRPr="00F03917">
          <w:rPr>
            <w:rStyle w:val="Hyperlink"/>
          </w:rPr>
          <w:t>http://dx.doi.org/10.1016/j.progress.2006.12.004</w:t>
        </w:r>
      </w:hyperlink>
      <w:r w:rsidRPr="00F03917">
        <w:rPr>
          <w:rStyle w:val="normaltextrun"/>
          <w:rFonts w:cs="Calibri"/>
          <w:color w:val="000000"/>
          <w:szCs w:val="20"/>
          <w:shd w:val="clear" w:color="auto" w:fill="FFFFFF"/>
        </w:rPr>
        <w:t>.</w:t>
      </w:r>
    </w:p>
    <w:p w14:paraId="662E7862"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 xml:space="preserve">Todd, D., MacDonald, K., van Woerden, T. (2022). Dealing with future coastal erosion impacts on river mount and flood control structures: Clutha River, Otago, New Zealand. </w:t>
      </w:r>
      <w:r w:rsidRPr="00F03917">
        <w:rPr>
          <w:rStyle w:val="findhit"/>
          <w:rFonts w:cs="Calibri"/>
          <w:i/>
          <w:iCs/>
          <w:color w:val="000000"/>
          <w:szCs w:val="20"/>
          <w:shd w:val="clear" w:color="auto" w:fill="FFFFFF"/>
        </w:rPr>
        <w:t>In: Australasian Coasts &amp; Ports 2021: Te Oranga Takutai, Adapt and Thrive.</w:t>
      </w:r>
      <w:r w:rsidRPr="00F03917">
        <w:rPr>
          <w:rStyle w:val="findhit"/>
          <w:rFonts w:cs="Calibri"/>
          <w:color w:val="000000"/>
          <w:szCs w:val="20"/>
          <w:shd w:val="clear" w:color="auto" w:fill="FFFFFF"/>
        </w:rPr>
        <w:t xml:space="preserve"> ISBN: 9780473647056.</w:t>
      </w:r>
    </w:p>
    <w:p w14:paraId="1FCD3C6B" w14:textId="69797CB5" w:rsidR="002A3853" w:rsidRPr="00F03917" w:rsidRDefault="002A3853" w:rsidP="002A3853">
      <w:pPr>
        <w:pStyle w:val="References"/>
      </w:pPr>
      <w:r w:rsidRPr="00F03917">
        <w:rPr>
          <w:rStyle w:val="findhit"/>
          <w:rFonts w:cs="Calibri"/>
          <w:color w:val="000000"/>
          <w:szCs w:val="20"/>
          <w:shd w:val="clear" w:color="auto" w:fill="FFFFFF"/>
        </w:rPr>
        <w:t>Tonkin</w:t>
      </w:r>
      <w:r w:rsidRPr="00F03917">
        <w:rPr>
          <w:rStyle w:val="normaltextrun"/>
          <w:rFonts w:cs="Calibri"/>
          <w:color w:val="000000"/>
          <w:szCs w:val="20"/>
          <w:shd w:val="clear" w:color="auto" w:fill="FFFFFF"/>
        </w:rPr>
        <w:t xml:space="preserve">+Taylor. (2016a). Clifton to Tangoio Coastal Hazards Strategy 2120: Coastal hazard assessment. </w:t>
      </w:r>
      <w:r w:rsidRPr="00F03917">
        <w:rPr>
          <w:rStyle w:val="normaltextrun"/>
          <w:rFonts w:cs="Calibri"/>
          <w:i/>
          <w:color w:val="000000"/>
          <w:szCs w:val="20"/>
          <w:shd w:val="clear" w:color="auto" w:fill="FFFFFF"/>
        </w:rPr>
        <w:t xml:space="preserve">Prepared by </w:t>
      </w:r>
      <w:r w:rsidRPr="00F03917">
        <w:rPr>
          <w:rStyle w:val="findhit"/>
          <w:rFonts w:cs="Calibri"/>
          <w:i/>
          <w:color w:val="000000"/>
          <w:szCs w:val="20"/>
          <w:shd w:val="clear" w:color="auto" w:fill="FFFFFF"/>
        </w:rPr>
        <w:t>Tonkin</w:t>
      </w:r>
      <w:r w:rsidRPr="00F03917">
        <w:rPr>
          <w:rStyle w:val="normaltextrun"/>
          <w:rFonts w:cs="Calibri"/>
          <w:i/>
          <w:color w:val="000000"/>
          <w:szCs w:val="20"/>
          <w:shd w:val="clear" w:color="auto" w:fill="FFFFFF"/>
        </w:rPr>
        <w:t>+Taylor Ltd for Hawke’s Bay councils (HBRC, NCC, HDC).</w:t>
      </w:r>
      <w:r w:rsidRPr="00F03917">
        <w:rPr>
          <w:rStyle w:val="normaltextrun"/>
          <w:rFonts w:cs="Calibri"/>
          <w:color w:val="000000"/>
          <w:szCs w:val="20"/>
          <w:shd w:val="clear" w:color="auto" w:fill="FFFFFF"/>
        </w:rPr>
        <w:t xml:space="preserve"> </w:t>
      </w:r>
      <w:r w:rsidR="006F7B86" w:rsidRPr="00F03917">
        <w:rPr>
          <w:rStyle w:val="Hyperlink"/>
        </w:rPr>
        <w:t>https://www.hbrc.govt.nz/assets/Document-Library/Reports/Coastal-Hazards/Coastal-Hazard-Assessment.pdf</w:t>
      </w:r>
      <w:r w:rsidRPr="00F03917">
        <w:rPr>
          <w:rStyle w:val="normaltextrun"/>
          <w:rFonts w:cs="Calibri"/>
          <w:color w:val="000000"/>
          <w:szCs w:val="20"/>
          <w:shd w:val="clear" w:color="auto" w:fill="FFFFFF"/>
        </w:rPr>
        <w:t>.</w:t>
      </w:r>
    </w:p>
    <w:p w14:paraId="1F938F2B" w14:textId="77777777" w:rsidR="002A3853" w:rsidRPr="00F03917" w:rsidRDefault="002A3853" w:rsidP="002A3853">
      <w:pPr>
        <w:pStyle w:val="References"/>
      </w:pPr>
      <w:r w:rsidRPr="00F03917">
        <w:t xml:space="preserve">Tonkin+Taylor. (2016b). Hawke Bay Coastal Strategy: Coastal risk assessment. </w:t>
      </w:r>
      <w:r w:rsidRPr="00F03917">
        <w:rPr>
          <w:i/>
        </w:rPr>
        <w:t>Prepared by</w:t>
      </w:r>
      <w:r w:rsidRPr="00F03917">
        <w:t xml:space="preserve"> </w:t>
      </w:r>
      <w:r w:rsidRPr="00F03917">
        <w:rPr>
          <w:i/>
        </w:rPr>
        <w:t>Tonkin+Taylor for Hawke’s Bay Regional Council</w:t>
      </w:r>
      <w:r w:rsidRPr="00F03917">
        <w:t xml:space="preserve">. Retrieved from </w:t>
      </w:r>
      <w:hyperlink r:id="rId489" w:history="1">
        <w:r w:rsidRPr="00F03917">
          <w:rPr>
            <w:rStyle w:val="Hyperlink"/>
            <w:rFonts w:eastAsia="Calibri" w:cs="Calibri"/>
            <w:szCs w:val="20"/>
          </w:rPr>
          <w:t>www.hbrc.govt.nz/assets/Document-Library/Reports/Coastal-Hazards/2016.SHAF.Risk-Assessment-Report.R5.pdf</w:t>
        </w:r>
      </w:hyperlink>
      <w:r w:rsidRPr="00F03917">
        <w:t>.</w:t>
      </w:r>
    </w:p>
    <w:p w14:paraId="7AE8243B" w14:textId="715BB289" w:rsidR="002A3853" w:rsidRPr="00F03917" w:rsidRDefault="002A3853" w:rsidP="002A3853">
      <w:pPr>
        <w:pStyle w:val="References"/>
        <w:rPr>
          <w:lang w:val="en-GB"/>
        </w:rPr>
      </w:pPr>
      <w:r w:rsidRPr="00F03917">
        <w:rPr>
          <w:rStyle w:val="findhit"/>
          <w:rFonts w:cs="Calibri"/>
          <w:color w:val="000000"/>
          <w:szCs w:val="20"/>
          <w:shd w:val="clear" w:color="auto" w:fill="FFFFFF"/>
        </w:rPr>
        <w:t>Trusel,</w:t>
      </w:r>
      <w:r w:rsidRPr="00F03917">
        <w:rPr>
          <w:rStyle w:val="normaltextrun"/>
          <w:rFonts w:cs="Calibri"/>
          <w:color w:val="000000"/>
          <w:szCs w:val="20"/>
          <w:shd w:val="clear" w:color="auto" w:fill="FFFFFF"/>
        </w:rPr>
        <w:t xml:space="preserve"> L., D., Frey, K., E., Das, S., B., Karnauskas, K., B., Munneke, P., K., van Meijgaard, E., van den Broeke, M., R. (2015). Divergent trajectories of Antarctic surface melt under two twenty-first-century climate scenarios. </w:t>
      </w:r>
      <w:r w:rsidRPr="00F03917">
        <w:rPr>
          <w:rStyle w:val="normaltextrun"/>
          <w:rFonts w:cs="Calibri"/>
          <w:i/>
          <w:color w:val="000000"/>
          <w:szCs w:val="20"/>
          <w:shd w:val="clear" w:color="auto" w:fill="FFFFFF"/>
        </w:rPr>
        <w:t>Nature Geoscience</w:t>
      </w:r>
      <w:r w:rsidRPr="00F03917">
        <w:rPr>
          <w:rStyle w:val="normaltextrun"/>
          <w:rFonts w:cs="Calibri"/>
          <w:color w:val="000000"/>
          <w:szCs w:val="20"/>
          <w:shd w:val="clear" w:color="auto" w:fill="FFFFFF"/>
        </w:rPr>
        <w:t xml:space="preserve"> 8: 927–932. </w:t>
      </w:r>
      <w:r w:rsidR="005E70A5" w:rsidRPr="00F03917">
        <w:rPr>
          <w:rStyle w:val="Hyperlink"/>
        </w:rPr>
        <w:t>https://doi.org/10.1038/ngeo2563</w:t>
      </w:r>
      <w:r w:rsidRPr="00F03917">
        <w:rPr>
          <w:rStyle w:val="normaltextrun"/>
          <w:rFonts w:cs="Calibri"/>
          <w:color w:val="000000"/>
          <w:szCs w:val="20"/>
          <w:shd w:val="clear" w:color="auto" w:fill="FFFFFF"/>
        </w:rPr>
        <w:t>.</w:t>
      </w:r>
    </w:p>
    <w:p w14:paraId="36C2F3CE" w14:textId="65DD3292"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Tsch</w:t>
      </w:r>
      <w:r w:rsidRPr="00F03917">
        <w:rPr>
          <w:rStyle w:val="normaltextrun"/>
          <w:rFonts w:cs="Calibri"/>
          <w:color w:val="000000"/>
          <w:szCs w:val="20"/>
          <w:shd w:val="clear" w:color="auto" w:fill="FFFFFF"/>
        </w:rPr>
        <w:t>akert, P., &amp; Dietrich, K., A. (2010). Anticipatory learning for climate change adaptation and resilience.</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Ecology and Society</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15(2): Article 11.</w:t>
      </w:r>
      <w:r w:rsidR="008E3A9E" w:rsidRPr="00F03917">
        <w:rPr>
          <w:rStyle w:val="Hyperlink"/>
        </w:rPr>
        <w:t xml:space="preserve"> </w:t>
      </w:r>
      <w:hyperlink r:id="rId490" w:history="1">
        <w:r w:rsidR="008E3A9E" w:rsidRPr="00F03917">
          <w:rPr>
            <w:rStyle w:val="Hyperlink"/>
          </w:rPr>
          <w:t>https://www.jstor.org/stable/26268129</w:t>
        </w:r>
      </w:hyperlink>
    </w:p>
    <w:p w14:paraId="700FEFCA" w14:textId="7E4B06AF" w:rsidR="002A3853" w:rsidRPr="00F03917" w:rsidRDefault="002A3853" w:rsidP="002A3853">
      <w:pPr>
        <w:pStyle w:val="References"/>
        <w:rPr>
          <w:lang w:val="en-GB"/>
        </w:rPr>
      </w:pPr>
      <w:r w:rsidRPr="00F03917">
        <w:rPr>
          <w:rStyle w:val="findhit"/>
          <w:rFonts w:cs="Calibri"/>
          <w:color w:val="000000"/>
          <w:szCs w:val="20"/>
          <w:shd w:val="clear" w:color="auto" w:fill="FFFFFF"/>
        </w:rPr>
        <w:t>Turner,</w:t>
      </w:r>
      <w:r w:rsidRPr="00F03917">
        <w:rPr>
          <w:rStyle w:val="normaltextrun"/>
          <w:rFonts w:cs="Calibri"/>
          <w:color w:val="000000"/>
          <w:szCs w:val="20"/>
          <w:shd w:val="clear" w:color="auto" w:fill="FFFFFF"/>
        </w:rPr>
        <w:t xml:space="preserve"> I., L., Nielsen, P. (1997). Rapid water</w:t>
      </w:r>
      <w:r w:rsidR="00BB0909" w:rsidRPr="00F03917">
        <w:rPr>
          <w:rStyle w:val="normaltextrun"/>
          <w:rFonts w:cs="Calibri"/>
          <w:color w:val="000000"/>
          <w:szCs w:val="20"/>
          <w:shd w:val="clear" w:color="auto" w:fill="FFFFFF"/>
        </w:rPr>
        <w:t xml:space="preserve"> </w:t>
      </w:r>
      <w:r w:rsidRPr="00F03917">
        <w:rPr>
          <w:rStyle w:val="normaltextrun"/>
          <w:rFonts w:cs="Calibri"/>
          <w:color w:val="000000"/>
          <w:szCs w:val="20"/>
          <w:shd w:val="clear" w:color="auto" w:fill="FFFFFF"/>
        </w:rPr>
        <w:t>table fluctuations: Implications for swash zone sediment mobility</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Coastal Engineering</w:t>
      </w:r>
      <w:r w:rsidRPr="00F03917">
        <w:rPr>
          <w:rStyle w:val="normaltextrun"/>
          <w:rFonts w:cs="Calibri"/>
          <w:color w:val="000000"/>
          <w:szCs w:val="20"/>
          <w:shd w:val="clear" w:color="auto" w:fill="FFFFFF"/>
        </w:rPr>
        <w:t xml:space="preserve"> 32: 45–59.</w:t>
      </w:r>
      <w:r w:rsidR="00A77730" w:rsidRPr="00F03917">
        <w:rPr>
          <w:rStyle w:val="normaltextrun"/>
          <w:rFonts w:cs="Calibri"/>
          <w:color w:val="000000"/>
          <w:szCs w:val="20"/>
          <w:shd w:val="clear" w:color="auto" w:fill="FFFFFF"/>
        </w:rPr>
        <w:t xml:space="preserve"> </w:t>
      </w:r>
      <w:hyperlink r:id="rId491" w:history="1">
        <w:r w:rsidR="00A77730" w:rsidRPr="00F03917">
          <w:rPr>
            <w:rStyle w:val="Hyperlink"/>
            <w:rFonts w:cs="Calibri"/>
            <w:szCs w:val="20"/>
            <w:shd w:val="clear" w:color="auto" w:fill="FFFFFF"/>
          </w:rPr>
          <w:t>https://doi.org/10.1016/S0378-3839(97)00015-X</w:t>
        </w:r>
      </w:hyperlink>
      <w:r w:rsidR="00A77730" w:rsidRPr="00F03917">
        <w:rPr>
          <w:rStyle w:val="normaltextrun"/>
          <w:rFonts w:cs="Calibri"/>
          <w:color w:val="000000"/>
          <w:szCs w:val="20"/>
          <w:shd w:val="clear" w:color="auto" w:fill="FFFFFF"/>
        </w:rPr>
        <w:t xml:space="preserve">. </w:t>
      </w:r>
    </w:p>
    <w:p w14:paraId="2E6EFCF0" w14:textId="5070CDFF" w:rsidR="002A3853" w:rsidRPr="00F03917" w:rsidRDefault="002A3853" w:rsidP="002A3853">
      <w:pPr>
        <w:pStyle w:val="References"/>
      </w:pPr>
      <w:r w:rsidRPr="00F03917">
        <w:t xml:space="preserve">Turner, F. E., Malagon Santos, V., Edwards, T. L., Slangen, A., Nicholls, R. J., Le Cozannet, G., et al. (2023). Illustrative multi-centennial projections of global mean sea-level rise and their application. </w:t>
      </w:r>
      <w:r w:rsidRPr="00F03917">
        <w:rPr>
          <w:i/>
          <w:iCs/>
        </w:rPr>
        <w:t xml:space="preserve">Earth’s Future </w:t>
      </w:r>
      <w:r w:rsidRPr="00F03917">
        <w:t>11: e2023EF003550.</w:t>
      </w:r>
      <w:r w:rsidRPr="00F03917">
        <w:rPr>
          <w:i/>
          <w:iCs/>
        </w:rPr>
        <w:t xml:space="preserve"> </w:t>
      </w:r>
      <w:r w:rsidRPr="00F03917">
        <w:t xml:space="preserve"> </w:t>
      </w:r>
      <w:r w:rsidR="00E3699D" w:rsidRPr="00F03917">
        <w:rPr>
          <w:rStyle w:val="Hyperlink"/>
        </w:rPr>
        <w:t>https://doi.org/10.1029/2023EF003550</w:t>
      </w:r>
      <w:r w:rsidRPr="00F03917">
        <w:t>.</w:t>
      </w:r>
    </w:p>
    <w:p w14:paraId="72EA5408" w14:textId="231E0E57" w:rsidR="002A3853" w:rsidRPr="00F03917" w:rsidRDefault="002A3853" w:rsidP="002A3853">
      <w:pPr>
        <w:pStyle w:val="References"/>
      </w:pPr>
      <w:r w:rsidRPr="00F03917">
        <w:t xml:space="preserve">Uittenbroek, C., J., Mees, H., Hegger, D., Driessen, P., P., J. (2019). The design of public participation: who participates, when and how? Insights in climate adaptation planning from the Netherlands. </w:t>
      </w:r>
      <w:r w:rsidRPr="00F03917">
        <w:rPr>
          <w:i/>
        </w:rPr>
        <w:t>Journal of Environmental Planning and Management</w:t>
      </w:r>
      <w:r w:rsidRPr="00F03917">
        <w:t xml:space="preserve"> 62(14)</w:t>
      </w:r>
      <w:r w:rsidR="00DF468A" w:rsidRPr="00F03917">
        <w:t>:</w:t>
      </w:r>
      <w:r w:rsidRPr="00F03917" w:rsidDel="00DF468A">
        <w:t xml:space="preserve"> </w:t>
      </w:r>
      <w:r w:rsidRPr="00F03917">
        <w:t xml:space="preserve">1-19. </w:t>
      </w:r>
      <w:r w:rsidR="00CE732E" w:rsidRPr="00F03917">
        <w:rPr>
          <w:rStyle w:val="Hyperlink"/>
        </w:rPr>
        <w:t>https://doi.org/10.1080/09640568.2019.</w:t>
      </w:r>
      <w:r w:rsidRPr="00F03917" w:rsidDel="00CE732E">
        <w:rPr>
          <w:rStyle w:val="Hyperlink"/>
        </w:rPr>
        <w:t>1569503</w:t>
      </w:r>
    </w:p>
    <w:p w14:paraId="22A6B6BC" w14:textId="77777777" w:rsidR="002A3853" w:rsidRPr="00F03917" w:rsidRDefault="002A3853" w:rsidP="002A3853">
      <w:pPr>
        <w:pStyle w:val="References"/>
        <w:rPr>
          <w:rStyle w:val="Hyperlink"/>
          <w:rFonts w:eastAsia="Calibri" w:cs="Calibri"/>
          <w:szCs w:val="20"/>
        </w:rPr>
      </w:pPr>
      <w:r w:rsidRPr="00F03917">
        <w:t xml:space="preserve">UNDRR. (2022). Technical guidance on comprehensive risk assessment and planning in the context of climate change. </w:t>
      </w:r>
      <w:r w:rsidRPr="00F03917">
        <w:rPr>
          <w:i/>
        </w:rPr>
        <w:t>United Nations Office for Disaster Risk Reduction, Deutsche Gesellschaft für Internationale Zusammenarbeit, Federal Ministry for Economic Cooperation and Development and UNDRR Bonn Office</w:t>
      </w:r>
      <w:r w:rsidRPr="00F03917">
        <w:t xml:space="preserve">. 139 p. Retrieved from </w:t>
      </w:r>
      <w:hyperlink r:id="rId492" w:history="1">
        <w:r w:rsidRPr="00F03917">
          <w:rPr>
            <w:rStyle w:val="Hyperlink"/>
          </w:rPr>
          <w:t>www.undrr.org/quick/71077</w:t>
        </w:r>
      </w:hyperlink>
      <w:r w:rsidRPr="00F03917">
        <w:t>.</w:t>
      </w:r>
    </w:p>
    <w:p w14:paraId="70BD1FA3" w14:textId="77777777" w:rsidR="002A3853" w:rsidRPr="00F03917" w:rsidRDefault="002A3853" w:rsidP="002A3853">
      <w:pPr>
        <w:pStyle w:val="References"/>
      </w:pPr>
      <w:r w:rsidRPr="00F03917">
        <w:t>UN-Habitat. (2014). Planning for climate change: A strategic, values-based approach for urban planners.</w:t>
      </w:r>
      <w:r w:rsidRPr="00F03917">
        <w:rPr>
          <w:rFonts w:eastAsia="Calibri" w:cs="Calibri"/>
          <w:color w:val="32809C" w:themeColor="accent2"/>
        </w:rPr>
        <w:t xml:space="preserve"> </w:t>
      </w:r>
      <w:r w:rsidRPr="00F03917">
        <w:t xml:space="preserve">Cities and Climate Change Initiative. </w:t>
      </w:r>
      <w:r w:rsidRPr="00F03917">
        <w:rPr>
          <w:i/>
          <w:iCs/>
        </w:rPr>
        <w:t>Tool Series</w:t>
      </w:r>
      <w:r w:rsidRPr="00F03917">
        <w:t xml:space="preserve"> 148. Nairobi (Kenya): United Nations Human</w:t>
      </w:r>
      <w:r w:rsidRPr="00F03917">
        <w:rPr>
          <w:rFonts w:eastAsia="Calibri" w:cs="Calibri"/>
          <w:color w:val="32809C" w:themeColor="accent2"/>
        </w:rPr>
        <w:t xml:space="preserve"> </w:t>
      </w:r>
      <w:r w:rsidRPr="00F03917">
        <w:t xml:space="preserve">Settlements Programme (UN-Habitat). Retrieved from </w:t>
      </w:r>
      <w:hyperlink r:id="rId493">
        <w:r w:rsidRPr="00F03917">
          <w:rPr>
            <w:rStyle w:val="Hyperlink"/>
          </w:rPr>
          <w:t>http://unhabitat.org/books/planning-for-climate-change-a-strategic-values-based-approach-for-urban-planners-cities-and-climate-change-initiative/</w:t>
        </w:r>
      </w:hyperlink>
      <w:r w:rsidRPr="00F03917">
        <w:t>.</w:t>
      </w:r>
    </w:p>
    <w:p w14:paraId="2273AC26" w14:textId="5318E2E4" w:rsidR="002A3853" w:rsidRPr="00F03917" w:rsidRDefault="002A3853" w:rsidP="002A3853">
      <w:pPr>
        <w:pStyle w:val="References"/>
      </w:pPr>
      <w:r w:rsidRPr="00F03917">
        <w:t>United Nations Environment Programme. (2023). Advancing Effectiveness of Climate Adaptation. Science for Adaptation Policy Brief 7 – Advancing Effectiveness for Climate Adaptation</w:t>
      </w:r>
      <w:r w:rsidRPr="00F03917">
        <w:rPr>
          <w:i/>
        </w:rPr>
        <w:t>. The World Adaptation Science Programme (WASP) United Nations Environment Programme, Nairobi.</w:t>
      </w:r>
      <w:r w:rsidRPr="00F03917">
        <w:t xml:space="preserve"> </w:t>
      </w:r>
      <w:r w:rsidR="002D6BE0" w:rsidRPr="00F03917">
        <w:rPr>
          <w:rStyle w:val="Hyperlink"/>
        </w:rPr>
        <w:t>https://wedocs.unep.org/20.500.11822/43574</w:t>
      </w:r>
      <w:r w:rsidRPr="00F03917">
        <w:t>.</w:t>
      </w:r>
    </w:p>
    <w:p w14:paraId="4A9FF210" w14:textId="31DD104B" w:rsidR="002A3853" w:rsidRPr="00F03917" w:rsidRDefault="002A3853" w:rsidP="002A3853">
      <w:pPr>
        <w:pStyle w:val="References"/>
        <w:rPr>
          <w:szCs w:val="20"/>
        </w:rPr>
      </w:pPr>
      <w:r w:rsidRPr="00F03917">
        <w:rPr>
          <w:rStyle w:val="findhit"/>
          <w:rFonts w:cs="Calibri"/>
          <w:color w:val="000000"/>
          <w:szCs w:val="20"/>
          <w:shd w:val="clear" w:color="auto" w:fill="FFFFFF"/>
        </w:rPr>
        <w:t>Valk</w:t>
      </w:r>
      <w:r w:rsidRPr="00F03917">
        <w:rPr>
          <w:rStyle w:val="normaltextrun"/>
          <w:rFonts w:cs="Calibri"/>
          <w:color w:val="000000"/>
          <w:szCs w:val="20"/>
          <w:shd w:val="clear" w:color="auto" w:fill="FFFFFF"/>
        </w:rPr>
        <w:t xml:space="preserve">ering, P., van der Brugge, R., Offermans, A., Haasnoot, M., Vreugdenhil, H. (2012). A perspective-based simulation game to explore future pathways of a water-society system under climate change. </w:t>
      </w:r>
      <w:r w:rsidRPr="00F03917">
        <w:rPr>
          <w:rStyle w:val="normaltextrun"/>
          <w:rFonts w:cs="Calibri"/>
          <w:i/>
          <w:color w:val="000000"/>
          <w:szCs w:val="20"/>
          <w:shd w:val="clear" w:color="auto" w:fill="FFFFFF"/>
        </w:rPr>
        <w:t>Simulation and Gaming</w:t>
      </w:r>
      <w:r w:rsidRPr="00F03917">
        <w:rPr>
          <w:rStyle w:val="normaltextrun"/>
          <w:rFonts w:cs="Calibri"/>
          <w:color w:val="000000"/>
          <w:szCs w:val="20"/>
          <w:shd w:val="clear" w:color="auto" w:fill="FFFFFF"/>
        </w:rPr>
        <w:t xml:space="preserve"> 44(2-3): 366–390. </w:t>
      </w:r>
      <w:r w:rsidR="00E676BD" w:rsidRPr="00F03917">
        <w:rPr>
          <w:rStyle w:val="Hyperlink"/>
        </w:rPr>
        <w:t>https://doi.org/10.1177/1046878112441693</w:t>
      </w:r>
      <w:r w:rsidRPr="00F03917">
        <w:rPr>
          <w:rStyle w:val="normaltextrun"/>
          <w:rFonts w:cs="Calibri"/>
          <w:color w:val="000000"/>
          <w:szCs w:val="20"/>
          <w:shd w:val="clear" w:color="auto" w:fill="FFFFFF"/>
        </w:rPr>
        <w:t>.</w:t>
      </w:r>
    </w:p>
    <w:p w14:paraId="75163BDB" w14:textId="77777777" w:rsidR="002A3853" w:rsidRPr="00F03917" w:rsidRDefault="002A3853" w:rsidP="002A3853">
      <w:pPr>
        <w:pStyle w:val="References"/>
      </w:pPr>
      <w:r w:rsidRPr="00F03917">
        <w:t>Vandenbeld, A., &amp; MacDonald, J. (2013). Fostering community acceptance of managed retreat in New Zealand</w:t>
      </w:r>
      <w:r w:rsidRPr="00F03917">
        <w:rPr>
          <w:i/>
          <w:iCs/>
        </w:rPr>
        <w:t xml:space="preserve">. </w:t>
      </w:r>
      <w:r w:rsidRPr="00F03917">
        <w:rPr>
          <w:i/>
        </w:rPr>
        <w:t>In: J Palutikof, S Boulter, A Ash, M Stafford Smith, M Parry, M Waschka and D Guitart (eds) Climate Adaptation Futures</w:t>
      </w:r>
      <w:r w:rsidRPr="00F03917">
        <w:t>: 161–166. UK: Wiley-Blackwell.</w:t>
      </w:r>
    </w:p>
    <w:p w14:paraId="71033DE9" w14:textId="77777777" w:rsidR="002A3853" w:rsidRPr="00F03917" w:rsidRDefault="002A3853" w:rsidP="002A3853">
      <w:pPr>
        <w:pStyle w:val="References"/>
        <w:rPr>
          <w:szCs w:val="20"/>
        </w:rPr>
      </w:pPr>
      <w:r w:rsidRPr="00F03917">
        <w:rPr>
          <w:rStyle w:val="normaltextrun"/>
          <w:rFonts w:cs="Calibri"/>
          <w:color w:val="000000"/>
          <w:szCs w:val="20"/>
          <w:shd w:val="clear" w:color="auto" w:fill="FFFFFF"/>
        </w:rPr>
        <w:t xml:space="preserve">van der Wal. M., de Kraker, J., Broeze, C., Kirschner, P., </w:t>
      </w:r>
      <w:r w:rsidRPr="00F03917">
        <w:rPr>
          <w:rStyle w:val="findhit"/>
          <w:rFonts w:cs="Calibri"/>
          <w:color w:val="000000"/>
          <w:szCs w:val="20"/>
          <w:shd w:val="clear" w:color="auto" w:fill="FFFFFF"/>
        </w:rPr>
        <w:t>Valk</w:t>
      </w:r>
      <w:r w:rsidRPr="00F03917">
        <w:rPr>
          <w:rStyle w:val="normaltextrun"/>
          <w:rFonts w:cs="Calibri"/>
          <w:color w:val="000000"/>
          <w:szCs w:val="20"/>
          <w:shd w:val="clear" w:color="auto" w:fill="FFFFFF"/>
        </w:rPr>
        <w:t>ering, P. (2016). Can computer models be used for social learning? A serious game in water management</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Environmental Modelling and Software</w:t>
      </w:r>
      <w:r w:rsidRPr="00F03917">
        <w:rPr>
          <w:rStyle w:val="normaltextrun"/>
          <w:rFonts w:cs="Calibri"/>
          <w:color w:val="000000"/>
          <w:szCs w:val="20"/>
          <w:shd w:val="clear" w:color="auto" w:fill="FFFFFF"/>
        </w:rPr>
        <w:t xml:space="preserve"> 75: 119–132. </w:t>
      </w:r>
      <w:hyperlink r:id="rId494" w:tgtFrame="_blank" w:history="1">
        <w:r w:rsidRPr="00F03917">
          <w:rPr>
            <w:rStyle w:val="Hyperlink"/>
            <w:rFonts w:eastAsia="Calibri"/>
          </w:rPr>
          <w:t>http://dx.doi.org/10.1016/j.envsoft.2015.10.008</w:t>
        </w:r>
      </w:hyperlink>
      <w:r w:rsidRPr="00F03917">
        <w:rPr>
          <w:rStyle w:val="normaltextrun"/>
          <w:rFonts w:cs="Calibri"/>
          <w:color w:val="000000"/>
          <w:szCs w:val="20"/>
          <w:shd w:val="clear" w:color="auto" w:fill="FFFFFF"/>
        </w:rPr>
        <w:t>.</w:t>
      </w:r>
    </w:p>
    <w:p w14:paraId="246B0F81" w14:textId="7B32DD0D" w:rsidR="002A3853" w:rsidRPr="00F03917" w:rsidRDefault="002A3853" w:rsidP="002A3853">
      <w:pPr>
        <w:pStyle w:val="References"/>
        <w:rPr>
          <w:szCs w:val="20"/>
        </w:rPr>
      </w:pPr>
      <w:r w:rsidRPr="00F03917">
        <w:rPr>
          <w:rStyle w:val="findhit"/>
          <w:rFonts w:cs="Calibri"/>
          <w:color w:val="000000"/>
          <w:szCs w:val="20"/>
          <w:shd w:val="clear" w:color="auto" w:fill="FFFFFF"/>
        </w:rPr>
        <w:t>Van De</w:t>
      </w:r>
      <w:r w:rsidRPr="00F03917">
        <w:rPr>
          <w:rStyle w:val="normaltextrun"/>
          <w:rFonts w:cs="Calibri"/>
          <w:color w:val="000000"/>
          <w:szCs w:val="20"/>
          <w:shd w:val="clear" w:color="auto" w:fill="FFFFFF"/>
        </w:rPr>
        <w:t xml:space="preserve">ursen, W. (1995). Geographical Information Systems and dynamic models: Development and application of a prototype spatial modelling language. University of Utrecht, The Netherlands: 206. </w:t>
      </w:r>
      <w:r w:rsidR="00EA3E8A" w:rsidRPr="00F03917">
        <w:t xml:space="preserve"> </w:t>
      </w:r>
      <w:hyperlink r:id="rId495" w:history="1">
        <w:r w:rsidR="00EA3E8A" w:rsidRPr="00F03917">
          <w:rPr>
            <w:rStyle w:val="Hyperlink"/>
            <w:rFonts w:cs="Calibri"/>
            <w:szCs w:val="20"/>
            <w:shd w:val="clear" w:color="auto" w:fill="FFFFFF"/>
          </w:rPr>
          <w:t>https://www.researchgate.net/publication/243772037_Geographic_Information_Systems_and_Dynamic_Models.</w:t>
        </w:r>
      </w:hyperlink>
    </w:p>
    <w:p w14:paraId="3A3E8515" w14:textId="77777777" w:rsidR="002A3853" w:rsidRPr="00F03917" w:rsidRDefault="002A3853" w:rsidP="002A3853">
      <w:pPr>
        <w:pStyle w:val="References"/>
        <w:rPr>
          <w:color w:val="008080"/>
          <w:u w:val="single"/>
        </w:rPr>
      </w:pPr>
      <w:r w:rsidRPr="00F03917">
        <w:rPr>
          <w:szCs w:val="20"/>
        </w:rPr>
        <w:t>v</w:t>
      </w:r>
      <w:r w:rsidRPr="00F03917">
        <w:t xml:space="preserve">an de Wal, R.S.W., Nicholls, R.J., Behar, D., McInnes, K., Stammer, D., Lowe, J.A., Church, J.A., DeConto, R., Fettweis, X., Goelzer, H., Haasnoot, M. et al (2022). A high-end estimate of sea level rise for practitioners. </w:t>
      </w:r>
      <w:r w:rsidRPr="00F03917">
        <w:rPr>
          <w:i/>
          <w:iCs/>
        </w:rPr>
        <w:t>Earth’s Future</w:t>
      </w:r>
      <w:r w:rsidRPr="00F03917">
        <w:t xml:space="preserve"> 10: e2022EF002751. </w:t>
      </w:r>
      <w:hyperlink r:id="rId496">
        <w:r w:rsidRPr="00F03917">
          <w:rPr>
            <w:rStyle w:val="Hyperlink"/>
            <w:rFonts w:eastAsia="Calibri" w:cs="Calibri"/>
          </w:rPr>
          <w:t>doi.org/10.1029/2022EF002751</w:t>
        </w:r>
      </w:hyperlink>
      <w:r w:rsidRPr="00F03917">
        <w:t>.</w:t>
      </w:r>
      <w:r w:rsidRPr="00F03917">
        <w:rPr>
          <w:color w:val="008080"/>
          <w:u w:val="single"/>
        </w:rPr>
        <w:t xml:space="preserve"> </w:t>
      </w:r>
    </w:p>
    <w:p w14:paraId="0B843978" w14:textId="77777777" w:rsidR="002A3853" w:rsidRPr="00F03917" w:rsidRDefault="002A3853" w:rsidP="002A3853">
      <w:pPr>
        <w:pStyle w:val="References"/>
        <w:rPr>
          <w:rStyle w:val="findhit"/>
          <w:rFonts w:cs="Calibri"/>
          <w:color w:val="000000"/>
          <w:szCs w:val="20"/>
          <w:shd w:val="clear" w:color="auto" w:fill="FFFFFF"/>
        </w:rPr>
      </w:pPr>
      <w:r w:rsidRPr="00F03917">
        <w:rPr>
          <w:rStyle w:val="normaltextrun"/>
          <w:rFonts w:cs="Calibri"/>
          <w:color w:val="000000"/>
          <w:szCs w:val="20"/>
          <w:shd w:val="clear" w:color="auto" w:fill="FFFFFF"/>
        </w:rPr>
        <w:t>van Pelt, S., C., Haasnoot, M., Arts, B., Ludwig, F., Swart, R., Biesbroek, R. (2015).</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 xml:space="preserve">Communicating climate (change) uncertainties: Simulation games as boundary objects. </w:t>
      </w:r>
      <w:r w:rsidRPr="00F03917">
        <w:rPr>
          <w:rStyle w:val="normaltextrun"/>
          <w:rFonts w:cs="Calibri"/>
          <w:i/>
          <w:color w:val="000000"/>
          <w:szCs w:val="20"/>
          <w:shd w:val="clear" w:color="auto" w:fill="FFFFFF"/>
        </w:rPr>
        <w:t>Environmental Science &amp; Policy</w:t>
      </w:r>
      <w:r w:rsidRPr="00F03917">
        <w:rPr>
          <w:rStyle w:val="normaltextrun"/>
          <w:rFonts w:cs="Calibri"/>
          <w:color w:val="000000"/>
          <w:szCs w:val="20"/>
          <w:shd w:val="clear" w:color="auto" w:fill="FFFFFF"/>
        </w:rPr>
        <w:t xml:space="preserve"> 45: 41–52. </w:t>
      </w:r>
      <w:hyperlink r:id="rId497" w:tgtFrame="_blank" w:history="1">
        <w:r w:rsidRPr="00F03917">
          <w:rPr>
            <w:rStyle w:val="Hyperlink"/>
            <w:rFonts w:eastAsia="Calibri"/>
          </w:rPr>
          <w:t>http://dx.doi.org/10.1016/j.envsci.2014.09.004</w:t>
        </w:r>
      </w:hyperlink>
    </w:p>
    <w:p w14:paraId="6A9D64F7"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Videi</w:t>
      </w:r>
      <w:r w:rsidRPr="00F03917">
        <w:rPr>
          <w:rStyle w:val="normaltextrun"/>
          <w:rFonts w:cs="Calibri"/>
          <w:color w:val="000000"/>
          <w:szCs w:val="20"/>
          <w:shd w:val="clear" w:color="auto" w:fill="FFFFFF"/>
        </w:rPr>
        <w:t>ra, N., van den Belt, M., Antunes, R., Santos, R., Boumans, R. (2011</w:t>
      </w:r>
      <w:r w:rsidRPr="00F03917">
        <w:rPr>
          <w:rStyle w:val="normaltextrun"/>
          <w:rFonts w:cs="Calibri"/>
          <w:i/>
          <w:color w:val="000000"/>
          <w:szCs w:val="20"/>
          <w:shd w:val="clear" w:color="auto" w:fill="FFFFFF"/>
        </w:rPr>
        <w:t>).</w:t>
      </w:r>
      <w:r w:rsidRPr="00F03917">
        <w:rPr>
          <w:rStyle w:val="normaltextrun"/>
          <w:rFonts w:cs="Calibri"/>
          <w:i/>
          <w:iCs/>
          <w:color w:val="000000"/>
          <w:szCs w:val="20"/>
          <w:shd w:val="clear" w:color="auto" w:fill="FFFFFF"/>
        </w:rPr>
        <w:t xml:space="preserve"> Integrated modelling of coastal and estuarine ecosystem services. </w:t>
      </w:r>
      <w:r w:rsidRPr="00F03917">
        <w:rPr>
          <w:rStyle w:val="normaltextrun"/>
          <w:rFonts w:cs="Calibri"/>
          <w:color w:val="000000"/>
          <w:szCs w:val="20"/>
          <w:shd w:val="clear" w:color="auto" w:fill="FFFFFF"/>
        </w:rPr>
        <w:t xml:space="preserve">In: D McLusky, E Wolanski, M Van den Belt, R Costanza (eds) </w:t>
      </w:r>
      <w:r w:rsidRPr="00F03917">
        <w:rPr>
          <w:rStyle w:val="normaltextrun"/>
          <w:rFonts w:cs="Calibri"/>
          <w:i/>
          <w:iCs/>
          <w:color w:val="000000"/>
          <w:szCs w:val="20"/>
          <w:shd w:val="clear" w:color="auto" w:fill="FFFFFF"/>
        </w:rPr>
        <w:t>Treatise on Estuarine and Coastal Science</w:t>
      </w:r>
      <w:r w:rsidRPr="00F03917">
        <w:rPr>
          <w:rStyle w:val="normaltextrun"/>
          <w:rFonts w:cs="Calibri"/>
          <w:color w:val="000000"/>
          <w:szCs w:val="20"/>
          <w:shd w:val="clear" w:color="auto" w:fill="FFFFFF"/>
        </w:rPr>
        <w:t>. London: Academic Press.</w:t>
      </w:r>
    </w:p>
    <w:p w14:paraId="333756A9" w14:textId="77777777"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Voin</w:t>
      </w:r>
      <w:r w:rsidRPr="00F03917">
        <w:rPr>
          <w:rStyle w:val="normaltextrun"/>
          <w:rFonts w:cs="Calibri"/>
          <w:color w:val="000000"/>
          <w:szCs w:val="20"/>
          <w:shd w:val="clear" w:color="auto" w:fill="FFFFFF"/>
        </w:rPr>
        <w:t xml:space="preserve">ov, A., &amp; Bousquet, F. (2010). Modelling with stakeholders. </w:t>
      </w:r>
      <w:r w:rsidRPr="00F03917">
        <w:rPr>
          <w:rStyle w:val="normaltextrun"/>
          <w:rFonts w:cs="Calibri"/>
          <w:i/>
          <w:color w:val="000000"/>
          <w:szCs w:val="20"/>
          <w:shd w:val="clear" w:color="auto" w:fill="FFFFFF"/>
        </w:rPr>
        <w:t>Environmental Modelling and Software</w:t>
      </w:r>
      <w:r w:rsidRPr="00F03917">
        <w:rPr>
          <w:rStyle w:val="normaltextrun"/>
          <w:rFonts w:cs="Calibri"/>
          <w:color w:val="000000"/>
          <w:szCs w:val="20"/>
          <w:shd w:val="clear" w:color="auto" w:fill="FFFFFF"/>
        </w:rPr>
        <w:t xml:space="preserve"> 25: 1268–1281. Retrieved from </w:t>
      </w:r>
      <w:hyperlink r:id="rId498" w:tgtFrame="_blank" w:history="1">
        <w:r w:rsidRPr="00F03917">
          <w:rPr>
            <w:rStyle w:val="Hyperlink"/>
            <w:rFonts w:eastAsia="Calibri"/>
          </w:rPr>
          <w:t>http://dx.doi.org/10.1016/j.envsoft.2010.03.007</w:t>
        </w:r>
      </w:hyperlink>
      <w:r w:rsidRPr="00F03917">
        <w:rPr>
          <w:rStyle w:val="normaltextrun"/>
          <w:rFonts w:cs="Calibri"/>
          <w:color w:val="000000"/>
          <w:szCs w:val="20"/>
          <w:shd w:val="clear" w:color="auto" w:fill="FFFFFF"/>
        </w:rPr>
        <w:t>.</w:t>
      </w:r>
      <w:r w:rsidRPr="00F03917">
        <w:rPr>
          <w:rStyle w:val="eop"/>
          <w:rFonts w:cs="Calibri"/>
          <w:color w:val="000000"/>
          <w:shd w:val="clear" w:color="auto" w:fill="FFFFFF"/>
        </w:rPr>
        <w:t> </w:t>
      </w:r>
    </w:p>
    <w:p w14:paraId="6D045FB1" w14:textId="0FE2F0CF" w:rsidR="002A3853" w:rsidRPr="00F03917" w:rsidRDefault="002A3853" w:rsidP="002A3853">
      <w:pPr>
        <w:pStyle w:val="References"/>
      </w:pPr>
      <w:r w:rsidRPr="00F03917">
        <w:rPr>
          <w:rStyle w:val="findhit"/>
          <w:rFonts w:cs="Calibri"/>
          <w:color w:val="000000"/>
          <w:szCs w:val="20"/>
          <w:shd w:val="clear" w:color="auto" w:fill="FFFFFF"/>
        </w:rPr>
        <w:t>Wahl,</w:t>
      </w:r>
      <w:r w:rsidRPr="00F03917">
        <w:rPr>
          <w:rStyle w:val="normaltextrun"/>
          <w:rFonts w:cs="Calibri"/>
          <w:color w:val="000000"/>
          <w:szCs w:val="20"/>
          <w:shd w:val="clear" w:color="auto" w:fill="FFFFFF"/>
        </w:rPr>
        <w:t xml:space="preserve"> T., Chambers, D., P. (2016). Climate controls multidecadal variability in US extreme sea level records</w:t>
      </w:r>
      <w:r w:rsidRPr="00F03917">
        <w:rPr>
          <w:rStyle w:val="normaltextrun"/>
          <w:rFonts w:cs="Calibri"/>
          <w:i/>
          <w:iCs/>
          <w:color w:val="000000"/>
          <w:szCs w:val="20"/>
          <w:shd w:val="clear" w:color="auto" w:fill="FFFFFF"/>
        </w:rPr>
        <w:t>.</w:t>
      </w:r>
      <w:r w:rsidRPr="00F03917">
        <w:rPr>
          <w:rStyle w:val="normaltextrun"/>
          <w:rFonts w:cs="Calibri"/>
          <w:color w:val="000000"/>
          <w:szCs w:val="20"/>
          <w:shd w:val="clear" w:color="auto" w:fill="FFFFFF"/>
        </w:rPr>
        <w:t xml:space="preserve"> </w:t>
      </w:r>
      <w:r w:rsidRPr="00F03917">
        <w:rPr>
          <w:rStyle w:val="normaltextrun"/>
          <w:rFonts w:cs="Calibri"/>
          <w:i/>
          <w:color w:val="000000"/>
          <w:szCs w:val="20"/>
          <w:shd w:val="clear" w:color="auto" w:fill="FFFFFF"/>
        </w:rPr>
        <w:t>Journal of Geophysical Research-Oceans</w:t>
      </w:r>
      <w:r w:rsidRPr="00F03917">
        <w:rPr>
          <w:rStyle w:val="normaltextrun"/>
          <w:rFonts w:cs="Calibri"/>
          <w:color w:val="000000"/>
          <w:szCs w:val="20"/>
          <w:shd w:val="clear" w:color="auto" w:fill="FFFFFF"/>
        </w:rPr>
        <w:t xml:space="preserve"> 121(2): 1274–1290.</w:t>
      </w:r>
      <w:r w:rsidR="00D65494" w:rsidRPr="00F03917">
        <w:rPr>
          <w:rStyle w:val="normaltextrun"/>
          <w:rFonts w:cs="Calibri"/>
          <w:color w:val="000000"/>
          <w:szCs w:val="20"/>
          <w:shd w:val="clear" w:color="auto" w:fill="FFFFFF"/>
        </w:rPr>
        <w:t xml:space="preserve"> </w:t>
      </w:r>
      <w:r w:rsidR="00D65494" w:rsidRPr="00F03917">
        <w:rPr>
          <w:rStyle w:val="Hyperlink"/>
        </w:rPr>
        <w:t>https://doi.org/10.1002/2015JC011057</w:t>
      </w:r>
    </w:p>
    <w:p w14:paraId="5BD80262" w14:textId="77777777" w:rsidR="002A3853" w:rsidRPr="00F03917" w:rsidRDefault="002A3853" w:rsidP="002A3853">
      <w:pPr>
        <w:pStyle w:val="References"/>
      </w:pPr>
      <w:r w:rsidRPr="00F03917">
        <w:t>Waikato Regional Council. (n.d.). Coastal Inundation Tool</w:t>
      </w:r>
      <w:r w:rsidRPr="00F03917">
        <w:rPr>
          <w:i/>
          <w:iCs/>
        </w:rPr>
        <w:t>.</w:t>
      </w:r>
      <w:r w:rsidRPr="00F03917">
        <w:t xml:space="preserve"> Retrieved from </w:t>
      </w:r>
      <w:hyperlink r:id="rId499" w:history="1">
        <w:r w:rsidRPr="00F03917">
          <w:rPr>
            <w:rStyle w:val="Hyperlink"/>
          </w:rPr>
          <w:t>www.waikatoregion.govt.nz/services/regional-hazards-and-emergency-management/coastal-flooding-inundation/coastal-inundation-tool/</w:t>
        </w:r>
      </w:hyperlink>
      <w:r w:rsidRPr="00F03917">
        <w:t>.</w:t>
      </w:r>
    </w:p>
    <w:p w14:paraId="08E057D3" w14:textId="5EA9C7B6" w:rsidR="002A3853" w:rsidRPr="00F03917" w:rsidRDefault="002A3853" w:rsidP="002A3853">
      <w:pPr>
        <w:pStyle w:val="References"/>
      </w:pPr>
      <w:r w:rsidRPr="00F03917">
        <w:rPr>
          <w:rStyle w:val="findhit"/>
          <w:rFonts w:cs="Calibri"/>
          <w:color w:val="000000"/>
          <w:szCs w:val="20"/>
          <w:shd w:val="clear" w:color="auto" w:fill="FFFFFF"/>
        </w:rPr>
        <w:t>Walkd</w:t>
      </w:r>
      <w:r w:rsidRPr="00F03917">
        <w:rPr>
          <w:rStyle w:val="normaltextrun"/>
          <w:rFonts w:cs="Calibri"/>
          <w:color w:val="000000"/>
          <w:szCs w:val="20"/>
          <w:shd w:val="clear" w:color="auto" w:fill="FFFFFF"/>
        </w:rPr>
        <w:t>en, M., J., Dickson, M., E. (2008). Equilibrium erosion of soft rock shores with a shallow or absent beach under increased sea level rise</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Marine Geology</w:t>
      </w:r>
      <w:r w:rsidRPr="00F03917">
        <w:rPr>
          <w:rStyle w:val="normaltextrun"/>
          <w:rFonts w:cs="Calibri"/>
          <w:color w:val="000000"/>
          <w:szCs w:val="20"/>
          <w:shd w:val="clear" w:color="auto" w:fill="FFFFFF"/>
        </w:rPr>
        <w:t xml:space="preserve"> 251(1–2): 75–84</w:t>
      </w:r>
      <w:r w:rsidR="00C47BAF" w:rsidRPr="00F03917">
        <w:rPr>
          <w:rStyle w:val="normaltextrun"/>
          <w:rFonts w:cs="Calibri"/>
          <w:color w:val="000000"/>
          <w:szCs w:val="20"/>
          <w:shd w:val="clear" w:color="auto" w:fill="FFFFFF"/>
        </w:rPr>
        <w:t xml:space="preserve">. </w:t>
      </w:r>
      <w:r w:rsidR="00C47BAF" w:rsidRPr="00F03917">
        <w:rPr>
          <w:rStyle w:val="Hyperlink"/>
        </w:rPr>
        <w:t>https://doi.org/10.1016/j.margeo.2008.02.003</w:t>
      </w:r>
      <w:r w:rsidR="00C47BAF" w:rsidRPr="00F03917">
        <w:rPr>
          <w:rStyle w:val="normaltextrun"/>
          <w:rFonts w:cs="Calibri"/>
          <w:color w:val="000000"/>
          <w:szCs w:val="20"/>
          <w:shd w:val="clear" w:color="auto" w:fill="FFFFFF"/>
        </w:rPr>
        <w:t>.</w:t>
      </w:r>
    </w:p>
    <w:p w14:paraId="2195F48C" w14:textId="77777777" w:rsidR="002A3853" w:rsidRPr="00F03917" w:rsidRDefault="002A3853" w:rsidP="002A3853">
      <w:pPr>
        <w:pStyle w:val="References"/>
      </w:pPr>
      <w:r w:rsidRPr="00F03917">
        <w:t xml:space="preserve">Walker, W.E., Lempert, R.J., Kwakkel, J.H. (2013). Deep uncertainty. In: S.I., Gass, M.C., Fu (eds) </w:t>
      </w:r>
      <w:r w:rsidRPr="00F03917">
        <w:rPr>
          <w:i/>
          <w:iCs/>
        </w:rPr>
        <w:t>Encyclopedia of Operations Research and Management Science</w:t>
      </w:r>
      <w:r w:rsidRPr="00F03917">
        <w:t xml:space="preserve">. New York: Springer US. </w:t>
      </w:r>
    </w:p>
    <w:p w14:paraId="10D36FDC" w14:textId="77777777" w:rsidR="002A3853" w:rsidRPr="00F03917" w:rsidRDefault="002A3853" w:rsidP="002A3853">
      <w:pPr>
        <w:pStyle w:val="References"/>
      </w:pPr>
      <w:r w:rsidRPr="00F03917">
        <w:t xml:space="preserve">Watkiss, P., Hunt, A., Blyth, W., Dyszynski, J. (2015). The use of new economic decision support tools for adaptation assessment: A review of methods and applications, towards guidance on applicability. </w:t>
      </w:r>
      <w:r w:rsidRPr="00F03917">
        <w:rPr>
          <w:i/>
          <w:iCs/>
        </w:rPr>
        <w:t>Climatic Change</w:t>
      </w:r>
      <w:r w:rsidRPr="00F03917">
        <w:t xml:space="preserve"> 132(3): 401–416. </w:t>
      </w:r>
      <w:hyperlink r:id="rId500" w:history="1">
        <w:r w:rsidRPr="00F03917">
          <w:rPr>
            <w:rStyle w:val="Hyperlink"/>
            <w:rFonts w:eastAsia="Calibri" w:cs="Calibri"/>
            <w:szCs w:val="20"/>
          </w:rPr>
          <w:t>doi.org/10.1007/s10584-014-1250-9</w:t>
        </w:r>
      </w:hyperlink>
      <w:r w:rsidRPr="00F03917">
        <w:t xml:space="preserve">. </w:t>
      </w:r>
    </w:p>
    <w:p w14:paraId="1A770BF6" w14:textId="692603E7" w:rsidR="002A3853" w:rsidRPr="00F03917" w:rsidRDefault="002A3853" w:rsidP="002A3853">
      <w:pPr>
        <w:pStyle w:val="References"/>
      </w:pPr>
      <w:r w:rsidRPr="00F03917">
        <w:rPr>
          <w:rStyle w:val="findhit"/>
          <w:rFonts w:cs="Calibri"/>
          <w:color w:val="000000"/>
          <w:szCs w:val="20"/>
          <w:shd w:val="clear" w:color="auto" w:fill="FFFFFF"/>
        </w:rPr>
        <w:t>Watts,</w:t>
      </w:r>
      <w:r w:rsidRPr="00F03917">
        <w:rPr>
          <w:rStyle w:val="normaltextrun"/>
          <w:rFonts w:cs="Calibri"/>
          <w:color w:val="000000"/>
          <w:szCs w:val="20"/>
          <w:shd w:val="clear" w:color="auto" w:fill="FFFFFF"/>
        </w:rPr>
        <w:t xml:space="preserve"> R., H. (2011). The Christchurch waterways story. </w:t>
      </w:r>
      <w:r w:rsidRPr="00F03917">
        <w:rPr>
          <w:rStyle w:val="normaltextrun"/>
          <w:rFonts w:cs="Calibri"/>
          <w:i/>
          <w:color w:val="000000"/>
          <w:szCs w:val="20"/>
          <w:shd w:val="clear" w:color="auto" w:fill="FFFFFF"/>
        </w:rPr>
        <w:t>Landcare Research Science Series</w:t>
      </w:r>
      <w:r w:rsidRPr="00F03917">
        <w:rPr>
          <w:rStyle w:val="normaltextrun"/>
          <w:rFonts w:cs="Calibri"/>
          <w:color w:val="000000"/>
          <w:szCs w:val="20"/>
          <w:shd w:val="clear" w:color="auto" w:fill="FFFFFF"/>
        </w:rPr>
        <w:t xml:space="preserve"> No. 38: 51. Lincoln: Manaaki Whenua Press. Retrieved from </w:t>
      </w:r>
      <w:hyperlink r:id="rId501" w:history="1">
        <w:r w:rsidR="00CF0230" w:rsidRPr="00F03917">
          <w:rPr>
            <w:rStyle w:val="Hyperlink"/>
          </w:rPr>
          <w:t>https://www.landcareresearch.co.nz/assets/Publications/Science-series/LRSS_38_The_Christchurch_Story.pdf</w:t>
        </w:r>
      </w:hyperlink>
      <w:r w:rsidR="00CF0230" w:rsidRPr="00F03917">
        <w:rPr>
          <w:rStyle w:val="Hyperlink"/>
        </w:rPr>
        <w:t>.</w:t>
      </w:r>
    </w:p>
    <w:p w14:paraId="6412A951" w14:textId="3CB613B5" w:rsidR="002A3853" w:rsidRPr="00F03917" w:rsidRDefault="002A3853" w:rsidP="002A3853">
      <w:pPr>
        <w:pStyle w:val="References"/>
      </w:pPr>
      <w:r w:rsidRPr="00F03917">
        <w:rPr>
          <w:rStyle w:val="findhit"/>
          <w:rFonts w:cs="Calibri"/>
          <w:color w:val="000000"/>
          <w:szCs w:val="20"/>
          <w:shd w:val="clear" w:color="auto" w:fill="FFFFFF"/>
        </w:rPr>
        <w:t>Werner,</w:t>
      </w:r>
      <w:r w:rsidRPr="00F03917">
        <w:rPr>
          <w:rStyle w:val="normaltextrun"/>
          <w:rFonts w:cs="Calibri"/>
          <w:color w:val="000000"/>
          <w:szCs w:val="20"/>
          <w:shd w:val="clear" w:color="auto" w:fill="FFFFFF"/>
        </w:rPr>
        <w:t xml:space="preserve"> A., D., Simmons, C., T. (2009). Impact of sea-level rise on sea water intrusion in coastal aquifers</w:t>
      </w:r>
      <w:r w:rsidRPr="00F03917">
        <w:rPr>
          <w:rStyle w:val="normaltextrun"/>
          <w:rFonts w:cs="Calibri"/>
          <w:i/>
          <w:iCs/>
          <w:color w:val="000000"/>
          <w:szCs w:val="20"/>
          <w:shd w:val="clear" w:color="auto" w:fill="FFFFFF"/>
        </w:rPr>
        <w:t xml:space="preserve">. </w:t>
      </w:r>
      <w:r w:rsidRPr="00F03917">
        <w:rPr>
          <w:rStyle w:val="normaltextrun"/>
          <w:rFonts w:cs="Calibri"/>
          <w:i/>
          <w:color w:val="000000"/>
          <w:szCs w:val="20"/>
          <w:shd w:val="clear" w:color="auto" w:fill="FFFFFF"/>
        </w:rPr>
        <w:t>Ground Water</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47(2): 197–204.</w:t>
      </w:r>
      <w:r w:rsidR="003A7E3E" w:rsidRPr="00F03917">
        <w:rPr>
          <w:rStyle w:val="Hyperlink"/>
        </w:rPr>
        <w:t xml:space="preserve"> </w:t>
      </w:r>
      <w:hyperlink r:id="rId502" w:history="1">
        <w:r w:rsidR="003A7E3E" w:rsidRPr="00F03917">
          <w:rPr>
            <w:rStyle w:val="Hyperlink"/>
          </w:rPr>
          <w:t>https://doi.org/10.1111/j.1745-6584.2008.00535.x</w:t>
        </w:r>
      </w:hyperlink>
    </w:p>
    <w:p w14:paraId="3AF6772C" w14:textId="7270A742" w:rsidR="002A3853" w:rsidRPr="00F03917" w:rsidRDefault="002A3853" w:rsidP="002A3853">
      <w:pPr>
        <w:pStyle w:val="References"/>
      </w:pPr>
      <w:r w:rsidRPr="00F03917">
        <w:t xml:space="preserve">White, F.R., Urlich, S.C., Rennie, H.G. (2023). Newly-claimed seascapes: Options for repurposing inundated areas. </w:t>
      </w:r>
      <w:r w:rsidRPr="00F03917">
        <w:rPr>
          <w:i/>
          <w:iCs/>
        </w:rPr>
        <w:t>Global Environmental Change Advances</w:t>
      </w:r>
      <w:r w:rsidRPr="00F03917">
        <w:t xml:space="preserve"> 1: 100002. </w:t>
      </w:r>
      <w:hyperlink r:id="rId503" w:history="1">
        <w:r w:rsidR="00955C6E" w:rsidRPr="00F03917">
          <w:rPr>
            <w:rStyle w:val="Hyperlink"/>
          </w:rPr>
          <w:t>https://doi.org/10.1016/j.gecadv.2023.100002</w:t>
        </w:r>
      </w:hyperlink>
      <w:r w:rsidRPr="00F03917">
        <w:t xml:space="preserve">. </w:t>
      </w:r>
    </w:p>
    <w:p w14:paraId="1C46984C" w14:textId="77777777" w:rsidR="002A3853" w:rsidRPr="00F03917" w:rsidRDefault="002A3853" w:rsidP="002A3853">
      <w:pPr>
        <w:pStyle w:val="References"/>
      </w:pPr>
      <w:r w:rsidRPr="00F03917">
        <w:t>Wild, M., Walsh, J., Walters, R., Duncan, M. (2004</w:t>
      </w:r>
      <w:r w:rsidRPr="00F03917">
        <w:rPr>
          <w:i/>
        </w:rPr>
        <w:t xml:space="preserve">). </w:t>
      </w:r>
      <w:r w:rsidRPr="00F03917">
        <w:rPr>
          <w:i/>
          <w:iCs/>
        </w:rPr>
        <w:t>Buller River storm surge and river flooding analysis. NIWA Client Report CHC2004-048</w:t>
      </w:r>
      <w:r w:rsidRPr="00F03917">
        <w:t xml:space="preserve">. Prepared for Buller District Council by NIWA. Wellington: NIWA. </w:t>
      </w:r>
    </w:p>
    <w:p w14:paraId="5B4D4FC2" w14:textId="4E1B539D" w:rsidR="002A3853" w:rsidRPr="00F03917" w:rsidRDefault="002A3853" w:rsidP="002A3853">
      <w:pPr>
        <w:pStyle w:val="References"/>
      </w:pPr>
      <w:r w:rsidRPr="00F03917">
        <w:t xml:space="preserve">Wilkenson, C., Hikuroa, D., C., Macfarlane, A., H., Hughes, M., W. (2020). Mātauranga Māori in geomorphology: existing frameworks, case studies and recommendations for incorporating Indigenous knowledge in Earth science. </w:t>
      </w:r>
      <w:r w:rsidRPr="00F03917">
        <w:rPr>
          <w:i/>
          <w:iCs/>
        </w:rPr>
        <w:t>Earth Surface Dynamics</w:t>
      </w:r>
      <w:r w:rsidRPr="00F03917">
        <w:t xml:space="preserve"> 8(3): 595–618.</w:t>
      </w:r>
      <w:r w:rsidR="009B3223" w:rsidRPr="00F03917">
        <w:t xml:space="preserve"> </w:t>
      </w:r>
      <w:hyperlink r:id="rId504" w:history="1">
        <w:r w:rsidR="009B3223" w:rsidRPr="00F03917">
          <w:rPr>
            <w:rStyle w:val="Hyperlink"/>
          </w:rPr>
          <w:t>https://doi.org/10.5194/esurf-8-595-2020</w:t>
        </w:r>
      </w:hyperlink>
      <w:r w:rsidR="009B3223" w:rsidRPr="00F03917">
        <w:rPr>
          <w:rStyle w:val="Hyperlink"/>
        </w:rPr>
        <w:t>.</w:t>
      </w:r>
    </w:p>
    <w:p w14:paraId="3FF9AF80" w14:textId="431A8CE2" w:rsidR="002A3853" w:rsidRPr="00F03917" w:rsidRDefault="002A3853" w:rsidP="002A3853">
      <w:pPr>
        <w:pStyle w:val="References"/>
        <w:rPr>
          <w:rStyle w:val="findhit"/>
          <w:rFonts w:cs="Calibri"/>
          <w:color w:val="000000"/>
          <w:szCs w:val="20"/>
          <w:shd w:val="clear" w:color="auto" w:fill="FFFFFF"/>
        </w:rPr>
      </w:pPr>
      <w:r w:rsidRPr="00F03917">
        <w:rPr>
          <w:rStyle w:val="findhit"/>
          <w:rFonts w:cs="Calibri"/>
          <w:color w:val="000000"/>
          <w:szCs w:val="20"/>
          <w:shd w:val="clear" w:color="auto" w:fill="FFFFFF"/>
        </w:rPr>
        <w:t>Wise,</w:t>
      </w:r>
      <w:r w:rsidRPr="00F03917">
        <w:rPr>
          <w:rStyle w:val="normaltextrun"/>
          <w:rFonts w:cs="Calibri"/>
          <w:color w:val="000000"/>
          <w:szCs w:val="20"/>
          <w:shd w:val="clear" w:color="auto" w:fill="FFFFFF"/>
        </w:rPr>
        <w:t xml:space="preserve"> R., M., Fazey, I., Smith, M., S., Park, S., E., Eakin, H., C., Van Garderen, E., A., Campbell, B. (2014). Reconceptualising adaptation to climate change as part of pathways of change and response. </w:t>
      </w:r>
      <w:r w:rsidRPr="00F03917">
        <w:rPr>
          <w:rStyle w:val="normaltextrun"/>
          <w:rFonts w:cs="Calibri"/>
          <w:i/>
          <w:color w:val="000000"/>
          <w:szCs w:val="20"/>
          <w:shd w:val="clear" w:color="auto" w:fill="FFFFFF"/>
        </w:rPr>
        <w:t>Global Environmental Change</w:t>
      </w:r>
      <w:r w:rsidRPr="00F03917">
        <w:rPr>
          <w:rStyle w:val="normaltextrun"/>
          <w:rFonts w:cs="Calibri"/>
          <w:color w:val="000000"/>
          <w:szCs w:val="20"/>
          <w:shd w:val="clear" w:color="auto" w:fill="FFFFFF"/>
        </w:rPr>
        <w:t xml:space="preserve"> 28:325-336</w:t>
      </w:r>
      <w:r w:rsidR="00D72CDB" w:rsidRPr="00F03917">
        <w:rPr>
          <w:rStyle w:val="normaltextrun"/>
          <w:rFonts w:cs="Calibri"/>
          <w:color w:val="000000"/>
          <w:szCs w:val="20"/>
          <w:shd w:val="clear" w:color="auto" w:fill="FFFFFF"/>
        </w:rPr>
        <w:t xml:space="preserve">. </w:t>
      </w:r>
      <w:hyperlink r:id="rId505" w:history="1">
        <w:r w:rsidR="00D72CDB" w:rsidRPr="00F03917">
          <w:rPr>
            <w:rStyle w:val="Hyperlink"/>
          </w:rPr>
          <w:t>https://doi.org/10.1016/j.gloenvcha.2013.12.002</w:t>
        </w:r>
      </w:hyperlink>
      <w:r w:rsidR="00D72CDB" w:rsidRPr="00F03917">
        <w:rPr>
          <w:rStyle w:val="Hyperlink"/>
        </w:rPr>
        <w:t>.</w:t>
      </w:r>
    </w:p>
    <w:p w14:paraId="68CE9C29" w14:textId="21CBE542" w:rsidR="002A3853" w:rsidRPr="00F03917" w:rsidRDefault="002A3853" w:rsidP="002A3853">
      <w:pPr>
        <w:pStyle w:val="References"/>
      </w:pPr>
      <w:r w:rsidRPr="00F03917">
        <w:rPr>
          <w:rStyle w:val="findhit"/>
          <w:rFonts w:cs="Calibri"/>
          <w:color w:val="000000"/>
          <w:szCs w:val="20"/>
          <w:shd w:val="clear" w:color="auto" w:fill="FFFFFF"/>
        </w:rPr>
        <w:t>Wisema</w:t>
      </w:r>
      <w:r w:rsidRPr="00F03917">
        <w:rPr>
          <w:rStyle w:val="normaltextrun"/>
          <w:rFonts w:cs="Calibri"/>
          <w:color w:val="000000"/>
          <w:szCs w:val="20"/>
          <w:shd w:val="clear" w:color="auto" w:fill="FFFFFF"/>
        </w:rPr>
        <w:t xml:space="preserve">n, J., Williamson, L., Fritze, J. (2010). Community engagement and climate change: Learning from recent Australian experience. </w:t>
      </w:r>
      <w:r w:rsidRPr="00F03917">
        <w:rPr>
          <w:rStyle w:val="normaltextrun"/>
          <w:rFonts w:cs="Calibri"/>
          <w:i/>
          <w:color w:val="000000"/>
          <w:szCs w:val="20"/>
          <w:shd w:val="clear" w:color="auto" w:fill="FFFFFF"/>
        </w:rPr>
        <w:t>International Journal of Climate Change Strategies and Management</w:t>
      </w:r>
      <w:r w:rsidRPr="00F03917">
        <w:rPr>
          <w:rStyle w:val="normaltextrun"/>
          <w:rFonts w:cs="Calibri"/>
          <w:i/>
          <w:iCs/>
          <w:color w:val="000000"/>
          <w:szCs w:val="20"/>
          <w:shd w:val="clear" w:color="auto" w:fill="FFFFFF"/>
        </w:rPr>
        <w:t xml:space="preserve"> </w:t>
      </w:r>
      <w:r w:rsidRPr="00F03917">
        <w:rPr>
          <w:rStyle w:val="normaltextrun"/>
          <w:rFonts w:cs="Calibri"/>
          <w:color w:val="000000"/>
          <w:szCs w:val="20"/>
          <w:shd w:val="clear" w:color="auto" w:fill="FFFFFF"/>
        </w:rPr>
        <w:t xml:space="preserve">2(2) 134–147. </w:t>
      </w:r>
      <w:hyperlink r:id="rId506" w:history="1">
        <w:r w:rsidR="00BC7706" w:rsidRPr="00F03917">
          <w:rPr>
            <w:rStyle w:val="Hyperlink"/>
          </w:rPr>
          <w:t>https://doi.org/10.1108/17568691011040399</w:t>
        </w:r>
      </w:hyperlink>
      <w:r w:rsidRPr="00F03917">
        <w:rPr>
          <w:rStyle w:val="normaltextrun"/>
          <w:rFonts w:cs="Calibri"/>
          <w:color w:val="000000"/>
          <w:szCs w:val="20"/>
          <w:shd w:val="clear" w:color="auto" w:fill="FFFFFF"/>
        </w:rPr>
        <w:t>.</w:t>
      </w:r>
      <w:r w:rsidRPr="00F03917">
        <w:rPr>
          <w:rStyle w:val="eop"/>
          <w:rFonts w:cs="Calibri"/>
          <w:color w:val="000000"/>
          <w:szCs w:val="20"/>
          <w:shd w:val="clear" w:color="auto" w:fill="FFFFFF"/>
        </w:rPr>
        <w:t> </w:t>
      </w:r>
    </w:p>
    <w:p w14:paraId="5949C8DA" w14:textId="77777777" w:rsidR="002A3853" w:rsidRPr="00B83EB1" w:rsidRDefault="002A3853" w:rsidP="002A3853">
      <w:pPr>
        <w:pStyle w:val="References"/>
      </w:pPr>
      <w:r w:rsidRPr="00F03917">
        <w:t>World Meteorological Organization. (2007). The role of climatological normals in a changing climate. WMO/TD No. 1377.</w:t>
      </w:r>
    </w:p>
    <w:p w14:paraId="5229AAA0" w14:textId="0A167662" w:rsidR="00415299" w:rsidRPr="00B83EB1" w:rsidRDefault="00415299" w:rsidP="006C2146">
      <w:pPr>
        <w:pStyle w:val="References"/>
      </w:pPr>
    </w:p>
    <w:sectPr w:rsidR="00415299" w:rsidRPr="00B83EB1" w:rsidSect="007E5AB2">
      <w:footerReference w:type="even" r:id="rId507"/>
      <w:footerReference w:type="default" r:id="rId508"/>
      <w:pgSz w:w="11907"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EF5D7C" w14:textId="77777777" w:rsidR="007E5AB2" w:rsidRDefault="007E5AB2" w:rsidP="00B57283">
      <w:r>
        <w:separator/>
      </w:r>
    </w:p>
  </w:endnote>
  <w:endnote w:type="continuationSeparator" w:id="0">
    <w:p w14:paraId="6F3CC289" w14:textId="77777777" w:rsidR="007E5AB2" w:rsidRDefault="007E5AB2" w:rsidP="00B57283">
      <w:r>
        <w:continuationSeparator/>
      </w:r>
    </w:p>
  </w:endnote>
  <w:endnote w:type="continuationNotice" w:id="1">
    <w:p w14:paraId="607AFDA6" w14:textId="77777777" w:rsidR="007E5AB2" w:rsidRDefault="007E5A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Lato Medium">
    <w:panose1 w:val="020F0502020204030203"/>
    <w:charset w:val="00"/>
    <w:family w:val="swiss"/>
    <w:pitch w:val="variable"/>
    <w:sig w:usb0="E10002FF" w:usb1="5000ECFF" w:usb2="00000021" w:usb3="00000000" w:csb0="0000019F" w:csb1="00000000"/>
  </w:font>
  <w:font w:name="Arial Black">
    <w:panose1 w:val="020B0A04020102020204"/>
    <w:charset w:val="00"/>
    <w:family w:val="swiss"/>
    <w:pitch w:val="variable"/>
    <w:sig w:usb0="A00002AF" w:usb1="400078FB" w:usb2="00000000" w:usb3="00000000" w:csb0="0000009F" w:csb1="00000000"/>
  </w:font>
  <w:font w:name="Frutiger LT Pro 57 Condensed">
    <w:altName w:val="Calibri"/>
    <w:panose1 w:val="00000000000000000000"/>
    <w:charset w:val="00"/>
    <w:family w:val="swiss"/>
    <w:notTrueType/>
    <w:pitch w:val="default"/>
    <w:sig w:usb0="00000003" w:usb1="00000000" w:usb2="00000000" w:usb3="00000000" w:csb0="00000001" w:csb1="00000000"/>
  </w:font>
  <w:font w:name="Myriad Pro">
    <w:panose1 w:val="00000000000000000000"/>
    <w:charset w:val="00"/>
    <w:family w:val="swiss"/>
    <w:notTrueType/>
    <w:pitch w:val="variable"/>
    <w:sig w:usb0="20000287" w:usb1="00000001" w:usb2="00000000" w:usb3="00000000" w:csb0="0000019F" w:csb1="00000000"/>
  </w:font>
  <w:font w:name="Lucida Grande">
    <w:charset w:val="00"/>
    <w:family w:val="auto"/>
    <w:pitch w:val="variable"/>
    <w:sig w:usb0="00000000" w:usb1="5000A1FF" w:usb2="00000000" w:usb3="00000000" w:csb0="000001BF" w:csb1="00000000"/>
  </w:font>
  <w:font w:name="Lato">
    <w:panose1 w:val="020F0502020204030203"/>
    <w:charset w:val="00"/>
    <w:family w:val="swiss"/>
    <w:pitch w:val="variable"/>
    <w:sig w:usb0="E10002FF" w:usb1="5000ECFF" w:usb2="00000021"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erriweather">
    <w:panose1 w:val="00000500000000000000"/>
    <w:charset w:val="00"/>
    <w:family w:val="auto"/>
    <w:pitch w:val="variable"/>
    <w:sig w:usb0="20000207" w:usb1="00000000" w:usb2="00000000" w:usb3="00000000" w:csb0="00000197" w:csb1="00000000"/>
  </w:font>
  <w:font w:name="CIDFont+F1">
    <w:altName w:val="Klee One"/>
    <w:panose1 w:val="00000000000000000000"/>
    <w:charset w:val="80"/>
    <w:family w:val="auto"/>
    <w:notTrueType/>
    <w:pitch w:val="default"/>
    <w:sig w:usb0="00000001" w:usb1="08070000" w:usb2="00000010" w:usb3="00000000" w:csb0="00020000" w:csb1="00000000"/>
  </w:font>
  <w:font w:name="ff7">
    <w:altName w:val="Cambria"/>
    <w:panose1 w:val="00000000000000000000"/>
    <w:charset w:val="00"/>
    <w:family w:val="roman"/>
    <w:notTrueType/>
    <w:pitch w:val="default"/>
  </w:font>
  <w:font w:name="Merriweather Sans">
    <w:charset w:val="00"/>
    <w:family w:val="auto"/>
    <w:pitch w:val="variable"/>
    <w:sig w:usb0="A00004FF" w:usb1="4000207B"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7342AB" w14:textId="77777777" w:rsidR="00B57283" w:rsidRPr="004F458A" w:rsidRDefault="00B57283">
    <w:pPr>
      <w:pStyle w:val="Footereven"/>
    </w:pPr>
    <w:r w:rsidRPr="004F458A">
      <w:rPr>
        <w:b/>
      </w:rPr>
      <w:fldChar w:fldCharType="begin"/>
    </w:r>
    <w:r w:rsidRPr="004F458A">
      <w:instrText xml:space="preserve"> PAGE </w:instrText>
    </w:r>
    <w:r w:rsidRPr="004F458A">
      <w:rPr>
        <w:b/>
      </w:rPr>
      <w:fldChar w:fldCharType="separate"/>
    </w:r>
    <w:r>
      <w:rPr>
        <w:noProof/>
      </w:rPr>
      <w:t>286</w:t>
    </w:r>
    <w:r w:rsidRPr="004F458A">
      <w:rPr>
        <w:b/>
      </w:rPr>
      <w:fldChar w:fldCharType="end"/>
    </w:r>
    <w:r>
      <w:tab/>
    </w:r>
    <w:r w:rsidRPr="00D13A50">
      <w:t>Climate Change Projections for New Zealand: Atmosphere projections based on simulations form the IPCC Fifth Assessment</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CFB28F" w14:textId="614222AF" w:rsidR="00B968A7" w:rsidRPr="00E33185" w:rsidRDefault="00B968A7" w:rsidP="00E33185">
    <w:pPr>
      <w:pStyle w:val="Footerodd"/>
    </w:pPr>
    <w:r w:rsidRPr="00E33185">
      <w:tab/>
      <w:t>Tables and figures</w:t>
    </w:r>
    <w:r w:rsidRPr="00E33185">
      <w:tab/>
    </w:r>
    <w:r w:rsidRPr="00E33185">
      <w:fldChar w:fldCharType="begin"/>
    </w:r>
    <w:r w:rsidRPr="00E33185">
      <w:instrText xml:space="preserve"> PAGE   \* MERGEFORMAT </w:instrText>
    </w:r>
    <w:r w:rsidRPr="00E33185">
      <w:fldChar w:fldCharType="separate"/>
    </w:r>
    <w:r w:rsidRPr="00E33185">
      <w:t>1</w:t>
    </w:r>
    <w:r w:rsidRPr="00E33185">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1EC06" w14:textId="04D122B8" w:rsidR="00B57283" w:rsidRPr="004F458A" w:rsidRDefault="00B57283">
    <w:pPr>
      <w:pStyle w:val="Footereven"/>
    </w:pPr>
    <w:r w:rsidRPr="004F458A">
      <w:rPr>
        <w:b/>
      </w:rPr>
      <w:fldChar w:fldCharType="begin"/>
    </w:r>
    <w:r w:rsidRPr="004F458A">
      <w:instrText xml:space="preserve"> PAGE </w:instrText>
    </w:r>
    <w:r w:rsidRPr="004F458A">
      <w:rPr>
        <w:b/>
      </w:rPr>
      <w:fldChar w:fldCharType="separate"/>
    </w:r>
    <w:r>
      <w:rPr>
        <w:noProof/>
      </w:rPr>
      <w:t>148</w:t>
    </w:r>
    <w:r w:rsidRPr="004F458A">
      <w:rPr>
        <w:b/>
      </w:rPr>
      <w:fldChar w:fldCharType="end"/>
    </w:r>
    <w:r>
      <w:tab/>
    </w:r>
    <w:r w:rsidRPr="004D018A">
      <w:t>Coastal hazards and climate change</w:t>
    </w:r>
    <w:r w:rsidR="0077164B">
      <w:t xml:space="preserve"> guidance</w:t>
    </w:r>
    <w:r w:rsidR="0077164B" w:rsidRPr="004D018A" w:rsidDel="0077164B">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B9A93" w14:textId="57CEFFFE" w:rsidR="00B57283" w:rsidRPr="00853662" w:rsidRDefault="0044187D" w:rsidP="00853662">
    <w:pPr>
      <w:pStyle w:val="Footerodd"/>
    </w:pPr>
    <w:r w:rsidRPr="00853662">
      <w:tab/>
    </w:r>
    <w:r w:rsidR="00853662">
      <w:t>About this guidance</w:t>
    </w:r>
    <w:r w:rsidR="00B57283" w:rsidRPr="00853662">
      <w:tab/>
    </w:r>
    <w:r w:rsidR="00B57283" w:rsidRPr="00853662">
      <w:fldChar w:fldCharType="begin"/>
    </w:r>
    <w:r w:rsidR="00B57283" w:rsidRPr="00853662">
      <w:instrText xml:space="preserve"> PAGE   \* MERGEFORMAT </w:instrText>
    </w:r>
    <w:r w:rsidR="00B57283" w:rsidRPr="00853662">
      <w:fldChar w:fldCharType="separate"/>
    </w:r>
    <w:r w:rsidR="00B57283" w:rsidRPr="00853662">
      <w:t>149</w:t>
    </w:r>
    <w:r w:rsidR="00B57283" w:rsidRPr="00853662">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BEFAF" w14:textId="7DE4D16B" w:rsidR="000F6107" w:rsidRPr="00853662" w:rsidRDefault="000F6107" w:rsidP="00853662">
    <w:pPr>
      <w:pStyle w:val="Footerodd"/>
    </w:pPr>
    <w:r w:rsidRPr="00853662">
      <w:tab/>
    </w:r>
    <w:r w:rsidR="004B3BAD" w:rsidRPr="004B3BAD">
      <w:t>Part A: What is happening?</w:t>
    </w:r>
    <w:r w:rsidRPr="00853662">
      <w:tab/>
    </w:r>
    <w:r w:rsidRPr="00853662">
      <w:fldChar w:fldCharType="begin"/>
    </w:r>
    <w:r w:rsidRPr="00853662">
      <w:instrText xml:space="preserve"> PAGE   \* MERGEFORMAT </w:instrText>
    </w:r>
    <w:r w:rsidRPr="00853662">
      <w:fldChar w:fldCharType="separate"/>
    </w:r>
    <w:r w:rsidRPr="00853662">
      <w:t>149</w:t>
    </w:r>
    <w:r w:rsidRPr="00853662">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6FF61" w14:textId="74299145" w:rsidR="003A7454" w:rsidRDefault="003A7454" w:rsidP="003A7454">
    <w:pPr>
      <w:pStyle w:val="Footerodd"/>
    </w:pPr>
    <w:r>
      <w:rPr>
        <w:b/>
      </w:rPr>
      <w:tab/>
    </w:r>
    <w:r w:rsidR="00612FF1" w:rsidRPr="00977ED4">
      <w:t>Part A: What is happening?</w:t>
    </w:r>
    <w:r w:rsidR="00612FF1">
      <w:tab/>
    </w:r>
    <w:r w:rsidRPr="004F458A">
      <w:rPr>
        <w:b/>
      </w:rPr>
      <w:fldChar w:fldCharType="begin"/>
    </w:r>
    <w:r w:rsidRPr="004F458A">
      <w:instrText xml:space="preserve"> PAGE </w:instrText>
    </w:r>
    <w:r w:rsidRPr="004F458A">
      <w:rPr>
        <w:b/>
      </w:rPr>
      <w:fldChar w:fldCharType="separate"/>
    </w:r>
    <w:r>
      <w:rPr>
        <w:b/>
      </w:rPr>
      <w:t>38</w:t>
    </w:r>
    <w:r w:rsidRPr="004F458A">
      <w:rPr>
        <w:b/>
      </w:rPr>
      <w:fldChar w:fldCharType="end"/>
    </w:r>
    <w:r w:rsidRPr="004D018A" w:rsidDel="0077164B">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AF333" w14:textId="0D23CCA7" w:rsidR="005D20CF" w:rsidRPr="00D77DA5" w:rsidRDefault="00D77DA5" w:rsidP="00D77DA5">
    <w:pPr>
      <w:pStyle w:val="Footerodd"/>
    </w:pPr>
    <w:r w:rsidRPr="00D77DA5">
      <w:tab/>
    </w:r>
    <w:fldSimple w:instr="STYLEREF  &quot;PART HEADING&quot;  \* MERGEFORMAT">
      <w:r w:rsidR="004F66AE" w:rsidRPr="004F66AE">
        <w:rPr>
          <w:noProof/>
          <w:lang w:val="en-US"/>
        </w:rPr>
        <w:t xml:space="preserve">Part </w:t>
      </w:r>
      <w:r w:rsidR="004F66AE">
        <w:rPr>
          <w:noProof/>
        </w:rPr>
        <w:t>B: What matters most?</w:t>
      </w:r>
    </w:fldSimple>
    <w:r w:rsidRPr="00D77DA5">
      <w:tab/>
    </w:r>
    <w:r w:rsidRPr="00D77DA5">
      <w:fldChar w:fldCharType="begin"/>
    </w:r>
    <w:r w:rsidRPr="00D77DA5">
      <w:instrText xml:space="preserve"> PAGE   \* MERGEFORMAT </w:instrText>
    </w:r>
    <w:r w:rsidRPr="00D77DA5">
      <w:fldChar w:fldCharType="separate"/>
    </w:r>
    <w:r w:rsidRPr="00D77DA5">
      <w:rPr>
        <w:noProof/>
      </w:rPr>
      <w:t>1</w:t>
    </w:r>
    <w:r w:rsidRPr="00D77DA5">
      <w:rPr>
        <w:noProof/>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23727" w14:textId="213F10A1" w:rsidR="00BC2E1F" w:rsidRPr="004F458A" w:rsidRDefault="00BC2E1F">
    <w:pPr>
      <w:pStyle w:val="Footereven"/>
    </w:pPr>
    <w:r w:rsidRPr="004F458A">
      <w:rPr>
        <w:b/>
      </w:rPr>
      <w:fldChar w:fldCharType="begin"/>
    </w:r>
    <w:r w:rsidRPr="004F458A">
      <w:instrText xml:space="preserve"> PAGE </w:instrText>
    </w:r>
    <w:r w:rsidRPr="004F458A">
      <w:rPr>
        <w:b/>
      </w:rPr>
      <w:fldChar w:fldCharType="separate"/>
    </w:r>
    <w:r>
      <w:rPr>
        <w:noProof/>
      </w:rPr>
      <w:t>224</w:t>
    </w:r>
    <w:r w:rsidRPr="004F458A">
      <w:rPr>
        <w:b/>
      </w:rPr>
      <w:fldChar w:fldCharType="end"/>
    </w:r>
    <w:r>
      <w:tab/>
    </w:r>
    <w:r w:rsidRPr="004D018A">
      <w:t>Coastal hazards and climate change</w:t>
    </w:r>
    <w:r w:rsidR="003D7991">
      <w:t xml:space="preserve"> guidance</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F2C76" w14:textId="7FACE52C" w:rsidR="00BC2E1F" w:rsidRPr="00757727" w:rsidRDefault="00097703" w:rsidP="00A11CC8">
    <w:pPr>
      <w:pStyle w:val="Footerodd"/>
    </w:pPr>
    <w:r w:rsidRPr="00757727">
      <w:tab/>
    </w:r>
    <w:r w:rsidR="00E67B76" w:rsidRPr="00757727">
      <w:fldChar w:fldCharType="begin"/>
    </w:r>
    <w:r w:rsidR="00E67B76" w:rsidRPr="004430DA">
      <w:instrText>STYLEREF  "PART HEADING"  \* MERGEFORMAT</w:instrText>
    </w:r>
    <w:r w:rsidR="00E67B76" w:rsidRPr="00757727">
      <w:fldChar w:fldCharType="separate"/>
    </w:r>
    <w:r w:rsidR="004F66AE">
      <w:rPr>
        <w:noProof/>
      </w:rPr>
      <w:t>Part D: How can we implement the strategy?</w:t>
    </w:r>
    <w:r w:rsidR="00E67B76" w:rsidRPr="00757727">
      <w:fldChar w:fldCharType="end"/>
    </w:r>
    <w:r w:rsidR="00BC2E1F" w:rsidRPr="00757727">
      <w:tab/>
    </w:r>
    <w:r w:rsidR="00BC2E1F" w:rsidRPr="00757727">
      <w:fldChar w:fldCharType="begin"/>
    </w:r>
    <w:r w:rsidR="00BC2E1F" w:rsidRPr="00757727">
      <w:instrText xml:space="preserve"> PAGE   \* MERGEFORMAT </w:instrText>
    </w:r>
    <w:r w:rsidR="00BC2E1F" w:rsidRPr="00757727">
      <w:fldChar w:fldCharType="separate"/>
    </w:r>
    <w:r w:rsidR="00BC2E1F" w:rsidRPr="00757727">
      <w:t>223</w:t>
    </w:r>
    <w:r w:rsidR="00BC2E1F" w:rsidRPr="00757727">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2ADC9" w14:textId="1C664C1B" w:rsidR="00656396" w:rsidRDefault="00656396" w:rsidP="003A7454">
    <w:pPr>
      <w:pStyle w:val="Footerodd"/>
    </w:pPr>
    <w:r>
      <w:rPr>
        <w:b/>
      </w:rPr>
      <w:tab/>
    </w:r>
    <w:r w:rsidRPr="00656396">
      <w:t>Part C: What can we do about it?</w:t>
    </w:r>
    <w:r>
      <w:tab/>
    </w:r>
    <w:r w:rsidRPr="004F458A">
      <w:rPr>
        <w:b/>
      </w:rPr>
      <w:fldChar w:fldCharType="begin"/>
    </w:r>
    <w:r w:rsidRPr="004F458A">
      <w:instrText xml:space="preserve"> PAGE </w:instrText>
    </w:r>
    <w:r w:rsidRPr="004F458A">
      <w:rPr>
        <w:b/>
      </w:rPr>
      <w:fldChar w:fldCharType="separate"/>
    </w:r>
    <w:r>
      <w:rPr>
        <w:b/>
      </w:rPr>
      <w:t>38</w:t>
    </w:r>
    <w:r w:rsidRPr="004F458A">
      <w:rPr>
        <w:b/>
      </w:rPr>
      <w:fldChar w:fldCharType="end"/>
    </w:r>
    <w:r w:rsidRPr="004D018A" w:rsidDel="0077164B">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AB15F" w14:textId="2B814125" w:rsidR="00F72D9F" w:rsidRDefault="00F72D9F" w:rsidP="003A7454">
    <w:pPr>
      <w:pStyle w:val="Footerodd"/>
    </w:pPr>
    <w:r>
      <w:rPr>
        <w:b/>
      </w:rPr>
      <w:tab/>
    </w:r>
    <w:r w:rsidRPr="00F72D9F">
      <w:t>Part D: How can we implement the strategy?</w:t>
    </w:r>
    <w:r>
      <w:tab/>
    </w:r>
    <w:r w:rsidRPr="004F458A">
      <w:rPr>
        <w:b/>
      </w:rPr>
      <w:fldChar w:fldCharType="begin"/>
    </w:r>
    <w:r w:rsidRPr="004F458A">
      <w:instrText xml:space="preserve"> PAGE </w:instrText>
    </w:r>
    <w:r w:rsidRPr="004F458A">
      <w:rPr>
        <w:b/>
      </w:rPr>
      <w:fldChar w:fldCharType="separate"/>
    </w:r>
    <w:r>
      <w:rPr>
        <w:b/>
      </w:rPr>
      <w:t>38</w:t>
    </w:r>
    <w:r w:rsidRPr="004F458A">
      <w:rPr>
        <w:b/>
      </w:rPr>
      <w:fldChar w:fldCharType="end"/>
    </w:r>
    <w:r w:rsidRPr="004D018A" w:rsidDel="0077164B">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835"/>
      <w:gridCol w:w="2835"/>
      <w:gridCol w:w="2835"/>
    </w:tblGrid>
    <w:tr w:rsidR="782516FB" w14:paraId="01681A1A" w14:textId="77777777" w:rsidTr="00CC0062">
      <w:trPr>
        <w:trHeight w:val="300"/>
      </w:trPr>
      <w:tc>
        <w:tcPr>
          <w:tcW w:w="2835" w:type="dxa"/>
        </w:tcPr>
        <w:p w14:paraId="1D0F657B" w14:textId="5F548B86" w:rsidR="782516FB" w:rsidRDefault="782516FB" w:rsidP="00CC0062">
          <w:pPr>
            <w:pStyle w:val="Header"/>
            <w:ind w:left="-115"/>
          </w:pPr>
        </w:p>
      </w:tc>
      <w:tc>
        <w:tcPr>
          <w:tcW w:w="2835" w:type="dxa"/>
        </w:tcPr>
        <w:p w14:paraId="7D5F97D1" w14:textId="592758DD" w:rsidR="782516FB" w:rsidRDefault="782516FB" w:rsidP="00CC0062">
          <w:pPr>
            <w:pStyle w:val="Header"/>
            <w:jc w:val="center"/>
          </w:pPr>
        </w:p>
      </w:tc>
      <w:tc>
        <w:tcPr>
          <w:tcW w:w="2835" w:type="dxa"/>
        </w:tcPr>
        <w:p w14:paraId="730EFDC2" w14:textId="60159DB1" w:rsidR="782516FB" w:rsidRDefault="782516FB" w:rsidP="00CC0062">
          <w:pPr>
            <w:pStyle w:val="Header"/>
            <w:ind w:right="-115"/>
          </w:pPr>
        </w:p>
      </w:tc>
    </w:tr>
  </w:tbl>
  <w:p w14:paraId="7D25C1CF" w14:textId="4551CF85" w:rsidR="00EB20BC" w:rsidRDefault="00EB20BC" w:rsidP="00370150">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A4375" w14:textId="5B106AF3" w:rsidR="00A45C69" w:rsidRPr="004F458A" w:rsidRDefault="00A8164D" w:rsidP="00B81AE9">
    <w:pPr>
      <w:pStyle w:val="Footereven"/>
      <w:tabs>
        <w:tab w:val="left" w:pos="6735"/>
      </w:tabs>
    </w:pPr>
    <w:r w:rsidRPr="004F458A">
      <w:rPr>
        <w:b/>
      </w:rPr>
      <w:fldChar w:fldCharType="begin"/>
    </w:r>
    <w:r w:rsidRPr="004F458A">
      <w:instrText xml:space="preserve"> PAGE </w:instrText>
    </w:r>
    <w:r w:rsidRPr="004F458A">
      <w:rPr>
        <w:b/>
      </w:rPr>
      <w:fldChar w:fldCharType="separate"/>
    </w:r>
    <w:r>
      <w:rPr>
        <w:noProof/>
      </w:rPr>
      <w:t>280</w:t>
    </w:r>
    <w:r w:rsidRPr="004F458A">
      <w:rPr>
        <w:b/>
      </w:rPr>
      <w:fldChar w:fldCharType="end"/>
    </w:r>
    <w:r>
      <w:tab/>
    </w:r>
    <w:r w:rsidRPr="004D018A">
      <w:t>Coastal hazards and climate change</w:t>
    </w:r>
    <w:r w:rsidR="006C7B8C">
      <w:t xml:space="preserve"> guidance</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F018B7" w14:textId="28E6CAA1" w:rsidR="00A45C69" w:rsidRPr="00677CAF" w:rsidRDefault="00967866" w:rsidP="00677CAF">
    <w:pPr>
      <w:pStyle w:val="Footerodd"/>
    </w:pPr>
    <w:r w:rsidRPr="003238EB">
      <w:rPr>
        <w:color w:val="2C9986" w:themeColor="accent4"/>
        <w:spacing w:val="20"/>
      </w:rPr>
      <w:tab/>
    </w:r>
    <w:r w:rsidRPr="00677CAF">
      <w:fldChar w:fldCharType="begin"/>
    </w:r>
    <w:r w:rsidRPr="00677CAF">
      <w:instrText>STYLEREF  "PART HEADING"</w:instrText>
    </w:r>
    <w:r w:rsidRPr="00677CAF">
      <w:fldChar w:fldCharType="separate"/>
    </w:r>
    <w:r w:rsidR="004F66AE">
      <w:rPr>
        <w:noProof/>
      </w:rPr>
      <w:t>Part E: How is it working?</w:t>
    </w:r>
    <w:r w:rsidRPr="00677CAF">
      <w:fldChar w:fldCharType="end"/>
    </w:r>
    <w:r w:rsidR="00A8164D" w:rsidRPr="00677CAF">
      <w:tab/>
    </w:r>
    <w:r w:rsidR="00A8164D" w:rsidRPr="00677CAF">
      <w:fldChar w:fldCharType="begin"/>
    </w:r>
    <w:r w:rsidR="00A8164D" w:rsidRPr="00677CAF">
      <w:instrText xml:space="preserve"> PAGE   \* MERGEFORMAT </w:instrText>
    </w:r>
    <w:r w:rsidR="00A8164D" w:rsidRPr="00677CAF">
      <w:fldChar w:fldCharType="separate"/>
    </w:r>
    <w:r w:rsidR="00A8164D" w:rsidRPr="00677CAF">
      <w:t>279</w:t>
    </w:r>
    <w:r w:rsidR="00A8164D" w:rsidRPr="00677CAF">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85B2C" w14:textId="6E181535" w:rsidR="00B9248C" w:rsidRDefault="00B9248C" w:rsidP="00967866">
    <w:pPr>
      <w:pStyle w:val="Footerodd"/>
    </w:pPr>
    <w:r>
      <w:tab/>
    </w:r>
    <w:r w:rsidRPr="00B9248C">
      <w:t>Glossary of abbreviations and terms</w:t>
    </w:r>
    <w:r>
      <w:tab/>
    </w:r>
    <w:r>
      <w:fldChar w:fldCharType="begin"/>
    </w:r>
    <w:r>
      <w:instrText xml:space="preserve"> PAGE   \* MERGEFORMAT </w:instrText>
    </w:r>
    <w:r>
      <w:fldChar w:fldCharType="separate"/>
    </w:r>
    <w:r>
      <w:rPr>
        <w:noProof/>
      </w:rPr>
      <w:t>279</w:t>
    </w:r>
    <w:r>
      <w:rPr>
        <w:noProof/>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BE37D" w14:textId="62BF9DCD" w:rsidR="00E73FCC" w:rsidRDefault="0077164B" w:rsidP="000227A5">
    <w:pPr>
      <w:pStyle w:val="Footereven"/>
      <w:tabs>
        <w:tab w:val="left" w:pos="6735"/>
      </w:tabs>
    </w:pPr>
    <w:r w:rsidRPr="004F458A">
      <w:rPr>
        <w:b/>
      </w:rPr>
      <w:fldChar w:fldCharType="begin"/>
    </w:r>
    <w:r w:rsidRPr="004F458A">
      <w:instrText xml:space="preserve"> PAGE </w:instrText>
    </w:r>
    <w:r w:rsidRPr="004F458A">
      <w:rPr>
        <w:b/>
      </w:rPr>
      <w:fldChar w:fldCharType="separate"/>
    </w:r>
    <w:r>
      <w:rPr>
        <w:noProof/>
      </w:rPr>
      <w:t>280</w:t>
    </w:r>
    <w:r w:rsidRPr="004F458A">
      <w:rPr>
        <w:b/>
      </w:rPr>
      <w:fldChar w:fldCharType="end"/>
    </w:r>
    <w:r>
      <w:tab/>
    </w:r>
    <w:r w:rsidRPr="004D018A">
      <w:t xml:space="preserve">Coastal hazards and climate </w:t>
    </w:r>
    <w:r w:rsidRPr="004D018A" w:rsidDel="006C7B8C">
      <w:t>change</w:t>
    </w:r>
    <w:r>
      <w:t xml:space="preserve"> guidance</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CB5A0" w14:textId="70846364" w:rsidR="00FB7D30" w:rsidRDefault="00FB7D30" w:rsidP="000227A5">
    <w:pPr>
      <w:pStyle w:val="Footerodd"/>
      <w:jc w:val="right"/>
    </w:pPr>
    <w:r>
      <w:tab/>
      <w:t>Appendix A</w:t>
    </w:r>
    <w:r>
      <w:tab/>
    </w:r>
    <w:r>
      <w:fldChar w:fldCharType="begin"/>
    </w:r>
    <w:r>
      <w:instrText xml:space="preserve"> PAGE   \* MERGEFORMAT </w:instrText>
    </w:r>
    <w:r>
      <w:fldChar w:fldCharType="separate"/>
    </w:r>
    <w:r>
      <w:rPr>
        <w:noProof/>
      </w:rPr>
      <w:t>279</w:t>
    </w:r>
    <w:r>
      <w:rPr>
        <w:noProof/>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97F90" w14:textId="22ED2D0D" w:rsidR="00E73FCC" w:rsidRDefault="0077164B" w:rsidP="000227A5">
    <w:pPr>
      <w:pStyle w:val="Footerodd"/>
      <w:jc w:val="right"/>
    </w:pPr>
    <w:r>
      <w:tab/>
    </w:r>
    <w:r>
      <w:tab/>
      <w:t xml:space="preserve">Appendix </w:t>
    </w:r>
    <w:r w:rsidR="005C776C">
      <w:t>B</w:t>
    </w:r>
    <w:r>
      <w:tab/>
    </w:r>
    <w:r>
      <w:fldChar w:fldCharType="begin"/>
    </w:r>
    <w:r>
      <w:instrText xml:space="preserve"> PAGE   \* MERGEFORMAT </w:instrText>
    </w:r>
    <w:r>
      <w:fldChar w:fldCharType="separate"/>
    </w:r>
    <w:r>
      <w:rPr>
        <w:noProof/>
      </w:rPr>
      <w:t>279</w:t>
    </w:r>
    <w:r>
      <w:rPr>
        <w:noProof/>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40C39" w14:textId="77777777" w:rsidR="008E0FE8" w:rsidRDefault="008E0FE8" w:rsidP="00D70CF2">
    <w:pPr>
      <w:pStyle w:val="Footereven"/>
      <w:tabs>
        <w:tab w:val="left" w:pos="6735"/>
      </w:tabs>
    </w:pPr>
    <w:r w:rsidRPr="004F458A">
      <w:rPr>
        <w:b/>
      </w:rPr>
      <w:fldChar w:fldCharType="begin"/>
    </w:r>
    <w:r w:rsidRPr="004F458A">
      <w:instrText xml:space="preserve"> PAGE </w:instrText>
    </w:r>
    <w:r w:rsidRPr="004F458A">
      <w:rPr>
        <w:b/>
      </w:rPr>
      <w:fldChar w:fldCharType="separate"/>
    </w:r>
    <w:r>
      <w:rPr>
        <w:noProof/>
      </w:rPr>
      <w:t>280</w:t>
    </w:r>
    <w:r w:rsidRPr="004F458A">
      <w:rPr>
        <w:b/>
      </w:rPr>
      <w:fldChar w:fldCharType="end"/>
    </w:r>
    <w:r>
      <w:tab/>
    </w:r>
    <w:r w:rsidRPr="004D018A">
      <w:t xml:space="preserve">Coastal hazards and climate </w:t>
    </w:r>
    <w:r w:rsidRPr="004D018A" w:rsidDel="006C7B8C">
      <w:t>change</w:t>
    </w:r>
    <w:r>
      <w:t xml:space="preserve"> guidance</w:t>
    </w:r>
    <w:r>
      <w:tab/>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12E0B" w14:textId="5930E286" w:rsidR="008E0FE8" w:rsidRDefault="008E0FE8" w:rsidP="0081017B">
    <w:pPr>
      <w:pStyle w:val="Footerodd"/>
      <w:jc w:val="right"/>
    </w:pPr>
    <w:r>
      <w:tab/>
      <w:t>Appendix C</w:t>
    </w:r>
    <w:r>
      <w:tab/>
    </w:r>
    <w:r>
      <w:fldChar w:fldCharType="begin"/>
    </w:r>
    <w:r>
      <w:instrText xml:space="preserve"> PAGE   \* MERGEFORMAT </w:instrText>
    </w:r>
    <w:r>
      <w:fldChar w:fldCharType="separate"/>
    </w:r>
    <w:r>
      <w:rPr>
        <w:noProof/>
      </w:rPr>
      <w:t>279</w:t>
    </w:r>
    <w:r>
      <w:rPr>
        <w:noProof/>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BBDD8" w14:textId="1488608B" w:rsidR="002A46DC" w:rsidRDefault="002A46DC" w:rsidP="00967866">
    <w:pPr>
      <w:pStyle w:val="Footerodd"/>
    </w:pPr>
    <w:r>
      <w:tab/>
    </w:r>
    <w:r w:rsidR="0077164B">
      <w:t xml:space="preserve">Appendix </w:t>
    </w:r>
    <w:r w:rsidR="008E0FE8">
      <w:t>D</w:t>
    </w:r>
    <w:r>
      <w:tab/>
    </w:r>
    <w:r>
      <w:fldChar w:fldCharType="begin"/>
    </w:r>
    <w:r>
      <w:instrText xml:space="preserve"> PAGE   \* MERGEFORMAT </w:instrText>
    </w:r>
    <w:r>
      <w:fldChar w:fldCharType="separate"/>
    </w:r>
    <w:r>
      <w:rPr>
        <w:noProof/>
      </w:rPr>
      <w:t>279</w:t>
    </w:r>
    <w:r>
      <w:rPr>
        <w:noProof/>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A62DC" w14:textId="77777777" w:rsidR="00E73FCC" w:rsidRDefault="0077164B" w:rsidP="00D70CF2">
    <w:pPr>
      <w:pStyle w:val="Footereven"/>
      <w:tabs>
        <w:tab w:val="left" w:pos="6735"/>
      </w:tabs>
    </w:pPr>
    <w:r w:rsidRPr="004F458A">
      <w:rPr>
        <w:b/>
      </w:rPr>
      <w:fldChar w:fldCharType="begin"/>
    </w:r>
    <w:r w:rsidRPr="004F458A">
      <w:instrText xml:space="preserve"> PAGE </w:instrText>
    </w:r>
    <w:r w:rsidRPr="004F458A">
      <w:rPr>
        <w:b/>
      </w:rPr>
      <w:fldChar w:fldCharType="separate"/>
    </w:r>
    <w:r>
      <w:rPr>
        <w:noProof/>
      </w:rPr>
      <w:t>280</w:t>
    </w:r>
    <w:r w:rsidRPr="004F458A">
      <w:rPr>
        <w:b/>
      </w:rPr>
      <w:fldChar w:fldCharType="end"/>
    </w:r>
    <w:r>
      <w:tab/>
    </w:r>
    <w:r w:rsidRPr="004D018A">
      <w:t xml:space="preserve">Coastal hazards and climate </w:t>
    </w:r>
    <w:r w:rsidRPr="004D018A" w:rsidDel="006C7B8C">
      <w:t>change</w:t>
    </w:r>
    <w:r>
      <w:t xml:space="preserve"> guidance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630D3" w14:textId="54569D1A" w:rsidR="000A1867" w:rsidRPr="000A1867" w:rsidRDefault="000A1867" w:rsidP="000A1867">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48F56" w14:textId="77777777" w:rsidR="00E73FCC" w:rsidRDefault="0077164B" w:rsidP="0081017B">
    <w:pPr>
      <w:pStyle w:val="Footerodd"/>
      <w:jc w:val="right"/>
    </w:pPr>
    <w:r>
      <w:tab/>
    </w:r>
    <w:r w:rsidR="00ED737C">
      <w:t>References</w:t>
    </w:r>
    <w:r>
      <w:tab/>
    </w:r>
    <w:r>
      <w:fldChar w:fldCharType="begin"/>
    </w:r>
    <w:r>
      <w:instrText xml:space="preserve"> PAGE   \* MERGEFORMAT </w:instrText>
    </w:r>
    <w:r>
      <w:fldChar w:fldCharType="separate"/>
    </w:r>
    <w:r>
      <w:rPr>
        <w:noProof/>
      </w:rPr>
      <w:t>279</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2B686" w14:textId="5372C14A" w:rsidR="00EB20BC" w:rsidRDefault="00EB20BC" w:rsidP="0026647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ACF8CF" w14:textId="2E5A07B5" w:rsidR="00B57283" w:rsidRDefault="00B5728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6C1E2" w14:textId="07433032" w:rsidR="00B57283" w:rsidRPr="004F458A" w:rsidRDefault="00B57283">
    <w:pPr>
      <w:pStyle w:val="Footereven"/>
    </w:pPr>
    <w:r w:rsidRPr="004F458A">
      <w:rPr>
        <w:b/>
      </w:rPr>
      <w:fldChar w:fldCharType="begin"/>
    </w:r>
    <w:r w:rsidRPr="004F458A">
      <w:instrText xml:space="preserve"> PAGE </w:instrText>
    </w:r>
    <w:r w:rsidRPr="004F458A">
      <w:rPr>
        <w:b/>
      </w:rPr>
      <w:fldChar w:fldCharType="separate"/>
    </w:r>
    <w:r>
      <w:rPr>
        <w:noProof/>
      </w:rPr>
      <w:t>4</w:t>
    </w:r>
    <w:r w:rsidRPr="004F458A">
      <w:rPr>
        <w:b/>
      </w:rPr>
      <w:fldChar w:fldCharType="end"/>
    </w:r>
    <w:r>
      <w:tab/>
    </w:r>
    <w:r w:rsidRPr="004D018A">
      <w:t xml:space="preserve">Coastal hazards and climate change </w:t>
    </w:r>
    <w:r w:rsidR="00166102">
      <w:t>g</w:t>
    </w:r>
    <w:r w:rsidRPr="004D018A">
      <w:t xml:space="preserve">uidance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C92F8" w14:textId="4295D7CB" w:rsidR="00B57283" w:rsidRPr="00F510A4" w:rsidRDefault="000A1867" w:rsidP="003151D3">
    <w:pPr>
      <w:pStyle w:val="Footerodd"/>
    </w:pPr>
    <w:r>
      <w:tab/>
      <w:t xml:space="preserve">Contents </w:t>
    </w:r>
    <w:r>
      <w:tab/>
    </w:r>
    <w:r w:rsidR="003151D3">
      <w:fldChar w:fldCharType="begin"/>
    </w:r>
    <w:r w:rsidR="003151D3">
      <w:instrText xml:space="preserve"> PAGE   \* MERGEFORMAT </w:instrText>
    </w:r>
    <w:r w:rsidR="003151D3">
      <w:fldChar w:fldCharType="separate"/>
    </w:r>
    <w:r w:rsidR="003151D3">
      <w:t>4</w:t>
    </w:r>
    <w:r w:rsidR="003151D3">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921F8" w14:textId="17480E65" w:rsidR="004F4776" w:rsidRDefault="00E20EC3" w:rsidP="00E20EC3">
    <w:pPr>
      <w:pStyle w:val="Footereven"/>
    </w:pPr>
    <w:r w:rsidRPr="004F458A">
      <w:rPr>
        <w:b/>
      </w:rPr>
      <w:fldChar w:fldCharType="begin"/>
    </w:r>
    <w:r w:rsidRPr="004F458A">
      <w:instrText xml:space="preserve"> PAGE </w:instrText>
    </w:r>
    <w:r w:rsidRPr="004F458A">
      <w:rPr>
        <w:b/>
      </w:rPr>
      <w:fldChar w:fldCharType="separate"/>
    </w:r>
    <w:r>
      <w:rPr>
        <w:b/>
      </w:rPr>
      <w:t>38</w:t>
    </w:r>
    <w:r w:rsidRPr="004F458A">
      <w:rPr>
        <w:b/>
      </w:rPr>
      <w:fldChar w:fldCharType="end"/>
    </w:r>
    <w:r>
      <w:tab/>
    </w:r>
    <w:r w:rsidRPr="004D018A">
      <w:t>Coastal hazards and climate change</w:t>
    </w:r>
    <w:r>
      <w:t xml:space="preserve"> guidance</w:t>
    </w:r>
    <w:r w:rsidRPr="004D018A" w:rsidDel="0077164B">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073307" w14:textId="2D1FE83A" w:rsidR="000A1867" w:rsidRPr="004F458A" w:rsidRDefault="000A1867">
    <w:pPr>
      <w:pStyle w:val="Footereven"/>
    </w:pPr>
    <w:r w:rsidRPr="004F458A">
      <w:rPr>
        <w:b/>
      </w:rPr>
      <w:fldChar w:fldCharType="begin"/>
    </w:r>
    <w:r w:rsidRPr="004F458A">
      <w:instrText xml:space="preserve"> PAGE </w:instrText>
    </w:r>
    <w:r w:rsidRPr="004F458A">
      <w:rPr>
        <w:b/>
      </w:rPr>
      <w:fldChar w:fldCharType="separate"/>
    </w:r>
    <w:r>
      <w:rPr>
        <w:noProof/>
      </w:rPr>
      <w:t>4</w:t>
    </w:r>
    <w:r w:rsidRPr="004F458A">
      <w:rPr>
        <w:b/>
      </w:rPr>
      <w:fldChar w:fldCharType="end"/>
    </w:r>
    <w:r>
      <w:tab/>
    </w:r>
    <w:r w:rsidRPr="004D018A">
      <w:t xml:space="preserve">Coastal hazards and climate change </w:t>
    </w:r>
    <w:r w:rsidR="00166102">
      <w:t>g</w:t>
    </w:r>
    <w:r w:rsidRPr="004D018A">
      <w:t xml:space="preserve">uidance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48EDFA" w14:textId="77777777" w:rsidR="007E5AB2" w:rsidRDefault="007E5AB2" w:rsidP="00B57283">
      <w:r>
        <w:separator/>
      </w:r>
    </w:p>
  </w:footnote>
  <w:footnote w:type="continuationSeparator" w:id="0">
    <w:p w14:paraId="706F1945" w14:textId="77777777" w:rsidR="007E5AB2" w:rsidRDefault="007E5AB2" w:rsidP="00B57283">
      <w:r>
        <w:continuationSeparator/>
      </w:r>
    </w:p>
  </w:footnote>
  <w:footnote w:type="continuationNotice" w:id="1">
    <w:p w14:paraId="588DF9E4" w14:textId="77777777" w:rsidR="007E5AB2" w:rsidRDefault="007E5AB2"/>
  </w:footnote>
  <w:footnote w:id="2">
    <w:p w14:paraId="3F28A76C" w14:textId="0D07CBC1" w:rsidR="00D6043F" w:rsidRPr="00F03917" w:rsidRDefault="00D6043F" w:rsidP="00A14875">
      <w:pPr>
        <w:pStyle w:val="FootnoteText"/>
        <w:rPr>
          <w:lang w:val="en-US"/>
        </w:rPr>
      </w:pPr>
      <w:r w:rsidRPr="00F03917">
        <w:rPr>
          <w:rStyle w:val="FootnoteReference"/>
        </w:rPr>
        <w:footnoteRef/>
      </w:r>
      <w:r w:rsidRPr="00F03917">
        <w:t xml:space="preserve"> </w:t>
      </w:r>
      <w:r w:rsidR="009002C3" w:rsidRPr="00F03917">
        <w:tab/>
      </w:r>
      <w:r w:rsidRPr="00F03917">
        <w:rPr>
          <w:i/>
          <w:lang w:val="en-US"/>
        </w:rPr>
        <w:t>Climate hazards</w:t>
      </w:r>
      <w:r w:rsidRPr="00F03917">
        <w:rPr>
          <w:lang w:val="en-US"/>
        </w:rPr>
        <w:t xml:space="preserve"> here are the physical stressors that </w:t>
      </w:r>
      <w:r w:rsidRPr="00F03917">
        <w:t>arise</w:t>
      </w:r>
      <w:r w:rsidRPr="00F03917">
        <w:rPr>
          <w:lang w:val="en-US"/>
        </w:rPr>
        <w:t xml:space="preserve"> from climate change at the coast. </w:t>
      </w:r>
      <w:r w:rsidRPr="00F03917">
        <w:rPr>
          <w:i/>
          <w:iCs/>
          <w:lang w:val="en-US"/>
        </w:rPr>
        <w:t>Climate risk</w:t>
      </w:r>
      <w:r w:rsidRPr="00F03917">
        <w:rPr>
          <w:lang w:val="en-US"/>
        </w:rPr>
        <w:t xml:space="preserve"> is the potential for adverse </w:t>
      </w:r>
      <w:r w:rsidRPr="00F03917">
        <w:t>consequences</w:t>
      </w:r>
      <w:r w:rsidRPr="00F03917">
        <w:rPr>
          <w:lang w:val="en-US"/>
        </w:rPr>
        <w:t xml:space="preserve"> for human and ecological systems.</w:t>
      </w:r>
      <w:r w:rsidRPr="00F03917">
        <w:t xml:space="preserve"> </w:t>
      </w:r>
    </w:p>
  </w:footnote>
  <w:footnote w:id="3">
    <w:p w14:paraId="075FC241" w14:textId="1C06FDF0" w:rsidR="00B57283" w:rsidRPr="00F03917" w:rsidRDefault="00B57283" w:rsidP="006446A3">
      <w:pPr>
        <w:pStyle w:val="FootnoteText"/>
        <w:rPr>
          <w:lang w:val="en-US"/>
        </w:rPr>
      </w:pPr>
      <w:r w:rsidRPr="00F03917">
        <w:rPr>
          <w:rStyle w:val="FootnoteReference"/>
        </w:rPr>
        <w:footnoteRef/>
      </w:r>
      <w:r w:rsidR="35CC4AC5" w:rsidRPr="00F03917">
        <w:t xml:space="preserve"> </w:t>
      </w:r>
      <w:r w:rsidR="009002C3" w:rsidRPr="00F03917">
        <w:tab/>
      </w:r>
      <w:r w:rsidR="35CC4AC5" w:rsidRPr="00F03917">
        <w:rPr>
          <w:i/>
          <w:iCs/>
        </w:rPr>
        <w:t>Relative</w:t>
      </w:r>
      <w:r w:rsidR="35CC4AC5" w:rsidRPr="00F03917">
        <w:t xml:space="preserve"> sea-level rise (</w:t>
      </w:r>
      <w:r w:rsidR="00B31B40" w:rsidRPr="00F03917">
        <w:t>R</w:t>
      </w:r>
      <w:r w:rsidR="35CC4AC5" w:rsidRPr="00F03917">
        <w:t xml:space="preserve">SLR) is the net </w:t>
      </w:r>
      <w:r w:rsidR="00325C54" w:rsidRPr="00F03917">
        <w:t>sea-level rise (</w:t>
      </w:r>
      <w:r w:rsidR="35CC4AC5" w:rsidRPr="00F03917">
        <w:t>SLR</w:t>
      </w:r>
      <w:r w:rsidR="00325C54" w:rsidRPr="00F03917">
        <w:t>)</w:t>
      </w:r>
      <w:r w:rsidR="35CC4AC5" w:rsidRPr="00F03917">
        <w:t xml:space="preserve"> experienced at local or regional scales from the</w:t>
      </w:r>
      <w:r w:rsidR="00F22EC1" w:rsidRPr="00F03917">
        <w:t> </w:t>
      </w:r>
      <w:r w:rsidR="35CC4AC5" w:rsidRPr="00F03917">
        <w:t>rise in ocean mean sea level and the rate of vertical land movement (</w:t>
      </w:r>
      <w:r w:rsidR="5BA077EF" w:rsidRPr="00F03917">
        <w:t>VLM</w:t>
      </w:r>
      <w:r w:rsidR="7C0E5C73" w:rsidRPr="00F03917">
        <w:t>)</w:t>
      </w:r>
      <w:r w:rsidR="5BA077EF" w:rsidRPr="00F03917">
        <w:t xml:space="preserve"> (</w:t>
      </w:r>
      <w:r w:rsidR="35CC4AC5" w:rsidRPr="00F03917">
        <w:t>eg, land subsidence exacerbates the rise in the adjacent ocean).</w:t>
      </w:r>
    </w:p>
  </w:footnote>
  <w:footnote w:id="4">
    <w:p w14:paraId="4F53B44A" w14:textId="04E78D11" w:rsidR="00D91104" w:rsidRPr="00F03917" w:rsidRDefault="00D91104" w:rsidP="006446A3">
      <w:pPr>
        <w:pStyle w:val="FootnoteText"/>
      </w:pPr>
      <w:r w:rsidRPr="00F03917">
        <w:rPr>
          <w:rStyle w:val="FootnoteReference"/>
        </w:rPr>
        <w:footnoteRef/>
      </w:r>
      <w:r w:rsidR="63431CDA" w:rsidRPr="00F03917">
        <w:t xml:space="preserve"> </w:t>
      </w:r>
      <w:r w:rsidR="009002C3" w:rsidRPr="00F03917">
        <w:tab/>
      </w:r>
      <w:r w:rsidR="63431CDA" w:rsidRPr="00F03917">
        <w:t>Disclaimer:</w:t>
      </w:r>
      <w:r w:rsidR="63431CDA" w:rsidRPr="00F03917">
        <w:rPr>
          <w:b/>
          <w:bCs/>
        </w:rPr>
        <w:t xml:space="preserve"> </w:t>
      </w:r>
      <w:r w:rsidR="63431CDA" w:rsidRPr="00F03917">
        <w:t xml:space="preserve">Most </w:t>
      </w:r>
      <w:r w:rsidRPr="00F03917" w:rsidDel="63431CDA">
        <w:t xml:space="preserve">SLR </w:t>
      </w:r>
      <w:r w:rsidR="63431CDA" w:rsidRPr="00F03917">
        <w:t xml:space="preserve">projections (figures or tables) in this guidance are New </w:t>
      </w:r>
      <w:r w:rsidR="08F36B41" w:rsidRPr="00F03917">
        <w:t>Zealand</w:t>
      </w:r>
      <w:r w:rsidR="63431CDA" w:rsidRPr="00F03917">
        <w:t xml:space="preserve">-wide averages and therefore </w:t>
      </w:r>
      <w:r w:rsidR="63431CDA" w:rsidRPr="00F03917">
        <w:rPr>
          <w:i/>
          <w:iCs/>
        </w:rPr>
        <w:t>exclude</w:t>
      </w:r>
      <w:r w:rsidR="63431CDA" w:rsidRPr="00F03917">
        <w:t xml:space="preserve"> VLM because it varies significantly (up or down) around the country. Local relative sea</w:t>
      </w:r>
      <w:r w:rsidRPr="00F03917" w:rsidDel="63431CDA">
        <w:t>-</w:t>
      </w:r>
      <w:r w:rsidR="63431CDA" w:rsidRPr="00F03917">
        <w:t xml:space="preserve">level rise (RSLR) projections </w:t>
      </w:r>
      <w:r w:rsidR="63431CDA" w:rsidRPr="00F03917">
        <w:rPr>
          <w:i/>
          <w:iCs/>
        </w:rPr>
        <w:t xml:space="preserve">include </w:t>
      </w:r>
      <w:r w:rsidR="63431CDA" w:rsidRPr="00F03917">
        <w:t>VLM, unless otherwise stated.</w:t>
      </w:r>
    </w:p>
  </w:footnote>
  <w:footnote w:id="5">
    <w:p w14:paraId="1CE9A69A" w14:textId="7AA55C39" w:rsidR="00FB1904" w:rsidRPr="00F03917" w:rsidRDefault="00FB1904" w:rsidP="00FB1904">
      <w:pPr>
        <w:pStyle w:val="FootnoteText"/>
      </w:pPr>
      <w:r w:rsidRPr="00F03917">
        <w:rPr>
          <w:rStyle w:val="FootnoteReference"/>
        </w:rPr>
        <w:footnoteRef/>
      </w:r>
      <w:r w:rsidRPr="00F03917">
        <w:t xml:space="preserve"> </w:t>
      </w:r>
      <w:r w:rsidRPr="00F03917">
        <w:tab/>
        <w:t xml:space="preserve">Coastal areas affected by coastal processes and SLR </w:t>
      </w:r>
      <w:r w:rsidRPr="00F03917">
        <w:rPr>
          <w:i/>
          <w:iCs/>
        </w:rPr>
        <w:t>now</w:t>
      </w:r>
      <w:r w:rsidRPr="00F03917">
        <w:t xml:space="preserve"> </w:t>
      </w:r>
      <w:r w:rsidRPr="00F03917">
        <w:rPr>
          <w:i/>
        </w:rPr>
        <w:t>and in the future</w:t>
      </w:r>
      <w:r w:rsidRPr="00F03917">
        <w:t xml:space="preserve">, and includes estuaries, tidal </w:t>
      </w:r>
      <w:r w:rsidR="00D56DF8" w:rsidRPr="00F03917">
        <w:t xml:space="preserve">and rainfall </w:t>
      </w:r>
      <w:r w:rsidRPr="00F03917">
        <w:t>influenced groundwater, wetlands, creeks, lowland rivers and streams, and the adjacent land</w:t>
      </w:r>
      <w:r w:rsidR="00F95FB9" w:rsidRPr="00F03917">
        <w:t> </w:t>
      </w:r>
      <w:r w:rsidRPr="00F03917">
        <w:t>margins.</w:t>
      </w:r>
    </w:p>
  </w:footnote>
  <w:footnote w:id="6">
    <w:p w14:paraId="3CB76D49" w14:textId="63CB051F" w:rsidR="00F01F82" w:rsidRPr="00F03917" w:rsidRDefault="00F01F82">
      <w:pPr>
        <w:pStyle w:val="FootnoteText"/>
      </w:pPr>
      <w:r w:rsidRPr="00F03917">
        <w:rPr>
          <w:rStyle w:val="FootnoteReference"/>
        </w:rPr>
        <w:footnoteRef/>
      </w:r>
      <w:r w:rsidRPr="00F03917">
        <w:t xml:space="preserve"> </w:t>
      </w:r>
      <w:r w:rsidR="00011FE2" w:rsidRPr="00F03917">
        <w:tab/>
      </w:r>
      <w:r w:rsidRPr="00F03917">
        <w:t xml:space="preserve">Objective 5 and policies </w:t>
      </w:r>
      <w:r w:rsidR="00CE696F" w:rsidRPr="00F03917">
        <w:t xml:space="preserve">24 </w:t>
      </w:r>
      <w:r w:rsidR="00011FE2" w:rsidRPr="00F03917">
        <w:t xml:space="preserve">to </w:t>
      </w:r>
      <w:r w:rsidR="00CE696F" w:rsidRPr="00F03917">
        <w:t xml:space="preserve">27 </w:t>
      </w:r>
      <w:r w:rsidR="005209D6" w:rsidRPr="00F03917">
        <w:t xml:space="preserve">of the </w:t>
      </w:r>
      <w:r w:rsidR="5A86C48C" w:rsidRPr="00F03917">
        <w:t xml:space="preserve">New Zealand Coastal Policy </w:t>
      </w:r>
      <w:r w:rsidR="2E4C0CB2" w:rsidRPr="00F03917">
        <w:t>Statement 2010 (NZCPS)</w:t>
      </w:r>
      <w:r w:rsidR="005209D6" w:rsidRPr="00F03917">
        <w:t xml:space="preserve"> </w:t>
      </w:r>
      <w:r w:rsidR="00CE696F" w:rsidRPr="00F03917">
        <w:t>are specific to coastal hazards</w:t>
      </w:r>
      <w:r w:rsidR="00C12ED4" w:rsidRPr="00F03917">
        <w:t xml:space="preserve"> and climate change risk</w:t>
      </w:r>
      <w:r w:rsidR="00464DD3" w:rsidRPr="00F03917">
        <w:t xml:space="preserve"> (DOC, 2010)</w:t>
      </w:r>
      <w:r w:rsidR="00932087" w:rsidRPr="00F03917">
        <w:t>.</w:t>
      </w:r>
    </w:p>
  </w:footnote>
  <w:footnote w:id="7">
    <w:p w14:paraId="2968228F" w14:textId="0607BD9B" w:rsidR="00D344FE" w:rsidRPr="00F03917" w:rsidRDefault="00D344FE" w:rsidP="00610C13">
      <w:pPr>
        <w:pStyle w:val="FootnoteText"/>
      </w:pPr>
      <w:r w:rsidRPr="00F03917">
        <w:rPr>
          <w:rStyle w:val="FootnoteReference"/>
        </w:rPr>
        <w:footnoteRef/>
      </w:r>
      <w:r w:rsidRPr="00F03917">
        <w:t xml:space="preserve"> </w:t>
      </w:r>
      <w:r w:rsidRPr="00F03917">
        <w:tab/>
      </w:r>
      <w:r w:rsidR="00875BCF" w:rsidRPr="00F03917">
        <w:t xml:space="preserve">National guidance included this </w:t>
      </w:r>
      <w:r w:rsidRPr="00F03917">
        <w:rPr>
          <w:i/>
          <w:iCs/>
          <w:lang w:eastAsia="en-US"/>
        </w:rPr>
        <w:t xml:space="preserve">Coastal </w:t>
      </w:r>
      <w:r w:rsidRPr="00F03917">
        <w:rPr>
          <w:i/>
          <w:iCs/>
        </w:rPr>
        <w:t>hazards</w:t>
      </w:r>
      <w:r w:rsidRPr="00F03917">
        <w:rPr>
          <w:i/>
          <w:iCs/>
          <w:lang w:eastAsia="en-US"/>
        </w:rPr>
        <w:t xml:space="preserve"> and climate change guidance</w:t>
      </w:r>
      <w:r w:rsidRPr="00F03917">
        <w:rPr>
          <w:lang w:eastAsia="en-US"/>
        </w:rPr>
        <w:t xml:space="preserve"> and </w:t>
      </w:r>
      <w:r w:rsidRPr="00F03917">
        <w:rPr>
          <w:i/>
          <w:iCs/>
          <w:lang w:eastAsia="en-US"/>
        </w:rPr>
        <w:t>NZCPS 2010 guidance note: Coastal Hazards</w:t>
      </w:r>
      <w:r w:rsidRPr="00F03917">
        <w:rPr>
          <w:lang w:eastAsia="en-US"/>
        </w:rPr>
        <w:t>, objective 5 and Policies 24, 25, 26 and 27 (</w:t>
      </w:r>
      <w:r w:rsidR="00D07DEF" w:rsidRPr="00F03917">
        <w:rPr>
          <w:lang w:eastAsia="en-US"/>
        </w:rPr>
        <w:t xml:space="preserve">DOC, </w:t>
      </w:r>
      <w:r w:rsidRPr="00F03917">
        <w:rPr>
          <w:lang w:eastAsia="en-US"/>
        </w:rPr>
        <w:t>2017). These should be taken into account under Policy 24 of the NZCPS.</w:t>
      </w:r>
    </w:p>
  </w:footnote>
  <w:footnote w:id="8">
    <w:p w14:paraId="446BD013" w14:textId="2542E096" w:rsidR="005F13AC" w:rsidRPr="00F03917" w:rsidRDefault="005F13AC" w:rsidP="00F71591">
      <w:pPr>
        <w:pStyle w:val="FootnoteText"/>
        <w:rPr>
          <w:lang w:val="mi-NZ"/>
        </w:rPr>
      </w:pPr>
      <w:r w:rsidRPr="00F03917">
        <w:rPr>
          <w:rStyle w:val="FootnoteReference"/>
        </w:rPr>
        <w:footnoteRef/>
      </w:r>
      <w:r w:rsidRPr="00F03917">
        <w:t xml:space="preserve"> </w:t>
      </w:r>
      <w:r w:rsidR="00C10FC8" w:rsidRPr="00F03917">
        <w:tab/>
      </w:r>
      <w:r w:rsidRPr="00F03917">
        <w:rPr>
          <w:rFonts w:cs="Calibri"/>
          <w:sz w:val="18"/>
          <w:szCs w:val="18"/>
        </w:rPr>
        <w:t xml:space="preserve">The </w:t>
      </w:r>
      <w:r w:rsidRPr="00F03917">
        <w:rPr>
          <w:rFonts w:cs="Calibri"/>
          <w:i/>
          <w:iCs/>
          <w:sz w:val="18"/>
          <w:szCs w:val="18"/>
        </w:rPr>
        <w:t>National adaptation plan and emissions reduction plan: Resource Management Act 1991 guidance note</w:t>
      </w:r>
      <w:r w:rsidRPr="00F03917">
        <w:rPr>
          <w:rFonts w:cs="Calibri"/>
          <w:sz w:val="18"/>
          <w:szCs w:val="18"/>
        </w:rPr>
        <w:t xml:space="preserve"> (</w:t>
      </w:r>
      <w:r w:rsidR="00A81356" w:rsidRPr="00F03917">
        <w:rPr>
          <w:rFonts w:cs="Calibri"/>
          <w:sz w:val="18"/>
          <w:szCs w:val="18"/>
        </w:rPr>
        <w:t xml:space="preserve">MfE, </w:t>
      </w:r>
      <w:hyperlink r:id="rId1">
        <w:r w:rsidRPr="00F03917">
          <w:rPr>
            <w:rStyle w:val="Hyperlink"/>
            <w:color w:val="auto"/>
          </w:rPr>
          <w:t>2022</w:t>
        </w:r>
      </w:hyperlink>
      <w:r w:rsidR="00A81356" w:rsidRPr="00F03917">
        <w:rPr>
          <w:rStyle w:val="Hyperlink"/>
          <w:color w:val="auto"/>
        </w:rPr>
        <w:t>c</w:t>
      </w:r>
      <w:r w:rsidRPr="00F03917">
        <w:rPr>
          <w:rFonts w:cs="Calibri"/>
          <w:sz w:val="18"/>
          <w:szCs w:val="18"/>
        </w:rPr>
        <w:t xml:space="preserve">) has more information on how local government might </w:t>
      </w:r>
      <w:r w:rsidRPr="00F03917">
        <w:rPr>
          <w:rFonts w:cs="Calibri"/>
          <w:b/>
          <w:bCs/>
          <w:sz w:val="18"/>
          <w:szCs w:val="18"/>
        </w:rPr>
        <w:t>have regard to</w:t>
      </w:r>
      <w:r w:rsidRPr="00F03917">
        <w:rPr>
          <w:rFonts w:cs="Calibri"/>
          <w:sz w:val="18"/>
          <w:szCs w:val="18"/>
        </w:rPr>
        <w:t xml:space="preserve"> the </w:t>
      </w:r>
      <w:r w:rsidR="00464DD3" w:rsidRPr="00F03917">
        <w:rPr>
          <w:rFonts w:cs="Calibri"/>
          <w:sz w:val="18"/>
          <w:szCs w:val="18"/>
        </w:rPr>
        <w:t>national adaptation plan</w:t>
      </w:r>
      <w:r w:rsidRPr="00F03917">
        <w:rPr>
          <w:rFonts w:cs="Calibri"/>
          <w:sz w:val="18"/>
          <w:szCs w:val="18"/>
        </w:rPr>
        <w:t xml:space="preserve"> and </w:t>
      </w:r>
      <w:r w:rsidR="00405496" w:rsidRPr="00F03917">
        <w:rPr>
          <w:rFonts w:cs="Calibri"/>
          <w:sz w:val="18"/>
          <w:szCs w:val="18"/>
        </w:rPr>
        <w:t>emissions</w:t>
      </w:r>
      <w:r w:rsidR="00E55E3C" w:rsidRPr="00F03917">
        <w:rPr>
          <w:rFonts w:cs="Calibri"/>
          <w:sz w:val="18"/>
          <w:szCs w:val="18"/>
        </w:rPr>
        <w:t xml:space="preserve"> reduction plan</w:t>
      </w:r>
      <w:r w:rsidRPr="00F03917">
        <w:rPr>
          <w:rFonts w:cs="Calibri"/>
          <w:sz w:val="18"/>
          <w:szCs w:val="18"/>
        </w:rPr>
        <w:t xml:space="preserve"> in this context.</w:t>
      </w:r>
    </w:p>
  </w:footnote>
  <w:footnote w:id="9">
    <w:p w14:paraId="7FC0EF5F" w14:textId="7277A583" w:rsidR="00F14511" w:rsidRPr="00F03917" w:rsidRDefault="00F14511" w:rsidP="00F14511">
      <w:pPr>
        <w:pStyle w:val="FootnoteText"/>
      </w:pPr>
      <w:r w:rsidRPr="00F03917">
        <w:rPr>
          <w:rStyle w:val="FootnoteReference"/>
        </w:rPr>
        <w:footnoteRef/>
      </w:r>
      <w:r w:rsidRPr="00F03917">
        <w:t xml:space="preserve"> </w:t>
      </w:r>
      <w:r w:rsidRPr="00F03917">
        <w:tab/>
        <w:t>Further guidance on the principles of te Tiriti o Waitangi can be found on the Waitangi Tribunal website (</w:t>
      </w:r>
      <w:hyperlink r:id="rId2" w:history="1">
        <w:r w:rsidR="00EA0039" w:rsidRPr="00F03917">
          <w:rPr>
            <w:rStyle w:val="Hyperlink"/>
          </w:rPr>
          <w:t>www.waitangitribunal.govt.nz/treaty-of-waitangi/principles-of-the-treaty</w:t>
        </w:r>
      </w:hyperlink>
      <w:r w:rsidRPr="00F03917">
        <w:t>) and in the 2002 report from Te Puni Kōkiri (Te Puni Kōkiri, 2002).</w:t>
      </w:r>
    </w:p>
  </w:footnote>
  <w:footnote w:id="10">
    <w:p w14:paraId="36B63484" w14:textId="76134CDC" w:rsidR="00161F67" w:rsidRPr="00F03917" w:rsidRDefault="00161F67" w:rsidP="007F01FE">
      <w:pPr>
        <w:pStyle w:val="FootnoteText"/>
        <w:rPr>
          <w:lang w:val="en-US"/>
        </w:rPr>
      </w:pPr>
      <w:r w:rsidRPr="00F03917">
        <w:rPr>
          <w:rStyle w:val="FootnoteReference"/>
        </w:rPr>
        <w:footnoteRef/>
      </w:r>
      <w:r w:rsidRPr="00F03917">
        <w:t xml:space="preserve"> </w:t>
      </w:r>
      <w:r w:rsidR="007F01FE" w:rsidRPr="00F03917">
        <w:tab/>
      </w:r>
      <w:r w:rsidRPr="00F03917">
        <w:t>Policy 1, NZCPS and DOC guidance note</w:t>
      </w:r>
      <w:r w:rsidR="00C73089" w:rsidRPr="00F03917">
        <w:t xml:space="preserve"> (DOC, 2010, 2017)</w:t>
      </w:r>
      <w:r w:rsidRPr="00F03917">
        <w:t xml:space="preserve">. Combining Policy 1 and </w:t>
      </w:r>
      <w:r w:rsidR="3945E901" w:rsidRPr="00F03917">
        <w:t>policies</w:t>
      </w:r>
      <w:r w:rsidRPr="00F03917">
        <w:t xml:space="preserve"> 24–25, the DOC (2017) guidance note states </w:t>
      </w:r>
      <w:r w:rsidR="00CD15B9" w:rsidRPr="00F03917">
        <w:t xml:space="preserve">(p 15) </w:t>
      </w:r>
      <w:r w:rsidRPr="00F03917">
        <w:t xml:space="preserve">that Policy 1(2)(d) can be interpreted as meaning all areas identified as </w:t>
      </w:r>
      <w:r w:rsidR="006052B1" w:rsidRPr="00F03917">
        <w:t>“</w:t>
      </w:r>
      <w:r w:rsidRPr="00F03917">
        <w:t>potentially affected by coastal hazards over at least the next 100 years</w:t>
      </w:r>
      <w:r w:rsidR="00945FAB" w:rsidRPr="00F03917">
        <w:t>”</w:t>
      </w:r>
      <w:r w:rsidRPr="00F03917">
        <w:t xml:space="preserve"> should be included within the ‘coastal </w:t>
      </w:r>
      <w:r w:rsidR="6A71CCE7" w:rsidRPr="00F03917">
        <w:t>environment</w:t>
      </w:r>
      <w:r w:rsidR="00945FAB" w:rsidRPr="00F03917">
        <w:t>’</w:t>
      </w:r>
      <w:r w:rsidR="6A71CCE7" w:rsidRPr="00F03917">
        <w:t>,</w:t>
      </w:r>
      <w:r w:rsidRPr="00F03917">
        <w:t xml:space="preserve"> for which the NZCPS applies. </w:t>
      </w:r>
    </w:p>
  </w:footnote>
  <w:footnote w:id="11">
    <w:p w14:paraId="514A94E2" w14:textId="77777777" w:rsidR="000F65C5" w:rsidRPr="00F03917" w:rsidRDefault="000F65C5" w:rsidP="007F01FE">
      <w:pPr>
        <w:pStyle w:val="FootnoteText"/>
      </w:pPr>
      <w:r w:rsidRPr="00F03917">
        <w:rPr>
          <w:rStyle w:val="FootnoteReference"/>
          <w:rFonts w:cs="Times New Roman"/>
          <w:szCs w:val="24"/>
        </w:rPr>
        <w:footnoteRef/>
      </w:r>
      <w:r w:rsidRPr="00F03917">
        <w:rPr>
          <w:rStyle w:val="FootnoteReference"/>
          <w:rFonts w:cs="Times New Roman"/>
          <w:szCs w:val="24"/>
        </w:rPr>
        <w:t xml:space="preserve"> </w:t>
      </w:r>
      <w:r w:rsidRPr="00F03917">
        <w:tab/>
        <w:t>Wellbeing domains, aligned with the four capitals of Treasury’s Living Standard Framework and the National Disaster Resilience Strategy (NEMA, 2019), include: social, te ao Māori, natural environments, built environments, economic, and governance.</w:t>
      </w:r>
    </w:p>
  </w:footnote>
  <w:footnote w:id="12">
    <w:p w14:paraId="704DCEB4" w14:textId="61E8954A" w:rsidR="00705D13" w:rsidRPr="00F03917" w:rsidRDefault="00705D13" w:rsidP="00536C73">
      <w:pPr>
        <w:pStyle w:val="FootnoteText"/>
      </w:pPr>
      <w:r w:rsidRPr="00F03917">
        <w:rPr>
          <w:rStyle w:val="FootnoteReference"/>
        </w:rPr>
        <w:footnoteRef/>
      </w:r>
      <w:r w:rsidRPr="00F03917">
        <w:t xml:space="preserve"> </w:t>
      </w:r>
      <w:r w:rsidR="00536C73" w:rsidRPr="00F03917">
        <w:tab/>
      </w:r>
      <w:r w:rsidRPr="00F03917">
        <w:t>Adaptive capacity is the ability of systems, institutions, humans and other organisms to adjust to potential damage, to take advantage of opportunities or benefits from climate change, or to respond to the consequences (IPCC, 2022: Annex II: Glossary)</w:t>
      </w:r>
      <w:r w:rsidR="001647DE" w:rsidRPr="00F03917">
        <w:t>.</w:t>
      </w:r>
    </w:p>
  </w:footnote>
  <w:footnote w:id="13">
    <w:p w14:paraId="32249520" w14:textId="3F5AE6CF" w:rsidR="007A2F87" w:rsidRPr="00F03917" w:rsidRDefault="007A2F87">
      <w:pPr>
        <w:pStyle w:val="FootnoteText"/>
      </w:pPr>
      <w:r w:rsidRPr="00F03917">
        <w:rPr>
          <w:rStyle w:val="FootnoteReference"/>
        </w:rPr>
        <w:footnoteRef/>
      </w:r>
      <w:r w:rsidRPr="00F03917">
        <w:t xml:space="preserve"> </w:t>
      </w:r>
      <w:r w:rsidR="00CE4240" w:rsidRPr="00F03917">
        <w:tab/>
      </w:r>
      <w:r w:rsidR="00671427" w:rsidRPr="00F03917">
        <w:rPr>
          <w:lang w:val="en-US"/>
        </w:rPr>
        <w:t>Consistent</w:t>
      </w:r>
      <w:r w:rsidR="00BF2675" w:rsidRPr="00F03917">
        <w:rPr>
          <w:lang w:val="en-US"/>
        </w:rPr>
        <w:t xml:space="preserve"> with</w:t>
      </w:r>
      <w:r w:rsidR="00671427" w:rsidRPr="00F03917">
        <w:rPr>
          <w:lang w:val="en-US"/>
        </w:rPr>
        <w:t xml:space="preserve"> the direction in </w:t>
      </w:r>
      <w:r w:rsidR="009D7A35" w:rsidRPr="00F03917">
        <w:rPr>
          <w:lang w:val="en-US"/>
        </w:rPr>
        <w:t xml:space="preserve">NZCPS </w:t>
      </w:r>
      <w:r w:rsidR="00671427" w:rsidRPr="00F03917">
        <w:rPr>
          <w:lang w:val="en-US"/>
        </w:rPr>
        <w:t xml:space="preserve">Policy </w:t>
      </w:r>
      <w:r w:rsidR="009D7A35" w:rsidRPr="00F03917">
        <w:rPr>
          <w:lang w:val="en-US"/>
        </w:rPr>
        <w:t xml:space="preserve">25 and </w:t>
      </w:r>
      <w:r w:rsidR="000417CE" w:rsidRPr="00F03917">
        <w:rPr>
          <w:lang w:val="en-US"/>
        </w:rPr>
        <w:t xml:space="preserve">Policy </w:t>
      </w:r>
      <w:r w:rsidR="00671427" w:rsidRPr="00F03917">
        <w:rPr>
          <w:lang w:val="en-US"/>
        </w:rPr>
        <w:t>27</w:t>
      </w:r>
      <w:r w:rsidR="00671427" w:rsidRPr="00F03917" w:rsidDel="000417CE">
        <w:rPr>
          <w:lang w:val="en-US"/>
        </w:rPr>
        <w:t xml:space="preserve"> </w:t>
      </w:r>
      <w:r w:rsidR="00E21599" w:rsidRPr="00F03917">
        <w:rPr>
          <w:lang w:val="en-US"/>
        </w:rPr>
        <w:t>(DOC, 2010)</w:t>
      </w:r>
      <w:r w:rsidR="00671427" w:rsidRPr="00F03917">
        <w:rPr>
          <w:lang w:val="en-US"/>
        </w:rPr>
        <w:t>.</w:t>
      </w:r>
    </w:p>
  </w:footnote>
  <w:footnote w:id="14">
    <w:p w14:paraId="542D2665" w14:textId="74ACDC6A" w:rsidR="0071169A" w:rsidRPr="00F03917" w:rsidRDefault="0071169A">
      <w:pPr>
        <w:pStyle w:val="FootnoteText"/>
      </w:pPr>
      <w:r w:rsidRPr="00F03917">
        <w:rPr>
          <w:rStyle w:val="FootnoteReference"/>
        </w:rPr>
        <w:footnoteRef/>
      </w:r>
      <w:r w:rsidRPr="00F03917">
        <w:t xml:space="preserve"> </w:t>
      </w:r>
      <w:r w:rsidR="00CE4240" w:rsidRPr="00F03917">
        <w:tab/>
      </w:r>
      <w:r w:rsidRPr="00F03917">
        <w:t xml:space="preserve">Hard protection </w:t>
      </w:r>
      <w:r w:rsidR="00F13B76" w:rsidRPr="00F03917">
        <w:t>structures</w:t>
      </w:r>
      <w:r w:rsidRPr="00F03917">
        <w:t xml:space="preserve"> are discouraged by the NZCPS (Policy 27) and DOC guidance (DOC, </w:t>
      </w:r>
      <w:r w:rsidR="00FE1C43" w:rsidRPr="00F03917">
        <w:t xml:space="preserve">2010, </w:t>
      </w:r>
      <w:r w:rsidRPr="00F03917">
        <w:t>2017) due to the potential for adverse effects on the coastal environment.</w:t>
      </w:r>
    </w:p>
  </w:footnote>
  <w:footnote w:id="15">
    <w:p w14:paraId="0286BF64" w14:textId="58F608BD" w:rsidR="000E2511" w:rsidRPr="00F03917" w:rsidRDefault="000E2511">
      <w:pPr>
        <w:pStyle w:val="FootnoteText"/>
      </w:pPr>
      <w:r w:rsidRPr="00F03917">
        <w:rPr>
          <w:rStyle w:val="FootnoteReference"/>
        </w:rPr>
        <w:footnoteRef/>
      </w:r>
      <w:r w:rsidRPr="00F03917">
        <w:t xml:space="preserve"> </w:t>
      </w:r>
      <w:r w:rsidR="00CE4240" w:rsidRPr="00F03917">
        <w:tab/>
      </w:r>
      <w:r w:rsidR="00645760" w:rsidRPr="00F03917">
        <w:t>See NZCPS Policy 27</w:t>
      </w:r>
      <w:r w:rsidR="0065004D" w:rsidRPr="00F03917">
        <w:t xml:space="preserve"> (DOC, 2010)</w:t>
      </w:r>
      <w:r w:rsidR="00F13261" w:rsidRPr="00F03917">
        <w:t>.</w:t>
      </w:r>
    </w:p>
  </w:footnote>
  <w:footnote w:id="16">
    <w:p w14:paraId="5F3B97C0" w14:textId="08E27D85" w:rsidR="005C1D67" w:rsidRPr="00F03917" w:rsidRDefault="005C1D67">
      <w:pPr>
        <w:pStyle w:val="FootnoteText"/>
      </w:pPr>
      <w:r w:rsidRPr="00F03917">
        <w:rPr>
          <w:rStyle w:val="FootnoteReference"/>
        </w:rPr>
        <w:footnoteRef/>
      </w:r>
      <w:r w:rsidRPr="00F03917">
        <w:t xml:space="preserve"> </w:t>
      </w:r>
      <w:r w:rsidR="00F4370D" w:rsidRPr="00F03917">
        <w:tab/>
      </w:r>
      <w:r w:rsidR="00C86610" w:rsidRPr="00F03917">
        <w:t>The polar ice sheets will increasingly become unstable once a tipping-point temperature of 1.5-2.0</w:t>
      </w:r>
      <w:r w:rsidR="00C86610" w:rsidRPr="00F03917">
        <w:rPr>
          <w:rFonts w:cs="Calibri"/>
        </w:rPr>
        <w:t>°</w:t>
      </w:r>
      <w:r w:rsidR="00C86610" w:rsidRPr="00F03917">
        <w:t>C is reached (ICCI, 2023)</w:t>
      </w:r>
    </w:p>
  </w:footnote>
  <w:footnote w:id="17">
    <w:p w14:paraId="433521B8" w14:textId="14B3F89D" w:rsidR="009E7FB7" w:rsidRPr="00F03917" w:rsidRDefault="009E7FB7">
      <w:pPr>
        <w:pStyle w:val="FootnoteText"/>
      </w:pPr>
      <w:r w:rsidRPr="00F03917">
        <w:rPr>
          <w:rStyle w:val="FootnoteReference"/>
        </w:rPr>
        <w:footnoteRef/>
      </w:r>
      <w:r w:rsidRPr="00F03917">
        <w:t xml:space="preserve"> </w:t>
      </w:r>
      <w:r w:rsidR="00F4370D" w:rsidRPr="00F03917">
        <w:tab/>
      </w:r>
      <w:r w:rsidRPr="00F03917">
        <w:t xml:space="preserve">See notes for </w:t>
      </w:r>
      <w:hyperlink w:anchor="table6" w:history="1">
        <w:r w:rsidR="00974A8E" w:rsidRPr="00F03917">
          <w:rPr>
            <w:rStyle w:val="Hyperlink"/>
          </w:rPr>
          <w:t>t</w:t>
        </w:r>
        <w:r w:rsidRPr="00F03917">
          <w:rPr>
            <w:rStyle w:val="Hyperlink"/>
          </w:rPr>
          <w:t>able 6</w:t>
        </w:r>
      </w:hyperlink>
      <w:r w:rsidRPr="00F03917">
        <w:t>.</w:t>
      </w:r>
    </w:p>
  </w:footnote>
  <w:footnote w:id="18">
    <w:p w14:paraId="240D53A5" w14:textId="3A806CDE" w:rsidR="00782C39" w:rsidRPr="00F03917" w:rsidRDefault="00782C39">
      <w:pPr>
        <w:pStyle w:val="FootnoteText"/>
      </w:pPr>
      <w:r w:rsidRPr="00F03917">
        <w:rPr>
          <w:rStyle w:val="FootnoteReference"/>
        </w:rPr>
        <w:footnoteRef/>
      </w:r>
      <w:r w:rsidRPr="00F03917">
        <w:t xml:space="preserve"> </w:t>
      </w:r>
      <w:r w:rsidR="00AD7BFA" w:rsidRPr="00F03917">
        <w:tab/>
      </w:r>
      <w:r w:rsidR="00D11832" w:rsidRPr="00F03917">
        <w:rPr>
          <w:i/>
          <w:iCs/>
        </w:rPr>
        <w:t>Signals</w:t>
      </w:r>
      <w:r w:rsidR="00D11832" w:rsidRPr="00F03917">
        <w:t xml:space="preserve"> are derived indicator values, monitoring changes in physical, social, cultural, economic and risk attributes, which provide early warning to signal that a trigger (decision point) is approaching in the near to medium term.</w:t>
      </w:r>
    </w:p>
  </w:footnote>
  <w:footnote w:id="19">
    <w:p w14:paraId="4C050E39" w14:textId="777637BE" w:rsidR="00D11832" w:rsidRPr="00F03917" w:rsidRDefault="00D11832">
      <w:pPr>
        <w:pStyle w:val="FootnoteText"/>
      </w:pPr>
      <w:r w:rsidRPr="00F03917">
        <w:rPr>
          <w:rStyle w:val="FootnoteReference"/>
        </w:rPr>
        <w:footnoteRef/>
      </w:r>
      <w:r w:rsidR="0060115B" w:rsidRPr="00F03917">
        <w:tab/>
      </w:r>
      <w:r w:rsidRPr="00F03917">
        <w:rPr>
          <w:i/>
          <w:iCs/>
        </w:rPr>
        <w:t>Triggers</w:t>
      </w:r>
      <w:r w:rsidRPr="00F03917">
        <w:t xml:space="preserve"> are a derived indicator value that, when reached, provides sufficient lead time to cover community engagement, consenting, construction and funding arrangements, to ensure a new pathway or adaptation action can be implemented before the adaptation threshold is reached. See glossary for full definitions.</w:t>
      </w:r>
    </w:p>
  </w:footnote>
  <w:footnote w:id="20">
    <w:p w14:paraId="0E58CD41" w14:textId="1491186B" w:rsidR="00D348D3" w:rsidRPr="00F03917" w:rsidRDefault="00D348D3" w:rsidP="00600840">
      <w:pPr>
        <w:pStyle w:val="FootnoteText"/>
      </w:pPr>
      <w:r w:rsidRPr="00F03917">
        <w:rPr>
          <w:rStyle w:val="FootnoteReference"/>
        </w:rPr>
        <w:footnoteRef/>
      </w:r>
      <w:r w:rsidR="22E44CEE" w:rsidRPr="00F03917">
        <w:t xml:space="preserve"> </w:t>
      </w:r>
      <w:r w:rsidR="00600840" w:rsidRPr="00F03917">
        <w:tab/>
      </w:r>
      <w:r w:rsidR="22E44CEE" w:rsidRPr="00F03917">
        <w:t xml:space="preserve">Use of increments of sea-level rise (SLR) heights </w:t>
      </w:r>
      <w:r w:rsidR="00863AD4" w:rsidRPr="00F03917">
        <w:t>are</w:t>
      </w:r>
      <w:r w:rsidR="22E44CEE" w:rsidRPr="00F03917">
        <w:t xml:space="preserve"> neutral </w:t>
      </w:r>
      <w:r w:rsidR="001E334E" w:rsidRPr="00F03917">
        <w:t>with regard to</w:t>
      </w:r>
      <w:r w:rsidR="008E165C" w:rsidRPr="00F03917">
        <w:t xml:space="preserve"> using a</w:t>
      </w:r>
      <w:r w:rsidR="22E44CEE" w:rsidRPr="00F03917">
        <w:t xml:space="preserve"> specific scenario or vertical land movement (VLM) rate and make it easier to update assessments if projections or the VLM rate change.</w:t>
      </w:r>
    </w:p>
  </w:footnote>
  <w:footnote w:id="21">
    <w:p w14:paraId="4B571020" w14:textId="6234BD53" w:rsidR="00B57283" w:rsidRPr="00F03917" w:rsidRDefault="00B57283" w:rsidP="006446A3">
      <w:pPr>
        <w:pStyle w:val="FootnoteText"/>
        <w:rPr>
          <w:lang w:val="mi-NZ"/>
        </w:rPr>
      </w:pPr>
      <w:r w:rsidRPr="00F03917">
        <w:rPr>
          <w:rStyle w:val="FootnoteReference"/>
        </w:rPr>
        <w:footnoteRef/>
      </w:r>
      <w:r w:rsidRPr="00F03917">
        <w:t xml:space="preserve"> </w:t>
      </w:r>
      <w:r w:rsidR="00D41042" w:rsidRPr="00F03917">
        <w:tab/>
      </w:r>
      <w:r w:rsidRPr="00F03917">
        <w:t xml:space="preserve">This is influenced by seasonal changes, the two- to four-year El Niño–Southern Oscillation </w:t>
      </w:r>
      <w:r w:rsidR="00070E52" w:rsidRPr="00F03917">
        <w:t>(ENSO)</w:t>
      </w:r>
      <w:r w:rsidRPr="00F03917">
        <w:t xml:space="preserve"> and the Interdecadal Pacific Oscillation (IPO) over 20</w:t>
      </w:r>
      <w:r w:rsidR="00492983" w:rsidRPr="00F03917">
        <w:t>-</w:t>
      </w:r>
      <w:r w:rsidR="22E44CEE" w:rsidRPr="00F03917">
        <w:t xml:space="preserve"> to </w:t>
      </w:r>
      <w:r w:rsidRPr="00F03917">
        <w:t>30-year cycles.</w:t>
      </w:r>
    </w:p>
  </w:footnote>
  <w:footnote w:id="22">
    <w:p w14:paraId="3C7FC9FD" w14:textId="484D80C2" w:rsidR="0000271F" w:rsidRPr="00F03917" w:rsidRDefault="0000271F">
      <w:pPr>
        <w:pStyle w:val="FootnoteText"/>
      </w:pPr>
      <w:r w:rsidRPr="00F03917">
        <w:rPr>
          <w:rStyle w:val="FootnoteReference"/>
        </w:rPr>
        <w:footnoteRef/>
      </w:r>
      <w:r w:rsidRPr="00F03917">
        <w:t xml:space="preserve"> </w:t>
      </w:r>
      <w:r w:rsidR="009D4AFA" w:rsidRPr="00F03917">
        <w:tab/>
      </w:r>
      <w:r w:rsidRPr="00F03917">
        <w:t xml:space="preserve">For more </w:t>
      </w:r>
      <w:r w:rsidR="00B315F4" w:rsidRPr="00F03917">
        <w:t xml:space="preserve">information on the record, refer to </w:t>
      </w:r>
      <w:hyperlink r:id="rId3" w:history="1">
        <w:r w:rsidR="00FC395D" w:rsidRPr="00F03917">
          <w:rPr>
            <w:rStyle w:val="Hyperlink"/>
          </w:rPr>
          <w:t>www.stats.govt.nz/indicators/coastal-sea-level-rise</w:t>
        </w:r>
      </w:hyperlink>
      <w:r w:rsidR="009D4AFA" w:rsidRPr="00F03917">
        <w:t>.</w:t>
      </w:r>
    </w:p>
  </w:footnote>
  <w:footnote w:id="23">
    <w:p w14:paraId="161221CE" w14:textId="0D6A4D87" w:rsidR="00832710" w:rsidRPr="00F03917" w:rsidRDefault="00832710">
      <w:pPr>
        <w:pStyle w:val="FootnoteText"/>
      </w:pPr>
      <w:r w:rsidRPr="00F03917">
        <w:rPr>
          <w:rStyle w:val="FootnoteReference"/>
        </w:rPr>
        <w:footnoteRef/>
      </w:r>
      <w:r w:rsidRPr="00F03917">
        <w:t xml:space="preserve"> </w:t>
      </w:r>
      <w:r w:rsidR="00E519BF" w:rsidRPr="00F03917">
        <w:tab/>
      </w:r>
      <w:r w:rsidR="00FC395D" w:rsidRPr="00F03917">
        <w:t>This occurred, o</w:t>
      </w:r>
      <w:r w:rsidRPr="00F03917">
        <w:t xml:space="preserve">n average, across the four main port records. See </w:t>
      </w:r>
      <w:hyperlink r:id="rId4" w:history="1">
        <w:r w:rsidR="00AA2BE5" w:rsidRPr="00F03917">
          <w:rPr>
            <w:rStyle w:val="Hyperlink"/>
          </w:rPr>
          <w:t>www.stats.govt.nz/indicators/coastal-sea-level-rise</w:t>
        </w:r>
      </w:hyperlink>
      <w:r w:rsidR="00E519BF" w:rsidRPr="00F03917">
        <w:t>.</w:t>
      </w:r>
    </w:p>
  </w:footnote>
  <w:footnote w:id="24">
    <w:p w14:paraId="55B08FA1" w14:textId="5A32ACA5" w:rsidR="26980095" w:rsidRPr="00F03917" w:rsidRDefault="26980095" w:rsidP="006446A3">
      <w:pPr>
        <w:pStyle w:val="FootnoteText"/>
        <w:rPr>
          <w:rFonts w:eastAsia="Calibri" w:cs="Times New Roman"/>
          <w:sz w:val="22"/>
        </w:rPr>
      </w:pPr>
      <w:r w:rsidRPr="00F03917">
        <w:rPr>
          <w:rStyle w:val="FootnoteReference"/>
        </w:rPr>
        <w:footnoteRef/>
      </w:r>
      <w:r w:rsidR="22E44CEE" w:rsidRPr="00F03917">
        <w:t xml:space="preserve"> </w:t>
      </w:r>
      <w:r w:rsidR="00D41042" w:rsidRPr="00F03917">
        <w:tab/>
      </w:r>
      <w:r w:rsidR="22E44CEE" w:rsidRPr="00F03917">
        <w:t>See Bell, 2021; Lawrence et al, 2022;</w:t>
      </w:r>
      <w:r w:rsidR="35447B84" w:rsidRPr="00F03917">
        <w:t xml:space="preserve"> Parliamentary Commissioner for the Environment, 2014, 2015; Stephens et al, 2018</w:t>
      </w:r>
      <w:r w:rsidR="0307E40B" w:rsidRPr="00F03917">
        <w:t>.</w:t>
      </w:r>
    </w:p>
  </w:footnote>
  <w:footnote w:id="25">
    <w:p w14:paraId="391E52EA" w14:textId="56C19F4E" w:rsidR="00B57283" w:rsidRPr="00F03917" w:rsidRDefault="00B57283" w:rsidP="001D1468">
      <w:pPr>
        <w:pStyle w:val="FootnoteText"/>
      </w:pPr>
      <w:r w:rsidRPr="00F03917">
        <w:rPr>
          <w:rStyle w:val="FootnoteReference"/>
        </w:rPr>
        <w:footnoteRef/>
      </w:r>
      <w:r w:rsidR="00583A8D" w:rsidRPr="00F03917">
        <w:t xml:space="preserve"> </w:t>
      </w:r>
      <w:r w:rsidR="00583A8D" w:rsidRPr="00F03917">
        <w:tab/>
        <w:t>A scenario approach to planning adaptation is becoming common practice, rather than predetermining the future by adopting a single sea-level rise estimate (eg, California Coastal Commission, 2018; Herman et al, 2015; Hirschfeld et al, 2023; San Francisco Planning, 2020; Slangen et al, 2022; Stephens et al, 2021; van de Wal et al, 2022).</w:t>
      </w:r>
      <w:r w:rsidRPr="00F03917">
        <w:t xml:space="preserve"> </w:t>
      </w:r>
    </w:p>
  </w:footnote>
  <w:footnote w:id="26">
    <w:p w14:paraId="48A8EC74" w14:textId="68519221" w:rsidR="00F92BC4" w:rsidRPr="00F03917" w:rsidRDefault="00F92BC4" w:rsidP="006446A3">
      <w:pPr>
        <w:pStyle w:val="FootnoteText"/>
      </w:pPr>
      <w:r w:rsidRPr="00F03917">
        <w:rPr>
          <w:rStyle w:val="FootnoteReference"/>
        </w:rPr>
        <w:footnoteRef/>
      </w:r>
      <w:r w:rsidRPr="00F03917">
        <w:t xml:space="preserve"> </w:t>
      </w:r>
      <w:r w:rsidR="00707872" w:rsidRPr="00F03917">
        <w:tab/>
      </w:r>
      <w:r w:rsidRPr="00F03917">
        <w:t xml:space="preserve">These SLR projections include only processes in which there is </w:t>
      </w:r>
      <w:r w:rsidRPr="00F03917">
        <w:rPr>
          <w:u w:val="single"/>
        </w:rPr>
        <w:t>at least</w:t>
      </w:r>
      <w:r w:rsidRPr="00F03917">
        <w:t xml:space="preserve"> </w:t>
      </w:r>
      <w:r w:rsidR="00101A23" w:rsidRPr="00F03917">
        <w:t>‘</w:t>
      </w:r>
      <w:r w:rsidRPr="00F03917">
        <w:t>medium confidence</w:t>
      </w:r>
      <w:r w:rsidR="22E44CEE" w:rsidRPr="00F03917">
        <w:t>’,</w:t>
      </w:r>
      <w:r w:rsidRPr="00F03917">
        <w:t xml:space="preserve"> with some processes at </w:t>
      </w:r>
      <w:r w:rsidR="00101A23" w:rsidRPr="00F03917">
        <w:t>‘</w:t>
      </w:r>
      <w:r w:rsidRPr="00F03917">
        <w:t>high confidence</w:t>
      </w:r>
      <w:r w:rsidR="22E44CEE" w:rsidRPr="00F03917">
        <w:t>’.</w:t>
      </w:r>
    </w:p>
  </w:footnote>
  <w:footnote w:id="27">
    <w:p w14:paraId="5E004A82" w14:textId="02A7199A" w:rsidR="00496A4D" w:rsidRPr="00F03917" w:rsidRDefault="00496A4D">
      <w:pPr>
        <w:pStyle w:val="FootnoteText"/>
      </w:pPr>
      <w:r w:rsidRPr="00F03917">
        <w:rPr>
          <w:rStyle w:val="FootnoteReference"/>
        </w:rPr>
        <w:footnoteRef/>
      </w:r>
      <w:r w:rsidRPr="00F03917">
        <w:t xml:space="preserve"> </w:t>
      </w:r>
      <w:r w:rsidR="00AC3DD1" w:rsidRPr="00F03917">
        <w:tab/>
      </w:r>
      <w:r w:rsidR="00B94C06" w:rsidRPr="00F03917">
        <w:rPr>
          <w:rFonts w:cs="Calibri"/>
          <w:szCs w:val="19"/>
          <w:shd w:val="clear" w:color="auto" w:fill="FFFFFF"/>
        </w:rPr>
        <w:t>The </w:t>
      </w:r>
      <w:r w:rsidR="00B94C06" w:rsidRPr="00F03917">
        <w:rPr>
          <w:rFonts w:cs="Calibri"/>
          <w:i/>
          <w:szCs w:val="19"/>
          <w:shd w:val="clear" w:color="auto" w:fill="FFFFFF"/>
        </w:rPr>
        <w:t>low confidence</w:t>
      </w:r>
      <w:r w:rsidR="00B94C06" w:rsidRPr="00F03917">
        <w:rPr>
          <w:rFonts w:cs="Calibri"/>
          <w:szCs w:val="19"/>
          <w:shd w:val="clear" w:color="auto" w:fill="FFFFFF"/>
        </w:rPr>
        <w:t> projections included the findings of Bamber et al (2018)</w:t>
      </w:r>
      <w:r w:rsidR="00F11251" w:rsidRPr="00F03917">
        <w:rPr>
          <w:rFonts w:cs="Calibri"/>
          <w:szCs w:val="19"/>
          <w:shd w:val="clear" w:color="auto" w:fill="FFFFFF"/>
        </w:rPr>
        <w:t>,</w:t>
      </w:r>
      <w:r w:rsidR="00B94C06" w:rsidRPr="00F03917">
        <w:rPr>
          <w:rFonts w:cs="Calibri"/>
          <w:szCs w:val="19"/>
          <w:shd w:val="clear" w:color="auto" w:fill="FFFFFF"/>
        </w:rPr>
        <w:t> </w:t>
      </w:r>
      <w:r w:rsidR="00B94C06" w:rsidRPr="00F03917">
        <w:rPr>
          <w:rFonts w:cs="Calibri"/>
          <w:sz w:val="20"/>
          <w:szCs w:val="20"/>
          <w:shd w:val="clear" w:color="auto" w:fill="FFFFFF"/>
        </w:rPr>
        <w:t>DeConto et al (2021)</w:t>
      </w:r>
      <w:r w:rsidR="00F11251" w:rsidRPr="00F03917">
        <w:rPr>
          <w:rFonts w:cs="Calibri"/>
          <w:sz w:val="20"/>
          <w:szCs w:val="20"/>
          <w:shd w:val="clear" w:color="auto" w:fill="FFFFFF"/>
        </w:rPr>
        <w:t xml:space="preserve"> and see section 9.</w:t>
      </w:r>
      <w:r w:rsidR="002D3327" w:rsidRPr="00F03917">
        <w:rPr>
          <w:rFonts w:cs="Calibri"/>
          <w:sz w:val="20"/>
          <w:szCs w:val="20"/>
          <w:shd w:val="clear" w:color="auto" w:fill="FFFFFF"/>
        </w:rPr>
        <w:t>6.3.2.4 of Fox-Kemper et al (2021).</w:t>
      </w:r>
    </w:p>
  </w:footnote>
  <w:footnote w:id="28">
    <w:p w14:paraId="0DAD8E26" w14:textId="2C4DB57D" w:rsidR="006E1E93" w:rsidRPr="00F03917" w:rsidRDefault="006E1E93" w:rsidP="006E1E93">
      <w:pPr>
        <w:pStyle w:val="FootnoteText"/>
        <w:rPr>
          <w:rFonts w:cs="Calibri"/>
        </w:rPr>
      </w:pPr>
      <w:r w:rsidRPr="00F03917">
        <w:rPr>
          <w:rStyle w:val="FootnoteReference"/>
        </w:rPr>
        <w:footnoteRef/>
      </w:r>
      <w:r w:rsidRPr="00F03917">
        <w:t xml:space="preserve"> </w:t>
      </w:r>
      <w:r w:rsidR="00B931AA" w:rsidRPr="00F03917">
        <w:tab/>
      </w:r>
      <w:r w:rsidRPr="00F03917">
        <w:rPr>
          <w:rFonts w:cs="Calibri"/>
          <w:shd w:val="clear" w:color="auto" w:fill="FFFFFF"/>
        </w:rPr>
        <w:t>As a comparison, using the NZ SeaRise Takiwā platform, a </w:t>
      </w:r>
      <w:r w:rsidRPr="00F03917">
        <w:rPr>
          <w:rFonts w:cs="Calibri"/>
          <w:i/>
          <w:iCs/>
          <w:shd w:val="clear" w:color="auto" w:fill="FFFFFF"/>
        </w:rPr>
        <w:t>low confidence</w:t>
      </w:r>
      <w:r w:rsidRPr="00F03917">
        <w:rPr>
          <w:rFonts w:cs="Calibri"/>
          <w:shd w:val="clear" w:color="auto" w:fill="FFFFFF"/>
        </w:rPr>
        <w:t> mid-range SSP2-4.5 (83</w:t>
      </w:r>
      <w:r w:rsidRPr="00F03917">
        <w:rPr>
          <w:rFonts w:cs="Calibri"/>
          <w:sz w:val="15"/>
          <w:szCs w:val="15"/>
          <w:shd w:val="clear" w:color="auto" w:fill="FFFFFF"/>
        </w:rPr>
        <w:t>rd</w:t>
      </w:r>
      <w:r w:rsidR="00B931AA" w:rsidRPr="00F03917">
        <w:rPr>
          <w:rFonts w:cs="Calibri"/>
          <w:sz w:val="15"/>
          <w:szCs w:val="15"/>
          <w:shd w:val="clear" w:color="auto" w:fill="FFFFFF"/>
        </w:rPr>
        <w:t xml:space="preserve"> </w:t>
      </w:r>
      <w:r w:rsidRPr="00F03917">
        <w:rPr>
          <w:rFonts w:cs="Calibri"/>
          <w:shd w:val="clear" w:color="auto" w:fill="FFFFFF"/>
        </w:rPr>
        <w:t>percentile)</w:t>
      </w:r>
      <w:r w:rsidR="00B931AA" w:rsidRPr="00F03917">
        <w:rPr>
          <w:rFonts w:cs="Calibri"/>
          <w:shd w:val="clear" w:color="auto" w:fill="FFFFFF"/>
        </w:rPr>
        <w:t xml:space="preserve"> </w:t>
      </w:r>
      <w:r w:rsidRPr="00F03917">
        <w:rPr>
          <w:rFonts w:cs="Calibri"/>
          <w:shd w:val="clear" w:color="auto" w:fill="FFFFFF"/>
        </w:rPr>
        <w:t>set of SLR projections, reaches the same SLR from the </w:t>
      </w:r>
      <w:r w:rsidRPr="00F03917">
        <w:rPr>
          <w:rFonts w:cs="Calibri"/>
          <w:i/>
          <w:iCs/>
          <w:shd w:val="clear" w:color="auto" w:fill="FFFFFF"/>
        </w:rPr>
        <w:t>medium confidence</w:t>
      </w:r>
      <w:r w:rsidRPr="00F03917">
        <w:rPr>
          <w:rFonts w:cs="Calibri"/>
          <w:shd w:val="clear" w:color="auto" w:fill="FFFFFF"/>
        </w:rPr>
        <w:t> SSP5-8.5 H+ projections</w:t>
      </w:r>
      <w:r w:rsidR="00B931AA" w:rsidRPr="00F03917">
        <w:rPr>
          <w:rFonts w:cs="Calibri"/>
          <w:shd w:val="clear" w:color="auto" w:fill="FFFFFF"/>
        </w:rPr>
        <w:t xml:space="preserve"> </w:t>
      </w:r>
      <w:r w:rsidRPr="00F03917">
        <w:rPr>
          <w:rFonts w:cs="Calibri"/>
          <w:shd w:val="clear" w:color="auto" w:fill="FFFFFF"/>
        </w:rPr>
        <w:t xml:space="preserve">soon after H+, around 25 to 30 years later (excluding </w:t>
      </w:r>
      <w:r w:rsidRPr="00F03917">
        <w:rPr>
          <w:rFonts w:cs="Calibri"/>
        </w:rPr>
        <w:t>VLM). </w:t>
      </w:r>
    </w:p>
  </w:footnote>
  <w:footnote w:id="29">
    <w:p w14:paraId="3CD9A3A7" w14:textId="4BEF114D" w:rsidR="0061026D" w:rsidRPr="00F03917" w:rsidRDefault="0061026D" w:rsidP="0061026D">
      <w:pPr>
        <w:pStyle w:val="FootnoteText"/>
      </w:pPr>
      <w:r w:rsidRPr="00F03917">
        <w:rPr>
          <w:rStyle w:val="FootnoteReference"/>
        </w:rPr>
        <w:footnoteRef/>
      </w:r>
      <w:r w:rsidRPr="00F03917">
        <w:t xml:space="preserve"> </w:t>
      </w:r>
      <w:r w:rsidR="00B931AA" w:rsidRPr="00F03917">
        <w:tab/>
      </w:r>
      <w:r w:rsidRPr="00F03917">
        <w:t>For SLR, especially from polar ice-sheet losses, there is deep uncertainty on how these climate feedbacks will affect polar ice sheets once a tipping point is reached (ICCI, 2023).</w:t>
      </w:r>
    </w:p>
  </w:footnote>
  <w:footnote w:id="30">
    <w:p w14:paraId="1630B8C2" w14:textId="04465EFD" w:rsidR="00E95537" w:rsidRPr="00F03917" w:rsidRDefault="00E95537">
      <w:pPr>
        <w:pStyle w:val="FootnoteText"/>
      </w:pPr>
      <w:r w:rsidRPr="00F03917">
        <w:rPr>
          <w:rStyle w:val="FootnoteReference"/>
        </w:rPr>
        <w:footnoteRef/>
      </w:r>
      <w:r w:rsidR="22E44CEE" w:rsidRPr="00F03917">
        <w:t xml:space="preserve"> </w:t>
      </w:r>
      <w:r w:rsidR="008C36D9" w:rsidRPr="00F03917">
        <w:tab/>
      </w:r>
      <w:r w:rsidR="22E44CEE" w:rsidRPr="00F03917">
        <w:rPr>
          <w:rFonts w:cs="Calibri"/>
          <w:shd w:val="clear" w:color="auto" w:fill="FFFFFF"/>
        </w:rPr>
        <w:t>The last number of the s</w:t>
      </w:r>
      <w:r w:rsidR="22E44CEE" w:rsidRPr="00F03917">
        <w:rPr>
          <w:rFonts w:cs="Calibri"/>
        </w:rPr>
        <w:t>hared socio-economic pathway (</w:t>
      </w:r>
      <w:r w:rsidR="22E44CEE" w:rsidRPr="00F03917">
        <w:rPr>
          <w:rFonts w:cs="Calibri"/>
          <w:shd w:val="clear" w:color="auto" w:fill="FFFFFF"/>
        </w:rPr>
        <w:t xml:space="preserve">SSP) scenario name relates to the previously used </w:t>
      </w:r>
      <w:r w:rsidR="22E44CEE" w:rsidRPr="00F03917">
        <w:rPr>
          <w:rFonts w:cs="Calibri"/>
          <w:spacing w:val="-2"/>
          <w:shd w:val="clear" w:color="auto" w:fill="FFFFFF"/>
        </w:rPr>
        <w:t>Representative Concentration Pathway (RCP) of increased radiative forcing (Watts per square metre of the Earth).</w:t>
      </w:r>
      <w:r w:rsidR="00E748CA" w:rsidRPr="00F03917">
        <w:rPr>
          <w:rFonts w:cs="Calibri"/>
          <w:spacing w:val="-2"/>
          <w:shd w:val="clear" w:color="auto" w:fill="FFFFFF"/>
        </w:rPr>
        <w:t xml:space="preserve"> </w:t>
      </w:r>
      <w:r w:rsidR="22E44CEE" w:rsidRPr="00F03917">
        <w:rPr>
          <w:rFonts w:cs="Calibri"/>
          <w:spacing w:val="-2"/>
          <w:shd w:val="clear" w:color="auto" w:fill="FFFFFF"/>
        </w:rPr>
        <w:t>M = median, represented by the bold coloured lines and markers on the graphs in the NZ SeaRis</w:t>
      </w:r>
      <w:r w:rsidR="22E44CEE" w:rsidRPr="00F03917">
        <w:rPr>
          <w:rFonts w:cs="Calibri"/>
          <w:shd w:val="clear" w:color="auto" w:fill="FFFFFF"/>
        </w:rPr>
        <w:t>e</w:t>
      </w:r>
      <w:r w:rsidR="00E748CA" w:rsidRPr="00F03917">
        <w:rPr>
          <w:rFonts w:cs="Calibri"/>
          <w:shd w:val="clear" w:color="auto" w:fill="FFFFFF"/>
        </w:rPr>
        <w:t xml:space="preserve"> </w:t>
      </w:r>
      <w:r w:rsidR="22E44CEE" w:rsidRPr="00F03917">
        <w:rPr>
          <w:rFonts w:cs="Calibri"/>
          <w:shd w:val="clear" w:color="auto" w:fill="FFFFFF"/>
        </w:rPr>
        <w:t>platform, also labelled </w:t>
      </w:r>
      <w:r w:rsidR="22E44CEE" w:rsidRPr="00F03917">
        <w:rPr>
          <w:rFonts w:cs="Calibri"/>
          <w:i/>
          <w:iCs/>
          <w:shd w:val="clear" w:color="auto" w:fill="FFFFFF"/>
        </w:rPr>
        <w:t>p50</w:t>
      </w:r>
      <w:r w:rsidR="22E44CEE" w:rsidRPr="00F03917">
        <w:rPr>
          <w:rFonts w:cs="Calibri"/>
          <w:shd w:val="clear" w:color="auto" w:fill="FFFFFF"/>
        </w:rPr>
        <w:t> (50</w:t>
      </w:r>
      <w:r w:rsidR="22E44CEE" w:rsidRPr="00F03917">
        <w:rPr>
          <w:rFonts w:cs="Calibri"/>
          <w:sz w:val="15"/>
          <w:szCs w:val="15"/>
          <w:shd w:val="clear" w:color="auto" w:fill="FFFFFF"/>
        </w:rPr>
        <w:t>th</w:t>
      </w:r>
      <w:r w:rsidR="22E44CEE" w:rsidRPr="00F03917">
        <w:rPr>
          <w:rFonts w:cs="Calibri"/>
          <w:shd w:val="clear" w:color="auto" w:fill="FFFFFF"/>
        </w:rPr>
        <w:t> percentile of all simulations for that SSP) when using the data cursor.</w:t>
      </w:r>
    </w:p>
  </w:footnote>
  <w:footnote w:id="31">
    <w:p w14:paraId="46037DD0" w14:textId="6EAA26C8" w:rsidR="00B82D86" w:rsidRPr="00F03917" w:rsidRDefault="00B82D86">
      <w:pPr>
        <w:pStyle w:val="FootnoteText"/>
      </w:pPr>
      <w:r w:rsidRPr="00F03917">
        <w:rPr>
          <w:rStyle w:val="FootnoteReference"/>
        </w:rPr>
        <w:footnoteRef/>
      </w:r>
      <w:r w:rsidR="53817DF0" w:rsidRPr="00F03917">
        <w:t xml:space="preserve"> </w:t>
      </w:r>
      <w:r w:rsidR="00F82C9C" w:rsidRPr="00F03917">
        <w:tab/>
      </w:r>
      <w:r w:rsidR="53817DF0" w:rsidRPr="00F03917">
        <w:t>Used in IPCC sea-level projections and those projection averages across Aotearoa used in this guidance for indicative national changes without VLM included.</w:t>
      </w:r>
    </w:p>
  </w:footnote>
  <w:footnote w:id="32">
    <w:p w14:paraId="3D2AEEA3" w14:textId="30C23E72" w:rsidR="004476B9" w:rsidRPr="00F03917" w:rsidRDefault="004476B9">
      <w:pPr>
        <w:pStyle w:val="FootnoteText"/>
      </w:pPr>
      <w:r w:rsidRPr="00F03917">
        <w:rPr>
          <w:rStyle w:val="FootnoteReference"/>
        </w:rPr>
        <w:footnoteRef/>
      </w:r>
      <w:r w:rsidR="53817DF0" w:rsidRPr="00F03917">
        <w:t xml:space="preserve"> </w:t>
      </w:r>
      <w:r w:rsidR="00F82C9C" w:rsidRPr="00F03917">
        <w:tab/>
      </w:r>
      <w:r w:rsidR="53817DF0" w:rsidRPr="00F03917">
        <w:rPr>
          <w:rFonts w:cs="Calibri"/>
          <w:shd w:val="clear" w:color="auto" w:fill="FFFFFF"/>
        </w:rPr>
        <w:t xml:space="preserve">After an RSLR of 1 </w:t>
      </w:r>
      <w:r w:rsidR="00ED6C1B" w:rsidRPr="00F03917">
        <w:rPr>
          <w:rFonts w:cs="Calibri"/>
          <w:shd w:val="clear" w:color="auto" w:fill="FFFFFF"/>
        </w:rPr>
        <w:t>m</w:t>
      </w:r>
      <w:r w:rsidR="0002625F" w:rsidRPr="00F03917">
        <w:rPr>
          <w:rFonts w:cs="Calibri"/>
          <w:shd w:val="clear" w:color="auto" w:fill="FFFFFF"/>
        </w:rPr>
        <w:t>etre</w:t>
      </w:r>
      <w:r w:rsidR="53817DF0" w:rsidRPr="00F03917">
        <w:rPr>
          <w:rFonts w:cs="Calibri"/>
          <w:shd w:val="clear" w:color="auto" w:fill="FFFFFF"/>
        </w:rPr>
        <w:t>, the increments could be expanded to say 0.25 m</w:t>
      </w:r>
      <w:r w:rsidR="0002625F" w:rsidRPr="00F03917">
        <w:rPr>
          <w:rFonts w:cs="Calibri"/>
          <w:shd w:val="clear" w:color="auto" w:fill="FFFFFF"/>
        </w:rPr>
        <w:t>etre</w:t>
      </w:r>
      <w:r w:rsidR="53817DF0" w:rsidRPr="00F03917">
        <w:rPr>
          <w:rFonts w:cs="Calibri"/>
          <w:shd w:val="clear" w:color="auto" w:fill="FFFFFF"/>
        </w:rPr>
        <w:t> intervals, for example, 1.25</w:t>
      </w:r>
      <w:r w:rsidR="0002625F" w:rsidRPr="00F03917">
        <w:rPr>
          <w:rFonts w:cs="Calibri"/>
          <w:shd w:val="clear" w:color="auto" w:fill="FFFFFF"/>
        </w:rPr>
        <w:t> </w:t>
      </w:r>
      <w:r w:rsidR="53817DF0" w:rsidRPr="00F03917">
        <w:rPr>
          <w:rFonts w:cs="Calibri"/>
          <w:shd w:val="clear" w:color="auto" w:fill="FFFFFF"/>
        </w:rPr>
        <w:t>m</w:t>
      </w:r>
      <w:r w:rsidR="0002625F" w:rsidRPr="00F03917">
        <w:rPr>
          <w:rFonts w:cs="Calibri"/>
          <w:shd w:val="clear" w:color="auto" w:fill="FFFFFF"/>
        </w:rPr>
        <w:t>etres</w:t>
      </w:r>
      <w:r w:rsidR="53817DF0" w:rsidRPr="00F03917">
        <w:rPr>
          <w:rFonts w:cs="Calibri"/>
          <w:shd w:val="clear" w:color="auto" w:fill="FFFFFF"/>
        </w:rPr>
        <w:t>,</w:t>
      </w:r>
      <w:r w:rsidR="00F82C9C" w:rsidRPr="00F03917">
        <w:rPr>
          <w:rFonts w:cs="Calibri"/>
          <w:shd w:val="clear" w:color="auto" w:fill="FFFFFF"/>
        </w:rPr>
        <w:t xml:space="preserve"> </w:t>
      </w:r>
      <w:r w:rsidR="53817DF0" w:rsidRPr="00F03917">
        <w:rPr>
          <w:rFonts w:cs="Calibri"/>
          <w:shd w:val="clear" w:color="auto" w:fill="FFFFFF"/>
        </w:rPr>
        <w:t>1.5</w:t>
      </w:r>
      <w:r w:rsidR="00F82C9C" w:rsidRPr="00F03917">
        <w:rPr>
          <w:rFonts w:cs="Calibri"/>
          <w:shd w:val="clear" w:color="auto" w:fill="FFFFFF"/>
        </w:rPr>
        <w:t> </w:t>
      </w:r>
      <w:r w:rsidR="53817DF0" w:rsidRPr="00F03917">
        <w:rPr>
          <w:rFonts w:cs="Calibri"/>
          <w:shd w:val="clear" w:color="auto" w:fill="FFFFFF"/>
        </w:rPr>
        <w:t>m</w:t>
      </w:r>
      <w:r w:rsidR="0002625F" w:rsidRPr="00F03917">
        <w:rPr>
          <w:rFonts w:cs="Calibri"/>
          <w:shd w:val="clear" w:color="auto" w:fill="FFFFFF"/>
        </w:rPr>
        <w:t>etres</w:t>
      </w:r>
      <w:r w:rsidR="53817DF0" w:rsidRPr="00F03917">
        <w:rPr>
          <w:rFonts w:cs="Calibri"/>
          <w:shd w:val="clear" w:color="auto" w:fill="FFFFFF"/>
        </w:rPr>
        <w:t>, 1.75</w:t>
      </w:r>
      <w:r w:rsidR="00F82C9C" w:rsidRPr="00F03917">
        <w:rPr>
          <w:rFonts w:cs="Calibri"/>
          <w:shd w:val="clear" w:color="auto" w:fill="FFFFFF"/>
        </w:rPr>
        <w:t> </w:t>
      </w:r>
      <w:r w:rsidR="53817DF0" w:rsidRPr="00F03917">
        <w:rPr>
          <w:rFonts w:cs="Calibri"/>
          <w:shd w:val="clear" w:color="auto" w:fill="FFFFFF"/>
        </w:rPr>
        <w:t>m</w:t>
      </w:r>
      <w:r w:rsidR="0002625F" w:rsidRPr="00F03917">
        <w:rPr>
          <w:rFonts w:cs="Calibri"/>
          <w:shd w:val="clear" w:color="auto" w:fill="FFFFFF"/>
        </w:rPr>
        <w:t>etres</w:t>
      </w:r>
      <w:r w:rsidR="53817DF0" w:rsidRPr="00F03917">
        <w:rPr>
          <w:rFonts w:cs="Calibri"/>
          <w:shd w:val="clear" w:color="auto" w:fill="FFFFFF"/>
        </w:rPr>
        <w:t>, 2 m</w:t>
      </w:r>
      <w:r w:rsidR="0002625F" w:rsidRPr="00F03917">
        <w:rPr>
          <w:rFonts w:cs="Calibri"/>
          <w:shd w:val="clear" w:color="auto" w:fill="FFFFFF"/>
        </w:rPr>
        <w:t>etres</w:t>
      </w:r>
      <w:r w:rsidR="53817DF0" w:rsidRPr="00F03917">
        <w:rPr>
          <w:rFonts w:cs="Calibri"/>
          <w:shd w:val="clear" w:color="auto" w:fill="FFFFFF"/>
        </w:rPr>
        <w:t>.</w:t>
      </w:r>
    </w:p>
  </w:footnote>
  <w:footnote w:id="33">
    <w:p w14:paraId="548001BC" w14:textId="012D4BA2" w:rsidR="003C474B" w:rsidRPr="00F03917" w:rsidRDefault="003C474B" w:rsidP="006C7021">
      <w:pPr>
        <w:pStyle w:val="FootnoteText"/>
      </w:pPr>
      <w:r w:rsidRPr="00F03917">
        <w:rPr>
          <w:rStyle w:val="FootnoteReference"/>
        </w:rPr>
        <w:footnoteRef/>
      </w:r>
      <w:r w:rsidRPr="00F03917">
        <w:t xml:space="preserve"> </w:t>
      </w:r>
      <w:r w:rsidR="0043468C" w:rsidRPr="00F03917">
        <w:tab/>
      </w:r>
      <w:r w:rsidRPr="00F03917">
        <w:rPr>
          <w:shd w:val="clear" w:color="auto" w:fill="FFFFFF"/>
        </w:rPr>
        <w:t>As part of </w:t>
      </w:r>
      <w:r w:rsidRPr="00F03917">
        <w:t>Action</w:t>
      </w:r>
      <w:r w:rsidRPr="00F03917">
        <w:rPr>
          <w:shd w:val="clear" w:color="auto" w:fill="FFFFFF"/>
        </w:rPr>
        <w:t xml:space="preserve"> 3.23 of the </w:t>
      </w:r>
      <w:r w:rsidR="00731DD4" w:rsidRPr="00F03917">
        <w:rPr>
          <w:shd w:val="clear" w:color="auto" w:fill="FFFFFF"/>
        </w:rPr>
        <w:t>national adaptation plan</w:t>
      </w:r>
      <w:r w:rsidRPr="00F03917">
        <w:rPr>
          <w:shd w:val="clear" w:color="auto" w:fill="FFFFFF"/>
        </w:rPr>
        <w:t xml:space="preserve"> (MfE, 2022</w:t>
      </w:r>
      <w:r w:rsidR="003544EF" w:rsidRPr="00F03917">
        <w:rPr>
          <w:shd w:val="clear" w:color="auto" w:fill="FFFFFF"/>
        </w:rPr>
        <w:t>a</w:t>
      </w:r>
      <w:r w:rsidRPr="00F03917">
        <w:rPr>
          <w:shd w:val="clear" w:color="auto" w:fill="FFFFFF"/>
        </w:rPr>
        <w:t>).</w:t>
      </w:r>
    </w:p>
  </w:footnote>
  <w:footnote w:id="34">
    <w:p w14:paraId="563E9A5D" w14:textId="3530EDE7" w:rsidR="00B57283" w:rsidRPr="00F03917" w:rsidRDefault="00B57283" w:rsidP="006446A3">
      <w:pPr>
        <w:pStyle w:val="FootnoteText"/>
        <w:rPr>
          <w:lang w:val="mi-NZ"/>
        </w:rPr>
      </w:pPr>
      <w:r w:rsidRPr="00F03917">
        <w:rPr>
          <w:rStyle w:val="FootnoteReference"/>
        </w:rPr>
        <w:footnoteRef/>
      </w:r>
      <w:r w:rsidR="3577D648" w:rsidRPr="00F03917">
        <w:rPr>
          <w:lang w:val="mi-NZ"/>
        </w:rPr>
        <w:t xml:space="preserve"> </w:t>
      </w:r>
      <w:r w:rsidR="00F36E52" w:rsidRPr="00F03917">
        <w:rPr>
          <w:lang w:val="mi-NZ"/>
        </w:rPr>
        <w:tab/>
      </w:r>
      <w:r w:rsidR="3577D648" w:rsidRPr="00F03917">
        <w:t>See</w:t>
      </w:r>
      <w:r w:rsidR="3577D648" w:rsidRPr="00F03917">
        <w:rPr>
          <w:lang w:val="mi-NZ"/>
        </w:rPr>
        <w:t xml:space="preserve"> </w:t>
      </w:r>
      <w:hyperlink r:id="rId5" w:history="1">
        <w:r w:rsidR="00C1327F" w:rsidRPr="00F03917">
          <w:rPr>
            <w:rStyle w:val="Hyperlink"/>
            <w:lang w:val="mi-NZ"/>
          </w:rPr>
          <w:t>www.searise.nz/maps-2</w:t>
        </w:r>
      </w:hyperlink>
      <w:r w:rsidR="005F6155" w:rsidRPr="00F03917">
        <w:rPr>
          <w:rStyle w:val="Hyperlink"/>
          <w:color w:val="auto"/>
          <w:lang w:val="mi-NZ"/>
        </w:rPr>
        <w:t>,</w:t>
      </w:r>
      <w:r w:rsidR="3577D648" w:rsidRPr="00F03917">
        <w:rPr>
          <w:lang w:val="mi-NZ"/>
        </w:rPr>
        <w:t xml:space="preserve"> for more information.</w:t>
      </w:r>
    </w:p>
  </w:footnote>
  <w:footnote w:id="35">
    <w:p w14:paraId="2D0C1E0A" w14:textId="304C32BA" w:rsidR="00490054" w:rsidRPr="00F03917" w:rsidRDefault="00490054" w:rsidP="00E44547">
      <w:pPr>
        <w:pStyle w:val="FootnoteText"/>
      </w:pPr>
      <w:r w:rsidRPr="00F03917">
        <w:rPr>
          <w:rStyle w:val="FootnoteReference"/>
        </w:rPr>
        <w:footnoteRef/>
      </w:r>
      <w:r w:rsidRPr="00F03917">
        <w:t xml:space="preserve"> </w:t>
      </w:r>
      <w:r w:rsidR="00E44547" w:rsidRPr="00F03917">
        <w:tab/>
      </w:r>
      <w:r w:rsidRPr="00F03917">
        <w:t>Available</w:t>
      </w:r>
      <w:r w:rsidRPr="00F03917">
        <w:rPr>
          <w:bdr w:val="none" w:sz="0" w:space="0" w:color="auto" w:frame="1"/>
        </w:rPr>
        <w:t xml:space="preserve"> via the Download button (to RHS) on the NZ SeaRise platform, by drawing a polygon around relevant sites.</w:t>
      </w:r>
    </w:p>
  </w:footnote>
  <w:footnote w:id="36">
    <w:p w14:paraId="3F39ED8A" w14:textId="1ABA9D2C" w:rsidR="0063243A" w:rsidRPr="00F03917" w:rsidRDefault="0063243A">
      <w:pPr>
        <w:pStyle w:val="FootnoteText"/>
      </w:pPr>
      <w:r w:rsidRPr="00F03917">
        <w:rPr>
          <w:rStyle w:val="FootnoteReference"/>
        </w:rPr>
        <w:footnoteRef/>
      </w:r>
      <w:r w:rsidRPr="00F03917">
        <w:t xml:space="preserve"> </w:t>
      </w:r>
      <w:r w:rsidR="00E0197C" w:rsidRPr="00F03917">
        <w:tab/>
      </w:r>
      <w:r w:rsidRPr="00F03917">
        <w:t xml:space="preserve">See section </w:t>
      </w:r>
      <w:r w:rsidR="00194282" w:rsidRPr="00F03917">
        <w:rPr>
          <w:rStyle w:val="cf01"/>
        </w:rPr>
        <w:t xml:space="preserve">on assumption and caveat of VLM rates in </w:t>
      </w:r>
      <w:hyperlink w:anchor="_Supplements" w:history="1">
        <w:r w:rsidR="0000300C" w:rsidRPr="00F03917">
          <w:rPr>
            <w:rStyle w:val="Hyperlink"/>
            <w:i/>
            <w:iCs/>
          </w:rPr>
          <w:t>Climate change, sea-level rise and coastal hazards science: Coastal hazards and climate change guidance – Supplement A</w:t>
        </w:r>
      </w:hyperlink>
      <w:r w:rsidR="00194282" w:rsidRPr="00F03917">
        <w:t>.</w:t>
      </w:r>
    </w:p>
  </w:footnote>
  <w:footnote w:id="37">
    <w:p w14:paraId="70529283" w14:textId="7337078A" w:rsidR="00B266D5" w:rsidRPr="00F03917" w:rsidRDefault="00B266D5" w:rsidP="009623FA">
      <w:pPr>
        <w:pStyle w:val="FootnoteText"/>
      </w:pPr>
      <w:r w:rsidRPr="00F03917">
        <w:rPr>
          <w:rStyle w:val="FootnoteReference"/>
        </w:rPr>
        <w:footnoteRef/>
      </w:r>
      <w:r w:rsidRPr="00F03917">
        <w:t xml:space="preserve"> </w:t>
      </w:r>
      <w:r w:rsidR="009623FA" w:rsidRPr="00F03917">
        <w:tab/>
      </w:r>
      <w:r w:rsidR="00F02890" w:rsidRPr="00F03917">
        <w:rPr>
          <w:i/>
          <w:iCs/>
        </w:rPr>
        <w:t>M</w:t>
      </w:r>
      <w:r w:rsidRPr="00F03917">
        <w:rPr>
          <w:i/>
          <w:iCs/>
        </w:rPr>
        <w:t>edium confidence</w:t>
      </w:r>
      <w:r w:rsidRPr="00F03917">
        <w:t xml:space="preserve"> projections </w:t>
      </w:r>
      <w:r w:rsidR="0012294A" w:rsidRPr="00F03917">
        <w:t xml:space="preserve">are </w:t>
      </w:r>
      <w:r w:rsidRPr="00F03917">
        <w:t>available further out to 2150 on the NZ SeaRise platform.</w:t>
      </w:r>
    </w:p>
  </w:footnote>
  <w:footnote w:id="38">
    <w:p w14:paraId="1681D44E" w14:textId="2AFDE53F" w:rsidR="00D170D1" w:rsidRPr="00F03917" w:rsidRDefault="00D170D1" w:rsidP="005521C7">
      <w:pPr>
        <w:pStyle w:val="FootnoteText"/>
      </w:pPr>
      <w:r w:rsidRPr="00F03917">
        <w:rPr>
          <w:rStyle w:val="FootnoteReference"/>
        </w:rPr>
        <w:footnoteRef/>
      </w:r>
      <w:r w:rsidRPr="00F03917">
        <w:t xml:space="preserve"> </w:t>
      </w:r>
      <w:r w:rsidR="005521C7" w:rsidRPr="00F03917">
        <w:tab/>
      </w:r>
      <w:r w:rsidR="00371575" w:rsidRPr="00F03917">
        <w:t xml:space="preserve">‘Preferably’ is used in the sense that it is advantageous in practice to use increments of RSLR (see </w:t>
      </w:r>
      <w:hyperlink w:anchor="table7" w:history="1">
        <w:r w:rsidR="00371575" w:rsidRPr="00F03917">
          <w:rPr>
            <w:rStyle w:val="Hyperlink"/>
          </w:rPr>
          <w:t xml:space="preserve">table </w:t>
        </w:r>
        <w:r w:rsidR="00974BEF" w:rsidRPr="00F03917">
          <w:rPr>
            <w:rStyle w:val="Hyperlink"/>
          </w:rPr>
          <w:t>7</w:t>
        </w:r>
      </w:hyperlink>
      <w:r w:rsidR="00371575" w:rsidRPr="00F03917">
        <w:t xml:space="preserve">). However, specific projections are also needed for consistency when assessing a broader range of hazards and climate risks or for first-pass hazard or risk screening. </w:t>
      </w:r>
    </w:p>
  </w:footnote>
  <w:footnote w:id="39">
    <w:p w14:paraId="035251F8" w14:textId="4181ACC8" w:rsidR="00D27D1C" w:rsidRPr="00F03917" w:rsidRDefault="00D27D1C" w:rsidP="00D27D1C">
      <w:pPr>
        <w:pStyle w:val="FootnoteText"/>
      </w:pPr>
      <w:r w:rsidRPr="00F03917">
        <w:rPr>
          <w:rStyle w:val="FootnoteReference"/>
        </w:rPr>
        <w:footnoteRef/>
      </w:r>
      <w:r w:rsidR="02EA6454" w:rsidRPr="00F03917">
        <w:t xml:space="preserve"> </w:t>
      </w:r>
      <w:r w:rsidR="00931B8B" w:rsidRPr="00F03917">
        <w:tab/>
      </w:r>
      <w:r w:rsidR="02EA6454" w:rsidRPr="00F03917">
        <w:t>Usually defined as a 1 per cent annual exceedance probability (AEP) event.</w:t>
      </w:r>
    </w:p>
  </w:footnote>
  <w:footnote w:id="40">
    <w:p w14:paraId="4733F41E" w14:textId="21878D7D" w:rsidR="005B13C1" w:rsidRPr="00F03917" w:rsidRDefault="005B13C1" w:rsidP="006446A3">
      <w:pPr>
        <w:pStyle w:val="FootnoteText"/>
      </w:pPr>
      <w:r w:rsidRPr="00F03917">
        <w:rPr>
          <w:rStyle w:val="FootnoteReference"/>
        </w:rPr>
        <w:footnoteRef/>
      </w:r>
      <w:r w:rsidR="02EA6454" w:rsidRPr="00F03917">
        <w:t xml:space="preserve"> </w:t>
      </w:r>
      <w:r w:rsidR="00EA4A09" w:rsidRPr="00F03917">
        <w:tab/>
      </w:r>
      <w:r w:rsidR="02EA6454" w:rsidRPr="00F03917">
        <w:t>See Bell, 2021</w:t>
      </w:r>
      <w:r w:rsidR="00685FFC" w:rsidRPr="00F03917">
        <w:t>;</w:t>
      </w:r>
      <w:r w:rsidR="02EA6454" w:rsidRPr="00F03917">
        <w:t xml:space="preserve"> Fox-Kemper et al, 2021; Parliamentary Commissioner for the Environment, 2015; Rasmussen et al, 2018, 2022; Stephens et al, 2018.</w:t>
      </w:r>
    </w:p>
  </w:footnote>
  <w:footnote w:id="41">
    <w:p w14:paraId="0B968FB8" w14:textId="764CE98A" w:rsidR="003532EC" w:rsidRPr="00F03917" w:rsidRDefault="003532EC" w:rsidP="003532EC">
      <w:pPr>
        <w:pStyle w:val="FootnoteText"/>
      </w:pPr>
      <w:r w:rsidRPr="00F03917">
        <w:rPr>
          <w:rStyle w:val="FootnoteReference"/>
        </w:rPr>
        <w:footnoteRef/>
      </w:r>
      <w:r w:rsidR="40683434" w:rsidRPr="00F03917">
        <w:t xml:space="preserve"> </w:t>
      </w:r>
      <w:r w:rsidR="00931B8B" w:rsidRPr="00F03917">
        <w:tab/>
      </w:r>
      <w:r w:rsidR="40683434" w:rsidRPr="00F03917">
        <w:t>Higher rainfall intensities, especially for short durations, will increase as surface temperatures rise: see</w:t>
      </w:r>
      <w:r w:rsidR="00897014" w:rsidRPr="00F03917">
        <w:t> </w:t>
      </w:r>
      <w:hyperlink r:id="rId6" w:history="1">
        <w:r w:rsidR="00C858A0" w:rsidRPr="00F03917">
          <w:rPr>
            <w:rStyle w:val="Hyperlink"/>
          </w:rPr>
          <w:t>https://hirds.niwa.co.nz</w:t>
        </w:r>
      </w:hyperlink>
      <w:r w:rsidR="40683434" w:rsidRPr="00F03917">
        <w:t xml:space="preserve"> (Bodeker et al, 2022; Lawrence et al, 2022; MfE, 2018).</w:t>
      </w:r>
    </w:p>
  </w:footnote>
  <w:footnote w:id="42">
    <w:p w14:paraId="7B11C9BD" w14:textId="26F04C5D" w:rsidR="005B13C1" w:rsidRPr="00F03917" w:rsidRDefault="005B13C1" w:rsidP="006446A3">
      <w:pPr>
        <w:pStyle w:val="FootnoteText"/>
      </w:pPr>
      <w:r w:rsidRPr="00F03917">
        <w:rPr>
          <w:rStyle w:val="FootnoteReference"/>
        </w:rPr>
        <w:footnoteRef/>
      </w:r>
      <w:r w:rsidRPr="00F03917">
        <w:t xml:space="preserve"> </w:t>
      </w:r>
      <w:r w:rsidR="00EA4A09" w:rsidRPr="00F03917">
        <w:tab/>
      </w:r>
      <w:r w:rsidRPr="00F03917">
        <w:t>An indirect rise in groundwater due to RSLR could occur inland of a confined aquifer at the coast, when it becomes unconfined and connected to the ground surface.</w:t>
      </w:r>
    </w:p>
  </w:footnote>
  <w:footnote w:id="43">
    <w:p w14:paraId="54C20BC7" w14:textId="39A20306" w:rsidR="00A74FC4" w:rsidRPr="00F03917" w:rsidRDefault="00A74FC4" w:rsidP="00A74FC4">
      <w:pPr>
        <w:pStyle w:val="FootnoteText"/>
      </w:pPr>
      <w:r w:rsidRPr="00F03917">
        <w:rPr>
          <w:rStyle w:val="FootnoteReference"/>
        </w:rPr>
        <w:footnoteRef/>
      </w:r>
      <w:r w:rsidR="5C76FCF5" w:rsidRPr="00F03917">
        <w:t xml:space="preserve"> </w:t>
      </w:r>
      <w:r w:rsidRPr="00F03917">
        <w:tab/>
      </w:r>
      <w:r w:rsidR="5C76FCF5" w:rsidRPr="00F03917">
        <w:t xml:space="preserve">National Science Challenges. </w:t>
      </w:r>
      <w:hyperlink r:id="rId7" w:history="1">
        <w:r w:rsidR="5C76FCF5" w:rsidRPr="00F03917">
          <w:rPr>
            <w:rStyle w:val="Hyperlink"/>
            <w:i/>
            <w:iCs/>
          </w:rPr>
          <w:t>Coastal Hazards</w:t>
        </w:r>
      </w:hyperlink>
      <w:r w:rsidR="5C76FCF5" w:rsidRPr="00F03917">
        <w:t>. Retrieved 22 December 2023.</w:t>
      </w:r>
    </w:p>
  </w:footnote>
  <w:footnote w:id="44">
    <w:p w14:paraId="334AAB5C" w14:textId="5A2F1C9B" w:rsidR="00A74FC4" w:rsidRPr="00F03917" w:rsidRDefault="00A74FC4" w:rsidP="00A74FC4">
      <w:pPr>
        <w:pStyle w:val="FootnoteText"/>
      </w:pPr>
      <w:r w:rsidRPr="00F03917">
        <w:rPr>
          <w:rStyle w:val="FootnoteReference"/>
        </w:rPr>
        <w:footnoteRef/>
      </w:r>
      <w:r w:rsidRPr="00F03917">
        <w:t xml:space="preserve"> </w:t>
      </w:r>
      <w:r w:rsidRPr="00F03917">
        <w:tab/>
        <w:t xml:space="preserve">See </w:t>
      </w:r>
      <w:r w:rsidR="5C76FCF5" w:rsidRPr="00F03917">
        <w:t xml:space="preserve">Bryan and Coco, 2020; </w:t>
      </w:r>
      <w:r w:rsidRPr="00F03917">
        <w:t xml:space="preserve">Cazenave and Le Cozannet, 2014; </w:t>
      </w:r>
      <w:r w:rsidR="5C76FCF5" w:rsidRPr="00F03917">
        <w:t xml:space="preserve">Coco et al, 2020; </w:t>
      </w:r>
      <w:r w:rsidRPr="00F03917">
        <w:t>Cooper et al, 2020;</w:t>
      </w:r>
      <w:r w:rsidR="00977ED4" w:rsidRPr="00F03917">
        <w:t xml:space="preserve"> </w:t>
      </w:r>
      <w:r w:rsidRPr="00F03917">
        <w:t>Dickson and Thompson, 2020</w:t>
      </w:r>
      <w:r w:rsidR="5C76FCF5" w:rsidRPr="00F03917">
        <w:t>; Masselink et al, 2020.</w:t>
      </w:r>
    </w:p>
  </w:footnote>
  <w:footnote w:id="45">
    <w:p w14:paraId="5EBD69C2" w14:textId="3DF01C4D" w:rsidR="00155BD5" w:rsidRPr="00F03917" w:rsidRDefault="00155BD5" w:rsidP="002C73E4">
      <w:pPr>
        <w:pStyle w:val="FootnoteText"/>
      </w:pPr>
      <w:r w:rsidRPr="00F03917">
        <w:rPr>
          <w:rStyle w:val="FootnoteReference"/>
        </w:rPr>
        <w:footnoteRef/>
      </w:r>
      <w:r w:rsidR="5C76FCF5" w:rsidRPr="00F03917">
        <w:t xml:space="preserve"> </w:t>
      </w:r>
      <w:r w:rsidR="002C73E4" w:rsidRPr="00F03917">
        <w:tab/>
      </w:r>
      <w:r w:rsidR="5C76FCF5" w:rsidRPr="00F03917">
        <w:t xml:space="preserve">National tsunami map: </w:t>
      </w:r>
      <w:hyperlink r:id="rId8" w:history="1">
        <w:r w:rsidR="002C73E4" w:rsidRPr="00F03917">
          <w:rPr>
            <w:rStyle w:val="Hyperlink"/>
            <w:rFonts w:eastAsia="Times New Roman"/>
            <w:szCs w:val="19"/>
          </w:rPr>
          <w:t>www.gns.cri.nz/data-and-resources/2021-national-tsunami-hazard-model</w:t>
        </w:r>
      </w:hyperlink>
      <w:r w:rsidR="002C73E4" w:rsidRPr="00F03917">
        <w:rPr>
          <w:rStyle w:val="Hyperlink"/>
          <w:rFonts w:eastAsia="Times New Roman"/>
          <w:szCs w:val="19"/>
        </w:rPr>
        <w:t>.</w:t>
      </w:r>
      <w:r w:rsidR="00977ED4" w:rsidRPr="00F03917">
        <w:rPr>
          <w:rFonts w:eastAsia="Times New Roman"/>
        </w:rPr>
        <w:t xml:space="preserve"> </w:t>
      </w:r>
    </w:p>
  </w:footnote>
  <w:footnote w:id="46">
    <w:p w14:paraId="45DA4625" w14:textId="7FD6C0C1" w:rsidR="00743551" w:rsidRPr="00F03917" w:rsidRDefault="00743551" w:rsidP="008E5650">
      <w:pPr>
        <w:pStyle w:val="FootnoteText"/>
      </w:pPr>
      <w:r w:rsidRPr="00F03917">
        <w:rPr>
          <w:rStyle w:val="FootnoteReference"/>
        </w:rPr>
        <w:footnoteRef/>
      </w:r>
      <w:r w:rsidR="5C76FCF5" w:rsidRPr="00F03917">
        <w:t xml:space="preserve"> </w:t>
      </w:r>
      <w:r w:rsidR="008E5650" w:rsidRPr="00F03917">
        <w:tab/>
      </w:r>
      <w:r w:rsidR="5C76FCF5" w:rsidRPr="00F03917">
        <w:t xml:space="preserve">National Emergency Management Agency. </w:t>
      </w:r>
      <w:r w:rsidR="5C76FCF5" w:rsidRPr="00F03917">
        <w:rPr>
          <w:rFonts w:asciiTheme="minorHAnsi" w:hAnsiTheme="minorHAnsi"/>
        </w:rPr>
        <w:t xml:space="preserve">2016. </w:t>
      </w:r>
      <w:hyperlink r:id="rId9" w:history="1">
        <w:r w:rsidR="5C76FCF5" w:rsidRPr="00F03917">
          <w:rPr>
            <w:rStyle w:val="Hyperlink"/>
            <w:i/>
          </w:rPr>
          <w:t>NEMA Directors’ Guidelines for modelling tsunami evacuation zones</w:t>
        </w:r>
      </w:hyperlink>
      <w:r w:rsidR="5C76FCF5" w:rsidRPr="00F03917" w:rsidDel="00272288">
        <w:rPr>
          <w:rFonts w:asciiTheme="minorHAnsi" w:hAnsiTheme="minorHAnsi" w:cstheme="minorHAnsi"/>
          <w:szCs w:val="19"/>
        </w:rPr>
        <w:t>.</w:t>
      </w:r>
      <w:r w:rsidR="006E7116" w:rsidRPr="00F03917" w:rsidDel="00CF7E48">
        <w:rPr>
          <w:rFonts w:asciiTheme="minorHAnsi" w:hAnsiTheme="minorHAnsi" w:cstheme="minorHAnsi"/>
          <w:szCs w:val="19"/>
        </w:rPr>
        <w:t xml:space="preserve"> </w:t>
      </w:r>
      <w:r w:rsidR="5C76FCF5" w:rsidRPr="00F03917">
        <w:rPr>
          <w:rFonts w:asciiTheme="minorHAnsi" w:hAnsiTheme="minorHAnsi" w:cstheme="minorHAnsi"/>
          <w:szCs w:val="19"/>
        </w:rPr>
        <w:t>Retrieved 22 December 2023.</w:t>
      </w:r>
    </w:p>
  </w:footnote>
  <w:footnote w:id="47">
    <w:p w14:paraId="4C717AC2" w14:textId="31D51901" w:rsidR="003D78BA" w:rsidRPr="00F03917" w:rsidRDefault="003D78BA" w:rsidP="003D78BA">
      <w:pPr>
        <w:pStyle w:val="FootnoteText"/>
      </w:pPr>
      <w:r w:rsidRPr="00F03917">
        <w:rPr>
          <w:rStyle w:val="FootnoteReference"/>
        </w:rPr>
        <w:footnoteRef/>
      </w:r>
      <w:r w:rsidR="5C76FCF5" w:rsidRPr="00F03917">
        <w:t xml:space="preserve"> </w:t>
      </w:r>
      <w:r w:rsidR="00A712EF" w:rsidRPr="00F03917">
        <w:tab/>
      </w:r>
      <w:r w:rsidR="5C76FCF5" w:rsidRPr="00F03917">
        <w:t xml:space="preserve">More guidance can be found in </w:t>
      </w:r>
      <w:r w:rsidR="00277354" w:rsidRPr="00F03917">
        <w:t>b</w:t>
      </w:r>
      <w:r w:rsidR="5C76FCF5" w:rsidRPr="00F03917">
        <w:t>ox 2, p 18 of DOC (2017).</w:t>
      </w:r>
    </w:p>
  </w:footnote>
  <w:footnote w:id="48">
    <w:p w14:paraId="3FE03AD9" w14:textId="04640D32" w:rsidR="008B1AC9" w:rsidRPr="00F03917" w:rsidRDefault="008B1AC9" w:rsidP="008B1AC9">
      <w:pPr>
        <w:pStyle w:val="FootnoteText"/>
      </w:pPr>
      <w:r w:rsidRPr="00F03917">
        <w:rPr>
          <w:rStyle w:val="FootnoteReference"/>
        </w:rPr>
        <w:footnoteRef/>
      </w:r>
      <w:r w:rsidR="67ECA7B6" w:rsidRPr="00F03917">
        <w:t xml:space="preserve"> </w:t>
      </w:r>
      <w:r w:rsidR="00A712EF" w:rsidRPr="00F03917">
        <w:tab/>
      </w:r>
      <w:r w:rsidR="67ECA7B6" w:rsidRPr="00F03917">
        <w:t xml:space="preserve">See </w:t>
      </w:r>
      <w:r w:rsidR="004D3FF8" w:rsidRPr="00F03917">
        <w:t>s</w:t>
      </w:r>
      <w:r w:rsidR="00C345C3" w:rsidRPr="00F03917">
        <w:t xml:space="preserve">ection </w:t>
      </w:r>
      <w:r w:rsidR="004D3FF8" w:rsidRPr="00F03917">
        <w:t>6.2</w:t>
      </w:r>
      <w:r w:rsidR="00D25249" w:rsidRPr="00F03917">
        <w:t>,</w:t>
      </w:r>
      <w:r w:rsidR="004D3FF8" w:rsidRPr="00F03917">
        <w:t xml:space="preserve"> </w:t>
      </w:r>
      <w:r w:rsidR="67ECA7B6" w:rsidRPr="00F03917">
        <w:t xml:space="preserve">p </w:t>
      </w:r>
      <w:r w:rsidR="004D3FF8" w:rsidRPr="00F03917">
        <w:t>28</w:t>
      </w:r>
      <w:r w:rsidR="67ECA7B6" w:rsidRPr="00F03917">
        <w:t xml:space="preserve"> of DOC (2017).</w:t>
      </w:r>
    </w:p>
  </w:footnote>
  <w:footnote w:id="49">
    <w:p w14:paraId="59B43AD0" w14:textId="042C5BA8" w:rsidR="00652F1B" w:rsidRPr="00F03917" w:rsidRDefault="00652F1B">
      <w:pPr>
        <w:pStyle w:val="FootnoteText"/>
      </w:pPr>
      <w:r w:rsidRPr="00F03917">
        <w:rPr>
          <w:rStyle w:val="FootnoteReference"/>
        </w:rPr>
        <w:footnoteRef/>
      </w:r>
      <w:r w:rsidRPr="00F03917">
        <w:t xml:space="preserve"> </w:t>
      </w:r>
      <w:r w:rsidR="009F568D" w:rsidRPr="00F03917">
        <w:tab/>
      </w:r>
      <w:r w:rsidRPr="00F03917">
        <w:rPr>
          <w:rFonts w:cs="Calibri"/>
          <w:color w:val="000000"/>
          <w:shd w:val="clear" w:color="auto" w:fill="FFFFFF"/>
        </w:rPr>
        <w:t>For example, </w:t>
      </w:r>
      <w:r w:rsidR="5C76FCF5" w:rsidRPr="00F03917">
        <w:rPr>
          <w:rFonts w:cs="Calibri"/>
          <w:color w:val="000000" w:themeColor="text1"/>
        </w:rPr>
        <w:t>Bell et al, 2015;</w:t>
      </w:r>
      <w:r w:rsidR="5C76FCF5" w:rsidRPr="00F03917">
        <w:rPr>
          <w:rFonts w:cs="Calibri"/>
          <w:color w:val="000000"/>
          <w:shd w:val="clear" w:color="auto" w:fill="FFFFFF"/>
        </w:rPr>
        <w:t xml:space="preserve"> </w:t>
      </w:r>
      <w:r w:rsidRPr="00F03917">
        <w:rPr>
          <w:rFonts w:cs="Calibri"/>
          <w:color w:val="000000"/>
          <w:shd w:val="clear" w:color="auto" w:fill="FFFFFF"/>
        </w:rPr>
        <w:t>Parliamentary Commissioner for the Environment, 2015; Paulik et al, 2019</w:t>
      </w:r>
      <w:r w:rsidR="5C76FCF5" w:rsidRPr="00F03917">
        <w:rPr>
          <w:rFonts w:cs="Calibri"/>
          <w:color w:val="000000"/>
          <w:shd w:val="clear" w:color="auto" w:fill="FFFFFF"/>
        </w:rPr>
        <w:t>,</w:t>
      </w:r>
      <w:r w:rsidRPr="00F03917">
        <w:rPr>
          <w:rFonts w:cs="Calibri"/>
          <w:color w:val="000000"/>
          <w:shd w:val="clear" w:color="auto" w:fill="FFFFFF"/>
        </w:rPr>
        <w:t xml:space="preserve"> 2020</w:t>
      </w:r>
      <w:r w:rsidR="5C76FCF5" w:rsidRPr="00F03917">
        <w:rPr>
          <w:rFonts w:cs="Calibri"/>
          <w:color w:val="000000"/>
          <w:shd w:val="clear" w:color="auto" w:fill="FFFFFF"/>
        </w:rPr>
        <w:t>,</w:t>
      </w:r>
      <w:r w:rsidRPr="00F03917">
        <w:rPr>
          <w:rFonts w:cs="Calibri"/>
          <w:color w:val="000000"/>
          <w:shd w:val="clear" w:color="auto" w:fill="FFFFFF"/>
        </w:rPr>
        <w:t xml:space="preserve"> 2021</w:t>
      </w:r>
      <w:r w:rsidR="5C76FCF5" w:rsidRPr="00F03917">
        <w:rPr>
          <w:rFonts w:cs="Calibri"/>
          <w:color w:val="000000"/>
          <w:shd w:val="clear" w:color="auto" w:fill="FFFFFF"/>
        </w:rPr>
        <w:t>,</w:t>
      </w:r>
      <w:r w:rsidR="005257E7" w:rsidRPr="00F03917">
        <w:rPr>
          <w:rFonts w:cs="Calibri"/>
          <w:color w:val="000000"/>
          <w:shd w:val="clear" w:color="auto" w:fill="FFFFFF"/>
        </w:rPr>
        <w:t xml:space="preserve"> </w:t>
      </w:r>
      <w:r w:rsidRPr="00F03917">
        <w:rPr>
          <w:rFonts w:cs="Calibri"/>
          <w:color w:val="000000" w:themeColor="text1"/>
        </w:rPr>
        <w:t>2023; Simonson and Hall</w:t>
      </w:r>
      <w:r w:rsidR="004B11A9" w:rsidRPr="00F03917">
        <w:rPr>
          <w:rFonts w:cs="Calibri"/>
          <w:color w:val="000000" w:themeColor="text1"/>
        </w:rPr>
        <w:t>,</w:t>
      </w:r>
      <w:r w:rsidRPr="00F03917">
        <w:rPr>
          <w:rFonts w:cs="Calibri"/>
          <w:color w:val="000000" w:themeColor="text1"/>
        </w:rPr>
        <w:t xml:space="preserve"> 20</w:t>
      </w:r>
      <w:r w:rsidR="001B4434" w:rsidRPr="00F03917">
        <w:rPr>
          <w:rFonts w:cs="Calibri"/>
          <w:color w:val="000000" w:themeColor="text1"/>
        </w:rPr>
        <w:t>19</w:t>
      </w:r>
      <w:r w:rsidRPr="00F03917">
        <w:rPr>
          <w:rFonts w:cs="Calibri"/>
          <w:color w:val="000000" w:themeColor="text1"/>
        </w:rPr>
        <w:t>.</w:t>
      </w:r>
    </w:p>
  </w:footnote>
  <w:footnote w:id="50">
    <w:p w14:paraId="2EFF2B40" w14:textId="6B4BCE2C" w:rsidR="00CA2BC3" w:rsidRPr="00F03917" w:rsidRDefault="00CA2BC3">
      <w:pPr>
        <w:pStyle w:val="FootnoteText"/>
      </w:pPr>
      <w:r w:rsidRPr="00F03917">
        <w:rPr>
          <w:rStyle w:val="FootnoteReference"/>
        </w:rPr>
        <w:footnoteRef/>
      </w:r>
      <w:r w:rsidR="5C76FCF5" w:rsidRPr="00F03917">
        <w:t xml:space="preserve"> </w:t>
      </w:r>
      <w:r w:rsidR="009F568D" w:rsidRPr="00F03917">
        <w:tab/>
      </w:r>
      <w:r w:rsidR="00C13D47" w:rsidRPr="00F03917">
        <w:t xml:space="preserve">See </w:t>
      </w:r>
      <w:r w:rsidR="5C76FCF5" w:rsidRPr="00F03917">
        <w:t>Otago Regional Council</w:t>
      </w:r>
      <w:r w:rsidR="006D7D6E" w:rsidRPr="00F03917">
        <w:t>.</w:t>
      </w:r>
      <w:r w:rsidR="00C13D47" w:rsidRPr="00F03917">
        <w:t xml:space="preserve"> </w:t>
      </w:r>
      <w:hyperlink r:id="rId10" w:history="1">
        <w:r w:rsidR="00C13D47" w:rsidRPr="00F03917">
          <w:rPr>
            <w:rStyle w:val="Hyperlink"/>
            <w:i/>
          </w:rPr>
          <w:t>Otago Natural Hazards Database</w:t>
        </w:r>
      </w:hyperlink>
      <w:r w:rsidR="5C76FCF5" w:rsidRPr="00F03917">
        <w:t>.</w:t>
      </w:r>
      <w:r w:rsidR="00AA711C" w:rsidRPr="00F03917">
        <w:t xml:space="preserve"> </w:t>
      </w:r>
      <w:r w:rsidR="00C13D47" w:rsidRPr="00F03917">
        <w:t xml:space="preserve">Retrieved </w:t>
      </w:r>
      <w:r w:rsidR="006D7D6E" w:rsidRPr="00F03917">
        <w:t>22 February 2024.</w:t>
      </w:r>
      <w:hyperlink w:history="1"/>
    </w:p>
  </w:footnote>
  <w:footnote w:id="51">
    <w:p w14:paraId="70CBA528" w14:textId="14E5516C" w:rsidR="00652F1B" w:rsidRPr="00F03917" w:rsidRDefault="00652F1B" w:rsidP="009F568D">
      <w:pPr>
        <w:pStyle w:val="FootnoteText"/>
      </w:pPr>
      <w:r w:rsidRPr="00F03917">
        <w:rPr>
          <w:rStyle w:val="FootnoteReference"/>
        </w:rPr>
        <w:footnoteRef/>
      </w:r>
      <w:r w:rsidR="5C76FCF5" w:rsidRPr="00F03917">
        <w:t xml:space="preserve"> </w:t>
      </w:r>
      <w:r w:rsidR="009F568D" w:rsidRPr="00F03917">
        <w:tab/>
      </w:r>
      <w:r w:rsidR="5C76FCF5" w:rsidRPr="00F03917">
        <w:t>Toka Tū Ake EQC.</w:t>
      </w:r>
      <w:r w:rsidR="006D7D6E" w:rsidRPr="00F03917">
        <w:t xml:space="preserve"> </w:t>
      </w:r>
      <w:hyperlink r:id="rId11" w:history="1">
        <w:r w:rsidR="006D7D6E" w:rsidRPr="00F03917">
          <w:rPr>
            <w:rStyle w:val="Hyperlink"/>
            <w:i/>
          </w:rPr>
          <w:t>Natural Hazards Portal</w:t>
        </w:r>
      </w:hyperlink>
      <w:r w:rsidR="006D7D6E" w:rsidRPr="00F03917">
        <w:t>.</w:t>
      </w:r>
      <w:r w:rsidR="5C76FCF5" w:rsidRPr="00F03917">
        <w:rPr>
          <w:rStyle w:val="Hyperlink"/>
          <w:i/>
        </w:rPr>
        <w:t xml:space="preserve"> </w:t>
      </w:r>
      <w:r w:rsidR="006D7D6E" w:rsidRPr="00F03917">
        <w:t>Retrieved 22 February 2024.</w:t>
      </w:r>
      <w:hyperlink w:history="1"/>
    </w:p>
  </w:footnote>
  <w:footnote w:id="52">
    <w:p w14:paraId="100F1BB6" w14:textId="426AB7BC" w:rsidR="00297C0F" w:rsidRPr="00F03917" w:rsidRDefault="00297C0F" w:rsidP="00297C0F">
      <w:pPr>
        <w:pStyle w:val="FootnoteText"/>
      </w:pPr>
      <w:r w:rsidRPr="00F03917">
        <w:rPr>
          <w:rStyle w:val="FootnoteReference"/>
        </w:rPr>
        <w:footnoteRef/>
      </w:r>
      <w:r w:rsidRPr="00F03917">
        <w:t xml:space="preserve"> </w:t>
      </w:r>
      <w:r w:rsidRPr="00F03917">
        <w:tab/>
      </w:r>
      <w:r w:rsidRPr="00F03917">
        <w:rPr>
          <w:rFonts w:cs="Calibri"/>
          <w:color w:val="000000"/>
          <w:shd w:val="clear" w:color="auto" w:fill="FFFFFF"/>
        </w:rPr>
        <w:t>See appendix A.</w:t>
      </w:r>
      <w:r w:rsidRPr="00F03917">
        <w:rPr>
          <w:rFonts w:cs="Calibri"/>
          <w:color w:val="000000"/>
          <w:szCs w:val="19"/>
          <w:shd w:val="clear" w:color="auto" w:fill="FFFFFF"/>
        </w:rPr>
        <w:t xml:space="preserve"> Case </w:t>
      </w:r>
      <w:r w:rsidR="0054024F" w:rsidRPr="00F03917">
        <w:rPr>
          <w:rFonts w:cs="Calibri"/>
          <w:color w:val="000000"/>
          <w:szCs w:val="19"/>
          <w:shd w:val="clear" w:color="auto" w:fill="FFFFFF"/>
        </w:rPr>
        <w:t>s</w:t>
      </w:r>
      <w:r w:rsidRPr="00F03917">
        <w:rPr>
          <w:rFonts w:cs="Calibri"/>
          <w:color w:val="000000"/>
          <w:szCs w:val="19"/>
          <w:shd w:val="clear" w:color="auto" w:fill="FFFFFF"/>
        </w:rPr>
        <w:t xml:space="preserve">tudy </w:t>
      </w:r>
      <w:r w:rsidRPr="00F03917">
        <w:rPr>
          <w:rFonts w:cs="Calibri"/>
          <w:color w:val="000000"/>
          <w:shd w:val="clear" w:color="auto" w:fill="FFFFFF"/>
        </w:rPr>
        <w:t>A.2 shows use of a joint</w:t>
      </w:r>
      <w:r w:rsidR="004B7F8F" w:rsidRPr="00F03917">
        <w:rPr>
          <w:rFonts w:cs="Calibri"/>
          <w:color w:val="000000"/>
          <w:shd w:val="clear" w:color="auto" w:fill="FFFFFF"/>
        </w:rPr>
        <w:t xml:space="preserve"> </w:t>
      </w:r>
      <w:r w:rsidRPr="00F03917">
        <w:rPr>
          <w:rFonts w:cs="Calibri"/>
          <w:color w:val="000000"/>
          <w:shd w:val="clear" w:color="auto" w:fill="FFFFFF"/>
        </w:rPr>
        <w:t xml:space="preserve">probability approach to determine the combination of regional or local wave setup, runup and storm-tide levels that produce the greatest coastal flooding. Case </w:t>
      </w:r>
      <w:r w:rsidR="006F0E98" w:rsidRPr="00F03917">
        <w:rPr>
          <w:rFonts w:cs="Calibri"/>
          <w:color w:val="000000"/>
          <w:shd w:val="clear" w:color="auto" w:fill="FFFFFF"/>
        </w:rPr>
        <w:t>s</w:t>
      </w:r>
      <w:r w:rsidRPr="00F03917">
        <w:rPr>
          <w:rFonts w:cs="Calibri"/>
          <w:color w:val="000000"/>
          <w:shd w:val="clear" w:color="auto" w:fill="FFFFFF"/>
        </w:rPr>
        <w:t xml:space="preserve">tudy </w:t>
      </w:r>
      <w:r w:rsidR="00B97C3C" w:rsidRPr="00F03917">
        <w:rPr>
          <w:rFonts w:cs="Calibri"/>
          <w:color w:val="000000"/>
          <w:shd w:val="clear" w:color="auto" w:fill="FFFFFF"/>
        </w:rPr>
        <w:t>A.5</w:t>
      </w:r>
      <w:r w:rsidRPr="00F03917">
        <w:rPr>
          <w:rFonts w:cs="Calibri"/>
          <w:color w:val="000000"/>
          <w:shd w:val="clear" w:color="auto" w:fill="FFFFFF"/>
        </w:rPr>
        <w:t> is a probabilistic erosion hazard application on the Northland coast.</w:t>
      </w:r>
    </w:p>
  </w:footnote>
  <w:footnote w:id="53">
    <w:p w14:paraId="2EA6DDBA" w14:textId="20D32300" w:rsidR="00297C0F" w:rsidRPr="00F03917" w:rsidRDefault="00297C0F" w:rsidP="00297C0F">
      <w:pPr>
        <w:pStyle w:val="FootnoteText"/>
      </w:pPr>
      <w:r w:rsidRPr="00F03917">
        <w:rPr>
          <w:rStyle w:val="FootnoteReference"/>
        </w:rPr>
        <w:footnoteRef/>
      </w:r>
      <w:r w:rsidRPr="00F03917">
        <w:t xml:space="preserve"> </w:t>
      </w:r>
      <w:r w:rsidRPr="00F03917">
        <w:tab/>
        <w:t>See NIWA</w:t>
      </w:r>
      <w:r w:rsidR="00114899" w:rsidRPr="00F03917">
        <w:t>,</w:t>
      </w:r>
      <w:r w:rsidRPr="00F03917">
        <w:t xml:space="preserve"> </w:t>
      </w:r>
      <w:hyperlink r:id="rId12" w:history="1">
        <w:r w:rsidRPr="00F03917">
          <w:rPr>
            <w:rStyle w:val="Hyperlink"/>
            <w:i/>
          </w:rPr>
          <w:t>Extreme coastal flood maps for Aotearoa New Zealand</w:t>
        </w:r>
      </w:hyperlink>
      <w:r w:rsidRPr="00F03917">
        <w:t xml:space="preserve">. </w:t>
      </w:r>
      <w:r w:rsidR="00F635DA" w:rsidRPr="00F03917">
        <w:t>Retrieved 22 February 2024.</w:t>
      </w:r>
      <w:hyperlink w:history="1"/>
    </w:p>
  </w:footnote>
  <w:footnote w:id="54">
    <w:p w14:paraId="5294E7EC" w14:textId="1AA14921" w:rsidR="00297C0F" w:rsidRPr="00F03917" w:rsidRDefault="00297C0F" w:rsidP="00297C0F">
      <w:pPr>
        <w:pStyle w:val="FootnoteText"/>
      </w:pPr>
      <w:r w:rsidRPr="00F03917">
        <w:rPr>
          <w:rStyle w:val="FootnoteReference"/>
        </w:rPr>
        <w:footnoteRef/>
      </w:r>
      <w:r w:rsidRPr="00F03917">
        <w:tab/>
        <w:t xml:space="preserve">See </w:t>
      </w:r>
      <w:r w:rsidRPr="00F03917">
        <w:rPr>
          <w:rFonts w:cs="Calibri"/>
          <w:color w:val="000000"/>
          <w:shd w:val="clear" w:color="auto" w:fill="FFFFFF"/>
        </w:rPr>
        <w:t>Waikato</w:t>
      </w:r>
      <w:r w:rsidR="00114899" w:rsidRPr="00F03917">
        <w:rPr>
          <w:rFonts w:cs="Calibri"/>
          <w:color w:val="000000"/>
          <w:shd w:val="clear" w:color="auto" w:fill="FFFFFF"/>
        </w:rPr>
        <w:t xml:space="preserve">, </w:t>
      </w:r>
      <w:hyperlink r:id="rId13" w:history="1">
        <w:r w:rsidR="00114899" w:rsidRPr="00F03917">
          <w:rPr>
            <w:rStyle w:val="Hyperlink"/>
            <w:rFonts w:cs="Calibri"/>
            <w:i/>
            <w:shd w:val="clear" w:color="auto" w:fill="FFFFFF"/>
          </w:rPr>
          <w:t>Coastal inundation tool</w:t>
        </w:r>
      </w:hyperlink>
      <w:r w:rsidR="00114899" w:rsidRPr="00F03917">
        <w:rPr>
          <w:rFonts w:cs="Calibri"/>
          <w:color w:val="000000" w:themeColor="text1"/>
        </w:rPr>
        <w:t>;</w:t>
      </w:r>
      <w:r w:rsidRPr="00F03917">
        <w:rPr>
          <w:rFonts w:cs="Calibri"/>
          <w:color w:val="000000" w:themeColor="text1"/>
        </w:rPr>
        <w:t xml:space="preserve"> Greater Wellington</w:t>
      </w:r>
      <w:r w:rsidR="000171D2" w:rsidRPr="00F03917">
        <w:rPr>
          <w:rFonts w:cs="Calibri"/>
          <w:color w:val="000000" w:themeColor="text1"/>
        </w:rPr>
        <w:t xml:space="preserve">, </w:t>
      </w:r>
      <w:hyperlink r:id="rId14" w:history="1">
        <w:r w:rsidR="000171D2" w:rsidRPr="00F03917">
          <w:rPr>
            <w:rStyle w:val="Hyperlink"/>
            <w:rFonts w:cs="Calibri"/>
          </w:rPr>
          <w:t>Sea Level Rise and Storm Surge Modelling</w:t>
        </w:r>
      </w:hyperlink>
      <w:r w:rsidR="000171D2" w:rsidRPr="00F03917">
        <w:rPr>
          <w:rFonts w:cs="Calibri"/>
          <w:color w:val="000000" w:themeColor="text1"/>
        </w:rPr>
        <w:t>;</w:t>
      </w:r>
      <w:r w:rsidRPr="00F03917">
        <w:rPr>
          <w:rFonts w:cs="Calibri"/>
          <w:color w:val="000000" w:themeColor="text1"/>
        </w:rPr>
        <w:t xml:space="preserve"> </w:t>
      </w:r>
      <w:r w:rsidRPr="00F03917">
        <w:rPr>
          <w:rFonts w:cs="Calibri"/>
          <w:color w:val="000000" w:themeColor="text1"/>
          <w:shd w:val="clear" w:color="auto" w:fill="FFFFFF"/>
        </w:rPr>
        <w:t>and Tasman</w:t>
      </w:r>
      <w:r w:rsidRPr="00F03917">
        <w:rPr>
          <w:rFonts w:cs="Calibri"/>
          <w:color w:val="000000" w:themeColor="text1"/>
        </w:rPr>
        <w:t xml:space="preserve"> District</w:t>
      </w:r>
      <w:r w:rsidR="007566C6" w:rsidRPr="00F03917">
        <w:rPr>
          <w:rFonts w:cs="Calibri"/>
          <w:color w:val="000000" w:themeColor="text1"/>
        </w:rPr>
        <w:t xml:space="preserve">, </w:t>
      </w:r>
      <w:hyperlink r:id="rId15" w:history="1">
        <w:r w:rsidR="007566C6" w:rsidRPr="00F03917">
          <w:rPr>
            <w:rStyle w:val="Hyperlink"/>
            <w:rFonts w:cs="Calibri"/>
          </w:rPr>
          <w:t>Coastal hazards map viewer</w:t>
        </w:r>
      </w:hyperlink>
      <w:r w:rsidR="00FA7A84" w:rsidRPr="00F03917">
        <w:rPr>
          <w:rStyle w:val="Hyperlink"/>
        </w:rPr>
        <w:t xml:space="preserve">. </w:t>
      </w:r>
      <w:r w:rsidR="003C3171" w:rsidRPr="00F03917">
        <w:rPr>
          <w:rStyle w:val="Hyperlink"/>
        </w:rPr>
        <w:t>Retrieved</w:t>
      </w:r>
      <w:r w:rsidR="00FA7A84" w:rsidRPr="00F03917">
        <w:rPr>
          <w:rStyle w:val="Hyperlink"/>
        </w:rPr>
        <w:t xml:space="preserve"> 22 February 2024.</w:t>
      </w:r>
    </w:p>
  </w:footnote>
  <w:footnote w:id="55">
    <w:p w14:paraId="35922589" w14:textId="0D39662D" w:rsidR="00297C0F" w:rsidRPr="00F03917" w:rsidRDefault="00297C0F" w:rsidP="00297C0F">
      <w:pPr>
        <w:pStyle w:val="FootnoteText"/>
      </w:pPr>
      <w:r w:rsidRPr="00F03917">
        <w:rPr>
          <w:rStyle w:val="FootnoteReference"/>
        </w:rPr>
        <w:footnoteRef/>
      </w:r>
      <w:r w:rsidRPr="00F03917">
        <w:t xml:space="preserve"> </w:t>
      </w:r>
      <w:r w:rsidRPr="00F03917">
        <w:tab/>
      </w:r>
      <w:r w:rsidRPr="00F03917">
        <w:rPr>
          <w:rFonts w:cs="Calibri"/>
          <w:color w:val="000000"/>
          <w:shd w:val="clear" w:color="auto" w:fill="FFFFFF"/>
        </w:rPr>
        <w:t>Developed by NIWA, GNS Science and latterly, Toka Tū Ake EQC,</w:t>
      </w:r>
      <w:r w:rsidRPr="00F03917" w:rsidDel="00C75227">
        <w:t xml:space="preserve"> </w:t>
      </w:r>
      <w:r w:rsidRPr="00F03917">
        <w:rPr>
          <w:rFonts w:cs="Calibri"/>
          <w:color w:val="000000"/>
          <w:shd w:val="clear" w:color="auto" w:fill="FFFFFF"/>
        </w:rPr>
        <w:t xml:space="preserve">and Paulik et al (2022). </w:t>
      </w:r>
      <w:r w:rsidR="007559FC" w:rsidRPr="00F03917">
        <w:rPr>
          <w:rFonts w:cs="Calibri"/>
          <w:color w:val="000000"/>
          <w:shd w:val="clear" w:color="auto" w:fill="FFFFFF"/>
        </w:rPr>
        <w:t xml:space="preserve">See also </w:t>
      </w:r>
      <w:hyperlink r:id="rId16" w:history="1">
        <w:r w:rsidR="007559FC" w:rsidRPr="00F03917" w:rsidDel="784D5CB5">
          <w:rPr>
            <w:rStyle w:val="Hyperlink"/>
          </w:rPr>
          <w:t>https://riskscape.org.nz/</w:t>
        </w:r>
      </w:hyperlink>
      <w:r w:rsidR="007559FC" w:rsidRPr="00F03917">
        <w:t xml:space="preserve"> for more information.</w:t>
      </w:r>
    </w:p>
  </w:footnote>
  <w:footnote w:id="56">
    <w:p w14:paraId="3B6AAB31" w14:textId="54B4AC94" w:rsidR="00B1331E" w:rsidRPr="00F03917" w:rsidRDefault="00B1331E" w:rsidP="00B1331E">
      <w:pPr>
        <w:pStyle w:val="FootnoteText"/>
      </w:pPr>
      <w:r w:rsidRPr="00F03917">
        <w:rPr>
          <w:rStyle w:val="FootnoteReference"/>
        </w:rPr>
        <w:footnoteRef/>
      </w:r>
      <w:r w:rsidR="5C76FCF5" w:rsidRPr="00F03917">
        <w:t xml:space="preserve"> </w:t>
      </w:r>
      <w:r w:rsidR="00D31559" w:rsidRPr="00F03917">
        <w:tab/>
      </w:r>
      <w:r w:rsidR="5C76FCF5" w:rsidRPr="00F03917">
        <w:t xml:space="preserve">See Paulik et al (2023) and NIWA, </w:t>
      </w:r>
      <w:hyperlink r:id="rId17" w:history="1">
        <w:r w:rsidR="5C76FCF5" w:rsidRPr="00F03917">
          <w:rPr>
            <w:rStyle w:val="Hyperlink"/>
            <w:i/>
            <w:iCs/>
          </w:rPr>
          <w:t>Extreme coastal flood maps for Aotearoa New Zealand</w:t>
        </w:r>
      </w:hyperlink>
      <w:r w:rsidR="5C76FCF5" w:rsidRPr="00F03917">
        <w:t>, for more information.</w:t>
      </w:r>
    </w:p>
  </w:footnote>
  <w:footnote w:id="57">
    <w:p w14:paraId="16CC4773" w14:textId="3FE26709" w:rsidR="00E321C9" w:rsidRPr="00F03917" w:rsidRDefault="00E321C9" w:rsidP="00E321C9">
      <w:pPr>
        <w:pStyle w:val="FootnoteText"/>
      </w:pPr>
      <w:r w:rsidRPr="00F03917">
        <w:rPr>
          <w:rStyle w:val="FootnoteReference"/>
        </w:rPr>
        <w:footnoteRef/>
      </w:r>
      <w:r w:rsidRPr="00F03917">
        <w:t xml:space="preserve"> </w:t>
      </w:r>
      <w:r w:rsidR="007A05CF" w:rsidRPr="00F03917">
        <w:tab/>
      </w:r>
      <w:r w:rsidRPr="00F03917">
        <w:t xml:space="preserve">NIWA. </w:t>
      </w:r>
      <w:hyperlink r:id="rId18" w:history="1">
        <w:r w:rsidRPr="00F03917">
          <w:rPr>
            <w:rStyle w:val="Hyperlink"/>
            <w:i/>
          </w:rPr>
          <w:t>High intensity rainfall design system, V4</w:t>
        </w:r>
      </w:hyperlink>
      <w:r w:rsidRPr="00F03917">
        <w:t>. Retrieved 22 December 2023.</w:t>
      </w:r>
    </w:p>
  </w:footnote>
  <w:footnote w:id="58">
    <w:p w14:paraId="65C62BE4" w14:textId="4655F679" w:rsidR="00041C4F" w:rsidRPr="00F03917" w:rsidRDefault="00041C4F">
      <w:pPr>
        <w:pStyle w:val="FootnoteText"/>
      </w:pPr>
      <w:r w:rsidRPr="00F03917">
        <w:rPr>
          <w:rStyle w:val="FootnoteReference"/>
        </w:rPr>
        <w:footnoteRef/>
      </w:r>
      <w:r w:rsidRPr="00F03917">
        <w:t xml:space="preserve"> </w:t>
      </w:r>
      <w:r w:rsidR="00C72C7A" w:rsidRPr="00F03917">
        <w:rPr>
          <w:rFonts w:cs="Calibri"/>
          <w:szCs w:val="19"/>
          <w:shd w:val="clear" w:color="auto" w:fill="FFFFFF"/>
        </w:rPr>
        <w:tab/>
      </w:r>
      <w:r w:rsidR="00062343" w:rsidRPr="00F03917">
        <w:rPr>
          <w:rFonts w:cs="Calibri"/>
          <w:szCs w:val="19"/>
          <w:shd w:val="clear" w:color="auto" w:fill="FFFFFF"/>
        </w:rPr>
        <w:t xml:space="preserve">Increments are agnostic to representing RSLR or SLR – it is the associated time brackets for that increment that change depending on whether the increment is for SLR or has VLM added </w:t>
      </w:r>
      <w:r w:rsidR="00D13756" w:rsidRPr="00F03917">
        <w:rPr>
          <w:rFonts w:cs="Calibri"/>
          <w:szCs w:val="19"/>
          <w:shd w:val="clear" w:color="auto" w:fill="FFFFFF"/>
        </w:rPr>
        <w:t>–</w:t>
      </w:r>
      <w:r w:rsidR="00062343" w:rsidRPr="00F03917">
        <w:rPr>
          <w:rFonts w:cs="Calibri"/>
          <w:szCs w:val="19"/>
          <w:shd w:val="clear" w:color="auto" w:fill="FFFFFF"/>
        </w:rPr>
        <w:t> compare</w:t>
      </w:r>
      <w:r w:rsidR="00297BE5" w:rsidRPr="00F03917">
        <w:rPr>
          <w:rFonts w:cs="Calibri"/>
          <w:szCs w:val="19"/>
          <w:shd w:val="clear" w:color="auto" w:fill="FFFFFF"/>
        </w:rPr>
        <w:t xml:space="preserve"> </w:t>
      </w:r>
      <w:hyperlink w:anchor="table6" w:history="1">
        <w:r w:rsidR="00D13756" w:rsidRPr="00F03917">
          <w:rPr>
            <w:rStyle w:val="Hyperlink"/>
            <w:rFonts w:cs="Calibri"/>
            <w:szCs w:val="19"/>
            <w:shd w:val="clear" w:color="auto" w:fill="FFFFFF"/>
          </w:rPr>
          <w:t>t</w:t>
        </w:r>
        <w:r w:rsidR="00062343" w:rsidRPr="00F03917">
          <w:rPr>
            <w:rStyle w:val="Hyperlink"/>
            <w:rFonts w:cs="Calibri"/>
            <w:szCs w:val="19"/>
            <w:shd w:val="clear" w:color="auto" w:fill="FFFFFF"/>
          </w:rPr>
          <w:t>able</w:t>
        </w:r>
        <w:r w:rsidR="00B83EB1" w:rsidRPr="00F03917">
          <w:rPr>
            <w:rStyle w:val="Hyperlink"/>
            <w:rFonts w:cs="Calibri"/>
            <w:szCs w:val="19"/>
            <w:shd w:val="clear" w:color="auto" w:fill="FFFFFF"/>
          </w:rPr>
          <w:t xml:space="preserve"> </w:t>
        </w:r>
        <w:r w:rsidR="00062343" w:rsidRPr="00F03917">
          <w:rPr>
            <w:rStyle w:val="Hyperlink"/>
            <w:rFonts w:cs="Calibri"/>
            <w:szCs w:val="19"/>
            <w:shd w:val="clear" w:color="auto" w:fill="FFFFFF"/>
          </w:rPr>
          <w:t>6</w:t>
        </w:r>
      </w:hyperlink>
      <w:r w:rsidR="00062343" w:rsidRPr="00F03917">
        <w:rPr>
          <w:rFonts w:cs="Calibri"/>
          <w:szCs w:val="19"/>
          <w:shd w:val="clear" w:color="auto" w:fill="FFFFFF"/>
        </w:rPr>
        <w:t xml:space="preserve"> and </w:t>
      </w:r>
      <w:hyperlink w:anchor="table7" w:history="1">
        <w:r w:rsidR="00D13756" w:rsidRPr="00F03917">
          <w:rPr>
            <w:rStyle w:val="Hyperlink"/>
            <w:rFonts w:cs="Calibri"/>
            <w:szCs w:val="19"/>
            <w:shd w:val="clear" w:color="auto" w:fill="FFFFFF"/>
          </w:rPr>
          <w:t xml:space="preserve">table </w:t>
        </w:r>
        <w:r w:rsidR="00D830A1" w:rsidRPr="00F03917">
          <w:rPr>
            <w:rStyle w:val="Hyperlink"/>
            <w:rFonts w:cs="Calibri"/>
            <w:szCs w:val="19"/>
            <w:shd w:val="clear" w:color="auto" w:fill="FFFFFF"/>
          </w:rPr>
          <w:t>7</w:t>
        </w:r>
      </w:hyperlink>
      <w:r w:rsidR="00062343" w:rsidRPr="00F03917">
        <w:rPr>
          <w:rFonts w:cs="Calibri"/>
          <w:szCs w:val="19"/>
          <w:shd w:val="clear" w:color="auto" w:fill="FFFFFF"/>
        </w:rPr>
        <w:t>.</w:t>
      </w:r>
    </w:p>
  </w:footnote>
  <w:footnote w:id="59">
    <w:p w14:paraId="28AB048C" w14:textId="75AD8823" w:rsidR="004F6AF6" w:rsidRPr="00F03917" w:rsidRDefault="004F6AF6" w:rsidP="006446A3">
      <w:pPr>
        <w:pStyle w:val="FootnoteText"/>
      </w:pPr>
      <w:r w:rsidRPr="00F03917">
        <w:rPr>
          <w:rStyle w:val="FootnoteReference"/>
        </w:rPr>
        <w:footnoteRef/>
      </w:r>
      <w:r w:rsidRPr="00F03917">
        <w:t xml:space="preserve"> </w:t>
      </w:r>
      <w:r w:rsidR="00DE6C89" w:rsidRPr="00F03917">
        <w:tab/>
      </w:r>
      <w:r w:rsidRPr="00F03917">
        <w:rPr>
          <w:i/>
        </w:rPr>
        <w:t>System</w:t>
      </w:r>
      <w:r w:rsidRPr="00F03917">
        <w:t xml:space="preserve"> is a set of interrelated or interacting elements (ISO 14091:2021) or through a </w:t>
      </w:r>
      <w:r w:rsidR="00FC4645" w:rsidRPr="00F03917">
        <w:t>t</w:t>
      </w:r>
      <w:r w:rsidRPr="00F03917">
        <w:t xml:space="preserve">e </w:t>
      </w:r>
      <w:r w:rsidR="00FC4645" w:rsidRPr="00F03917">
        <w:t>a</w:t>
      </w:r>
      <w:r w:rsidRPr="00F03917">
        <w:t>o Māori lens, the</w:t>
      </w:r>
      <w:r w:rsidR="00B7232A" w:rsidRPr="00F03917">
        <w:t> </w:t>
      </w:r>
      <w:r w:rsidRPr="00F03917">
        <w:t xml:space="preserve">implicit connectedness between </w:t>
      </w:r>
      <w:r w:rsidRPr="00F03917">
        <w:rPr>
          <w:i/>
          <w:iCs/>
        </w:rPr>
        <w:t>taiao</w:t>
      </w:r>
      <w:r w:rsidRPr="00F03917">
        <w:t xml:space="preserve"> (environment) and </w:t>
      </w:r>
      <w:r w:rsidRPr="00F03917">
        <w:rPr>
          <w:i/>
          <w:iCs/>
        </w:rPr>
        <w:t>tangata</w:t>
      </w:r>
      <w:r w:rsidRPr="00F03917">
        <w:t xml:space="preserve"> (people) and related mātāpono or guiding principles (MfE, 2019</w:t>
      </w:r>
      <w:r w:rsidR="00C65686" w:rsidRPr="00F03917">
        <w:t>,</w:t>
      </w:r>
      <w:r w:rsidRPr="00F03917">
        <w:t xml:space="preserve"> Box 1).</w:t>
      </w:r>
    </w:p>
  </w:footnote>
  <w:footnote w:id="60">
    <w:p w14:paraId="43DA331F" w14:textId="36AD342B" w:rsidR="004F6AF6" w:rsidRPr="00F03917" w:rsidRDefault="004F6AF6" w:rsidP="00AC7225">
      <w:pPr>
        <w:pStyle w:val="FootnoteText"/>
      </w:pPr>
      <w:r w:rsidRPr="00F03917">
        <w:rPr>
          <w:rStyle w:val="FootnoteReference"/>
        </w:rPr>
        <w:footnoteRef/>
      </w:r>
      <w:r w:rsidRPr="00F03917">
        <w:t xml:space="preserve"> </w:t>
      </w:r>
      <w:r w:rsidR="00AC7225" w:rsidRPr="00F03917">
        <w:tab/>
      </w:r>
      <w:r w:rsidRPr="00F03917">
        <w:rPr>
          <w:i/>
        </w:rPr>
        <w:t>Fragility</w:t>
      </w:r>
      <w:r w:rsidRPr="00F03917">
        <w:rPr>
          <w:i/>
          <w:iCs/>
        </w:rPr>
        <w:t xml:space="preserve"> </w:t>
      </w:r>
      <w:r w:rsidR="00A825CD" w:rsidRPr="00F03917">
        <w:t>is</w:t>
      </w:r>
      <w:r w:rsidRPr="00F03917">
        <w:t xml:space="preserve"> more widely used than sensitivity in the engineering sector in the context of buildings, utility services and infrastructure sensitivity to damage and failure from exposure to a hazard</w:t>
      </w:r>
      <w:r w:rsidR="00AC7225" w:rsidRPr="00F03917">
        <w:t>.</w:t>
      </w:r>
    </w:p>
  </w:footnote>
  <w:footnote w:id="61">
    <w:p w14:paraId="72F6693F" w14:textId="0F4C7359" w:rsidR="001420B6" w:rsidRPr="00F03917" w:rsidRDefault="001420B6" w:rsidP="001420B6">
      <w:pPr>
        <w:pStyle w:val="FootnoteText"/>
      </w:pPr>
      <w:r w:rsidRPr="00F03917">
        <w:rPr>
          <w:rStyle w:val="FootnoteReference"/>
        </w:rPr>
        <w:footnoteRef/>
      </w:r>
      <w:r w:rsidRPr="00F03917">
        <w:t xml:space="preserve"> </w:t>
      </w:r>
      <w:r w:rsidR="00271394" w:rsidRPr="00F03917">
        <w:tab/>
      </w:r>
      <w:r w:rsidRPr="00F03917">
        <w:t xml:space="preserve">See </w:t>
      </w:r>
      <w:r w:rsidR="00443E78" w:rsidRPr="00F03917">
        <w:t>a</w:t>
      </w:r>
      <w:r w:rsidRPr="00F03917">
        <w:t>nnex C, ISO 14091:2021</w:t>
      </w:r>
      <w:r w:rsidR="00D11697" w:rsidRPr="00F03917">
        <w:t>.</w:t>
      </w:r>
    </w:p>
  </w:footnote>
  <w:footnote w:id="62">
    <w:p w14:paraId="390768DC" w14:textId="28C91682" w:rsidR="00B97AE2" w:rsidRPr="00F03917" w:rsidRDefault="00B97AE2" w:rsidP="00B97AE2">
      <w:pPr>
        <w:pStyle w:val="FootnoteText"/>
      </w:pPr>
      <w:r w:rsidRPr="00F03917">
        <w:rPr>
          <w:rStyle w:val="FootnoteReference"/>
        </w:rPr>
        <w:footnoteRef/>
      </w:r>
      <w:r w:rsidRPr="00F03917">
        <w:t xml:space="preserve"> </w:t>
      </w:r>
      <w:r w:rsidR="00271394" w:rsidRPr="00F03917">
        <w:tab/>
      </w:r>
      <w:r w:rsidRPr="00F03917">
        <w:t>See section 6.3</w:t>
      </w:r>
      <w:r w:rsidR="00636D6C" w:rsidRPr="00F03917">
        <w:t>,</w:t>
      </w:r>
      <w:r w:rsidRPr="00F03917">
        <w:t xml:space="preserve"> ISO 14090:2019, section 6.5</w:t>
      </w:r>
      <w:r w:rsidR="00636D6C" w:rsidRPr="00F03917">
        <w:t>,</w:t>
      </w:r>
      <w:r w:rsidRPr="00F03917">
        <w:t xml:space="preserve"> ISO 14092:2020 and </w:t>
      </w:r>
      <w:r w:rsidR="00443E78" w:rsidRPr="00F03917">
        <w:t>a</w:t>
      </w:r>
      <w:r w:rsidRPr="00F03917">
        <w:t>nnex G</w:t>
      </w:r>
      <w:r w:rsidR="00636D6C" w:rsidRPr="00F03917">
        <w:t>,</w:t>
      </w:r>
      <w:r w:rsidRPr="00F03917">
        <w:t xml:space="preserve"> ISO 14091:2021.</w:t>
      </w:r>
    </w:p>
  </w:footnote>
  <w:footnote w:id="63">
    <w:p w14:paraId="5BC7B1DE" w14:textId="3E7E7938" w:rsidR="00490A5C" w:rsidRPr="00F03917" w:rsidRDefault="00490A5C" w:rsidP="00490A5C">
      <w:pPr>
        <w:pStyle w:val="FootnoteText"/>
      </w:pPr>
      <w:r w:rsidRPr="00F03917">
        <w:rPr>
          <w:rStyle w:val="FootnoteReference"/>
        </w:rPr>
        <w:footnoteRef/>
      </w:r>
      <w:r w:rsidRPr="00F03917">
        <w:t xml:space="preserve"> </w:t>
      </w:r>
      <w:r w:rsidR="00F461E2" w:rsidRPr="00F03917">
        <w:tab/>
      </w:r>
      <w:r w:rsidRPr="00F03917">
        <w:t>Policy 1</w:t>
      </w:r>
      <w:r w:rsidR="00DB7B50" w:rsidRPr="00F03917">
        <w:t>,</w:t>
      </w:r>
      <w:r w:rsidRPr="00F03917">
        <w:t xml:space="preserve"> </w:t>
      </w:r>
      <w:r w:rsidR="00331EBE" w:rsidRPr="00F03917">
        <w:t>New Zealand Coastal Policy Statement</w:t>
      </w:r>
      <w:r w:rsidR="00331EBE" w:rsidRPr="00F03917" w:rsidDel="00DB7B50">
        <w:t xml:space="preserve"> </w:t>
      </w:r>
      <w:r w:rsidRPr="00F03917" w:rsidDel="00DB7B50">
        <w:t>(</w:t>
      </w:r>
      <w:r w:rsidRPr="00F03917">
        <w:t>NZCPS</w:t>
      </w:r>
      <w:r w:rsidR="00331EBE" w:rsidRPr="00F03917">
        <w:t>)</w:t>
      </w:r>
      <w:r w:rsidR="00DB7B50" w:rsidRPr="00F03917">
        <w:t xml:space="preserve"> (DOC, 2010</w:t>
      </w:r>
      <w:r w:rsidRPr="00F03917">
        <w:t xml:space="preserve">) and p 14 </w:t>
      </w:r>
      <w:r w:rsidR="00273C13" w:rsidRPr="00F03917">
        <w:t xml:space="preserve">of the NZCPS 2010 guidance note </w:t>
      </w:r>
      <w:r w:rsidRPr="00F03917">
        <w:t>(D</w:t>
      </w:r>
      <w:r w:rsidR="00330D75" w:rsidRPr="00F03917">
        <w:t>O</w:t>
      </w:r>
      <w:r w:rsidRPr="00F03917">
        <w:t>C, 2017)</w:t>
      </w:r>
      <w:r w:rsidR="00273C13" w:rsidRPr="00F03917">
        <w:t>.</w:t>
      </w:r>
    </w:p>
  </w:footnote>
  <w:footnote w:id="64">
    <w:p w14:paraId="2FF3D15E" w14:textId="5213C3C3" w:rsidR="005A1E92" w:rsidRPr="00F03917" w:rsidRDefault="005A1E92" w:rsidP="005A1E92">
      <w:pPr>
        <w:pStyle w:val="FootnoteText"/>
      </w:pPr>
      <w:r w:rsidRPr="00F03917">
        <w:rPr>
          <w:rStyle w:val="FootnoteReference"/>
        </w:rPr>
        <w:footnoteRef/>
      </w:r>
      <w:r w:rsidRPr="00F03917">
        <w:t xml:space="preserve"> </w:t>
      </w:r>
      <w:r w:rsidRPr="00F03917">
        <w:tab/>
        <w:t>RiskScape</w:t>
      </w:r>
      <w:r w:rsidRPr="00F03917">
        <w:rPr>
          <w:vertAlign w:val="superscript"/>
        </w:rPr>
        <w:t>TM</w:t>
      </w:r>
      <w:r w:rsidRPr="00F03917">
        <w:t xml:space="preserve"> is being continually developed by </w:t>
      </w:r>
      <w:r w:rsidR="004C563B" w:rsidRPr="00F03917">
        <w:t xml:space="preserve">the </w:t>
      </w:r>
      <w:r w:rsidRPr="00F03917">
        <w:t>N</w:t>
      </w:r>
      <w:r w:rsidR="00A631AB" w:rsidRPr="00F03917">
        <w:t xml:space="preserve">ational </w:t>
      </w:r>
      <w:r w:rsidRPr="00F03917">
        <w:t>I</w:t>
      </w:r>
      <w:r w:rsidR="00A631AB" w:rsidRPr="00F03917">
        <w:t xml:space="preserve">nstitute of </w:t>
      </w:r>
      <w:r w:rsidRPr="00F03917">
        <w:t>W</w:t>
      </w:r>
      <w:r w:rsidR="00A631AB" w:rsidRPr="00F03917">
        <w:t xml:space="preserve">ater and </w:t>
      </w:r>
      <w:r w:rsidRPr="00F03917">
        <w:t>A</w:t>
      </w:r>
      <w:r w:rsidR="00A631AB" w:rsidRPr="00F03917">
        <w:t>tmospheric Research</w:t>
      </w:r>
      <w:r w:rsidRPr="00F03917">
        <w:t>, GNS Science, Toka Tū Ake EQC and Catalyst (</w:t>
      </w:r>
      <w:hyperlink r:id="rId19" w:history="1">
        <w:r w:rsidRPr="00F03917">
          <w:rPr>
            <w:rStyle w:val="Hyperlink"/>
          </w:rPr>
          <w:t>https://riskscape.org.nz/</w:t>
        </w:r>
      </w:hyperlink>
      <w:r w:rsidRPr="00F03917">
        <w:t xml:space="preserve">). </w:t>
      </w:r>
    </w:p>
  </w:footnote>
  <w:footnote w:id="65">
    <w:p w14:paraId="37B3DC64" w14:textId="23A09D1F" w:rsidR="005A1E92" w:rsidRPr="00F03917" w:rsidRDefault="005A1E92" w:rsidP="005A1E92">
      <w:pPr>
        <w:pStyle w:val="FootnoteText"/>
      </w:pPr>
      <w:r w:rsidRPr="00F03917">
        <w:rPr>
          <w:rStyle w:val="FootnoteReference"/>
        </w:rPr>
        <w:footnoteRef/>
      </w:r>
      <w:r w:rsidRPr="00F03917">
        <w:t xml:space="preserve"> </w:t>
      </w:r>
      <w:r w:rsidRPr="00F03917">
        <w:tab/>
      </w:r>
      <w:r w:rsidR="00EB1CC1" w:rsidRPr="00F03917">
        <w:t>RNZ</w:t>
      </w:r>
      <w:r w:rsidR="00F7405C" w:rsidRPr="00F03917">
        <w:t>.</w:t>
      </w:r>
      <w:r w:rsidR="00EB1CC1" w:rsidRPr="00F03917">
        <w:t xml:space="preserve"> </w:t>
      </w:r>
      <w:hyperlink r:id="rId20" w:history="1">
        <w:r w:rsidR="00EB1CC1" w:rsidRPr="00F03917">
          <w:rPr>
            <w:rStyle w:val="Hyperlink"/>
            <w:i/>
          </w:rPr>
          <w:t>Cost benefits of Westport flood scheme tipped to top $200m</w:t>
        </w:r>
      </w:hyperlink>
      <w:r w:rsidR="00F7405C" w:rsidRPr="00F03917">
        <w:t>. Retrieved 23 February 2024.</w:t>
      </w:r>
      <w:r w:rsidR="00EB1CC1" w:rsidRPr="00F03917">
        <w:t xml:space="preserve"> </w:t>
      </w:r>
    </w:p>
  </w:footnote>
  <w:footnote w:id="66">
    <w:p w14:paraId="0A1AA89F" w14:textId="513E7F0E" w:rsidR="005A1E92" w:rsidRPr="00F03917" w:rsidRDefault="005A1E92" w:rsidP="005A1E92">
      <w:pPr>
        <w:pStyle w:val="FootnoteText"/>
      </w:pPr>
      <w:r w:rsidRPr="00F03917">
        <w:rPr>
          <w:rStyle w:val="FootnoteReference"/>
        </w:rPr>
        <w:footnoteRef/>
      </w:r>
      <w:r w:rsidRPr="00F03917">
        <w:tab/>
      </w:r>
      <w:r w:rsidR="003C3171" w:rsidRPr="00F03917">
        <w:t>Resilience</w:t>
      </w:r>
      <w:r w:rsidR="004C563B" w:rsidRPr="00F03917">
        <w:t xml:space="preserve"> Explorer. </w:t>
      </w:r>
      <w:r w:rsidR="004C563B" w:rsidRPr="00F03917">
        <w:rPr>
          <w:i/>
        </w:rPr>
        <w:t>A local-national scale resilience planning dashboard for New Zealand</w:t>
      </w:r>
      <w:r w:rsidR="004C563B" w:rsidRPr="00F03917">
        <w:t>. Retrieved 24</w:t>
      </w:r>
      <w:r w:rsidR="00E72E83" w:rsidRPr="00F03917">
        <w:t> </w:t>
      </w:r>
      <w:r w:rsidR="004C563B" w:rsidRPr="00F03917">
        <w:t>February 2024.</w:t>
      </w:r>
      <w:r w:rsidR="00B83EB1" w:rsidRPr="00F03917">
        <w:t xml:space="preserve"> </w:t>
      </w:r>
    </w:p>
  </w:footnote>
  <w:footnote w:id="67">
    <w:p w14:paraId="3BC38965" w14:textId="3824EC4F" w:rsidR="005A1E92" w:rsidRPr="00F03917" w:rsidRDefault="005A1E92" w:rsidP="005A1E92">
      <w:pPr>
        <w:pStyle w:val="FootnoteText"/>
      </w:pPr>
      <w:r w:rsidRPr="00F03917">
        <w:rPr>
          <w:rStyle w:val="FootnoteReference"/>
        </w:rPr>
        <w:footnoteRef/>
      </w:r>
      <w:r w:rsidRPr="00F03917">
        <w:t xml:space="preserve"> </w:t>
      </w:r>
      <w:r w:rsidRPr="00F03917">
        <w:tab/>
      </w:r>
      <w:r w:rsidR="008B18AC" w:rsidRPr="00F03917">
        <w:t>See Urban Intelligence, Access Resilience</w:t>
      </w:r>
      <w:r w:rsidR="00275F3B" w:rsidRPr="00F03917">
        <w:t>,</w:t>
      </w:r>
      <w:r w:rsidR="008B18AC" w:rsidRPr="00F03917">
        <w:t xml:space="preserve"> for a </w:t>
      </w:r>
      <w:r w:rsidRPr="00F03917">
        <w:t xml:space="preserve">Christchurch example for geo-hazards </w:t>
      </w:r>
      <w:r w:rsidR="00275F3B" w:rsidRPr="00F03917">
        <w:t>(</w:t>
      </w:r>
      <w:hyperlink r:id="rId21" w:history="1">
        <w:r w:rsidR="00275F3B" w:rsidRPr="00F03917">
          <w:rPr>
            <w:rStyle w:val="Hyperlink"/>
          </w:rPr>
          <w:t>https://research.uintel.co.nz/access-resilience/</w:t>
        </w:r>
      </w:hyperlink>
      <w:r w:rsidR="00275F3B" w:rsidRPr="00F03917">
        <w:rPr>
          <w:rStyle w:val="Hyperlink"/>
        </w:rPr>
        <w:t>).</w:t>
      </w:r>
    </w:p>
  </w:footnote>
  <w:footnote w:id="68">
    <w:p w14:paraId="61E1DCED" w14:textId="7BA8A4EB" w:rsidR="005316CC" w:rsidRPr="00F03917" w:rsidRDefault="005316CC" w:rsidP="005316CC">
      <w:pPr>
        <w:pStyle w:val="FootnoteText"/>
      </w:pPr>
      <w:r w:rsidRPr="00F03917">
        <w:rPr>
          <w:rStyle w:val="FootnoteReference"/>
        </w:rPr>
        <w:footnoteRef/>
      </w:r>
      <w:r w:rsidRPr="00F03917">
        <w:t xml:space="preserve"> </w:t>
      </w:r>
      <w:r w:rsidRPr="00F03917">
        <w:tab/>
        <w:t xml:space="preserve">CIrcle is Critical Infrastructures: Relations and Consequences for Life and Environment. See </w:t>
      </w:r>
      <w:hyperlink r:id="rId22" w:history="1">
        <w:r w:rsidRPr="00F03917">
          <w:rPr>
            <w:rStyle w:val="Hyperlink"/>
          </w:rPr>
          <w:t>https://circle.deltares.org/</w:t>
        </w:r>
      </w:hyperlink>
      <w:r w:rsidRPr="00F03917">
        <w:t xml:space="preserve"> and </w:t>
      </w:r>
      <w:hyperlink r:id="rId23" w:history="1">
        <w:r w:rsidR="005069EF" w:rsidRPr="00F03917">
          <w:rPr>
            <w:rStyle w:val="Hyperlink"/>
          </w:rPr>
          <w:t>www.deltares.nl/en/software-and-data/products/circle-critical-infrastructures</w:t>
        </w:r>
      </w:hyperlink>
      <w:r w:rsidR="00B95404" w:rsidRPr="00F03917">
        <w:t>.</w:t>
      </w:r>
    </w:p>
  </w:footnote>
  <w:footnote w:id="69">
    <w:p w14:paraId="37580BE0" w14:textId="3BD2DA89" w:rsidR="00505C9B" w:rsidRPr="00F03917" w:rsidRDefault="00505C9B" w:rsidP="00505C9B">
      <w:pPr>
        <w:pStyle w:val="FootnoteText"/>
      </w:pPr>
      <w:r w:rsidRPr="00F03917">
        <w:rPr>
          <w:rStyle w:val="FootnoteReference"/>
          <w:rFonts w:asciiTheme="minorHAnsi" w:hAnsiTheme="minorHAnsi"/>
          <w:sz w:val="18"/>
          <w:szCs w:val="18"/>
        </w:rPr>
        <w:footnoteRef/>
      </w:r>
      <w:r w:rsidRPr="00F03917">
        <w:t xml:space="preserve"> </w:t>
      </w:r>
      <w:r w:rsidRPr="00F03917">
        <w:tab/>
        <w:t xml:space="preserve">Adapted from chapter 1 (MfE, 2021) and sections 4.2 and 5.2 of ISO 14091:2021. For further guidance, see strategic documents such as </w:t>
      </w:r>
      <w:r w:rsidRPr="00F03917">
        <w:rPr>
          <w:i/>
        </w:rPr>
        <w:t>Arotakenga Huringa Āhuarangi: A Framework for the National Climate Change Risk Assessment</w:t>
      </w:r>
      <w:r w:rsidRPr="00F03917">
        <w:t xml:space="preserve"> (MfE, 2019), the first national climate change risk assessment (MfE, 2020a) and the local government climate risk assessment guidance (MfE, 2021, section 1.2), local and regional strategic statements, and iwi management and environmental plans. </w:t>
      </w:r>
    </w:p>
  </w:footnote>
  <w:footnote w:id="70">
    <w:p w14:paraId="0E5AEC8A" w14:textId="644C94D4" w:rsidR="00456FED" w:rsidRPr="00F03917" w:rsidRDefault="00456FED" w:rsidP="00E502F6">
      <w:pPr>
        <w:pStyle w:val="FootnoteText"/>
      </w:pPr>
      <w:r w:rsidRPr="00F03917">
        <w:rPr>
          <w:rStyle w:val="FootnoteReference"/>
          <w:rFonts w:asciiTheme="minorHAnsi" w:hAnsiTheme="minorHAnsi"/>
          <w:sz w:val="18"/>
          <w:szCs w:val="18"/>
        </w:rPr>
        <w:footnoteRef/>
      </w:r>
      <w:r w:rsidRPr="00F03917">
        <w:rPr>
          <w:rStyle w:val="FootnoteReference"/>
          <w:rFonts w:asciiTheme="minorHAnsi" w:hAnsiTheme="minorHAnsi"/>
          <w:sz w:val="18"/>
          <w:szCs w:val="18"/>
        </w:rPr>
        <w:t xml:space="preserve"> </w:t>
      </w:r>
      <w:r w:rsidR="00E502F6" w:rsidRPr="00F03917">
        <w:tab/>
      </w:r>
      <w:r w:rsidRPr="00F03917">
        <w:t>Adapted from chapter 2 (MfE, 2021) and sections 5.4–5.9 of ISO 14091:2021.</w:t>
      </w:r>
    </w:p>
  </w:footnote>
  <w:footnote w:id="71">
    <w:p w14:paraId="51311CA2" w14:textId="4FAB3C0F" w:rsidR="00456FED" w:rsidRPr="00F03917" w:rsidRDefault="00456FED" w:rsidP="00E502F6">
      <w:pPr>
        <w:pStyle w:val="FootnoteText"/>
      </w:pPr>
      <w:r w:rsidRPr="00F03917">
        <w:rPr>
          <w:rStyle w:val="FootnoteReference"/>
          <w:rFonts w:asciiTheme="minorHAnsi" w:hAnsiTheme="minorHAnsi"/>
          <w:sz w:val="18"/>
          <w:szCs w:val="18"/>
        </w:rPr>
        <w:footnoteRef/>
      </w:r>
      <w:r w:rsidRPr="00F03917">
        <w:t xml:space="preserve"> </w:t>
      </w:r>
      <w:r w:rsidR="00E502F6" w:rsidRPr="00F03917">
        <w:tab/>
      </w:r>
      <w:r w:rsidRPr="00F03917">
        <w:t>See figure 5.5 and annex A of ISO 14090:2019. Include whether it covers a single district</w:t>
      </w:r>
      <w:r w:rsidR="000A6136" w:rsidRPr="00F03917">
        <w:t xml:space="preserve"> and</w:t>
      </w:r>
      <w:r w:rsidRPr="00F03917">
        <w:t>/</w:t>
      </w:r>
      <w:r w:rsidR="000A6136" w:rsidRPr="00F03917">
        <w:t xml:space="preserve">or </w:t>
      </w:r>
      <w:r w:rsidRPr="00F03917">
        <w:t>city, an entire region (eg, an initial high-level risk screening) or a comparison of districts or coastal units (eg, Hawke’s Bay Tangoio to Clifton 2120 strategy, Lawrence et al, 2019) or the Auckland Shoreline Adaptation Plan (Carpenter et al, 2017</w:t>
      </w:r>
      <w:r w:rsidR="5AE910EF" w:rsidRPr="00F03917">
        <w:t>,</w:t>
      </w:r>
      <w:r w:rsidRPr="00F03917">
        <w:t xml:space="preserve"> 2022</w:t>
      </w:r>
      <w:r w:rsidR="5AE910EF" w:rsidRPr="00F03917">
        <w:t>).</w:t>
      </w:r>
    </w:p>
  </w:footnote>
  <w:footnote w:id="72">
    <w:p w14:paraId="5895B627" w14:textId="47A8442D" w:rsidR="005E0ADD" w:rsidRPr="00F03917" w:rsidRDefault="005E0ADD" w:rsidP="005E0ADD">
      <w:pPr>
        <w:pStyle w:val="FootnoteText"/>
        <w:rPr>
          <w:lang w:val="mi-NZ"/>
        </w:rPr>
      </w:pPr>
      <w:r w:rsidRPr="00F03917">
        <w:rPr>
          <w:rStyle w:val="FootnoteReference"/>
        </w:rPr>
        <w:footnoteRef/>
      </w:r>
      <w:r w:rsidRPr="00F03917">
        <w:t xml:space="preserve"> </w:t>
      </w:r>
      <w:r w:rsidRPr="00F03917">
        <w:tab/>
        <w:t>Further guidance on acquiring and managing data and risk elements is in sections 6.3</w:t>
      </w:r>
      <w:r w:rsidR="008411E6" w:rsidRPr="00F03917">
        <w:t xml:space="preserve"> and </w:t>
      </w:r>
      <w:r w:rsidRPr="00F03917">
        <w:t>6.4 of ISO 14091:2021 and sections 3.1 and 3.2 of the local climate risk assessment guidance (MfE, 2021).</w:t>
      </w:r>
    </w:p>
  </w:footnote>
  <w:footnote w:id="73">
    <w:p w14:paraId="0279E524" w14:textId="77777777" w:rsidR="005E0ADD" w:rsidRPr="00F03917" w:rsidRDefault="005E0ADD" w:rsidP="005E0ADD">
      <w:pPr>
        <w:pStyle w:val="FootnoteText"/>
      </w:pPr>
      <w:r w:rsidRPr="00F03917">
        <w:rPr>
          <w:rStyle w:val="FootnoteReference"/>
        </w:rPr>
        <w:footnoteRef/>
      </w:r>
      <w:r w:rsidRPr="00F03917">
        <w:t xml:space="preserve"> </w:t>
      </w:r>
      <w:r w:rsidRPr="00F03917">
        <w:tab/>
        <w:t>Note that the NZCPS policy direction differs, depending on which of these applies. Planning where there is existing development could enable an acceptance of an existing risk.</w:t>
      </w:r>
    </w:p>
  </w:footnote>
  <w:footnote w:id="74">
    <w:p w14:paraId="27BDB29D" w14:textId="208AAF57" w:rsidR="00C72FF4" w:rsidRPr="00F03917" w:rsidRDefault="00C72FF4" w:rsidP="006446A3">
      <w:pPr>
        <w:pStyle w:val="FootnoteText"/>
      </w:pPr>
      <w:r w:rsidRPr="00F03917">
        <w:rPr>
          <w:rStyle w:val="FootnoteReference"/>
        </w:rPr>
        <w:footnoteRef/>
      </w:r>
      <w:r w:rsidRPr="00F03917">
        <w:t xml:space="preserve"> </w:t>
      </w:r>
      <w:r w:rsidR="00270645" w:rsidRPr="00F03917">
        <w:tab/>
      </w:r>
      <w:r w:rsidR="006B6DDC" w:rsidRPr="00F03917">
        <w:t xml:space="preserve">Bay of Plenty Regional Council, </w:t>
      </w:r>
      <w:hyperlink r:id="rId24" w:history="1">
        <w:r w:rsidR="006B6DDC" w:rsidRPr="00F03917">
          <w:rPr>
            <w:rStyle w:val="Hyperlink"/>
            <w:i/>
          </w:rPr>
          <w:t>Environment</w:t>
        </w:r>
      </w:hyperlink>
      <w:r w:rsidR="006B6DDC" w:rsidRPr="00F03917">
        <w:t>. Retrieved 24 February 2024.</w:t>
      </w:r>
      <w:hyperlink w:history="1"/>
    </w:p>
  </w:footnote>
  <w:footnote w:id="75">
    <w:p w14:paraId="301D2B7E" w14:textId="0F9855D4" w:rsidR="00CF373F" w:rsidRPr="00F03917" w:rsidRDefault="00CF373F" w:rsidP="00FC64D2">
      <w:pPr>
        <w:pStyle w:val="FootnoteText"/>
        <w:spacing w:after="40"/>
      </w:pPr>
      <w:r w:rsidRPr="00F03917">
        <w:rPr>
          <w:rStyle w:val="FootnoteReference"/>
        </w:rPr>
        <w:footnoteRef/>
      </w:r>
      <w:r w:rsidRPr="00F03917">
        <w:t xml:space="preserve"> </w:t>
      </w:r>
      <w:r w:rsidR="00FC64D2" w:rsidRPr="00F03917">
        <w:tab/>
      </w:r>
      <w:r w:rsidRPr="00F03917">
        <w:t xml:space="preserve">NZ SeaRise platform has </w:t>
      </w:r>
      <w:r w:rsidRPr="00F03917">
        <w:rPr>
          <w:i/>
          <w:iCs/>
        </w:rPr>
        <w:t>medium confidence</w:t>
      </w:r>
      <w:r w:rsidRPr="00F03917">
        <w:t xml:space="preserve"> projections out to 2150</w:t>
      </w:r>
      <w:r w:rsidR="00D042E6" w:rsidRPr="00F03917">
        <w:t>.</w:t>
      </w:r>
    </w:p>
  </w:footnote>
  <w:footnote w:id="76">
    <w:p w14:paraId="012139F2" w14:textId="03754F7C" w:rsidR="00394B3C" w:rsidRPr="00F03917" w:rsidRDefault="00394B3C" w:rsidP="00FC64D2">
      <w:pPr>
        <w:pStyle w:val="FootnoteText"/>
        <w:spacing w:after="40"/>
      </w:pPr>
      <w:r w:rsidRPr="00F03917">
        <w:rPr>
          <w:rStyle w:val="FootnoteReference"/>
        </w:rPr>
        <w:footnoteRef/>
      </w:r>
      <w:r w:rsidRPr="00F03917">
        <w:t xml:space="preserve"> </w:t>
      </w:r>
      <w:r w:rsidR="00270645" w:rsidRPr="00F03917">
        <w:tab/>
      </w:r>
      <w:r w:rsidR="001B2859" w:rsidRPr="00F03917">
        <w:t xml:space="preserve">Land Information New Zealand. </w:t>
      </w:r>
      <w:hyperlink r:id="rId25" w:history="1">
        <w:r w:rsidR="001B2859" w:rsidRPr="00F03917">
          <w:rPr>
            <w:rStyle w:val="Hyperlink"/>
            <w:i/>
          </w:rPr>
          <w:t>NZ Building Outlines</w:t>
        </w:r>
      </w:hyperlink>
      <w:r w:rsidR="001B2859" w:rsidRPr="00F03917">
        <w:t>. Retrieved 24 February 2024.</w:t>
      </w:r>
    </w:p>
  </w:footnote>
  <w:footnote w:id="77">
    <w:p w14:paraId="2C76CD61" w14:textId="5BDCAA65" w:rsidR="001A489D" w:rsidRPr="00F03917" w:rsidRDefault="001A489D" w:rsidP="00FC64D2">
      <w:pPr>
        <w:pStyle w:val="FootnoteText"/>
        <w:spacing w:after="40"/>
      </w:pPr>
      <w:r w:rsidRPr="00F03917">
        <w:rPr>
          <w:rStyle w:val="FootnoteReference"/>
        </w:rPr>
        <w:footnoteRef/>
      </w:r>
      <w:r w:rsidRPr="00F03917">
        <w:t xml:space="preserve"> </w:t>
      </w:r>
      <w:r w:rsidR="00FD385B" w:rsidRPr="00F03917">
        <w:tab/>
      </w:r>
      <w:r w:rsidRPr="00F03917">
        <w:rPr>
          <w:i/>
        </w:rPr>
        <w:t>Fragility</w:t>
      </w:r>
      <w:r w:rsidRPr="00F03917">
        <w:t xml:space="preserve"> is more widely used than </w:t>
      </w:r>
      <w:r w:rsidRPr="00F03917">
        <w:rPr>
          <w:i/>
        </w:rPr>
        <w:t>sensitivity</w:t>
      </w:r>
      <w:r w:rsidRPr="00F03917">
        <w:t xml:space="preserve"> in the engineering sector for buildings, utility services and infrastructure sensitivity to damage and failure from exposure to a hazard.</w:t>
      </w:r>
    </w:p>
  </w:footnote>
  <w:footnote w:id="78">
    <w:p w14:paraId="64B1DB53" w14:textId="46770856" w:rsidR="001A489D" w:rsidRPr="00F03917" w:rsidRDefault="001A489D" w:rsidP="00FC64D2">
      <w:pPr>
        <w:pStyle w:val="FootnoteText"/>
        <w:spacing w:after="40"/>
        <w:rPr>
          <w:lang w:val="mi-NZ"/>
        </w:rPr>
      </w:pPr>
      <w:r w:rsidRPr="00F03917">
        <w:rPr>
          <w:rStyle w:val="FootnoteReference"/>
        </w:rPr>
        <w:footnoteRef/>
      </w:r>
      <w:r w:rsidRPr="00F03917">
        <w:t xml:space="preserve"> </w:t>
      </w:r>
      <w:r w:rsidR="00FD385B" w:rsidRPr="00F03917">
        <w:tab/>
      </w:r>
      <w:r w:rsidRPr="00F03917">
        <w:t xml:space="preserve">Further guidance on assessing adaptive capacity is in ISO 14091:2021 (section 6.5 and </w:t>
      </w:r>
      <w:r w:rsidR="00284640" w:rsidRPr="00F03917">
        <w:t>a</w:t>
      </w:r>
      <w:r w:rsidRPr="00F03917">
        <w:t>nnexes G–H); ISO</w:t>
      </w:r>
      <w:r w:rsidR="009B51D5" w:rsidRPr="00F03917">
        <w:t> </w:t>
      </w:r>
      <w:r w:rsidRPr="00F03917">
        <w:t>14092:2020 (section 6.5) and MfE (2021).</w:t>
      </w:r>
    </w:p>
  </w:footnote>
  <w:footnote w:id="79">
    <w:p w14:paraId="1637FE3C" w14:textId="4EE76E6C" w:rsidR="001A489D" w:rsidRPr="00F03917" w:rsidRDefault="001A489D" w:rsidP="006446A3">
      <w:pPr>
        <w:pStyle w:val="FootnoteText"/>
      </w:pPr>
      <w:r w:rsidRPr="00F03917">
        <w:rPr>
          <w:rStyle w:val="FootnoteReference"/>
        </w:rPr>
        <w:footnoteRef/>
      </w:r>
      <w:r w:rsidRPr="00F03917">
        <w:t xml:space="preserve"> </w:t>
      </w:r>
      <w:r w:rsidR="00FD385B" w:rsidRPr="00F03917">
        <w:tab/>
      </w:r>
      <w:r w:rsidRPr="00F03917">
        <w:t xml:space="preserve">Further guidance on assessments of </w:t>
      </w:r>
      <w:r w:rsidRPr="00F03917">
        <w:rPr>
          <w:i/>
          <w:iCs/>
        </w:rPr>
        <w:t>adaptive capacity</w:t>
      </w:r>
      <w:r w:rsidRPr="00F03917">
        <w:t xml:space="preserve"> can be found in ISO 14091:2021 (see section 6.5 and </w:t>
      </w:r>
      <w:r w:rsidR="00061FD3" w:rsidRPr="00F03917">
        <w:t>a</w:t>
      </w:r>
      <w:r w:rsidRPr="00F03917">
        <w:t>nnexes G–H); ISO 14092:2020 (section 6.5) and MfE (2021).</w:t>
      </w:r>
    </w:p>
  </w:footnote>
  <w:footnote w:id="80">
    <w:p w14:paraId="5A72AB12" w14:textId="011E0891" w:rsidR="000D4779" w:rsidRPr="00F03917" w:rsidRDefault="000D4779">
      <w:pPr>
        <w:pStyle w:val="FootnoteText"/>
      </w:pPr>
      <w:r w:rsidRPr="00F03917">
        <w:rPr>
          <w:rStyle w:val="FootnoteReference"/>
        </w:rPr>
        <w:footnoteRef/>
      </w:r>
      <w:r w:rsidRPr="00F03917">
        <w:t xml:space="preserve"> </w:t>
      </w:r>
      <w:r w:rsidR="00D457EE" w:rsidRPr="00F03917">
        <w:tab/>
      </w:r>
      <w:r w:rsidR="0057670C" w:rsidRPr="00F03917">
        <w:t>Serious games are designed for community engagement to build players’ capacity for responding to the complex challenges that climate change presents for a ﬁctional coastal community.</w:t>
      </w:r>
    </w:p>
  </w:footnote>
  <w:footnote w:id="81">
    <w:p w14:paraId="155CF5B4" w14:textId="77777777" w:rsidR="003F21A7" w:rsidRPr="00F03917" w:rsidRDefault="003F21A7" w:rsidP="003F21A7">
      <w:pPr>
        <w:pStyle w:val="FootnoteText"/>
      </w:pPr>
      <w:r w:rsidRPr="00F03917">
        <w:rPr>
          <w:rStyle w:val="FootnoteReference"/>
        </w:rPr>
        <w:footnoteRef/>
      </w:r>
      <w:r w:rsidRPr="00F03917">
        <w:tab/>
        <w:t>Sites designated under the Convention on Wetlands (Ramsar Convention), which is an intergovernmental treaty that provides the framework for national action and international cooperation for the conservation and wise use of wetlands and their resources.</w:t>
      </w:r>
    </w:p>
  </w:footnote>
  <w:footnote w:id="82">
    <w:p w14:paraId="1B20E646" w14:textId="301FB5AE" w:rsidR="00673DAE" w:rsidRPr="00F03917" w:rsidRDefault="00673DAE" w:rsidP="00673DAE">
      <w:pPr>
        <w:pStyle w:val="FootnoteText"/>
      </w:pPr>
      <w:r w:rsidRPr="00F03917">
        <w:rPr>
          <w:rStyle w:val="FootnoteReference"/>
        </w:rPr>
        <w:footnoteRef/>
      </w:r>
      <w:r w:rsidRPr="00F03917">
        <w:tab/>
        <w:t>For more guidance</w:t>
      </w:r>
      <w:r w:rsidR="71DD38E8" w:rsidRPr="00F03917">
        <w:t>,</w:t>
      </w:r>
      <w:r w:rsidRPr="00F03917">
        <w:t xml:space="preserve"> see annex G and </w:t>
      </w:r>
      <w:r w:rsidR="3C708891" w:rsidRPr="00F03917">
        <w:t xml:space="preserve">annex </w:t>
      </w:r>
      <w:r w:rsidRPr="00F03917">
        <w:t>H of ISO 14091:2021, and the local climate risk guidance (MfE,</w:t>
      </w:r>
      <w:r w:rsidR="008E0409" w:rsidRPr="00F03917">
        <w:t> </w:t>
      </w:r>
      <w:r w:rsidRPr="00F03917">
        <w:t>2021).</w:t>
      </w:r>
    </w:p>
  </w:footnote>
  <w:footnote w:id="83">
    <w:p w14:paraId="276B67D7" w14:textId="737E719F" w:rsidR="00822A70" w:rsidRPr="00F03917" w:rsidRDefault="00822A70" w:rsidP="00E96CB6">
      <w:pPr>
        <w:pStyle w:val="FootnoteText"/>
        <w:spacing w:after="40"/>
      </w:pPr>
      <w:r w:rsidRPr="00F03917">
        <w:rPr>
          <w:rStyle w:val="FootnoteReference"/>
        </w:rPr>
        <w:footnoteRef/>
      </w:r>
      <w:r w:rsidRPr="00F03917">
        <w:t xml:space="preserve"> </w:t>
      </w:r>
      <w:r w:rsidR="00CF4972" w:rsidRPr="00F03917">
        <w:tab/>
      </w:r>
      <w:r w:rsidR="007A2A0C" w:rsidRPr="00F03917">
        <w:t xml:space="preserve">Consistent with the direction in </w:t>
      </w:r>
      <w:r w:rsidR="00263D54" w:rsidRPr="00F03917">
        <w:t xml:space="preserve">the </w:t>
      </w:r>
      <w:r w:rsidR="00170077" w:rsidRPr="00F03917">
        <w:t>New Zealand Coastal Policy Statement (</w:t>
      </w:r>
      <w:r w:rsidR="007A2A0C" w:rsidRPr="00F03917">
        <w:t>NZCPS</w:t>
      </w:r>
      <w:r w:rsidR="00170077" w:rsidRPr="00F03917">
        <w:t>)</w:t>
      </w:r>
      <w:r w:rsidR="007A2A0C" w:rsidRPr="00F03917">
        <w:t xml:space="preserve"> Policy 25 and Policy 27</w:t>
      </w:r>
      <w:r w:rsidR="00170077" w:rsidRPr="00F03917">
        <w:t xml:space="preserve"> (DOC, 2010).</w:t>
      </w:r>
    </w:p>
  </w:footnote>
  <w:footnote w:id="84">
    <w:p w14:paraId="74D4FE08" w14:textId="4A8CD74C" w:rsidR="006D4F6D" w:rsidRPr="00F03917" w:rsidRDefault="006D4F6D">
      <w:pPr>
        <w:pStyle w:val="FootnoteText"/>
      </w:pPr>
      <w:r w:rsidRPr="00F03917">
        <w:rPr>
          <w:rStyle w:val="FootnoteReference"/>
        </w:rPr>
        <w:footnoteRef/>
      </w:r>
      <w:r w:rsidR="00977ED4" w:rsidRPr="00F03917">
        <w:t xml:space="preserve"> </w:t>
      </w:r>
      <w:r w:rsidR="00CF4972" w:rsidRPr="00F03917">
        <w:tab/>
      </w:r>
      <w:r w:rsidR="00715115" w:rsidRPr="00F03917">
        <w:t>Note</w:t>
      </w:r>
      <w:r w:rsidR="00C43831" w:rsidRPr="00F03917">
        <w:t xml:space="preserve"> that</w:t>
      </w:r>
      <w:r w:rsidR="00715115" w:rsidRPr="00F03917">
        <w:t xml:space="preserve"> hard protection structures are discouraged by NZCPS (Policy 27</w:t>
      </w:r>
      <w:r w:rsidR="00170077" w:rsidRPr="00F03917">
        <w:t>, DOC, 2010</w:t>
      </w:r>
      <w:r w:rsidR="00715115" w:rsidRPr="00F03917">
        <w:t>) and the DOC (2017) guidance due to the potential for adverse effects on the coastal environment.</w:t>
      </w:r>
    </w:p>
  </w:footnote>
  <w:footnote w:id="85">
    <w:p w14:paraId="09F4CAD9" w14:textId="64460C32" w:rsidR="007C4D9C" w:rsidRPr="00F03917" w:rsidRDefault="007C4D9C">
      <w:pPr>
        <w:pStyle w:val="FootnoteText"/>
      </w:pPr>
      <w:r w:rsidRPr="00F03917">
        <w:rPr>
          <w:rStyle w:val="FootnoteReference"/>
        </w:rPr>
        <w:footnoteRef/>
      </w:r>
      <w:r w:rsidRPr="00F03917">
        <w:t xml:space="preserve"> </w:t>
      </w:r>
      <w:r w:rsidR="00501ECC" w:rsidRPr="00F03917">
        <w:tab/>
      </w:r>
      <w:r w:rsidR="00227876" w:rsidRPr="00F03917">
        <w:t>See NZCPS Policy 27 (DOC, 2010)</w:t>
      </w:r>
      <w:r w:rsidR="00501ECC" w:rsidRPr="00F03917">
        <w:t>.</w:t>
      </w:r>
    </w:p>
  </w:footnote>
  <w:footnote w:id="86">
    <w:p w14:paraId="4E94FCDA" w14:textId="74E5177B" w:rsidR="00BC2E1F" w:rsidRPr="00F03917" w:rsidRDefault="00BC2E1F" w:rsidP="006446A3">
      <w:pPr>
        <w:pStyle w:val="FootnoteText"/>
        <w:rPr>
          <w:lang w:val="en-US"/>
        </w:rPr>
      </w:pPr>
      <w:r w:rsidRPr="00F03917">
        <w:rPr>
          <w:rStyle w:val="FootnoteReference"/>
        </w:rPr>
        <w:footnoteRef/>
      </w:r>
      <w:r w:rsidRPr="00F03917">
        <w:t xml:space="preserve"> </w:t>
      </w:r>
      <w:r w:rsidR="00317E11" w:rsidRPr="00F03917">
        <w:tab/>
      </w:r>
      <w:r w:rsidRPr="00F03917">
        <w:rPr>
          <w:lang w:val="en-US"/>
        </w:rPr>
        <w:t>Many Objective RDM.</w:t>
      </w:r>
    </w:p>
  </w:footnote>
  <w:footnote w:id="87">
    <w:p w14:paraId="370D110C" w14:textId="0C0D6EAC" w:rsidR="004D35C9" w:rsidRPr="00F03917" w:rsidRDefault="004D35C9" w:rsidP="00703695">
      <w:pPr>
        <w:pStyle w:val="FootnoteText"/>
      </w:pPr>
      <w:r w:rsidRPr="00F03917">
        <w:rPr>
          <w:rStyle w:val="FootnoteReference"/>
        </w:rPr>
        <w:footnoteRef/>
      </w:r>
      <w:r w:rsidRPr="00F03917">
        <w:t xml:space="preserve"> </w:t>
      </w:r>
      <w:r w:rsidR="00703695" w:rsidRPr="00F03917">
        <w:tab/>
      </w:r>
      <w:r w:rsidR="00BB5675" w:rsidRPr="00F03917">
        <w:t>Covers</w:t>
      </w:r>
      <w:r w:rsidR="00BB5675" w:rsidRPr="00F03917">
        <w:rPr>
          <w:shd w:val="clear" w:color="auto" w:fill="FFFFFF"/>
        </w:rPr>
        <w:t xml:space="preserve"> a matter of national importance under section 6 of the R</w:t>
      </w:r>
      <w:r w:rsidR="00ED03DA" w:rsidRPr="00F03917">
        <w:rPr>
          <w:shd w:val="clear" w:color="auto" w:fill="FFFFFF"/>
        </w:rPr>
        <w:t xml:space="preserve">esource </w:t>
      </w:r>
      <w:r w:rsidR="00BB5675" w:rsidRPr="00F03917">
        <w:rPr>
          <w:shd w:val="clear" w:color="auto" w:fill="FFFFFF"/>
        </w:rPr>
        <w:t>M</w:t>
      </w:r>
      <w:r w:rsidR="00ED03DA" w:rsidRPr="00F03917">
        <w:rPr>
          <w:shd w:val="clear" w:color="auto" w:fill="FFFFFF"/>
        </w:rPr>
        <w:t xml:space="preserve">anagement </w:t>
      </w:r>
      <w:r w:rsidR="00BB5675" w:rsidRPr="00F03917">
        <w:rPr>
          <w:shd w:val="clear" w:color="auto" w:fill="FFFFFF"/>
        </w:rPr>
        <w:t>A</w:t>
      </w:r>
      <w:r w:rsidR="00ED03DA" w:rsidRPr="00F03917">
        <w:rPr>
          <w:shd w:val="clear" w:color="auto" w:fill="FFFFFF"/>
        </w:rPr>
        <w:t>ct 1991</w:t>
      </w:r>
      <w:r w:rsidR="00BB5675" w:rsidRPr="00F03917">
        <w:rPr>
          <w:shd w:val="clear" w:color="auto" w:fill="FFFFFF"/>
        </w:rPr>
        <w:t xml:space="preserve"> or a matter in order to give effect to</w:t>
      </w:r>
      <w:r w:rsidR="00703695" w:rsidRPr="00F03917">
        <w:rPr>
          <w:shd w:val="clear" w:color="auto" w:fill="FFFFFF"/>
        </w:rPr>
        <w:t> </w:t>
      </w:r>
      <w:r w:rsidR="00BB5675" w:rsidRPr="00F03917">
        <w:rPr>
          <w:shd w:val="clear" w:color="auto" w:fill="FFFFFF"/>
        </w:rPr>
        <w:t xml:space="preserve">any other </w:t>
      </w:r>
      <w:r w:rsidR="00989845" w:rsidRPr="00F03917">
        <w:rPr>
          <w:shd w:val="clear" w:color="auto" w:fill="FFFFFF"/>
        </w:rPr>
        <w:t>national policy statement</w:t>
      </w:r>
      <w:r w:rsidR="00BB5675" w:rsidRPr="00F03917">
        <w:rPr>
          <w:shd w:val="clear" w:color="auto" w:fill="FFFFFF"/>
        </w:rPr>
        <w:t>, including the N</w:t>
      </w:r>
      <w:r w:rsidR="006F70F4" w:rsidRPr="00F03917">
        <w:rPr>
          <w:shd w:val="clear" w:color="auto" w:fill="FFFFFF"/>
        </w:rPr>
        <w:t xml:space="preserve">ew </w:t>
      </w:r>
      <w:r w:rsidR="00BB5675" w:rsidRPr="00F03917">
        <w:rPr>
          <w:shd w:val="clear" w:color="auto" w:fill="FFFFFF"/>
        </w:rPr>
        <w:t>Z</w:t>
      </w:r>
      <w:r w:rsidR="006F70F4" w:rsidRPr="00F03917">
        <w:rPr>
          <w:shd w:val="clear" w:color="auto" w:fill="FFFFFF"/>
        </w:rPr>
        <w:t xml:space="preserve">ealand </w:t>
      </w:r>
      <w:r w:rsidR="00BB5675" w:rsidRPr="00F03917">
        <w:rPr>
          <w:shd w:val="clear" w:color="auto" w:fill="FFFFFF"/>
        </w:rPr>
        <w:t>C</w:t>
      </w:r>
      <w:r w:rsidR="006F70F4" w:rsidRPr="00F03917">
        <w:rPr>
          <w:shd w:val="clear" w:color="auto" w:fill="FFFFFF"/>
        </w:rPr>
        <w:t xml:space="preserve">oastal </w:t>
      </w:r>
      <w:r w:rsidR="00BB5675" w:rsidRPr="00F03917">
        <w:rPr>
          <w:shd w:val="clear" w:color="auto" w:fill="FFFFFF"/>
        </w:rPr>
        <w:t>P</w:t>
      </w:r>
      <w:r w:rsidR="006F70F4" w:rsidRPr="00F03917">
        <w:rPr>
          <w:shd w:val="clear" w:color="auto" w:fill="FFFFFF"/>
        </w:rPr>
        <w:t xml:space="preserve">olicy </w:t>
      </w:r>
      <w:r w:rsidR="00BB5675" w:rsidRPr="00F03917">
        <w:rPr>
          <w:shd w:val="clear" w:color="auto" w:fill="FFFFFF"/>
        </w:rPr>
        <w:t>S</w:t>
      </w:r>
      <w:r w:rsidR="006F70F4" w:rsidRPr="00F03917">
        <w:rPr>
          <w:shd w:val="clear" w:color="auto" w:fill="FFFFFF"/>
        </w:rPr>
        <w:t>tatement</w:t>
      </w:r>
      <w:r w:rsidR="00BB5675" w:rsidRPr="00F03917">
        <w:rPr>
          <w:shd w:val="clear" w:color="auto" w:fill="FFFFFF"/>
        </w:rPr>
        <w:t xml:space="preserve"> (section 3.32 </w:t>
      </w:r>
      <w:r w:rsidR="00989845" w:rsidRPr="00F03917">
        <w:rPr>
          <w:shd w:val="clear" w:color="auto" w:fill="FFFFFF"/>
        </w:rPr>
        <w:t xml:space="preserve">National Policy Statement </w:t>
      </w:r>
      <w:r w:rsidR="18A0D868" w:rsidRPr="00F03917">
        <w:rPr>
          <w:shd w:val="clear" w:color="auto" w:fill="FFFFFF"/>
        </w:rPr>
        <w:t>for</w:t>
      </w:r>
      <w:r w:rsidR="00AA0B12" w:rsidRPr="00F03917">
        <w:rPr>
          <w:shd w:val="clear" w:color="auto" w:fill="FFFFFF"/>
        </w:rPr>
        <w:t xml:space="preserve"> </w:t>
      </w:r>
      <w:r w:rsidR="18A0D868" w:rsidRPr="00F03917">
        <w:rPr>
          <w:shd w:val="clear" w:color="auto" w:fill="FFFFFF"/>
        </w:rPr>
        <w:t>Urban Development</w:t>
      </w:r>
      <w:r w:rsidR="00BB5675" w:rsidRPr="00F03917">
        <w:rPr>
          <w:shd w:val="clear" w:color="auto" w:fill="FFFFFF"/>
        </w:rPr>
        <w:t>).</w:t>
      </w:r>
    </w:p>
  </w:footnote>
  <w:footnote w:id="88">
    <w:p w14:paraId="4328493B" w14:textId="5A5077DF" w:rsidR="00DC42C9" w:rsidRPr="00F03917" w:rsidRDefault="00DC42C9">
      <w:pPr>
        <w:pStyle w:val="FootnoteText"/>
      </w:pPr>
      <w:r w:rsidRPr="00F03917">
        <w:rPr>
          <w:rStyle w:val="FootnoteReference"/>
        </w:rPr>
        <w:footnoteRef/>
      </w:r>
      <w:r w:rsidRPr="00F03917">
        <w:t xml:space="preserve"> </w:t>
      </w:r>
      <w:r w:rsidR="00661585" w:rsidRPr="00F03917">
        <w:tab/>
      </w:r>
      <w:r w:rsidR="00820CC7" w:rsidRPr="00F03917">
        <w:t xml:space="preserve">NZCPS </w:t>
      </w:r>
      <w:r w:rsidR="00820CC7" w:rsidRPr="00F03917">
        <w:rPr>
          <w:rFonts w:cs="Calibri"/>
          <w:shd w:val="clear" w:color="auto" w:fill="FFFFFF"/>
        </w:rPr>
        <w:t xml:space="preserve">Policy 27(1)(c) recognises hard protection may be </w:t>
      </w:r>
      <w:r w:rsidR="70B39644" w:rsidRPr="00F03917">
        <w:rPr>
          <w:rFonts w:cs="Calibri"/>
          <w:shd w:val="clear" w:color="auto" w:fill="FFFFFF"/>
        </w:rPr>
        <w:t xml:space="preserve">the </w:t>
      </w:r>
      <w:r w:rsidR="00820CC7" w:rsidRPr="00F03917">
        <w:rPr>
          <w:rFonts w:cs="Calibri"/>
          <w:shd w:val="clear" w:color="auto" w:fill="FFFFFF"/>
        </w:rPr>
        <w:t>only practical means to protect existing infrastructure of regional or national significance</w:t>
      </w:r>
      <w:r w:rsidR="00180594" w:rsidRPr="00F03917">
        <w:rPr>
          <w:rFonts w:cs="Calibri"/>
          <w:shd w:val="clear" w:color="auto" w:fill="FFFFFF"/>
        </w:rPr>
        <w:t xml:space="preserve"> (DOC, 2010)</w:t>
      </w:r>
      <w:r w:rsidR="70B39644" w:rsidRPr="00F03917">
        <w:rPr>
          <w:rFonts w:cs="Calibri"/>
          <w:shd w:val="clear" w:color="auto" w:fill="FFFFFF"/>
        </w:rPr>
        <w:t>.</w:t>
      </w:r>
    </w:p>
  </w:footnote>
  <w:footnote w:id="89">
    <w:p w14:paraId="5D6A8E86" w14:textId="3B32F691" w:rsidR="00ED1191" w:rsidRPr="00F03917" w:rsidRDefault="00ED1191" w:rsidP="0072465F">
      <w:pPr>
        <w:pStyle w:val="FootnoteText"/>
      </w:pPr>
      <w:r w:rsidRPr="00F03917">
        <w:rPr>
          <w:rStyle w:val="FootnoteReference"/>
        </w:rPr>
        <w:footnoteRef/>
      </w:r>
      <w:r w:rsidRPr="00F03917">
        <w:t xml:space="preserve"> </w:t>
      </w:r>
      <w:r w:rsidR="0072465F" w:rsidRPr="00F03917">
        <w:tab/>
      </w:r>
      <w:r w:rsidR="1B9C6BE0" w:rsidRPr="00F03917">
        <w:t>‘</w:t>
      </w:r>
      <w:r w:rsidRPr="00F03917">
        <w:t>Down-zoning</w:t>
      </w:r>
      <w:r w:rsidR="1B9C6BE0" w:rsidRPr="00F03917">
        <w:t>‘</w:t>
      </w:r>
      <w:r w:rsidRPr="00F03917">
        <w:t xml:space="preserve"> </w:t>
      </w:r>
      <w:r w:rsidR="00304320" w:rsidRPr="00F03917">
        <w:t xml:space="preserve">here </w:t>
      </w:r>
      <w:r w:rsidRPr="00F03917">
        <w:t>means to reduce or limit development or the number of buildings permitted in an</w:t>
      </w:r>
      <w:r w:rsidR="00FA1C4A" w:rsidRPr="00F03917">
        <w:t> </w:t>
      </w:r>
      <w:r w:rsidRPr="00F03917">
        <w:t>area.</w:t>
      </w:r>
    </w:p>
  </w:footnote>
  <w:footnote w:id="90">
    <w:p w14:paraId="0F89D827" w14:textId="703873C8" w:rsidR="00720B56" w:rsidRPr="00F03917" w:rsidRDefault="00720B56" w:rsidP="00FA1C4A">
      <w:pPr>
        <w:pStyle w:val="FootnoteText"/>
        <w:spacing w:after="0"/>
      </w:pPr>
      <w:r w:rsidRPr="00F03917">
        <w:rPr>
          <w:rStyle w:val="FootnoteReference"/>
        </w:rPr>
        <w:footnoteRef/>
      </w:r>
      <w:r w:rsidRPr="00F03917">
        <w:t xml:space="preserve"> </w:t>
      </w:r>
      <w:r w:rsidR="00FA1C4A" w:rsidRPr="00F03917">
        <w:tab/>
      </w:r>
      <w:r w:rsidRPr="00F03917">
        <w:t xml:space="preserve">See definition of </w:t>
      </w:r>
      <w:r w:rsidR="00E7495B" w:rsidRPr="00F03917">
        <w:t>‘</w:t>
      </w:r>
      <w:r w:rsidRPr="00F03917">
        <w:t>residential land</w:t>
      </w:r>
      <w:r w:rsidR="00E7495B" w:rsidRPr="00F03917">
        <w:t>’</w:t>
      </w:r>
      <w:r w:rsidRPr="00F03917">
        <w:t xml:space="preserve"> in section 2 of the Earthquake Commission Act 1993 and section 16 of the Natural Hazards Insurance Act 2023.</w:t>
      </w:r>
    </w:p>
  </w:footnote>
  <w:footnote w:id="91">
    <w:p w14:paraId="41C0DCFD" w14:textId="0CF3B274" w:rsidR="00AB734E" w:rsidRPr="00F03917" w:rsidRDefault="00AB734E">
      <w:pPr>
        <w:pStyle w:val="FootnoteText"/>
      </w:pPr>
      <w:r w:rsidRPr="00F03917">
        <w:rPr>
          <w:rStyle w:val="FootnoteReference"/>
        </w:rPr>
        <w:footnoteRef/>
      </w:r>
      <w:r w:rsidRPr="00F03917">
        <w:t xml:space="preserve"> </w:t>
      </w:r>
      <w:r w:rsidRPr="00F03917">
        <w:tab/>
        <w:t xml:space="preserve">For example, Christchurch: </w:t>
      </w:r>
      <w:hyperlink r:id="rId26" w:history="1">
        <w:r w:rsidRPr="00F03917">
          <w:rPr>
            <w:rStyle w:val="Hyperlink"/>
            <w:spacing w:val="-2"/>
          </w:rPr>
          <w:t>https://ccc.govt.nz/environment/coast/adapting-to-coastal-hazards/community-science-and-youth-involvement/coastsnap</w:t>
        </w:r>
      </w:hyperlink>
      <w:r w:rsidRPr="00F03917">
        <w:rPr>
          <w:spacing w:val="-2"/>
        </w:rPr>
        <w:t xml:space="preserve"> and Nelson: </w:t>
      </w:r>
      <w:hyperlink r:id="rId27" w:history="1">
        <w:r w:rsidRPr="00F03917">
          <w:rPr>
            <w:rStyle w:val="Hyperlink"/>
            <w:spacing w:val="-2"/>
          </w:rPr>
          <w:t>https://shape.nelson.govt.nz/coastsnap</w:t>
        </w:r>
      </w:hyperlink>
      <w:r w:rsidRPr="00F03917">
        <w:rPr>
          <w:rStyle w:val="Hyperlink"/>
          <w:spacing w:val="-2"/>
        </w:rPr>
        <w:t>.</w:t>
      </w:r>
    </w:p>
  </w:footnote>
  <w:footnote w:id="92">
    <w:p w14:paraId="5199288E" w14:textId="0FC670FB" w:rsidR="00A22ED1" w:rsidRPr="00F03917" w:rsidRDefault="00A22ED1" w:rsidP="00A22ED1">
      <w:pPr>
        <w:pStyle w:val="FootnoteText"/>
      </w:pPr>
      <w:r w:rsidRPr="00F03917">
        <w:rPr>
          <w:rStyle w:val="FootnoteReference"/>
        </w:rPr>
        <w:footnoteRef/>
      </w:r>
      <w:r w:rsidRPr="00F03917">
        <w:t xml:space="preserve"> </w:t>
      </w:r>
      <w:r w:rsidR="00D926C6" w:rsidRPr="00F03917">
        <w:tab/>
      </w:r>
      <w:r w:rsidRPr="00F03917">
        <w:t xml:space="preserve">See </w:t>
      </w:r>
      <w:r w:rsidRPr="00F03917">
        <w:rPr>
          <w:i/>
          <w:iCs/>
        </w:rPr>
        <w:t>Mahanga E Tu v Hawke’s Bay Regional Council and Wairoa District Council</w:t>
      </w:r>
      <w:r w:rsidRPr="00F03917">
        <w:t xml:space="preserve"> [2014] NZEnvC 248, 10</w:t>
      </w:r>
      <w:r w:rsidR="00D926C6" w:rsidRPr="00F03917">
        <w:t> </w:t>
      </w:r>
      <w:r w:rsidRPr="00F03917">
        <w:t>December 2014 – see table B.</w:t>
      </w:r>
    </w:p>
  </w:footnote>
  <w:footnote w:id="93">
    <w:p w14:paraId="19A0727D" w14:textId="09C763E6" w:rsidR="00B829FC" w:rsidRPr="00F03917" w:rsidRDefault="00B829FC" w:rsidP="006446A3">
      <w:pPr>
        <w:pStyle w:val="FootnoteText"/>
      </w:pPr>
      <w:r w:rsidRPr="00F03917">
        <w:rPr>
          <w:rStyle w:val="FootnoteReference"/>
        </w:rPr>
        <w:footnoteRef/>
      </w:r>
      <w:r w:rsidRPr="00F03917">
        <w:t xml:space="preserve"> </w:t>
      </w:r>
      <w:r w:rsidRPr="00F03917">
        <w:tab/>
        <w:t xml:space="preserve">See </w:t>
      </w:r>
      <w:r w:rsidR="00EF5FD9" w:rsidRPr="00F03917">
        <w:t>Auckland Council</w:t>
      </w:r>
      <w:r w:rsidR="00195BB9" w:rsidRPr="00F03917">
        <w:t xml:space="preserve">. </w:t>
      </w:r>
      <w:hyperlink r:id="rId28" w:history="1">
        <w:r w:rsidR="00195BB9" w:rsidRPr="00F03917">
          <w:rPr>
            <w:rStyle w:val="Hyperlink"/>
            <w:i/>
          </w:rPr>
          <w:t>Geomaps</w:t>
        </w:r>
      </w:hyperlink>
      <w:r w:rsidR="0910BE43" w:rsidRPr="00F03917">
        <w:t>.</w:t>
      </w:r>
      <w:r w:rsidR="00FB7D30" w:rsidRPr="00F03917">
        <w:t xml:space="preserve"> </w:t>
      </w:r>
      <w:r w:rsidR="00195BB9" w:rsidRPr="00F03917">
        <w:t xml:space="preserve">Retrieved 25 February 2024. </w:t>
      </w:r>
      <w:r w:rsidRPr="00F03917">
        <w:t>Various coastal inundation levels are mapped under the theme Climate Impacts. The control overlay is under the theme Plans and Places/Unitary Plan–Management Layers.</w:t>
      </w:r>
    </w:p>
  </w:footnote>
  <w:footnote w:id="94">
    <w:p w14:paraId="3B54E15A" w14:textId="31FA9192" w:rsidR="00B829FC" w:rsidRPr="00F03917" w:rsidRDefault="00B829FC" w:rsidP="006446A3">
      <w:pPr>
        <w:pStyle w:val="FootnoteText"/>
      </w:pPr>
      <w:r w:rsidRPr="00F03917">
        <w:rPr>
          <w:rStyle w:val="FootnoteReference"/>
        </w:rPr>
        <w:footnoteRef/>
      </w:r>
      <w:r w:rsidR="2827C955" w:rsidRPr="00F03917">
        <w:t xml:space="preserve"> </w:t>
      </w:r>
      <w:r w:rsidR="00AB0B6F" w:rsidRPr="00F03917">
        <w:tab/>
      </w:r>
      <w:r w:rsidR="2827C955" w:rsidRPr="00F03917">
        <w:t xml:space="preserve">See </w:t>
      </w:r>
      <w:r w:rsidR="00D93F19" w:rsidRPr="00F03917">
        <w:t xml:space="preserve">Auckland Council. </w:t>
      </w:r>
      <w:hyperlink r:id="rId29" w:history="1">
        <w:r w:rsidR="00D93F19" w:rsidRPr="00F03917">
          <w:rPr>
            <w:rStyle w:val="Hyperlink"/>
            <w:i/>
            <w:iCs/>
          </w:rPr>
          <w:t>Auckland Unitary Plan Operative in part (Updated 16 February 2024)</w:t>
        </w:r>
      </w:hyperlink>
      <w:r w:rsidR="00D93F19" w:rsidRPr="00F03917">
        <w:t>. Retrieved 24 February 2024.</w:t>
      </w:r>
      <w:r w:rsidR="00B83EB1" w:rsidRPr="00F03917">
        <w:rPr>
          <w:rStyle w:val="Hyperlink"/>
        </w:rPr>
        <w:t xml:space="preserve"> </w:t>
      </w:r>
    </w:p>
  </w:footnote>
  <w:footnote w:id="95">
    <w:p w14:paraId="42561F86" w14:textId="0002DC52" w:rsidR="00B829FC" w:rsidRPr="00F03917" w:rsidRDefault="00B829FC" w:rsidP="005271BC">
      <w:pPr>
        <w:pStyle w:val="FootnoteText"/>
      </w:pPr>
      <w:r w:rsidRPr="00F03917">
        <w:rPr>
          <w:rStyle w:val="FootnoteReference"/>
        </w:rPr>
        <w:footnoteRef/>
      </w:r>
      <w:r w:rsidRPr="00F03917">
        <w:t xml:space="preserve"> </w:t>
      </w:r>
      <w:r w:rsidR="005271BC" w:rsidRPr="00F03917">
        <w:tab/>
      </w:r>
      <w:r w:rsidRPr="00F03917">
        <w:t>‘Static-planar’ refers to a horizontal extension inland of the storm-tide and wave setup level.</w:t>
      </w:r>
    </w:p>
  </w:footnote>
  <w:footnote w:id="96">
    <w:p w14:paraId="45975CEA" w14:textId="66BADDA7" w:rsidR="00146C6E" w:rsidRPr="00F03917" w:rsidRDefault="00146C6E" w:rsidP="007C39C9">
      <w:pPr>
        <w:pStyle w:val="FootnoteText"/>
        <w:ind w:left="397" w:hanging="397"/>
      </w:pPr>
      <w:r w:rsidRPr="00F03917">
        <w:rPr>
          <w:rStyle w:val="FootnoteReference"/>
        </w:rPr>
        <w:footnoteRef/>
      </w:r>
      <w:r w:rsidRPr="00F03917">
        <w:t xml:space="preserve"> </w:t>
      </w:r>
      <w:r w:rsidR="007C39C9" w:rsidRPr="00F03917">
        <w:tab/>
      </w:r>
      <w:r w:rsidR="009B43B9" w:rsidRPr="00F03917">
        <w:rPr>
          <w:i/>
        </w:rPr>
        <w:t>Gallagher v Tasman District Council</w:t>
      </w:r>
      <w:r w:rsidR="009B43B9" w:rsidRPr="00F03917">
        <w:t xml:space="preserve"> </w:t>
      </w:r>
      <w:r w:rsidR="00906C01" w:rsidRPr="00F03917">
        <w:rPr>
          <w:rFonts w:cstheme="minorHAnsi"/>
          <w:sz w:val="18"/>
          <w:szCs w:val="18"/>
          <w:shd w:val="clear" w:color="auto" w:fill="FFFFFF"/>
        </w:rPr>
        <w:t>[2014] NZEnvC 245.</w:t>
      </w:r>
    </w:p>
  </w:footnote>
  <w:footnote w:id="97">
    <w:p w14:paraId="7BD1AB1D" w14:textId="1A3C584B" w:rsidR="00EB12EA" w:rsidRPr="00F03917" w:rsidRDefault="00EB12EA" w:rsidP="007C39C9">
      <w:pPr>
        <w:pStyle w:val="FootnoteText"/>
        <w:ind w:left="397" w:hanging="397"/>
      </w:pPr>
      <w:r w:rsidRPr="00F03917">
        <w:rPr>
          <w:rStyle w:val="FootnoteReference"/>
        </w:rPr>
        <w:footnoteRef/>
      </w:r>
      <w:r w:rsidRPr="00F03917">
        <w:t xml:space="preserve"> </w:t>
      </w:r>
      <w:r w:rsidR="007C39C9" w:rsidRPr="00F03917">
        <w:tab/>
      </w:r>
      <w:r w:rsidRPr="00F03917">
        <w:t xml:space="preserve">At [17], [90] and [155]. </w:t>
      </w:r>
    </w:p>
  </w:footnote>
  <w:footnote w:id="98">
    <w:p w14:paraId="7BAC0EE1" w14:textId="65D4E6D4" w:rsidR="0018391E" w:rsidRPr="00F03917" w:rsidRDefault="0018391E" w:rsidP="007C39C9">
      <w:pPr>
        <w:pStyle w:val="FootnoteText"/>
        <w:ind w:left="397" w:hanging="397"/>
      </w:pPr>
      <w:r w:rsidRPr="00F03917">
        <w:rPr>
          <w:rStyle w:val="FootnoteReference"/>
        </w:rPr>
        <w:footnoteRef/>
      </w:r>
      <w:r w:rsidRPr="00F03917">
        <w:t xml:space="preserve"> </w:t>
      </w:r>
      <w:r w:rsidR="007C39C9" w:rsidRPr="00F03917">
        <w:tab/>
      </w:r>
      <w:r w:rsidR="00535040" w:rsidRPr="00F03917">
        <w:t xml:space="preserve">Marlborough </w:t>
      </w:r>
      <w:r w:rsidR="003C3171" w:rsidRPr="00F03917">
        <w:t>District</w:t>
      </w:r>
      <w:r w:rsidR="00535040" w:rsidRPr="00F03917">
        <w:t xml:space="preserve"> Council. </w:t>
      </w:r>
      <w:hyperlink r:id="rId30" w:history="1">
        <w:r w:rsidRPr="00F03917">
          <w:rPr>
            <w:rStyle w:val="Hyperlink"/>
            <w:i/>
          </w:rPr>
          <w:t>Proposed Marlborough Environment Plan</w:t>
        </w:r>
      </w:hyperlink>
      <w:r w:rsidRPr="00F03917">
        <w:t xml:space="preserve">. </w:t>
      </w:r>
      <w:r w:rsidR="00535040" w:rsidRPr="00F03917">
        <w:t>Retrieved 25 February 2024.</w:t>
      </w:r>
    </w:p>
  </w:footnote>
  <w:footnote w:id="99">
    <w:p w14:paraId="24A7FE06" w14:textId="0CC296DA" w:rsidR="00BF43B6" w:rsidRPr="00F03917" w:rsidRDefault="00BF43B6">
      <w:pPr>
        <w:pStyle w:val="FootnoteText"/>
      </w:pPr>
      <w:r w:rsidRPr="00F03917">
        <w:rPr>
          <w:rStyle w:val="FootnoteReference"/>
        </w:rPr>
        <w:footnoteRef/>
      </w:r>
      <w:r w:rsidRPr="00F03917">
        <w:t xml:space="preserve"> </w:t>
      </w:r>
      <w:r w:rsidR="003A32C3" w:rsidRPr="00F03917">
        <w:tab/>
      </w:r>
      <w:r w:rsidR="00B97293" w:rsidRPr="00F03917">
        <w:t xml:space="preserve">NIWA. </w:t>
      </w:r>
      <w:hyperlink r:id="rId31" w:history="1">
        <w:r w:rsidR="00B97293" w:rsidRPr="00F03917">
          <w:rPr>
            <w:rStyle w:val="Hyperlink"/>
            <w:i/>
          </w:rPr>
          <w:t>Te Huringa ki te Rangi – He Rautaki Tāwariwari. Adapting to climate change – a decision-making model for Indigenous Peoples</w:t>
        </w:r>
      </w:hyperlink>
      <w:r w:rsidR="00B97293" w:rsidRPr="00F03917">
        <w:t>. Retrieved 25 February 2024.</w:t>
      </w:r>
      <w:hyperlink w:history="1"/>
    </w:p>
  </w:footnote>
  <w:footnote w:id="100">
    <w:p w14:paraId="28033D6A" w14:textId="2E5152F4" w:rsidR="008E0FE8" w:rsidRPr="00F03917" w:rsidRDefault="008E0FE8" w:rsidP="009C695C">
      <w:pPr>
        <w:pStyle w:val="FootnoteText"/>
        <w:ind w:left="340" w:hanging="340"/>
      </w:pPr>
      <w:r w:rsidRPr="00F03917">
        <w:rPr>
          <w:rStyle w:val="FootnoteReference"/>
        </w:rPr>
        <w:footnoteRef/>
      </w:r>
      <w:r w:rsidRPr="00F03917" w:rsidDel="00F73DF0">
        <w:t xml:space="preserve"> </w:t>
      </w:r>
      <w:r w:rsidR="009C695C" w:rsidRPr="00F03917">
        <w:tab/>
      </w:r>
      <w:r w:rsidRPr="00F03917">
        <w:rPr>
          <w:rFonts w:cs="Calibri"/>
          <w:color w:val="000000"/>
          <w:szCs w:val="19"/>
          <w:bdr w:val="none" w:sz="0" w:space="0" w:color="auto" w:frame="1"/>
        </w:rPr>
        <w:t xml:space="preserve">Haasnoot et al (2013) originally called DAPP ‘dynamic adaptive policy pathways’. The term </w:t>
      </w:r>
      <w:r w:rsidR="00173F96" w:rsidRPr="00F03917">
        <w:rPr>
          <w:rFonts w:cs="Calibri"/>
          <w:color w:val="000000"/>
          <w:szCs w:val="19"/>
          <w:bdr w:val="none" w:sz="0" w:space="0" w:color="auto" w:frame="1"/>
        </w:rPr>
        <w:t>‘</w:t>
      </w:r>
      <w:r w:rsidRPr="00F03917">
        <w:rPr>
          <w:rFonts w:cs="Calibri"/>
          <w:color w:val="000000"/>
          <w:szCs w:val="19"/>
          <w:bdr w:val="none" w:sz="0" w:space="0" w:color="auto" w:frame="1"/>
        </w:rPr>
        <w:t>dynamic adaptive pathways planning</w:t>
      </w:r>
      <w:r w:rsidR="00173F96" w:rsidRPr="00F03917">
        <w:rPr>
          <w:rFonts w:cs="Calibri"/>
          <w:color w:val="000000"/>
          <w:szCs w:val="19"/>
          <w:bdr w:val="none" w:sz="0" w:space="0" w:color="auto" w:frame="1"/>
        </w:rPr>
        <w:t>’</w:t>
      </w:r>
      <w:r w:rsidRPr="00F03917">
        <w:rPr>
          <w:rFonts w:cs="Calibri"/>
          <w:color w:val="000000"/>
          <w:szCs w:val="19"/>
          <w:bdr w:val="none" w:sz="0" w:space="0" w:color="auto" w:frame="1"/>
        </w:rPr>
        <w:t xml:space="preserve"> has been adopted in </w:t>
      </w:r>
      <w:r w:rsidR="006822E8" w:rsidRPr="00F03917">
        <w:rPr>
          <w:rFonts w:cs="Calibri"/>
          <w:color w:val="000000"/>
          <w:szCs w:val="19"/>
          <w:bdr w:val="none" w:sz="0" w:space="0" w:color="auto" w:frame="1"/>
        </w:rPr>
        <w:t xml:space="preserve">Aotearoa </w:t>
      </w:r>
      <w:r w:rsidRPr="00F03917">
        <w:rPr>
          <w:rFonts w:cs="Calibri"/>
          <w:color w:val="000000"/>
          <w:szCs w:val="19"/>
          <w:bdr w:val="none" w:sz="0" w:space="0" w:color="auto" w:frame="1"/>
        </w:rPr>
        <w:t>New Zealand for the same approach.</w:t>
      </w:r>
    </w:p>
  </w:footnote>
  <w:footnote w:id="101">
    <w:p w14:paraId="1F57C7AD" w14:textId="264EBCCF" w:rsidR="008E0FE8" w:rsidRPr="00F03917" w:rsidRDefault="008E0FE8" w:rsidP="009C695C">
      <w:pPr>
        <w:pStyle w:val="FootnoteText"/>
        <w:ind w:left="340" w:hanging="340"/>
      </w:pPr>
      <w:r w:rsidRPr="00F03917">
        <w:rPr>
          <w:rStyle w:val="FootnoteReference"/>
        </w:rPr>
        <w:footnoteRef/>
      </w:r>
      <w:r w:rsidRPr="00F03917">
        <w:t xml:space="preserve"> </w:t>
      </w:r>
      <w:r w:rsidR="009C695C" w:rsidRPr="00F03917">
        <w:tab/>
      </w:r>
      <w:r w:rsidRPr="00F03917">
        <w:rPr>
          <w:rFonts w:cs="Calibri"/>
          <w:color w:val="000000"/>
          <w:szCs w:val="19"/>
          <w:bdr w:val="none" w:sz="0" w:space="0" w:color="auto" w:frame="1"/>
        </w:rPr>
        <w:t>See </w:t>
      </w:r>
      <w:r w:rsidR="001D643B" w:rsidRPr="00F03917">
        <w:rPr>
          <w:rFonts w:cs="Calibri"/>
          <w:color w:val="000000"/>
          <w:szCs w:val="19"/>
          <w:bdr w:val="none" w:sz="0" w:space="0" w:color="auto" w:frame="1"/>
        </w:rPr>
        <w:t>National Science Challenge</w:t>
      </w:r>
      <w:r w:rsidR="005F3485" w:rsidRPr="00F03917">
        <w:rPr>
          <w:rFonts w:cs="Calibri"/>
          <w:color w:val="000000"/>
          <w:szCs w:val="19"/>
          <w:bdr w:val="none" w:sz="0" w:space="0" w:color="auto" w:frame="1"/>
        </w:rPr>
        <w:t>:</w:t>
      </w:r>
      <w:r w:rsidR="001D643B" w:rsidRPr="00F03917">
        <w:rPr>
          <w:rFonts w:cs="Calibri"/>
          <w:color w:val="000000"/>
          <w:szCs w:val="19"/>
          <w:bdr w:val="none" w:sz="0" w:space="0" w:color="auto" w:frame="1"/>
        </w:rPr>
        <w:t xml:space="preserve"> </w:t>
      </w:r>
      <w:r w:rsidR="00CA3321" w:rsidRPr="00F03917">
        <w:rPr>
          <w:rFonts w:cs="Calibri"/>
          <w:color w:val="000000"/>
          <w:szCs w:val="19"/>
          <w:bdr w:val="none" w:sz="0" w:space="0" w:color="auto" w:frame="1"/>
        </w:rPr>
        <w:t xml:space="preserve">The </w:t>
      </w:r>
      <w:r w:rsidR="001D643B" w:rsidRPr="00F03917">
        <w:rPr>
          <w:rFonts w:cs="Calibri"/>
          <w:color w:val="000000"/>
          <w:szCs w:val="19"/>
          <w:bdr w:val="none" w:sz="0" w:space="0" w:color="auto" w:frame="1"/>
        </w:rPr>
        <w:t>Deep South</w:t>
      </w:r>
      <w:r w:rsidR="00CA3321" w:rsidRPr="00F03917">
        <w:rPr>
          <w:rFonts w:cs="Calibri"/>
          <w:color w:val="000000"/>
          <w:szCs w:val="19"/>
          <w:bdr w:val="none" w:sz="0" w:space="0" w:color="auto" w:frame="1"/>
        </w:rPr>
        <w:t>.</w:t>
      </w:r>
      <w:r w:rsidR="001D643B" w:rsidRPr="00F03917">
        <w:rPr>
          <w:rFonts w:cs="Calibri"/>
          <w:color w:val="000000"/>
          <w:szCs w:val="19"/>
          <w:bdr w:val="none" w:sz="0" w:space="0" w:color="auto" w:frame="1"/>
        </w:rPr>
        <w:t xml:space="preserve"> </w:t>
      </w:r>
      <w:hyperlink r:id="rId32" w:history="1">
        <w:r w:rsidR="00CA3321" w:rsidRPr="00F03917">
          <w:rPr>
            <w:rStyle w:val="Hyperlink"/>
            <w:i/>
            <w:iCs/>
          </w:rPr>
          <w:t xml:space="preserve">A </w:t>
        </w:r>
        <w:r w:rsidR="005F3485" w:rsidRPr="00F03917">
          <w:rPr>
            <w:rStyle w:val="Hyperlink"/>
            <w:rFonts w:cs="Calibri"/>
            <w:i/>
            <w:iCs/>
            <w:szCs w:val="19"/>
            <w:bdr w:val="none" w:sz="0" w:space="0" w:color="auto" w:frame="1"/>
          </w:rPr>
          <w:t>decade of dynamic adaptive d</w:t>
        </w:r>
        <w:r w:rsidR="00CA3321" w:rsidRPr="00F03917">
          <w:rPr>
            <w:rStyle w:val="Hyperlink"/>
            <w:i/>
            <w:iCs/>
          </w:rPr>
          <w:t>ecision-making tools in New Zealand – Practice applications, lessons learned and next steps</w:t>
        </w:r>
      </w:hyperlink>
      <w:r w:rsidR="00CA3321" w:rsidRPr="00F03917">
        <w:rPr>
          <w:rFonts w:cs="Calibri"/>
          <w:color w:val="000000"/>
          <w:szCs w:val="19"/>
          <w:bdr w:val="none" w:sz="0" w:space="0" w:color="auto" w:frame="1"/>
        </w:rPr>
        <w:t>.</w:t>
      </w:r>
      <w:r w:rsidR="009C695C" w:rsidRPr="00F03917">
        <w:rPr>
          <w:rFonts w:cs="Calibri"/>
          <w:color w:val="000000"/>
          <w:szCs w:val="19"/>
          <w:bdr w:val="none" w:sz="0" w:space="0" w:color="auto" w:frame="1"/>
        </w:rPr>
        <w:t xml:space="preserve"> </w:t>
      </w:r>
      <w:r w:rsidR="005F3485" w:rsidRPr="00F03917">
        <w:rPr>
          <w:rFonts w:cs="Calibri"/>
          <w:color w:val="000000"/>
          <w:szCs w:val="19"/>
          <w:bdr w:val="none" w:sz="0" w:space="0" w:color="auto" w:frame="1"/>
        </w:rPr>
        <w:t>Retrieved 25 February 2024.</w:t>
      </w:r>
    </w:p>
  </w:footnote>
  <w:footnote w:id="102">
    <w:p w14:paraId="1CFC5A1F" w14:textId="6D3968ED" w:rsidR="00F22CFA" w:rsidRPr="00F03917" w:rsidRDefault="00F22CFA" w:rsidP="008717DC">
      <w:pPr>
        <w:pStyle w:val="FootnoteText"/>
        <w:ind w:left="340" w:hanging="340"/>
      </w:pPr>
      <w:r w:rsidRPr="00F03917">
        <w:rPr>
          <w:rStyle w:val="FootnoteReference"/>
        </w:rPr>
        <w:footnoteRef/>
      </w:r>
      <w:r w:rsidRPr="00F03917">
        <w:t xml:space="preserve"> </w:t>
      </w:r>
      <w:r w:rsidR="0028684A" w:rsidRPr="00F03917">
        <w:tab/>
      </w:r>
      <w:r w:rsidR="00BB73A2" w:rsidRPr="00F03917">
        <w:t xml:space="preserve">NZ SeaRise. </w:t>
      </w:r>
      <w:hyperlink r:id="rId33" w:history="1">
        <w:r w:rsidR="00BB73A2" w:rsidRPr="00F03917">
          <w:rPr>
            <w:rStyle w:val="Hyperlink"/>
            <w:i/>
          </w:rPr>
          <w:t>Our maps</w:t>
        </w:r>
      </w:hyperlink>
      <w:r w:rsidR="00BB73A2" w:rsidRPr="00F03917">
        <w:t xml:space="preserve">. </w:t>
      </w:r>
      <w:r w:rsidR="006D7BB8" w:rsidRPr="00F03917">
        <w:t>Retri</w:t>
      </w:r>
      <w:r w:rsidR="006D6F9B" w:rsidRPr="00F03917">
        <w:t>e</w:t>
      </w:r>
      <w:r w:rsidR="006D7BB8" w:rsidRPr="00F03917">
        <w:t>ved 25 F</w:t>
      </w:r>
      <w:r w:rsidR="00C94B92" w:rsidRPr="00F03917">
        <w:t>ebruary 2024.</w:t>
      </w:r>
    </w:p>
  </w:footnote>
  <w:footnote w:id="103">
    <w:p w14:paraId="10D487F4" w14:textId="4E7B4854" w:rsidR="00642B1B" w:rsidRDefault="00642B1B" w:rsidP="008717DC">
      <w:pPr>
        <w:pStyle w:val="FootnoteText"/>
        <w:ind w:left="340" w:hanging="340"/>
      </w:pPr>
      <w:r w:rsidRPr="00F03917">
        <w:rPr>
          <w:rStyle w:val="FootnoteReference"/>
        </w:rPr>
        <w:footnoteRef/>
      </w:r>
      <w:r w:rsidRPr="00F03917">
        <w:t xml:space="preserve"> </w:t>
      </w:r>
      <w:r w:rsidR="008717DC" w:rsidRPr="00F03917">
        <w:tab/>
      </w:r>
      <w:r w:rsidR="00A77E61" w:rsidRPr="00F03917">
        <w:rPr>
          <w:rFonts w:cs="Calibri"/>
          <w:szCs w:val="19"/>
          <w:shd w:val="clear" w:color="auto" w:fill="FFFFFF"/>
        </w:rPr>
        <w:t xml:space="preserve">See Land Information New Zealand. </w:t>
      </w:r>
      <w:hyperlink r:id="rId34" w:history="1">
        <w:r w:rsidR="004D3ED3" w:rsidRPr="00F03917">
          <w:rPr>
            <w:rStyle w:val="Hyperlink"/>
            <w:i/>
            <w:iCs/>
          </w:rPr>
          <w:t>New Zealand Vertical Datum 2016 (NZVD2016)</w:t>
        </w:r>
      </w:hyperlink>
      <w:r w:rsidR="004D3ED3" w:rsidRPr="00F03917">
        <w:rPr>
          <w:rFonts w:cs="Calibri"/>
          <w:szCs w:val="19"/>
          <w:shd w:val="clear" w:color="auto" w:fill="FFFFFF"/>
        </w:rPr>
        <w:t xml:space="preserve">. </w:t>
      </w:r>
      <w:r w:rsidR="00106205" w:rsidRPr="00F03917">
        <w:rPr>
          <w:rFonts w:cs="Calibri"/>
          <w:szCs w:val="19"/>
          <w:shd w:val="clear" w:color="auto" w:fill="FFFFFF"/>
        </w:rPr>
        <w:t>Retrieved 25 February 2024</w:t>
      </w:r>
      <w:r w:rsidR="00717C62" w:rsidRPr="00F03917">
        <w:rPr>
          <w:rFonts w:cs="Calibri"/>
          <w:szCs w:val="19"/>
          <w:shd w:val="clear" w:color="auto" w:fill="FFFFFF"/>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835"/>
      <w:gridCol w:w="2835"/>
      <w:gridCol w:w="2835"/>
    </w:tblGrid>
    <w:tr w:rsidR="782516FB" w14:paraId="09926FE4" w14:textId="77777777" w:rsidTr="007164F4">
      <w:trPr>
        <w:trHeight w:val="300"/>
      </w:trPr>
      <w:tc>
        <w:tcPr>
          <w:tcW w:w="2835" w:type="dxa"/>
        </w:tcPr>
        <w:p w14:paraId="2AC03561" w14:textId="28381E17" w:rsidR="782516FB" w:rsidRDefault="782516FB" w:rsidP="007164F4">
          <w:pPr>
            <w:pStyle w:val="Header"/>
            <w:ind w:left="-115"/>
          </w:pPr>
        </w:p>
      </w:tc>
      <w:tc>
        <w:tcPr>
          <w:tcW w:w="2835" w:type="dxa"/>
        </w:tcPr>
        <w:p w14:paraId="6862453A" w14:textId="4396A4ED" w:rsidR="782516FB" w:rsidRDefault="782516FB" w:rsidP="007164F4">
          <w:pPr>
            <w:pStyle w:val="Header"/>
            <w:jc w:val="center"/>
          </w:pPr>
        </w:p>
      </w:tc>
      <w:tc>
        <w:tcPr>
          <w:tcW w:w="2835" w:type="dxa"/>
        </w:tcPr>
        <w:p w14:paraId="55767771" w14:textId="07D05AFA" w:rsidR="782516FB" w:rsidRDefault="782516FB" w:rsidP="007164F4">
          <w:pPr>
            <w:pStyle w:val="Header"/>
            <w:ind w:right="-115"/>
          </w:pPr>
        </w:p>
      </w:tc>
    </w:tr>
  </w:tbl>
  <w:p w14:paraId="4E89B656" w14:textId="2C3ED002" w:rsidR="00EB20BC" w:rsidRDefault="00EB20BC" w:rsidP="0026647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44D80" w14:textId="77777777" w:rsidR="003A7454" w:rsidRDefault="003A745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E0893" w14:textId="77777777" w:rsidR="00607C98" w:rsidRPr="000F6107" w:rsidRDefault="00607C98" w:rsidP="00607C98">
    <w:pPr>
      <w:pStyle w:val="Header"/>
    </w:pPr>
    <w:r w:rsidRPr="00FB5999">
      <w:t>Step 2: Assess sea-level rise and coastal hazards</w:t>
    </w:r>
  </w:p>
  <w:p w14:paraId="1FBCC51B" w14:textId="20DEBC83" w:rsidR="00FB5999" w:rsidRPr="00607C98" w:rsidRDefault="00FB5999" w:rsidP="00607C98">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C7040" w14:textId="411EBB2B" w:rsidR="006E4F91" w:rsidRDefault="006E4F91">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629BCE" w14:textId="3B76EB51" w:rsidR="00836C8F" w:rsidRPr="00836C8F" w:rsidRDefault="00836C8F" w:rsidP="00836C8F">
    <w:pPr>
      <w:pStyle w:val="Header"/>
    </w:pPr>
    <w:r w:rsidRPr="00836C8F">
      <w:t>Step 3: Establish values and objectives</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FEB61" w14:textId="450EE834" w:rsidR="00F360D0" w:rsidRPr="00836C8F" w:rsidRDefault="00F360D0" w:rsidP="00836C8F">
    <w:pPr>
      <w:pStyle w:val="Header"/>
    </w:pPr>
    <w:r w:rsidRPr="00F360D0">
      <w:t>Step 4: Assess vulnerability and risk</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A85F6A" w14:textId="1B86A0AF" w:rsidR="00C830F4" w:rsidRPr="00984AC5" w:rsidRDefault="00984AC5" w:rsidP="00984AC5">
    <w:pPr>
      <w:pStyle w:val="Header"/>
    </w:pPr>
    <w:r w:rsidRPr="001E10B3">
      <w:t>Step 5: Identify options and pathways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487CD" w14:textId="14E3141A" w:rsidR="0082422F" w:rsidRPr="00984AC5" w:rsidRDefault="0082422F" w:rsidP="00984AC5">
    <w:pPr>
      <w:pStyle w:val="Header"/>
    </w:pPr>
    <w:r w:rsidRPr="0082422F">
      <w:t>Step 6: Evaluate options and pathways</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18E441" w14:textId="664FDAEE" w:rsidR="0082422F" w:rsidRPr="00984AC5" w:rsidRDefault="0082422F" w:rsidP="00984AC5">
    <w:pPr>
      <w:pStyle w:val="Header"/>
    </w:pPr>
    <w:r w:rsidRPr="0082422F">
      <w:t>Step 7: Develop the adaptive planning strategy</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F394E2" w14:textId="4101FC91" w:rsidR="00677CAF" w:rsidRPr="00CE1968" w:rsidRDefault="00CE1968" w:rsidP="00CE1968">
    <w:pPr>
      <w:pStyle w:val="Header"/>
    </w:pPr>
    <w:r w:rsidRPr="001E10B3">
      <w:t xml:space="preserve">Step 8: </w:t>
    </w:r>
    <w:r>
      <w:t>Implement the</w:t>
    </w:r>
    <w:r w:rsidRPr="001E10B3">
      <w:t xml:space="preserve"> </w:t>
    </w:r>
    <w:r w:rsidRPr="00951FFC">
      <w:t>adaptive planning strategy</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2463A" w14:textId="0704D61A" w:rsidR="00EF3538" w:rsidRPr="00CE1968" w:rsidRDefault="00EF3538" w:rsidP="00CE1968">
    <w:pPr>
      <w:pStyle w:val="Header"/>
    </w:pPr>
    <w:r w:rsidRPr="00EF3538">
      <w:t>Step 9: Monitor the adaptive planning strategy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4501C" w14:textId="6F16579C" w:rsidR="00EB20BC" w:rsidRDefault="00EB20BC" w:rsidP="000A1867">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1EC948" w14:textId="52F2C104" w:rsidR="00D926C6" w:rsidRPr="00CE1968" w:rsidRDefault="00D926C6" w:rsidP="00CE1968">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DC368" w14:textId="77777777" w:rsidR="00B9248C" w:rsidRDefault="00B9248C">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FC332" w14:textId="12D85C87" w:rsidR="008A5643" w:rsidRPr="008A5643" w:rsidRDefault="008A5643" w:rsidP="003E027F">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A8102" w14:textId="3C9032CC" w:rsidR="00BE2AF0" w:rsidRDefault="00BE2AF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FAF04" w14:textId="3306089A" w:rsidR="004F4776" w:rsidRDefault="004F477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BB1FF" w14:textId="2EDC9D41" w:rsidR="00BE2AF0" w:rsidRPr="001B0E72" w:rsidRDefault="00BE2AF0" w:rsidP="001B0E7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5568E5" w14:textId="752F48A0" w:rsidR="004F4776" w:rsidRDefault="004F477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09D02" w14:textId="6D596F1A" w:rsidR="009401DE" w:rsidRPr="005C4255" w:rsidRDefault="009401DE" w:rsidP="005C425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713EE" w14:textId="7D89C07D" w:rsidR="003F1401" w:rsidRPr="00F07C2A" w:rsidRDefault="003F1401" w:rsidP="00F07C2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0BF28" w14:textId="52BC916A" w:rsidR="00BD5980" w:rsidRPr="00F07C2A" w:rsidRDefault="007B23F8" w:rsidP="00F07C2A">
    <w:pPr>
      <w:pStyle w:val="Header"/>
    </w:pPr>
    <w:r>
      <w:t>Step 1: Set the context and prepare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8479F"/>
    <w:multiLevelType w:val="multilevel"/>
    <w:tmpl w:val="D77C6178"/>
    <w:lvl w:ilvl="0">
      <w:start w:val="1"/>
      <w:numFmt w:val="decimal"/>
      <w:lvlText w:val="9.%1"/>
      <w:lvlJc w:val="left"/>
      <w:pPr>
        <w:ind w:left="851" w:hanging="851"/>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45031D9"/>
    <w:multiLevelType w:val="hybridMultilevel"/>
    <w:tmpl w:val="FCAE58B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3" w15:restartNumberingAfterBreak="0">
    <w:nsid w:val="0BF14132"/>
    <w:multiLevelType w:val="multilevel"/>
    <w:tmpl w:val="AE1ACAB4"/>
    <w:lvl w:ilvl="0">
      <w:start w:val="1"/>
      <w:numFmt w:val="decimal"/>
      <w:lvlText w:val="1.3.%1"/>
      <w:lvlJc w:val="right"/>
      <w:pPr>
        <w:ind w:left="720" w:hanging="360"/>
      </w:pPr>
      <w:rPr>
        <w:rFonts w:hint="default"/>
      </w:rPr>
    </w:lvl>
    <w:lvl w:ilvl="1">
      <w:start w:val="1"/>
      <w:numFmt w:val="lowerLetter"/>
      <w:lvlText w:val="%2."/>
      <w:lvlJc w:val="left"/>
      <w:pPr>
        <w:ind w:left="1440" w:hanging="360"/>
      </w:pPr>
      <w:rPr>
        <w:rFonts w:hint="default"/>
      </w:rPr>
    </w:lvl>
    <w:lvl w:ilvl="2">
      <w:start w:val="1"/>
      <w:numFmt w:val="decimal"/>
      <w:lvlText w:val="1.1.%3"/>
      <w:lvlJc w:val="left"/>
      <w:pPr>
        <w:ind w:left="360" w:hanging="36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0C23507E"/>
    <w:multiLevelType w:val="hybridMultilevel"/>
    <w:tmpl w:val="93D4CA0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0D4C4FDD"/>
    <w:multiLevelType w:val="multilevel"/>
    <w:tmpl w:val="2B8E4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E8361F1"/>
    <w:multiLevelType w:val="multilevel"/>
    <w:tmpl w:val="220A5344"/>
    <w:lvl w:ilvl="0">
      <w:start w:val="1"/>
      <w:numFmt w:val="decimal"/>
      <w:lvlText w:val="2.1.%1"/>
      <w:lvlJc w:val="left"/>
      <w:pPr>
        <w:ind w:left="851" w:hanging="851"/>
      </w:pPr>
      <w:rPr>
        <w:rFonts w:ascii="Georgia" w:hAnsi="Georgia" w:hint="default"/>
        <w:b/>
        <w:i w:val="0"/>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0EFD3983"/>
    <w:multiLevelType w:val="multilevel"/>
    <w:tmpl w:val="838AC9CA"/>
    <w:lvl w:ilvl="0">
      <w:start w:val="1"/>
      <w:numFmt w:val="decimal"/>
      <w:lvlText w:val="1.3.%1"/>
      <w:lvlJc w:val="right"/>
      <w:pPr>
        <w:ind w:left="720" w:hanging="360"/>
      </w:pPr>
      <w:rPr>
        <w:rFonts w:hint="default"/>
      </w:rPr>
    </w:lvl>
    <w:lvl w:ilvl="1">
      <w:start w:val="1"/>
      <w:numFmt w:val="lowerLetter"/>
      <w:lvlText w:val="%2."/>
      <w:lvlJc w:val="left"/>
      <w:pPr>
        <w:ind w:left="1440" w:hanging="360"/>
      </w:pPr>
      <w:rPr>
        <w:rFonts w:hint="default"/>
      </w:rPr>
    </w:lvl>
    <w:lvl w:ilvl="2">
      <w:start w:val="1"/>
      <w:numFmt w:val="decimal"/>
      <w:lvlText w:val="1.2.%3"/>
      <w:lvlJc w:val="left"/>
      <w:pPr>
        <w:ind w:left="360" w:hanging="36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0F8A4E12"/>
    <w:multiLevelType w:val="hybridMultilevel"/>
    <w:tmpl w:val="86A86838"/>
    <w:lvl w:ilvl="0" w:tplc="1409000F">
      <w:start w:val="1"/>
      <w:numFmt w:val="decimal"/>
      <w:lvlText w:val="%1."/>
      <w:lvlJc w:val="left"/>
      <w:pPr>
        <w:ind w:left="644" w:hanging="360"/>
      </w:pPr>
    </w:lvl>
    <w:lvl w:ilvl="1" w:tplc="95CA13A4">
      <w:start w:val="1"/>
      <w:numFmt w:val="lowerLetter"/>
      <w:lvlText w:val="(%2)"/>
      <w:lvlJc w:val="left"/>
      <w:pPr>
        <w:ind w:left="1364" w:hanging="360"/>
      </w:pPr>
      <w:rPr>
        <w:rFonts w:hint="default"/>
      </w:rPr>
    </w:lvl>
    <w:lvl w:ilvl="2" w:tplc="C27A46A4">
      <w:start w:val="1"/>
      <w:numFmt w:val="decimal"/>
      <w:lvlText w:val="%3"/>
      <w:lvlJc w:val="left"/>
      <w:pPr>
        <w:ind w:left="2294" w:hanging="390"/>
      </w:pPr>
      <w:rPr>
        <w:rFonts w:ascii="Calibri" w:hAnsi="Calibri" w:cs="Calibri" w:hint="default"/>
        <w:sz w:val="22"/>
      </w:rPr>
    </w:lvl>
    <w:lvl w:ilvl="3" w:tplc="93B2B9C6">
      <w:start w:val="1"/>
      <w:numFmt w:val="lowerLetter"/>
      <w:lvlText w:val="%4)"/>
      <w:lvlJc w:val="left"/>
      <w:pPr>
        <w:ind w:left="2804" w:hanging="360"/>
      </w:pPr>
      <w:rPr>
        <w:rFonts w:hint="default"/>
      </w:r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9" w15:restartNumberingAfterBreak="0">
    <w:nsid w:val="119816C4"/>
    <w:multiLevelType w:val="hybridMultilevel"/>
    <w:tmpl w:val="41DAD284"/>
    <w:lvl w:ilvl="0" w:tplc="14090017">
      <w:start w:val="1"/>
      <w:numFmt w:val="lowerLetter"/>
      <w:lvlText w:val="%1)"/>
      <w:lvlJc w:val="left"/>
      <w:pPr>
        <w:ind w:left="720" w:hanging="360"/>
      </w:p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 w15:restartNumberingAfterBreak="0">
    <w:nsid w:val="12CB1C53"/>
    <w:multiLevelType w:val="hybridMultilevel"/>
    <w:tmpl w:val="8B7C7412"/>
    <w:lvl w:ilvl="0" w:tplc="641CF24C">
      <w:start w:val="1"/>
      <w:numFmt w:val="decimal"/>
      <w:lvlText w:val="%1."/>
      <w:lvlJc w:val="left"/>
      <w:pPr>
        <w:ind w:left="1020" w:hanging="360"/>
      </w:pPr>
    </w:lvl>
    <w:lvl w:ilvl="1" w:tplc="F9000872">
      <w:start w:val="1"/>
      <w:numFmt w:val="decimal"/>
      <w:lvlText w:val="%2."/>
      <w:lvlJc w:val="left"/>
      <w:pPr>
        <w:ind w:left="1020" w:hanging="360"/>
      </w:pPr>
    </w:lvl>
    <w:lvl w:ilvl="2" w:tplc="484C0ADE">
      <w:start w:val="1"/>
      <w:numFmt w:val="decimal"/>
      <w:lvlText w:val="%3."/>
      <w:lvlJc w:val="left"/>
      <w:pPr>
        <w:ind w:left="1020" w:hanging="360"/>
      </w:pPr>
    </w:lvl>
    <w:lvl w:ilvl="3" w:tplc="3544F1EC">
      <w:start w:val="1"/>
      <w:numFmt w:val="decimal"/>
      <w:lvlText w:val="%4."/>
      <w:lvlJc w:val="left"/>
      <w:pPr>
        <w:ind w:left="1020" w:hanging="360"/>
      </w:pPr>
    </w:lvl>
    <w:lvl w:ilvl="4" w:tplc="6F407CE4">
      <w:start w:val="1"/>
      <w:numFmt w:val="decimal"/>
      <w:lvlText w:val="%5."/>
      <w:lvlJc w:val="left"/>
      <w:pPr>
        <w:ind w:left="1020" w:hanging="360"/>
      </w:pPr>
    </w:lvl>
    <w:lvl w:ilvl="5" w:tplc="A3E2BB5C">
      <w:start w:val="1"/>
      <w:numFmt w:val="decimal"/>
      <w:lvlText w:val="%6."/>
      <w:lvlJc w:val="left"/>
      <w:pPr>
        <w:ind w:left="1020" w:hanging="360"/>
      </w:pPr>
    </w:lvl>
    <w:lvl w:ilvl="6" w:tplc="667C14A4">
      <w:start w:val="1"/>
      <w:numFmt w:val="decimal"/>
      <w:lvlText w:val="%7."/>
      <w:lvlJc w:val="left"/>
      <w:pPr>
        <w:ind w:left="1020" w:hanging="360"/>
      </w:pPr>
    </w:lvl>
    <w:lvl w:ilvl="7" w:tplc="33628482">
      <w:start w:val="1"/>
      <w:numFmt w:val="decimal"/>
      <w:lvlText w:val="%8."/>
      <w:lvlJc w:val="left"/>
      <w:pPr>
        <w:ind w:left="1020" w:hanging="360"/>
      </w:pPr>
    </w:lvl>
    <w:lvl w:ilvl="8" w:tplc="F5CAEB56">
      <w:start w:val="1"/>
      <w:numFmt w:val="decimal"/>
      <w:lvlText w:val="%9."/>
      <w:lvlJc w:val="left"/>
      <w:pPr>
        <w:ind w:left="1020" w:hanging="360"/>
      </w:pPr>
    </w:lvl>
  </w:abstractNum>
  <w:abstractNum w:abstractNumId="11" w15:restartNumberingAfterBreak="0">
    <w:nsid w:val="13B8219A"/>
    <w:multiLevelType w:val="multilevel"/>
    <w:tmpl w:val="6008ABCE"/>
    <w:lvl w:ilvl="0">
      <w:start w:val="1"/>
      <w:numFmt w:val="decimal"/>
      <w:lvlText w:val="6.2.%1"/>
      <w:lvlJc w:val="left"/>
      <w:pPr>
        <w:ind w:left="851" w:hanging="851"/>
      </w:pPr>
      <w:rPr>
        <w:rFonts w:ascii="Georgia" w:hAnsi="Georgia" w:hint="default"/>
        <w:b/>
        <w:i w:val="0"/>
        <w:color w:val="auto"/>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18A066B7"/>
    <w:multiLevelType w:val="hybridMultilevel"/>
    <w:tmpl w:val="18E44F74"/>
    <w:lvl w:ilvl="0" w:tplc="97228DE4">
      <w:start w:val="1"/>
      <w:numFmt w:val="bullet"/>
      <w:pStyle w:val="Quotebullet"/>
      <w:lvlText w:val=""/>
      <w:lvlJc w:val="left"/>
      <w:pPr>
        <w:ind w:left="1287" w:hanging="360"/>
      </w:pPr>
      <w:rPr>
        <w:rFonts w:ascii="Wingdings" w:hAnsi="Wingdings" w:hint="default"/>
      </w:rPr>
    </w:lvl>
    <w:lvl w:ilvl="1" w:tplc="14090003" w:tentative="1">
      <w:start w:val="1"/>
      <w:numFmt w:val="bullet"/>
      <w:lvlText w:val="o"/>
      <w:lvlJc w:val="left"/>
      <w:pPr>
        <w:ind w:left="2007" w:hanging="360"/>
      </w:pPr>
      <w:rPr>
        <w:rFonts w:ascii="Courier New" w:hAnsi="Courier New" w:cs="Courier New" w:hint="default"/>
      </w:rPr>
    </w:lvl>
    <w:lvl w:ilvl="2" w:tplc="14090005" w:tentative="1">
      <w:start w:val="1"/>
      <w:numFmt w:val="bullet"/>
      <w:lvlText w:val=""/>
      <w:lvlJc w:val="left"/>
      <w:pPr>
        <w:ind w:left="2727" w:hanging="360"/>
      </w:pPr>
      <w:rPr>
        <w:rFonts w:ascii="Wingdings" w:hAnsi="Wingdings" w:hint="default"/>
      </w:rPr>
    </w:lvl>
    <w:lvl w:ilvl="3" w:tplc="14090001" w:tentative="1">
      <w:start w:val="1"/>
      <w:numFmt w:val="bullet"/>
      <w:lvlText w:val=""/>
      <w:lvlJc w:val="left"/>
      <w:pPr>
        <w:ind w:left="3447" w:hanging="360"/>
      </w:pPr>
      <w:rPr>
        <w:rFonts w:ascii="Symbol" w:hAnsi="Symbol" w:hint="default"/>
      </w:rPr>
    </w:lvl>
    <w:lvl w:ilvl="4" w:tplc="14090003" w:tentative="1">
      <w:start w:val="1"/>
      <w:numFmt w:val="bullet"/>
      <w:lvlText w:val="o"/>
      <w:lvlJc w:val="left"/>
      <w:pPr>
        <w:ind w:left="4167" w:hanging="360"/>
      </w:pPr>
      <w:rPr>
        <w:rFonts w:ascii="Courier New" w:hAnsi="Courier New" w:cs="Courier New" w:hint="default"/>
      </w:rPr>
    </w:lvl>
    <w:lvl w:ilvl="5" w:tplc="14090005" w:tentative="1">
      <w:start w:val="1"/>
      <w:numFmt w:val="bullet"/>
      <w:lvlText w:val=""/>
      <w:lvlJc w:val="left"/>
      <w:pPr>
        <w:ind w:left="4887" w:hanging="360"/>
      </w:pPr>
      <w:rPr>
        <w:rFonts w:ascii="Wingdings" w:hAnsi="Wingdings" w:hint="default"/>
      </w:rPr>
    </w:lvl>
    <w:lvl w:ilvl="6" w:tplc="14090001" w:tentative="1">
      <w:start w:val="1"/>
      <w:numFmt w:val="bullet"/>
      <w:lvlText w:val=""/>
      <w:lvlJc w:val="left"/>
      <w:pPr>
        <w:ind w:left="5607" w:hanging="360"/>
      </w:pPr>
      <w:rPr>
        <w:rFonts w:ascii="Symbol" w:hAnsi="Symbol" w:hint="default"/>
      </w:rPr>
    </w:lvl>
    <w:lvl w:ilvl="7" w:tplc="14090003" w:tentative="1">
      <w:start w:val="1"/>
      <w:numFmt w:val="bullet"/>
      <w:lvlText w:val="o"/>
      <w:lvlJc w:val="left"/>
      <w:pPr>
        <w:ind w:left="6327" w:hanging="360"/>
      </w:pPr>
      <w:rPr>
        <w:rFonts w:ascii="Courier New" w:hAnsi="Courier New" w:cs="Courier New" w:hint="default"/>
      </w:rPr>
    </w:lvl>
    <w:lvl w:ilvl="8" w:tplc="14090005" w:tentative="1">
      <w:start w:val="1"/>
      <w:numFmt w:val="bullet"/>
      <w:lvlText w:val=""/>
      <w:lvlJc w:val="left"/>
      <w:pPr>
        <w:ind w:left="7047" w:hanging="360"/>
      </w:pPr>
      <w:rPr>
        <w:rFonts w:ascii="Wingdings" w:hAnsi="Wingdings" w:hint="default"/>
      </w:rPr>
    </w:lvl>
  </w:abstractNum>
  <w:abstractNum w:abstractNumId="13" w15:restartNumberingAfterBreak="0">
    <w:nsid w:val="19230D2D"/>
    <w:multiLevelType w:val="multilevel"/>
    <w:tmpl w:val="72884DEA"/>
    <w:lvl w:ilvl="0">
      <w:start w:val="1"/>
      <w:numFmt w:val="decimal"/>
      <w:lvlText w:val="2.2.%1"/>
      <w:lvlJc w:val="left"/>
      <w:pPr>
        <w:ind w:left="851" w:hanging="851"/>
      </w:pPr>
      <w:rPr>
        <w:rFonts w:ascii="Georgia" w:hAnsi="Georgia" w:hint="default"/>
        <w:b/>
        <w:i w:val="0"/>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1D4215B1"/>
    <w:multiLevelType w:val="hybridMultilevel"/>
    <w:tmpl w:val="9B5EF706"/>
    <w:name w:val="Numbered list 12"/>
    <w:lvl w:ilvl="0" w:tplc="324277CE">
      <w:numFmt w:val="bullet"/>
      <w:lvlText w:val="·"/>
      <w:lvlJc w:val="left"/>
      <w:pPr>
        <w:ind w:left="360" w:firstLine="0"/>
      </w:pPr>
      <w:rPr>
        <w:rFonts w:ascii="Symbol" w:hAnsi="Symbol"/>
      </w:rPr>
    </w:lvl>
    <w:lvl w:ilvl="1" w:tplc="883E5E16">
      <w:numFmt w:val="bullet"/>
      <w:lvlText w:val="o"/>
      <w:lvlJc w:val="left"/>
      <w:pPr>
        <w:ind w:left="1080" w:firstLine="0"/>
      </w:pPr>
      <w:rPr>
        <w:rFonts w:ascii="Courier New" w:hAnsi="Courier New" w:cs="Courier New"/>
      </w:rPr>
    </w:lvl>
    <w:lvl w:ilvl="2" w:tplc="0F72F414">
      <w:numFmt w:val="bullet"/>
      <w:lvlText w:val=""/>
      <w:lvlJc w:val="left"/>
      <w:pPr>
        <w:ind w:left="1800" w:firstLine="0"/>
      </w:pPr>
      <w:rPr>
        <w:rFonts w:ascii="Wingdings" w:eastAsia="Wingdings" w:hAnsi="Wingdings" w:cs="Wingdings"/>
      </w:rPr>
    </w:lvl>
    <w:lvl w:ilvl="3" w:tplc="53683B46">
      <w:numFmt w:val="bullet"/>
      <w:lvlText w:val="·"/>
      <w:lvlJc w:val="left"/>
      <w:pPr>
        <w:ind w:left="2520" w:firstLine="0"/>
      </w:pPr>
      <w:rPr>
        <w:rFonts w:ascii="Symbol" w:hAnsi="Symbol"/>
      </w:rPr>
    </w:lvl>
    <w:lvl w:ilvl="4" w:tplc="3C6447F6">
      <w:numFmt w:val="bullet"/>
      <w:lvlText w:val="o"/>
      <w:lvlJc w:val="left"/>
      <w:pPr>
        <w:ind w:left="3240" w:firstLine="0"/>
      </w:pPr>
      <w:rPr>
        <w:rFonts w:ascii="Courier New" w:hAnsi="Courier New" w:cs="Courier New"/>
      </w:rPr>
    </w:lvl>
    <w:lvl w:ilvl="5" w:tplc="07D6EECA">
      <w:numFmt w:val="bullet"/>
      <w:lvlText w:val=""/>
      <w:lvlJc w:val="left"/>
      <w:pPr>
        <w:ind w:left="3960" w:firstLine="0"/>
      </w:pPr>
      <w:rPr>
        <w:rFonts w:ascii="Wingdings" w:eastAsia="Wingdings" w:hAnsi="Wingdings" w:cs="Wingdings"/>
      </w:rPr>
    </w:lvl>
    <w:lvl w:ilvl="6" w:tplc="4E9C43AA">
      <w:numFmt w:val="bullet"/>
      <w:lvlText w:val="·"/>
      <w:lvlJc w:val="left"/>
      <w:pPr>
        <w:ind w:left="4680" w:firstLine="0"/>
      </w:pPr>
      <w:rPr>
        <w:rFonts w:ascii="Symbol" w:hAnsi="Symbol"/>
      </w:rPr>
    </w:lvl>
    <w:lvl w:ilvl="7" w:tplc="4D68EBB0">
      <w:numFmt w:val="bullet"/>
      <w:lvlText w:val="o"/>
      <w:lvlJc w:val="left"/>
      <w:pPr>
        <w:ind w:left="5400" w:firstLine="0"/>
      </w:pPr>
      <w:rPr>
        <w:rFonts w:ascii="Courier New" w:hAnsi="Courier New" w:cs="Courier New"/>
      </w:rPr>
    </w:lvl>
    <w:lvl w:ilvl="8" w:tplc="71DEB0DE">
      <w:numFmt w:val="bullet"/>
      <w:lvlText w:val=""/>
      <w:lvlJc w:val="left"/>
      <w:pPr>
        <w:ind w:left="6120" w:firstLine="0"/>
      </w:pPr>
      <w:rPr>
        <w:rFonts w:ascii="Wingdings" w:eastAsia="Wingdings" w:hAnsi="Wingdings" w:cs="Wingdings"/>
      </w:rPr>
    </w:lvl>
  </w:abstractNum>
  <w:abstractNum w:abstractNumId="15"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6" w15:restartNumberingAfterBreak="0">
    <w:nsid w:val="20687682"/>
    <w:multiLevelType w:val="hybridMultilevel"/>
    <w:tmpl w:val="62467F6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208C5CF5"/>
    <w:multiLevelType w:val="multilevel"/>
    <w:tmpl w:val="315A92EC"/>
    <w:lvl w:ilvl="0">
      <w:start w:val="1"/>
      <w:numFmt w:val="lowerLetter"/>
      <w:pStyle w:val="Sub-lista"/>
      <w:lvlText w:val="(%1)"/>
      <w:lvlJc w:val="left"/>
      <w:pPr>
        <w:ind w:left="794" w:hanging="397"/>
      </w:pPr>
      <w:rPr>
        <w:rFonts w:ascii="Calibri" w:hAnsi="Calibri" w:hint="default"/>
        <w:b w:val="0"/>
        <w:i w:val="0"/>
        <w:sz w:val="22"/>
        <w:szCs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 w15:restartNumberingAfterBreak="0">
    <w:nsid w:val="21171C50"/>
    <w:multiLevelType w:val="multilevel"/>
    <w:tmpl w:val="7DE075DA"/>
    <w:lvl w:ilvl="0">
      <w:start w:val="1"/>
      <w:numFmt w:val="decimal"/>
      <w:lvlText w:val="9.1.%1"/>
      <w:lvlJc w:val="left"/>
      <w:pPr>
        <w:ind w:left="851" w:hanging="851"/>
      </w:pPr>
      <w:rPr>
        <w:rFonts w:ascii="Georgia" w:hAnsi="Georgia" w:hint="default"/>
        <w:b/>
        <w:i w:val="0"/>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24B61E2A"/>
    <w:multiLevelType w:val="hybridMultilevel"/>
    <w:tmpl w:val="E79CF5F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24F03440"/>
    <w:multiLevelType w:val="multilevel"/>
    <w:tmpl w:val="785CF5F4"/>
    <w:lvl w:ilvl="0">
      <w:start w:val="1"/>
      <w:numFmt w:val="decimal"/>
      <w:lvlText w:val="4.1.%1"/>
      <w:lvlJc w:val="left"/>
      <w:pPr>
        <w:ind w:left="851" w:hanging="851"/>
      </w:pPr>
      <w:rPr>
        <w:rFonts w:ascii="Georgia" w:hAnsi="Georgia" w:hint="default"/>
        <w:b/>
        <w:i w:val="0"/>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29B838EC"/>
    <w:multiLevelType w:val="multilevel"/>
    <w:tmpl w:val="2FFC555A"/>
    <w:lvl w:ilvl="0">
      <w:start w:val="1"/>
      <w:numFmt w:val="decimal"/>
      <w:pStyle w:val="Tableheading"/>
      <w:lvlText w:val="Table %1:"/>
      <w:lvlJc w:val="left"/>
      <w:pPr>
        <w:ind w:left="1560" w:hanging="1134"/>
      </w:pPr>
      <w:rPr>
        <w:rFonts w:hint="default"/>
      </w:rPr>
    </w:lvl>
    <w:lvl w:ilvl="1">
      <w:start w:val="1"/>
      <w:numFmt w:val="lowerLetter"/>
      <w:lvlText w:val="%2."/>
      <w:lvlJc w:val="left"/>
      <w:pPr>
        <w:ind w:left="-2387" w:hanging="360"/>
      </w:pPr>
      <w:rPr>
        <w:rFonts w:hint="default"/>
      </w:rPr>
    </w:lvl>
    <w:lvl w:ilvl="2">
      <w:start w:val="1"/>
      <w:numFmt w:val="lowerRoman"/>
      <w:lvlText w:val="%3."/>
      <w:lvlJc w:val="right"/>
      <w:pPr>
        <w:ind w:left="-1667" w:hanging="180"/>
      </w:pPr>
      <w:rPr>
        <w:rFonts w:hint="default"/>
      </w:rPr>
    </w:lvl>
    <w:lvl w:ilvl="3">
      <w:start w:val="1"/>
      <w:numFmt w:val="decimal"/>
      <w:lvlText w:val="%4."/>
      <w:lvlJc w:val="left"/>
      <w:pPr>
        <w:ind w:left="-947" w:hanging="360"/>
      </w:pPr>
      <w:rPr>
        <w:rFonts w:hint="default"/>
      </w:rPr>
    </w:lvl>
    <w:lvl w:ilvl="4">
      <w:start w:val="1"/>
      <w:numFmt w:val="lowerLetter"/>
      <w:lvlText w:val="%5."/>
      <w:lvlJc w:val="left"/>
      <w:pPr>
        <w:ind w:left="-227" w:hanging="360"/>
      </w:pPr>
      <w:rPr>
        <w:rFonts w:hint="default"/>
      </w:rPr>
    </w:lvl>
    <w:lvl w:ilvl="5">
      <w:start w:val="1"/>
      <w:numFmt w:val="lowerRoman"/>
      <w:lvlText w:val="%6."/>
      <w:lvlJc w:val="right"/>
      <w:pPr>
        <w:ind w:left="493" w:hanging="180"/>
      </w:pPr>
      <w:rPr>
        <w:rFonts w:hint="default"/>
      </w:rPr>
    </w:lvl>
    <w:lvl w:ilvl="6">
      <w:start w:val="1"/>
      <w:numFmt w:val="decimal"/>
      <w:lvlText w:val="%7."/>
      <w:lvlJc w:val="left"/>
      <w:pPr>
        <w:ind w:left="1213" w:hanging="360"/>
      </w:pPr>
      <w:rPr>
        <w:rFonts w:hint="default"/>
      </w:rPr>
    </w:lvl>
    <w:lvl w:ilvl="7">
      <w:start w:val="1"/>
      <w:numFmt w:val="lowerLetter"/>
      <w:lvlText w:val="%8."/>
      <w:lvlJc w:val="left"/>
      <w:pPr>
        <w:ind w:left="1933" w:hanging="360"/>
      </w:pPr>
      <w:rPr>
        <w:rFonts w:hint="default"/>
      </w:rPr>
    </w:lvl>
    <w:lvl w:ilvl="8">
      <w:start w:val="1"/>
      <w:numFmt w:val="lowerRoman"/>
      <w:lvlText w:val="%9."/>
      <w:lvlJc w:val="right"/>
      <w:pPr>
        <w:ind w:left="2653" w:hanging="180"/>
      </w:pPr>
      <w:rPr>
        <w:rFonts w:hint="default"/>
      </w:rPr>
    </w:lvl>
  </w:abstractNum>
  <w:abstractNum w:abstractNumId="22" w15:restartNumberingAfterBreak="0">
    <w:nsid w:val="2A73455D"/>
    <w:multiLevelType w:val="hybridMultilevel"/>
    <w:tmpl w:val="806E643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2D1A6BE2"/>
    <w:multiLevelType w:val="multilevel"/>
    <w:tmpl w:val="20FCAAE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24" w15:restartNumberingAfterBreak="0">
    <w:nsid w:val="2FFC1AF9"/>
    <w:multiLevelType w:val="multilevel"/>
    <w:tmpl w:val="964413C0"/>
    <w:lvl w:ilvl="0">
      <w:start w:val="1"/>
      <w:numFmt w:val="decimal"/>
      <w:lvlText w:val="7.%1"/>
      <w:lvlJc w:val="left"/>
      <w:pPr>
        <w:ind w:left="851" w:hanging="851"/>
      </w:pPr>
      <w:rPr>
        <w:rFonts w:ascii="Georgia" w:hAnsi="Georgia" w:hint="default"/>
        <w:b/>
        <w:i w:val="0"/>
        <w:color w:val="1B556B" w:themeColor="text2"/>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30FB5891"/>
    <w:multiLevelType w:val="multilevel"/>
    <w:tmpl w:val="15FA98EA"/>
    <w:lvl w:ilvl="0">
      <w:start w:val="1"/>
      <w:numFmt w:val="decimal"/>
      <w:suff w:val="nothing"/>
      <w:lvlText w:val="6.%1"/>
      <w:lvlJc w:val="left"/>
      <w:pPr>
        <w:ind w:left="851" w:hanging="851"/>
      </w:pPr>
      <w:rPr>
        <w:rFonts w:hint="default"/>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15:restartNumberingAfterBreak="0">
    <w:nsid w:val="35C17621"/>
    <w:multiLevelType w:val="hybridMultilevel"/>
    <w:tmpl w:val="5EC081D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366F70BA"/>
    <w:multiLevelType w:val="hybridMultilevel"/>
    <w:tmpl w:val="5A2A9734"/>
    <w:lvl w:ilvl="0" w:tplc="336413B2">
      <w:start w:val="1"/>
      <w:numFmt w:val="bullet"/>
      <w:pStyle w:val="Greenbullet-casestudytables"/>
      <w:lvlText w:val=""/>
      <w:lvlJc w:val="left"/>
      <w:pPr>
        <w:ind w:left="360" w:hanging="360"/>
      </w:pPr>
      <w:rPr>
        <w:rFonts w:ascii="Symbol" w:hAnsi="Symbol" w:hint="default"/>
        <w:color w:val="1C556C"/>
        <w:sz w:val="18"/>
        <w:szCs w:val="20"/>
      </w:rPr>
    </w:lvl>
    <w:lvl w:ilvl="1" w:tplc="14090003">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8" w15:restartNumberingAfterBreak="0">
    <w:nsid w:val="384E4883"/>
    <w:multiLevelType w:val="multilevel"/>
    <w:tmpl w:val="F1725C6E"/>
    <w:lvl w:ilvl="0">
      <w:start w:val="1"/>
      <w:numFmt w:val="decimal"/>
      <w:lvlText w:val="5.1.%1"/>
      <w:lvlJc w:val="left"/>
      <w:pPr>
        <w:ind w:left="851" w:hanging="851"/>
      </w:pPr>
      <w:rPr>
        <w:rFonts w:ascii="Georgia" w:hAnsi="Georgia" w:hint="default"/>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15:restartNumberingAfterBreak="0">
    <w:nsid w:val="390063AE"/>
    <w:multiLevelType w:val="multilevel"/>
    <w:tmpl w:val="F30A6136"/>
    <w:lvl w:ilvl="0">
      <w:start w:val="1"/>
      <w:numFmt w:val="decimal"/>
      <w:lvlText w:val="1.%1"/>
      <w:lvlJc w:val="left"/>
      <w:pPr>
        <w:ind w:left="720" w:hanging="360"/>
      </w:pPr>
      <w:rPr>
        <w:rFonts w:ascii="Corbel" w:hAnsi="Corbel" w:hint="default"/>
        <w:b w:val="0"/>
        <w:i w:val="0"/>
        <w:sz w:val="24"/>
      </w:rPr>
    </w:lvl>
    <w:lvl w:ilvl="1">
      <w:start w:val="1"/>
      <w:numFmt w:val="decimal"/>
      <w:lvlText w:val="1.%2"/>
      <w:lvlJc w:val="left"/>
      <w:pPr>
        <w:ind w:left="851" w:hanging="851"/>
      </w:pPr>
      <w:rPr>
        <w:rFonts w:ascii="Georgia" w:hAnsi="Georgia" w:hint="default"/>
        <w:b/>
        <w:i w:val="0"/>
        <w:sz w:val="36"/>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0" w15:restartNumberingAfterBreak="0">
    <w:nsid w:val="3D0E0848"/>
    <w:multiLevelType w:val="multilevel"/>
    <w:tmpl w:val="FB269890"/>
    <w:lvl w:ilvl="0">
      <w:start w:val="1"/>
      <w:numFmt w:val="decimal"/>
      <w:pStyle w:val="Casestudyheading"/>
      <w:suff w:val="nothing"/>
      <w:lvlText w:val="BOX %1"/>
      <w:lvlJc w:val="left"/>
      <w:pPr>
        <w:ind w:left="284" w:firstLine="28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1" w15:restartNumberingAfterBreak="0">
    <w:nsid w:val="3D465A16"/>
    <w:multiLevelType w:val="multilevel"/>
    <w:tmpl w:val="64C07132"/>
    <w:lvl w:ilvl="0">
      <w:numFmt w:val="bullet"/>
      <w:pStyle w:val="Bullet"/>
      <w:lvlText w:val="•"/>
      <w:lvlJc w:val="left"/>
      <w:pPr>
        <w:ind w:left="360" w:hanging="360"/>
      </w:pPr>
      <w:rPr>
        <w:rFonts w:ascii="Calibri" w:eastAsiaTheme="minorEastAsia"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427701FB"/>
    <w:multiLevelType w:val="multilevel"/>
    <w:tmpl w:val="F012ABEA"/>
    <w:lvl w:ilvl="0">
      <w:start w:val="1"/>
      <w:numFmt w:val="bullet"/>
      <w:pStyle w:val="Sub-list"/>
      <w:lvlText w:val=""/>
      <w:lvlJc w:val="left"/>
      <w:pPr>
        <w:tabs>
          <w:tab w:val="num" w:pos="397"/>
        </w:tabs>
        <w:ind w:left="794" w:hanging="397"/>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35" w15:restartNumberingAfterBreak="0">
    <w:nsid w:val="49057FC8"/>
    <w:multiLevelType w:val="multilevel"/>
    <w:tmpl w:val="DEB6A30E"/>
    <w:lvl w:ilvl="0">
      <w:start w:val="1"/>
      <w:numFmt w:val="decimal"/>
      <w:lvlText w:val="8.%1"/>
      <w:lvlJc w:val="left"/>
      <w:pPr>
        <w:ind w:left="851" w:hanging="851"/>
      </w:pPr>
      <w:rPr>
        <w:rFonts w:ascii="Georgia" w:hAnsi="Georgia" w:hint="default"/>
        <w:b/>
        <w:i w:val="0"/>
        <w:color w:val="1B556B" w:themeColor="text2"/>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15:restartNumberingAfterBreak="0">
    <w:nsid w:val="4DC378BD"/>
    <w:multiLevelType w:val="hybridMultilevel"/>
    <w:tmpl w:val="F0BAC496"/>
    <w:lvl w:ilvl="0" w:tplc="9A6E1BD4">
      <w:numFmt w:val="bullet"/>
      <w:lvlText w:val="•"/>
      <w:lvlJc w:val="left"/>
      <w:pPr>
        <w:ind w:left="719" w:hanging="435"/>
      </w:pPr>
      <w:rPr>
        <w:rFonts w:ascii="Calibri" w:eastAsiaTheme="minorEastAsia" w:hAnsi="Calibri"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7" w15:restartNumberingAfterBreak="0">
    <w:nsid w:val="4EDD2A7E"/>
    <w:multiLevelType w:val="hybridMultilevel"/>
    <w:tmpl w:val="B2BA2CF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8"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39" w15:restartNumberingAfterBreak="0">
    <w:nsid w:val="595B3BAF"/>
    <w:multiLevelType w:val="hybridMultilevel"/>
    <w:tmpl w:val="E416BC7C"/>
    <w:lvl w:ilvl="0" w:tplc="4A44A8DE">
      <w:start w:val="1"/>
      <w:numFmt w:val="upperLetter"/>
      <w:pStyle w:val="Alphalist"/>
      <w:lvlText w:val="%1."/>
      <w:lvlJc w:val="left"/>
      <w:pPr>
        <w:tabs>
          <w:tab w:val="num" w:pos="1276"/>
        </w:tabs>
        <w:ind w:left="1276" w:hanging="425"/>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0" w15:restartNumberingAfterBreak="0">
    <w:nsid w:val="5BA62C59"/>
    <w:multiLevelType w:val="multilevel"/>
    <w:tmpl w:val="7DA21A3E"/>
    <w:lvl w:ilvl="0">
      <w:start w:val="1"/>
      <w:numFmt w:val="decimal"/>
      <w:lvlText w:val="7.2.%1"/>
      <w:lvlJc w:val="left"/>
      <w:pPr>
        <w:ind w:left="851" w:hanging="851"/>
      </w:pPr>
      <w:rPr>
        <w:rFonts w:ascii="Georgia" w:hAnsi="Georgia" w:hint="default"/>
        <w:b/>
        <w:i w:val="0"/>
        <w:color w:val="auto"/>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1" w15:restartNumberingAfterBreak="0">
    <w:nsid w:val="5C8D5A32"/>
    <w:multiLevelType w:val="multilevel"/>
    <w:tmpl w:val="E6281638"/>
    <w:lvl w:ilvl="0">
      <w:start w:val="1"/>
      <w:numFmt w:val="decimal"/>
      <w:lvlText w:val="%1."/>
      <w:lvlJc w:val="left"/>
      <w:pPr>
        <w:tabs>
          <w:tab w:val="num" w:pos="567"/>
        </w:tabs>
        <w:ind w:left="567" w:hanging="567"/>
      </w:pPr>
      <w:rPr>
        <w:rFonts w:hint="default"/>
      </w:rPr>
    </w:lvl>
    <w:lvl w:ilvl="1">
      <w:start w:val="1"/>
      <w:numFmt w:val="decimal"/>
      <w:pStyle w:val="Numberedpara-Level3"/>
      <w:lvlText w:val="%1.%2"/>
      <w:lvlJc w:val="left"/>
      <w:pPr>
        <w:tabs>
          <w:tab w:val="num" w:pos="567"/>
        </w:tabs>
        <w:ind w:left="567" w:hanging="567"/>
      </w:pPr>
      <w:rPr>
        <w:rFonts w:hint="default"/>
        <w:b w:val="0"/>
        <w:i w:val="0"/>
      </w:rPr>
    </w:lvl>
    <w:lvl w:ilvl="2">
      <w:start w:val="1"/>
      <w:numFmt w:val="lowerRoman"/>
      <w:pStyle w:val="Numberedpara-Level3"/>
      <w:lvlText w:val="%3."/>
      <w:lvlJc w:val="left"/>
      <w:pPr>
        <w:tabs>
          <w:tab w:val="num" w:pos="1134"/>
        </w:tabs>
        <w:ind w:left="1134" w:hanging="567"/>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42" w15:restartNumberingAfterBreak="0">
    <w:nsid w:val="5D752ED4"/>
    <w:multiLevelType w:val="hybridMultilevel"/>
    <w:tmpl w:val="F8F0A91E"/>
    <w:lvl w:ilvl="0" w:tplc="9A6E1BD4">
      <w:numFmt w:val="bullet"/>
      <w:lvlText w:val="•"/>
      <w:lvlJc w:val="left"/>
      <w:pPr>
        <w:ind w:left="719" w:hanging="435"/>
      </w:pPr>
      <w:rPr>
        <w:rFonts w:ascii="Calibri" w:eastAsiaTheme="minorEastAsia" w:hAnsi="Calibri" w:cs="Calibri" w:hint="default"/>
      </w:rPr>
    </w:lvl>
    <w:lvl w:ilvl="1" w:tplc="14090003" w:tentative="1">
      <w:start w:val="1"/>
      <w:numFmt w:val="bullet"/>
      <w:lvlText w:val="o"/>
      <w:lvlJc w:val="left"/>
      <w:pPr>
        <w:ind w:left="1364" w:hanging="360"/>
      </w:pPr>
      <w:rPr>
        <w:rFonts w:ascii="Courier New" w:hAnsi="Courier New" w:cs="Courier New" w:hint="default"/>
      </w:rPr>
    </w:lvl>
    <w:lvl w:ilvl="2" w:tplc="14090005" w:tentative="1">
      <w:start w:val="1"/>
      <w:numFmt w:val="bullet"/>
      <w:lvlText w:val=""/>
      <w:lvlJc w:val="left"/>
      <w:pPr>
        <w:ind w:left="2084" w:hanging="360"/>
      </w:pPr>
      <w:rPr>
        <w:rFonts w:ascii="Wingdings" w:hAnsi="Wingdings" w:hint="default"/>
      </w:rPr>
    </w:lvl>
    <w:lvl w:ilvl="3" w:tplc="14090001" w:tentative="1">
      <w:start w:val="1"/>
      <w:numFmt w:val="bullet"/>
      <w:lvlText w:val=""/>
      <w:lvlJc w:val="left"/>
      <w:pPr>
        <w:ind w:left="2804" w:hanging="360"/>
      </w:pPr>
      <w:rPr>
        <w:rFonts w:ascii="Symbol" w:hAnsi="Symbol" w:hint="default"/>
      </w:rPr>
    </w:lvl>
    <w:lvl w:ilvl="4" w:tplc="14090003" w:tentative="1">
      <w:start w:val="1"/>
      <w:numFmt w:val="bullet"/>
      <w:lvlText w:val="o"/>
      <w:lvlJc w:val="left"/>
      <w:pPr>
        <w:ind w:left="3524" w:hanging="360"/>
      </w:pPr>
      <w:rPr>
        <w:rFonts w:ascii="Courier New" w:hAnsi="Courier New" w:cs="Courier New" w:hint="default"/>
      </w:rPr>
    </w:lvl>
    <w:lvl w:ilvl="5" w:tplc="14090005" w:tentative="1">
      <w:start w:val="1"/>
      <w:numFmt w:val="bullet"/>
      <w:lvlText w:val=""/>
      <w:lvlJc w:val="left"/>
      <w:pPr>
        <w:ind w:left="4244" w:hanging="360"/>
      </w:pPr>
      <w:rPr>
        <w:rFonts w:ascii="Wingdings" w:hAnsi="Wingdings" w:hint="default"/>
      </w:rPr>
    </w:lvl>
    <w:lvl w:ilvl="6" w:tplc="14090001" w:tentative="1">
      <w:start w:val="1"/>
      <w:numFmt w:val="bullet"/>
      <w:lvlText w:val=""/>
      <w:lvlJc w:val="left"/>
      <w:pPr>
        <w:ind w:left="4964" w:hanging="360"/>
      </w:pPr>
      <w:rPr>
        <w:rFonts w:ascii="Symbol" w:hAnsi="Symbol" w:hint="default"/>
      </w:rPr>
    </w:lvl>
    <w:lvl w:ilvl="7" w:tplc="14090003" w:tentative="1">
      <w:start w:val="1"/>
      <w:numFmt w:val="bullet"/>
      <w:lvlText w:val="o"/>
      <w:lvlJc w:val="left"/>
      <w:pPr>
        <w:ind w:left="5684" w:hanging="360"/>
      </w:pPr>
      <w:rPr>
        <w:rFonts w:ascii="Courier New" w:hAnsi="Courier New" w:cs="Courier New" w:hint="default"/>
      </w:rPr>
    </w:lvl>
    <w:lvl w:ilvl="8" w:tplc="14090005" w:tentative="1">
      <w:start w:val="1"/>
      <w:numFmt w:val="bullet"/>
      <w:lvlText w:val=""/>
      <w:lvlJc w:val="left"/>
      <w:pPr>
        <w:ind w:left="6404" w:hanging="360"/>
      </w:pPr>
      <w:rPr>
        <w:rFonts w:ascii="Wingdings" w:hAnsi="Wingdings" w:hint="default"/>
      </w:rPr>
    </w:lvl>
  </w:abstractNum>
  <w:abstractNum w:abstractNumId="43" w15:restartNumberingAfterBreak="0">
    <w:nsid w:val="5E856B7B"/>
    <w:multiLevelType w:val="multilevel"/>
    <w:tmpl w:val="0F8AA7D0"/>
    <w:lvl w:ilvl="0">
      <w:start w:val="1"/>
      <w:numFmt w:val="decimal"/>
      <w:lvlText w:val="2.%1"/>
      <w:lvlJc w:val="left"/>
      <w:pPr>
        <w:ind w:left="851" w:hanging="851"/>
      </w:pPr>
      <w:rPr>
        <w:rFonts w:ascii="Georgia" w:hAnsi="Georgia" w:hint="default"/>
        <w:b/>
        <w:i w:val="0"/>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4" w15:restartNumberingAfterBreak="0">
    <w:nsid w:val="5FC548A2"/>
    <w:multiLevelType w:val="multilevel"/>
    <w:tmpl w:val="68D89DBE"/>
    <w:lvl w:ilvl="0">
      <w:start w:val="1"/>
      <w:numFmt w:val="decimal"/>
      <w:pStyle w:val="Heading8"/>
      <w:lvlText w:val="A.%1"/>
      <w:lvlJc w:val="left"/>
      <w:pPr>
        <w:ind w:left="851" w:hanging="851"/>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5" w15:restartNumberingAfterBreak="0">
    <w:nsid w:val="62F85528"/>
    <w:multiLevelType w:val="multilevel"/>
    <w:tmpl w:val="FFFFFFFF"/>
    <w:lvl w:ilvl="0">
      <w:start w:val="1"/>
      <w:numFmt w:val="decimal"/>
      <w:lvlText w:val="5.%1"/>
      <w:lvlJc w:val="left"/>
      <w:pPr>
        <w:ind w:left="851" w:hanging="851"/>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644902E4"/>
    <w:multiLevelType w:val="multilevel"/>
    <w:tmpl w:val="2CC613FE"/>
    <w:lvl w:ilvl="0">
      <w:start w:val="1"/>
      <w:numFmt w:val="decimal"/>
      <w:lvlText w:val="10.%1"/>
      <w:lvlJc w:val="left"/>
      <w:pPr>
        <w:ind w:left="851" w:hanging="851"/>
      </w:pPr>
      <w:rPr>
        <w:rFonts w:ascii="Georgia" w:hAnsi="Georgia" w:hint="default"/>
        <w:b/>
        <w:i w:val="0"/>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7" w15:restartNumberingAfterBreak="0">
    <w:nsid w:val="679D336D"/>
    <w:multiLevelType w:val="multilevel"/>
    <w:tmpl w:val="21504EEE"/>
    <w:lvl w:ilvl="0">
      <w:start w:val="1"/>
      <w:numFmt w:val="decimal"/>
      <w:lvlText w:val="3.1.%1"/>
      <w:lvlJc w:val="left"/>
      <w:pPr>
        <w:ind w:left="851" w:hanging="851"/>
      </w:pPr>
      <w:rPr>
        <w:rFonts w:ascii="Georgia" w:hAnsi="Georgia" w:hint="default"/>
        <w:b/>
        <w:i w:val="0"/>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8" w15:restartNumberingAfterBreak="0">
    <w:nsid w:val="69384F13"/>
    <w:multiLevelType w:val="multilevel"/>
    <w:tmpl w:val="13F60B0E"/>
    <w:lvl w:ilvl="0">
      <w:start w:val="1"/>
      <w:numFmt w:val="decimal"/>
      <w:lvlText w:val="8.1.%1"/>
      <w:lvlJc w:val="left"/>
      <w:pPr>
        <w:ind w:left="851" w:hanging="851"/>
      </w:pPr>
      <w:rPr>
        <w:rFonts w:ascii="Georgia" w:hAnsi="Georgia" w:hint="default"/>
        <w:b/>
        <w:i w:val="0"/>
        <w:color w:val="auto"/>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9" w15:restartNumberingAfterBreak="0">
    <w:nsid w:val="6EE87748"/>
    <w:multiLevelType w:val="hybridMultilevel"/>
    <w:tmpl w:val="8DBA9B48"/>
    <w:lvl w:ilvl="0" w:tplc="14090017">
      <w:start w:val="1"/>
      <w:numFmt w:val="lowerLetter"/>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0" w15:restartNumberingAfterBreak="0">
    <w:nsid w:val="6EF8773A"/>
    <w:multiLevelType w:val="multilevel"/>
    <w:tmpl w:val="D0B68004"/>
    <w:lvl w:ilvl="0">
      <w:start w:val="1"/>
      <w:numFmt w:val="decimal"/>
      <w:pStyle w:val="Numberedlist"/>
      <w:lvlText w:val="%1."/>
      <w:lvlJc w:val="left"/>
      <w:pPr>
        <w:tabs>
          <w:tab w:val="num" w:pos="1276"/>
        </w:tabs>
        <w:ind w:left="1276" w:hanging="425"/>
      </w:pPr>
      <w:rPr>
        <w:rFonts w:hint="default"/>
      </w:rPr>
    </w:lvl>
    <w:lvl w:ilvl="1">
      <w:start w:val="1"/>
      <w:numFmt w:val="decimal"/>
      <w:isLgl/>
      <w:lvlText w:val="%1.%2"/>
      <w:lvlJc w:val="left"/>
      <w:pPr>
        <w:tabs>
          <w:tab w:val="num" w:pos="1985"/>
        </w:tabs>
        <w:ind w:left="1985" w:hanging="709"/>
      </w:pPr>
      <w:rPr>
        <w:rFonts w:hint="default"/>
      </w:rPr>
    </w:lvl>
    <w:lvl w:ilvl="2">
      <w:start w:val="1"/>
      <w:numFmt w:val="decimal"/>
      <w:isLgl/>
      <w:lvlText w:val="%1.%2.%3"/>
      <w:lvlJc w:val="left"/>
      <w:pPr>
        <w:tabs>
          <w:tab w:val="num" w:pos="2693"/>
        </w:tabs>
        <w:ind w:left="2693" w:hanging="708"/>
      </w:pPr>
      <w:rPr>
        <w:rFonts w:hint="default"/>
      </w:rPr>
    </w:lvl>
    <w:lvl w:ilvl="3">
      <w:start w:val="1"/>
      <w:numFmt w:val="none"/>
      <w:isLgl/>
      <w:lvlText w:val=""/>
      <w:lvlJc w:val="left"/>
      <w:pPr>
        <w:tabs>
          <w:tab w:val="num" w:pos="0"/>
        </w:tabs>
        <w:ind w:left="0" w:firstLine="0"/>
      </w:pPr>
      <w:rPr>
        <w:rFonts w:hint="default"/>
      </w:rPr>
    </w:lvl>
    <w:lvl w:ilvl="4">
      <w:start w:val="1"/>
      <w:numFmt w:val="none"/>
      <w:isLgl/>
      <w:lvlText w:val=""/>
      <w:lvlJc w:val="left"/>
      <w:pPr>
        <w:tabs>
          <w:tab w:val="num" w:pos="0"/>
        </w:tabs>
        <w:ind w:left="0" w:firstLine="0"/>
      </w:pPr>
      <w:rPr>
        <w:rFonts w:hint="default"/>
      </w:rPr>
    </w:lvl>
    <w:lvl w:ilvl="5">
      <w:start w:val="1"/>
      <w:numFmt w:val="none"/>
      <w:isLgl/>
      <w:lvlText w:val=""/>
      <w:lvlJc w:val="left"/>
      <w:pPr>
        <w:tabs>
          <w:tab w:val="num" w:pos="0"/>
        </w:tabs>
        <w:ind w:left="0" w:firstLine="0"/>
      </w:pPr>
      <w:rPr>
        <w:rFonts w:hint="default"/>
      </w:rPr>
    </w:lvl>
    <w:lvl w:ilvl="6">
      <w:start w:val="1"/>
      <w:numFmt w:val="none"/>
      <w:isLgl/>
      <w:lvlText w:val=""/>
      <w:lvlJc w:val="left"/>
      <w:pPr>
        <w:tabs>
          <w:tab w:val="num" w:pos="0"/>
        </w:tabs>
        <w:ind w:left="0" w:firstLine="0"/>
      </w:pPr>
      <w:rPr>
        <w:rFonts w:hint="default"/>
      </w:rPr>
    </w:lvl>
    <w:lvl w:ilvl="7">
      <w:start w:val="1"/>
      <w:numFmt w:val="none"/>
      <w:isLgl/>
      <w:lvlText w:val=""/>
      <w:lvlJc w:val="left"/>
      <w:pPr>
        <w:tabs>
          <w:tab w:val="num" w:pos="0"/>
        </w:tabs>
        <w:ind w:left="0" w:firstLine="0"/>
      </w:pPr>
      <w:rPr>
        <w:rFonts w:hint="default"/>
      </w:rPr>
    </w:lvl>
    <w:lvl w:ilvl="8">
      <w:start w:val="1"/>
      <w:numFmt w:val="none"/>
      <w:isLgl/>
      <w:lvlText w:val=""/>
      <w:lvlJc w:val="left"/>
      <w:pPr>
        <w:tabs>
          <w:tab w:val="num" w:pos="0"/>
        </w:tabs>
        <w:ind w:left="0" w:firstLine="0"/>
      </w:pPr>
      <w:rPr>
        <w:rFonts w:hint="default"/>
      </w:rPr>
    </w:lvl>
  </w:abstractNum>
  <w:abstractNum w:abstractNumId="51" w15:restartNumberingAfterBreak="0">
    <w:nsid w:val="74983AFD"/>
    <w:multiLevelType w:val="multilevel"/>
    <w:tmpl w:val="E9F4D1F0"/>
    <w:lvl w:ilvl="0">
      <w:start w:val="1"/>
      <w:numFmt w:val="decimal"/>
      <w:lvlText w:val="4.%1"/>
      <w:lvlJc w:val="left"/>
      <w:pPr>
        <w:ind w:left="851" w:hanging="851"/>
      </w:pPr>
      <w:rPr>
        <w:rFonts w:ascii="Georgia" w:hAnsi="Georgia" w:cs="Arial" w:hint="default"/>
        <w:b/>
        <w:i w:val="0"/>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2"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766E19E2"/>
    <w:multiLevelType w:val="multilevel"/>
    <w:tmpl w:val="739A8002"/>
    <w:lvl w:ilvl="0">
      <w:start w:val="1"/>
      <w:numFmt w:val="decimal"/>
      <w:pStyle w:val="AppendixHeading2"/>
      <w:lvlText w:val="A.%1"/>
      <w:lvlJc w:val="left"/>
      <w:pPr>
        <w:ind w:left="851" w:hanging="851"/>
      </w:pPr>
      <w:rPr>
        <w:rFonts w:ascii="Georgia" w:hAnsi="Georgia" w:hint="default"/>
        <w:b/>
        <w:i w:val="0"/>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4" w15:restartNumberingAfterBreak="0">
    <w:nsid w:val="76FD1887"/>
    <w:multiLevelType w:val="multilevel"/>
    <w:tmpl w:val="E2AA38E6"/>
    <w:lvl w:ilvl="0">
      <w:start w:val="1"/>
      <w:numFmt w:val="decimal"/>
      <w:lvlText w:val="3.%1"/>
      <w:lvlJc w:val="left"/>
      <w:pPr>
        <w:ind w:left="851" w:hanging="851"/>
      </w:pPr>
      <w:rPr>
        <w:rFonts w:ascii="Georgia" w:hAnsi="Georgia" w:cs="Arial" w:hint="default"/>
        <w:b/>
        <w:i w:val="0"/>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5" w15:restartNumberingAfterBreak="0">
    <w:nsid w:val="7D5C780B"/>
    <w:multiLevelType w:val="hybridMultilevel"/>
    <w:tmpl w:val="950EA05C"/>
    <w:lvl w:ilvl="0" w:tplc="68BA0C02">
      <w:start w:val="1"/>
      <w:numFmt w:val="bullet"/>
      <w:pStyle w:val="Greenbullet"/>
      <w:lvlText w:val=""/>
      <w:lvlJc w:val="left"/>
      <w:pPr>
        <w:ind w:left="1004" w:hanging="360"/>
      </w:pPr>
      <w:rPr>
        <w:rFonts w:ascii="Symbol" w:hAnsi="Symbol" w:hint="default"/>
        <w:color w:val="2C997B"/>
        <w:sz w:val="18"/>
        <w:szCs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56" w15:restartNumberingAfterBreak="0">
    <w:nsid w:val="7E4D254A"/>
    <w:multiLevelType w:val="singleLevel"/>
    <w:tmpl w:val="8FDC64BE"/>
    <w:lvl w:ilvl="0">
      <w:start w:val="1"/>
      <w:numFmt w:val="bullet"/>
      <w:pStyle w:val="Heading"/>
      <w:lvlText w:val=""/>
      <w:lvlJc w:val="left"/>
      <w:pPr>
        <w:tabs>
          <w:tab w:val="num" w:pos="567"/>
        </w:tabs>
        <w:ind w:left="567" w:hanging="567"/>
      </w:pPr>
      <w:rPr>
        <w:rFonts w:ascii="Symbol" w:hAnsi="Symbol" w:hint="default"/>
        <w:color w:val="auto"/>
        <w:sz w:val="18"/>
        <w:szCs w:val="20"/>
      </w:rPr>
    </w:lvl>
  </w:abstractNum>
  <w:num w:numId="1" w16cid:durableId="115036954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440297465">
    <w:abstractNumId w:val="50"/>
  </w:num>
  <w:num w:numId="3" w16cid:durableId="1362437663">
    <w:abstractNumId w:val="55"/>
  </w:num>
  <w:num w:numId="4" w16cid:durableId="885676300">
    <w:abstractNumId w:val="27"/>
  </w:num>
  <w:num w:numId="5" w16cid:durableId="1822112822">
    <w:abstractNumId w:val="12"/>
  </w:num>
  <w:num w:numId="6" w16cid:durableId="447239262">
    <w:abstractNumId w:val="41"/>
  </w:num>
  <w:num w:numId="7" w16cid:durableId="1326126272">
    <w:abstractNumId w:val="39"/>
  </w:num>
  <w:num w:numId="8" w16cid:durableId="1072042453">
    <w:abstractNumId w:val="38"/>
  </w:num>
  <w:num w:numId="9" w16cid:durableId="1257589886">
    <w:abstractNumId w:val="15"/>
  </w:num>
  <w:num w:numId="10" w16cid:durableId="1120221262">
    <w:abstractNumId w:val="31"/>
  </w:num>
  <w:num w:numId="11" w16cid:durableId="940838604">
    <w:abstractNumId w:val="23"/>
  </w:num>
  <w:num w:numId="12" w16cid:durableId="1438403493">
    <w:abstractNumId w:val="32"/>
  </w:num>
  <w:num w:numId="13" w16cid:durableId="1247304448">
    <w:abstractNumId w:val="17"/>
  </w:num>
  <w:num w:numId="14" w16cid:durableId="1539009507">
    <w:abstractNumId w:val="34"/>
  </w:num>
  <w:num w:numId="15" w16cid:durableId="1075054189">
    <w:abstractNumId w:val="33"/>
  </w:num>
  <w:num w:numId="16" w16cid:durableId="690029410">
    <w:abstractNumId w:val="52"/>
  </w:num>
  <w:num w:numId="17" w16cid:durableId="931204990">
    <w:abstractNumId w:val="29"/>
  </w:num>
  <w:num w:numId="18" w16cid:durableId="225117063">
    <w:abstractNumId w:val="3"/>
  </w:num>
  <w:num w:numId="19" w16cid:durableId="156044988">
    <w:abstractNumId w:val="30"/>
  </w:num>
  <w:num w:numId="20" w16cid:durableId="653486033">
    <w:abstractNumId w:val="7"/>
  </w:num>
  <w:num w:numId="21" w16cid:durableId="2037846232">
    <w:abstractNumId w:val="43"/>
  </w:num>
  <w:num w:numId="22" w16cid:durableId="1680699421">
    <w:abstractNumId w:val="6"/>
  </w:num>
  <w:num w:numId="23" w16cid:durableId="1188563246">
    <w:abstractNumId w:val="13"/>
  </w:num>
  <w:num w:numId="24" w16cid:durableId="1485009141">
    <w:abstractNumId w:val="54"/>
  </w:num>
  <w:num w:numId="25" w16cid:durableId="1091006997">
    <w:abstractNumId w:val="47"/>
  </w:num>
  <w:num w:numId="26" w16cid:durableId="1308970966">
    <w:abstractNumId w:val="51"/>
  </w:num>
  <w:num w:numId="27" w16cid:durableId="2099709556">
    <w:abstractNumId w:val="20"/>
  </w:num>
  <w:num w:numId="28" w16cid:durableId="827551820">
    <w:abstractNumId w:val="28"/>
  </w:num>
  <w:num w:numId="29" w16cid:durableId="1736319316">
    <w:abstractNumId w:val="11"/>
  </w:num>
  <w:num w:numId="30" w16cid:durableId="1357077817">
    <w:abstractNumId w:val="24"/>
  </w:num>
  <w:num w:numId="31" w16cid:durableId="409935924">
    <w:abstractNumId w:val="40"/>
  </w:num>
  <w:num w:numId="32" w16cid:durableId="689725680">
    <w:abstractNumId w:val="35"/>
  </w:num>
  <w:num w:numId="33" w16cid:durableId="412819188">
    <w:abstractNumId w:val="48"/>
  </w:num>
  <w:num w:numId="34" w16cid:durableId="599484423">
    <w:abstractNumId w:val="0"/>
  </w:num>
  <w:num w:numId="35" w16cid:durableId="606159135">
    <w:abstractNumId w:val="18"/>
  </w:num>
  <w:num w:numId="36" w16cid:durableId="147409569">
    <w:abstractNumId w:val="46"/>
  </w:num>
  <w:num w:numId="37" w16cid:durableId="1017582156">
    <w:abstractNumId w:val="53"/>
  </w:num>
  <w:num w:numId="38" w16cid:durableId="1298413637">
    <w:abstractNumId w:val="8"/>
  </w:num>
  <w:num w:numId="39" w16cid:durableId="720055210">
    <w:abstractNumId w:val="42"/>
  </w:num>
  <w:num w:numId="40" w16cid:durableId="283274132">
    <w:abstractNumId w:val="56"/>
  </w:num>
  <w:num w:numId="41" w16cid:durableId="55521259">
    <w:abstractNumId w:val="9"/>
  </w:num>
  <w:num w:numId="42" w16cid:durableId="39943898">
    <w:abstractNumId w:val="36"/>
  </w:num>
  <w:num w:numId="43" w16cid:durableId="851990577">
    <w:abstractNumId w:val="21"/>
  </w:num>
  <w:num w:numId="44" w16cid:durableId="2061048227">
    <w:abstractNumId w:val="45"/>
  </w:num>
  <w:num w:numId="45" w16cid:durableId="1242639348">
    <w:abstractNumId w:val="49"/>
  </w:num>
  <w:num w:numId="46" w16cid:durableId="601189669">
    <w:abstractNumId w:val="1"/>
  </w:num>
  <w:num w:numId="47" w16cid:durableId="1352494354">
    <w:abstractNumId w:val="16"/>
  </w:num>
  <w:num w:numId="48" w16cid:durableId="793795194">
    <w:abstractNumId w:val="37"/>
  </w:num>
  <w:num w:numId="49" w16cid:durableId="1954437053">
    <w:abstractNumId w:val="10"/>
  </w:num>
  <w:num w:numId="50" w16cid:durableId="1285652196">
    <w:abstractNumId w:val="5"/>
  </w:num>
  <w:num w:numId="51" w16cid:durableId="630284715">
    <w:abstractNumId w:val="22"/>
  </w:num>
  <w:num w:numId="52" w16cid:durableId="123766868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633554166">
    <w:abstractNumId w:val="25"/>
  </w:num>
  <w:num w:numId="54" w16cid:durableId="912815150">
    <w:abstractNumId w:val="2"/>
  </w:num>
  <w:num w:numId="55" w16cid:durableId="698702335">
    <w:abstractNumId w:val="44"/>
  </w:num>
  <w:num w:numId="56" w16cid:durableId="480778491">
    <w:abstractNumId w:val="38"/>
  </w:num>
  <w:num w:numId="57" w16cid:durableId="1660039188">
    <w:abstractNumId w:val="38"/>
  </w:num>
  <w:num w:numId="58" w16cid:durableId="1002969352">
    <w:abstractNumId w:val="4"/>
  </w:num>
  <w:num w:numId="59" w16cid:durableId="1547793923">
    <w:abstractNumId w:val="19"/>
  </w:num>
  <w:num w:numId="60" w16cid:durableId="837041747">
    <w:abstractNumId w:val="26"/>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ocumentProtection w:edit="readOnly" w:enforcement="0"/>
  <w:defaultTabStop w:val="397"/>
  <w:evenAndOddHeaders/>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7283"/>
    <w:rsid w:val="00000020"/>
    <w:rsid w:val="00000073"/>
    <w:rsid w:val="00000104"/>
    <w:rsid w:val="00000190"/>
    <w:rsid w:val="000001C8"/>
    <w:rsid w:val="0000020B"/>
    <w:rsid w:val="0000020F"/>
    <w:rsid w:val="00000372"/>
    <w:rsid w:val="000003B2"/>
    <w:rsid w:val="000004AB"/>
    <w:rsid w:val="000005F9"/>
    <w:rsid w:val="0000061C"/>
    <w:rsid w:val="0000064F"/>
    <w:rsid w:val="000006E9"/>
    <w:rsid w:val="000007EF"/>
    <w:rsid w:val="00000850"/>
    <w:rsid w:val="000008B3"/>
    <w:rsid w:val="000008B6"/>
    <w:rsid w:val="000009AF"/>
    <w:rsid w:val="000009F0"/>
    <w:rsid w:val="00000A5C"/>
    <w:rsid w:val="00000AA5"/>
    <w:rsid w:val="00000AEC"/>
    <w:rsid w:val="00000B1D"/>
    <w:rsid w:val="00000D5E"/>
    <w:rsid w:val="00000EB0"/>
    <w:rsid w:val="00000FE3"/>
    <w:rsid w:val="0000107C"/>
    <w:rsid w:val="0000115E"/>
    <w:rsid w:val="0000116C"/>
    <w:rsid w:val="00001276"/>
    <w:rsid w:val="0000137B"/>
    <w:rsid w:val="0000144E"/>
    <w:rsid w:val="000014D8"/>
    <w:rsid w:val="000014FA"/>
    <w:rsid w:val="0000152F"/>
    <w:rsid w:val="00001662"/>
    <w:rsid w:val="0000187C"/>
    <w:rsid w:val="000018E6"/>
    <w:rsid w:val="00001953"/>
    <w:rsid w:val="0000197F"/>
    <w:rsid w:val="000019A6"/>
    <w:rsid w:val="000019EE"/>
    <w:rsid w:val="00001A05"/>
    <w:rsid w:val="00001A9E"/>
    <w:rsid w:val="00001ACC"/>
    <w:rsid w:val="00001ADA"/>
    <w:rsid w:val="00001B59"/>
    <w:rsid w:val="00001BE7"/>
    <w:rsid w:val="00001C7F"/>
    <w:rsid w:val="00001C84"/>
    <w:rsid w:val="00001C85"/>
    <w:rsid w:val="00001D0A"/>
    <w:rsid w:val="00001F5F"/>
    <w:rsid w:val="00001FE8"/>
    <w:rsid w:val="00002016"/>
    <w:rsid w:val="00002127"/>
    <w:rsid w:val="00002134"/>
    <w:rsid w:val="00002175"/>
    <w:rsid w:val="00002185"/>
    <w:rsid w:val="00002219"/>
    <w:rsid w:val="000022FB"/>
    <w:rsid w:val="000023EB"/>
    <w:rsid w:val="000024E3"/>
    <w:rsid w:val="000025AF"/>
    <w:rsid w:val="000025E6"/>
    <w:rsid w:val="00002600"/>
    <w:rsid w:val="000026A9"/>
    <w:rsid w:val="0000270F"/>
    <w:rsid w:val="0000271F"/>
    <w:rsid w:val="00002758"/>
    <w:rsid w:val="00002772"/>
    <w:rsid w:val="0000278A"/>
    <w:rsid w:val="000027B6"/>
    <w:rsid w:val="000028DB"/>
    <w:rsid w:val="000028F5"/>
    <w:rsid w:val="00002941"/>
    <w:rsid w:val="000029D0"/>
    <w:rsid w:val="000029D8"/>
    <w:rsid w:val="00002CFB"/>
    <w:rsid w:val="00002D1E"/>
    <w:rsid w:val="00002E3A"/>
    <w:rsid w:val="00002F9B"/>
    <w:rsid w:val="00002FB8"/>
    <w:rsid w:val="0000300C"/>
    <w:rsid w:val="00003063"/>
    <w:rsid w:val="000030A3"/>
    <w:rsid w:val="000030AB"/>
    <w:rsid w:val="000031FC"/>
    <w:rsid w:val="000032BB"/>
    <w:rsid w:val="0000335F"/>
    <w:rsid w:val="00003379"/>
    <w:rsid w:val="000033B5"/>
    <w:rsid w:val="000033C9"/>
    <w:rsid w:val="000034D5"/>
    <w:rsid w:val="000035B5"/>
    <w:rsid w:val="000036F3"/>
    <w:rsid w:val="000038C1"/>
    <w:rsid w:val="00003919"/>
    <w:rsid w:val="00003939"/>
    <w:rsid w:val="000039EB"/>
    <w:rsid w:val="00003A4E"/>
    <w:rsid w:val="00003C44"/>
    <w:rsid w:val="00003CBB"/>
    <w:rsid w:val="00003CD5"/>
    <w:rsid w:val="00003CFF"/>
    <w:rsid w:val="00003D2D"/>
    <w:rsid w:val="00003D5F"/>
    <w:rsid w:val="00003DFA"/>
    <w:rsid w:val="00003E2A"/>
    <w:rsid w:val="00003E67"/>
    <w:rsid w:val="00003E71"/>
    <w:rsid w:val="00003E72"/>
    <w:rsid w:val="00003F18"/>
    <w:rsid w:val="00003F64"/>
    <w:rsid w:val="00004066"/>
    <w:rsid w:val="000040BA"/>
    <w:rsid w:val="00004131"/>
    <w:rsid w:val="000041E7"/>
    <w:rsid w:val="0000428F"/>
    <w:rsid w:val="0000435A"/>
    <w:rsid w:val="0000440B"/>
    <w:rsid w:val="0000445A"/>
    <w:rsid w:val="000044A0"/>
    <w:rsid w:val="0000453D"/>
    <w:rsid w:val="000045B7"/>
    <w:rsid w:val="00004646"/>
    <w:rsid w:val="0000467C"/>
    <w:rsid w:val="00004689"/>
    <w:rsid w:val="000046DE"/>
    <w:rsid w:val="000047C1"/>
    <w:rsid w:val="000048FA"/>
    <w:rsid w:val="00004976"/>
    <w:rsid w:val="00004977"/>
    <w:rsid w:val="00004A42"/>
    <w:rsid w:val="00004B8E"/>
    <w:rsid w:val="00004BBC"/>
    <w:rsid w:val="00004BE6"/>
    <w:rsid w:val="00004CBD"/>
    <w:rsid w:val="00004CC8"/>
    <w:rsid w:val="00004D16"/>
    <w:rsid w:val="00004E36"/>
    <w:rsid w:val="00004F4C"/>
    <w:rsid w:val="00004F54"/>
    <w:rsid w:val="00005052"/>
    <w:rsid w:val="000050C5"/>
    <w:rsid w:val="00005151"/>
    <w:rsid w:val="0000515A"/>
    <w:rsid w:val="00005161"/>
    <w:rsid w:val="0000522A"/>
    <w:rsid w:val="0000527F"/>
    <w:rsid w:val="000052CB"/>
    <w:rsid w:val="00005303"/>
    <w:rsid w:val="00005367"/>
    <w:rsid w:val="00005399"/>
    <w:rsid w:val="000053A5"/>
    <w:rsid w:val="00005413"/>
    <w:rsid w:val="0000551E"/>
    <w:rsid w:val="00005567"/>
    <w:rsid w:val="000055CE"/>
    <w:rsid w:val="00005602"/>
    <w:rsid w:val="00005679"/>
    <w:rsid w:val="00005682"/>
    <w:rsid w:val="000056D9"/>
    <w:rsid w:val="000056E7"/>
    <w:rsid w:val="00005777"/>
    <w:rsid w:val="0000589A"/>
    <w:rsid w:val="00005956"/>
    <w:rsid w:val="000059F9"/>
    <w:rsid w:val="00005A83"/>
    <w:rsid w:val="00005B63"/>
    <w:rsid w:val="00005B6C"/>
    <w:rsid w:val="00005BC3"/>
    <w:rsid w:val="00005BF9"/>
    <w:rsid w:val="00005DD0"/>
    <w:rsid w:val="00005EEE"/>
    <w:rsid w:val="00005EF7"/>
    <w:rsid w:val="00005EFA"/>
    <w:rsid w:val="00005F00"/>
    <w:rsid w:val="0000604A"/>
    <w:rsid w:val="00006069"/>
    <w:rsid w:val="00006222"/>
    <w:rsid w:val="00006238"/>
    <w:rsid w:val="00006284"/>
    <w:rsid w:val="00006304"/>
    <w:rsid w:val="0000632E"/>
    <w:rsid w:val="00006353"/>
    <w:rsid w:val="00006360"/>
    <w:rsid w:val="000063B4"/>
    <w:rsid w:val="000063F7"/>
    <w:rsid w:val="00006407"/>
    <w:rsid w:val="000064D9"/>
    <w:rsid w:val="0000656F"/>
    <w:rsid w:val="00006681"/>
    <w:rsid w:val="000067B6"/>
    <w:rsid w:val="0000688B"/>
    <w:rsid w:val="000068D4"/>
    <w:rsid w:val="0000698F"/>
    <w:rsid w:val="000069C2"/>
    <w:rsid w:val="00006B96"/>
    <w:rsid w:val="00006BE2"/>
    <w:rsid w:val="00006DCF"/>
    <w:rsid w:val="00006DDA"/>
    <w:rsid w:val="0000709C"/>
    <w:rsid w:val="000070B1"/>
    <w:rsid w:val="000070E4"/>
    <w:rsid w:val="000070ED"/>
    <w:rsid w:val="00007164"/>
    <w:rsid w:val="000071FA"/>
    <w:rsid w:val="00007225"/>
    <w:rsid w:val="0000723E"/>
    <w:rsid w:val="00007326"/>
    <w:rsid w:val="000073BF"/>
    <w:rsid w:val="00007413"/>
    <w:rsid w:val="0000743B"/>
    <w:rsid w:val="000074CB"/>
    <w:rsid w:val="0000750A"/>
    <w:rsid w:val="0000752E"/>
    <w:rsid w:val="00007569"/>
    <w:rsid w:val="00007668"/>
    <w:rsid w:val="000077A1"/>
    <w:rsid w:val="000077C2"/>
    <w:rsid w:val="000077CF"/>
    <w:rsid w:val="00007829"/>
    <w:rsid w:val="0000782F"/>
    <w:rsid w:val="000079D5"/>
    <w:rsid w:val="000079DB"/>
    <w:rsid w:val="00007A54"/>
    <w:rsid w:val="00007B25"/>
    <w:rsid w:val="00007C0A"/>
    <w:rsid w:val="00007D30"/>
    <w:rsid w:val="00007DCF"/>
    <w:rsid w:val="00007DFA"/>
    <w:rsid w:val="00007EBB"/>
    <w:rsid w:val="00007EBC"/>
    <w:rsid w:val="00007F08"/>
    <w:rsid w:val="00007F89"/>
    <w:rsid w:val="000100A8"/>
    <w:rsid w:val="000100C2"/>
    <w:rsid w:val="000100C9"/>
    <w:rsid w:val="00010103"/>
    <w:rsid w:val="0001025B"/>
    <w:rsid w:val="00010324"/>
    <w:rsid w:val="0001033C"/>
    <w:rsid w:val="00010367"/>
    <w:rsid w:val="00010432"/>
    <w:rsid w:val="000104DE"/>
    <w:rsid w:val="00010500"/>
    <w:rsid w:val="00010517"/>
    <w:rsid w:val="00010551"/>
    <w:rsid w:val="000105D2"/>
    <w:rsid w:val="0001063F"/>
    <w:rsid w:val="00010655"/>
    <w:rsid w:val="000106AF"/>
    <w:rsid w:val="00010718"/>
    <w:rsid w:val="00010747"/>
    <w:rsid w:val="000107DF"/>
    <w:rsid w:val="000107E1"/>
    <w:rsid w:val="00010861"/>
    <w:rsid w:val="00010971"/>
    <w:rsid w:val="0001099A"/>
    <w:rsid w:val="00010AAF"/>
    <w:rsid w:val="00010AD8"/>
    <w:rsid w:val="00010B02"/>
    <w:rsid w:val="00010B21"/>
    <w:rsid w:val="00010B55"/>
    <w:rsid w:val="00010B70"/>
    <w:rsid w:val="00010B74"/>
    <w:rsid w:val="00010C97"/>
    <w:rsid w:val="00010CF3"/>
    <w:rsid w:val="00010E43"/>
    <w:rsid w:val="00010E4D"/>
    <w:rsid w:val="00010EC7"/>
    <w:rsid w:val="00010ED9"/>
    <w:rsid w:val="00010F29"/>
    <w:rsid w:val="0001100B"/>
    <w:rsid w:val="0001111F"/>
    <w:rsid w:val="00011136"/>
    <w:rsid w:val="000111D9"/>
    <w:rsid w:val="00011238"/>
    <w:rsid w:val="00011263"/>
    <w:rsid w:val="0001127B"/>
    <w:rsid w:val="0001127F"/>
    <w:rsid w:val="00011291"/>
    <w:rsid w:val="00011343"/>
    <w:rsid w:val="00011364"/>
    <w:rsid w:val="000113A3"/>
    <w:rsid w:val="000113FF"/>
    <w:rsid w:val="00011409"/>
    <w:rsid w:val="00011415"/>
    <w:rsid w:val="0001144C"/>
    <w:rsid w:val="00011467"/>
    <w:rsid w:val="000114D3"/>
    <w:rsid w:val="000114D9"/>
    <w:rsid w:val="0001152E"/>
    <w:rsid w:val="0001153E"/>
    <w:rsid w:val="000115D5"/>
    <w:rsid w:val="000115E4"/>
    <w:rsid w:val="00011724"/>
    <w:rsid w:val="0001179C"/>
    <w:rsid w:val="000119D9"/>
    <w:rsid w:val="000119FE"/>
    <w:rsid w:val="00011A2B"/>
    <w:rsid w:val="00011B15"/>
    <w:rsid w:val="00011B34"/>
    <w:rsid w:val="00011B6E"/>
    <w:rsid w:val="00011B92"/>
    <w:rsid w:val="00011C3A"/>
    <w:rsid w:val="00011C95"/>
    <w:rsid w:val="00011D2C"/>
    <w:rsid w:val="00011D62"/>
    <w:rsid w:val="00011E3A"/>
    <w:rsid w:val="00011E5F"/>
    <w:rsid w:val="00011EA7"/>
    <w:rsid w:val="00011F53"/>
    <w:rsid w:val="00011F56"/>
    <w:rsid w:val="00011FC2"/>
    <w:rsid w:val="00011FE2"/>
    <w:rsid w:val="000120A3"/>
    <w:rsid w:val="000121D0"/>
    <w:rsid w:val="000121FF"/>
    <w:rsid w:val="00012261"/>
    <w:rsid w:val="000122CF"/>
    <w:rsid w:val="000122D5"/>
    <w:rsid w:val="000122DA"/>
    <w:rsid w:val="0001235E"/>
    <w:rsid w:val="0001237A"/>
    <w:rsid w:val="0001237E"/>
    <w:rsid w:val="00012391"/>
    <w:rsid w:val="000123DA"/>
    <w:rsid w:val="000123EB"/>
    <w:rsid w:val="000123FA"/>
    <w:rsid w:val="00012415"/>
    <w:rsid w:val="00012454"/>
    <w:rsid w:val="00012502"/>
    <w:rsid w:val="0001256D"/>
    <w:rsid w:val="00012594"/>
    <w:rsid w:val="000125C8"/>
    <w:rsid w:val="00012704"/>
    <w:rsid w:val="00012705"/>
    <w:rsid w:val="0001270A"/>
    <w:rsid w:val="00012714"/>
    <w:rsid w:val="00012833"/>
    <w:rsid w:val="00012891"/>
    <w:rsid w:val="000128DE"/>
    <w:rsid w:val="000129EC"/>
    <w:rsid w:val="00012BA5"/>
    <w:rsid w:val="00012BEE"/>
    <w:rsid w:val="00012C06"/>
    <w:rsid w:val="00012CDE"/>
    <w:rsid w:val="00012D00"/>
    <w:rsid w:val="00012D1A"/>
    <w:rsid w:val="00012DF2"/>
    <w:rsid w:val="00012E42"/>
    <w:rsid w:val="00012E5E"/>
    <w:rsid w:val="00012EAE"/>
    <w:rsid w:val="00012EC6"/>
    <w:rsid w:val="00012ECB"/>
    <w:rsid w:val="00012FDA"/>
    <w:rsid w:val="000133C6"/>
    <w:rsid w:val="000133F4"/>
    <w:rsid w:val="00013467"/>
    <w:rsid w:val="00013522"/>
    <w:rsid w:val="0001353E"/>
    <w:rsid w:val="000135D4"/>
    <w:rsid w:val="000136DF"/>
    <w:rsid w:val="00013719"/>
    <w:rsid w:val="000137BC"/>
    <w:rsid w:val="00013848"/>
    <w:rsid w:val="00013885"/>
    <w:rsid w:val="00013897"/>
    <w:rsid w:val="0001395F"/>
    <w:rsid w:val="0001399E"/>
    <w:rsid w:val="000139BD"/>
    <w:rsid w:val="000139D0"/>
    <w:rsid w:val="00013A00"/>
    <w:rsid w:val="00013A80"/>
    <w:rsid w:val="00013AA5"/>
    <w:rsid w:val="00013AA7"/>
    <w:rsid w:val="00013ABE"/>
    <w:rsid w:val="00013B1B"/>
    <w:rsid w:val="00013B53"/>
    <w:rsid w:val="00013BF6"/>
    <w:rsid w:val="00013C65"/>
    <w:rsid w:val="00013C88"/>
    <w:rsid w:val="00013DCE"/>
    <w:rsid w:val="00013DF5"/>
    <w:rsid w:val="00013E2B"/>
    <w:rsid w:val="00013E8E"/>
    <w:rsid w:val="00013E93"/>
    <w:rsid w:val="00013EC6"/>
    <w:rsid w:val="00013F4B"/>
    <w:rsid w:val="00013F74"/>
    <w:rsid w:val="00013F8A"/>
    <w:rsid w:val="00014059"/>
    <w:rsid w:val="00014150"/>
    <w:rsid w:val="00014175"/>
    <w:rsid w:val="000141D9"/>
    <w:rsid w:val="00014351"/>
    <w:rsid w:val="000143B1"/>
    <w:rsid w:val="000143BB"/>
    <w:rsid w:val="0001443C"/>
    <w:rsid w:val="00014442"/>
    <w:rsid w:val="00014770"/>
    <w:rsid w:val="000147EF"/>
    <w:rsid w:val="000148AA"/>
    <w:rsid w:val="00014955"/>
    <w:rsid w:val="0001496E"/>
    <w:rsid w:val="00014971"/>
    <w:rsid w:val="00014998"/>
    <w:rsid w:val="000149A9"/>
    <w:rsid w:val="00014A0E"/>
    <w:rsid w:val="00014AE0"/>
    <w:rsid w:val="00014B91"/>
    <w:rsid w:val="00014BFD"/>
    <w:rsid w:val="00014C01"/>
    <w:rsid w:val="00014C22"/>
    <w:rsid w:val="00014C3F"/>
    <w:rsid w:val="00014C77"/>
    <w:rsid w:val="00014D09"/>
    <w:rsid w:val="00014D47"/>
    <w:rsid w:val="00014DCE"/>
    <w:rsid w:val="00014E3F"/>
    <w:rsid w:val="00014E6C"/>
    <w:rsid w:val="00014F98"/>
    <w:rsid w:val="00015009"/>
    <w:rsid w:val="000150CF"/>
    <w:rsid w:val="000151F1"/>
    <w:rsid w:val="00015226"/>
    <w:rsid w:val="00015282"/>
    <w:rsid w:val="000152B3"/>
    <w:rsid w:val="00015484"/>
    <w:rsid w:val="000154EE"/>
    <w:rsid w:val="000154FF"/>
    <w:rsid w:val="00015589"/>
    <w:rsid w:val="0001562F"/>
    <w:rsid w:val="00015717"/>
    <w:rsid w:val="00015777"/>
    <w:rsid w:val="00015825"/>
    <w:rsid w:val="00015853"/>
    <w:rsid w:val="00015898"/>
    <w:rsid w:val="0001591F"/>
    <w:rsid w:val="0001596F"/>
    <w:rsid w:val="00015993"/>
    <w:rsid w:val="00015A31"/>
    <w:rsid w:val="00015A43"/>
    <w:rsid w:val="00015AE5"/>
    <w:rsid w:val="00015BD3"/>
    <w:rsid w:val="00015C15"/>
    <w:rsid w:val="00015C9D"/>
    <w:rsid w:val="00015CB6"/>
    <w:rsid w:val="00015CC0"/>
    <w:rsid w:val="00015D6E"/>
    <w:rsid w:val="00015F6F"/>
    <w:rsid w:val="00015FC1"/>
    <w:rsid w:val="00016004"/>
    <w:rsid w:val="0001602A"/>
    <w:rsid w:val="00016035"/>
    <w:rsid w:val="0001606B"/>
    <w:rsid w:val="000161E2"/>
    <w:rsid w:val="00016227"/>
    <w:rsid w:val="0001625E"/>
    <w:rsid w:val="000162D9"/>
    <w:rsid w:val="00016430"/>
    <w:rsid w:val="0001644C"/>
    <w:rsid w:val="00016466"/>
    <w:rsid w:val="00016536"/>
    <w:rsid w:val="00016630"/>
    <w:rsid w:val="00016687"/>
    <w:rsid w:val="000166E1"/>
    <w:rsid w:val="0001671E"/>
    <w:rsid w:val="00016739"/>
    <w:rsid w:val="00016777"/>
    <w:rsid w:val="000167EA"/>
    <w:rsid w:val="000168F8"/>
    <w:rsid w:val="00016907"/>
    <w:rsid w:val="000169DD"/>
    <w:rsid w:val="00016A21"/>
    <w:rsid w:val="00016A7D"/>
    <w:rsid w:val="00016A8D"/>
    <w:rsid w:val="00016BBF"/>
    <w:rsid w:val="00016C25"/>
    <w:rsid w:val="00016C9A"/>
    <w:rsid w:val="00016D2E"/>
    <w:rsid w:val="00016D7D"/>
    <w:rsid w:val="00016D81"/>
    <w:rsid w:val="00016DCE"/>
    <w:rsid w:val="00016E08"/>
    <w:rsid w:val="00016E5D"/>
    <w:rsid w:val="00016FCE"/>
    <w:rsid w:val="000170A4"/>
    <w:rsid w:val="000170E2"/>
    <w:rsid w:val="00017139"/>
    <w:rsid w:val="000171D2"/>
    <w:rsid w:val="000171D3"/>
    <w:rsid w:val="000171D4"/>
    <w:rsid w:val="0001723E"/>
    <w:rsid w:val="0001724E"/>
    <w:rsid w:val="000172B8"/>
    <w:rsid w:val="00017321"/>
    <w:rsid w:val="00017361"/>
    <w:rsid w:val="0001739F"/>
    <w:rsid w:val="0001744F"/>
    <w:rsid w:val="00017628"/>
    <w:rsid w:val="00017647"/>
    <w:rsid w:val="000176C5"/>
    <w:rsid w:val="000178BC"/>
    <w:rsid w:val="000178E3"/>
    <w:rsid w:val="000178F1"/>
    <w:rsid w:val="000178F5"/>
    <w:rsid w:val="0001794D"/>
    <w:rsid w:val="000179CD"/>
    <w:rsid w:val="00017B42"/>
    <w:rsid w:val="00017B61"/>
    <w:rsid w:val="00017CB1"/>
    <w:rsid w:val="00017D67"/>
    <w:rsid w:val="00017DA6"/>
    <w:rsid w:val="00017E96"/>
    <w:rsid w:val="00017ED8"/>
    <w:rsid w:val="00017F39"/>
    <w:rsid w:val="0001E254"/>
    <w:rsid w:val="00020061"/>
    <w:rsid w:val="00020081"/>
    <w:rsid w:val="000200F9"/>
    <w:rsid w:val="00020106"/>
    <w:rsid w:val="0002017F"/>
    <w:rsid w:val="0002018F"/>
    <w:rsid w:val="000201A2"/>
    <w:rsid w:val="00020204"/>
    <w:rsid w:val="00020253"/>
    <w:rsid w:val="00020388"/>
    <w:rsid w:val="00020398"/>
    <w:rsid w:val="0002039E"/>
    <w:rsid w:val="0002044F"/>
    <w:rsid w:val="000204A3"/>
    <w:rsid w:val="0002051A"/>
    <w:rsid w:val="00020563"/>
    <w:rsid w:val="00020671"/>
    <w:rsid w:val="00020731"/>
    <w:rsid w:val="00020733"/>
    <w:rsid w:val="000207A8"/>
    <w:rsid w:val="000207FA"/>
    <w:rsid w:val="000208AE"/>
    <w:rsid w:val="000209F9"/>
    <w:rsid w:val="00020A0D"/>
    <w:rsid w:val="00020B37"/>
    <w:rsid w:val="00020BCD"/>
    <w:rsid w:val="00020BF3"/>
    <w:rsid w:val="00020CA8"/>
    <w:rsid w:val="00020DFC"/>
    <w:rsid w:val="00020E6F"/>
    <w:rsid w:val="00020F36"/>
    <w:rsid w:val="00020FE5"/>
    <w:rsid w:val="0002100F"/>
    <w:rsid w:val="00021181"/>
    <w:rsid w:val="000213C7"/>
    <w:rsid w:val="00021643"/>
    <w:rsid w:val="00021685"/>
    <w:rsid w:val="0002172F"/>
    <w:rsid w:val="0002173C"/>
    <w:rsid w:val="0002181D"/>
    <w:rsid w:val="00021886"/>
    <w:rsid w:val="000218FA"/>
    <w:rsid w:val="00021AA9"/>
    <w:rsid w:val="00021AFE"/>
    <w:rsid w:val="00021B0F"/>
    <w:rsid w:val="00021B7E"/>
    <w:rsid w:val="00021B9E"/>
    <w:rsid w:val="00021BD9"/>
    <w:rsid w:val="00021C15"/>
    <w:rsid w:val="00021C42"/>
    <w:rsid w:val="00021DC2"/>
    <w:rsid w:val="00021E72"/>
    <w:rsid w:val="00021E80"/>
    <w:rsid w:val="00021E8C"/>
    <w:rsid w:val="00021F44"/>
    <w:rsid w:val="00021FAC"/>
    <w:rsid w:val="000220DD"/>
    <w:rsid w:val="00022183"/>
    <w:rsid w:val="00022206"/>
    <w:rsid w:val="00022289"/>
    <w:rsid w:val="000225E6"/>
    <w:rsid w:val="0002266F"/>
    <w:rsid w:val="0002268E"/>
    <w:rsid w:val="000226D4"/>
    <w:rsid w:val="000227A5"/>
    <w:rsid w:val="000228AC"/>
    <w:rsid w:val="000228BF"/>
    <w:rsid w:val="0002291C"/>
    <w:rsid w:val="00022992"/>
    <w:rsid w:val="00022A6D"/>
    <w:rsid w:val="00022AA8"/>
    <w:rsid w:val="00022B1F"/>
    <w:rsid w:val="00022B25"/>
    <w:rsid w:val="00022B93"/>
    <w:rsid w:val="00022CC4"/>
    <w:rsid w:val="00022D2C"/>
    <w:rsid w:val="00022D42"/>
    <w:rsid w:val="00022DA0"/>
    <w:rsid w:val="00022F08"/>
    <w:rsid w:val="00022FA1"/>
    <w:rsid w:val="00022FE6"/>
    <w:rsid w:val="000230F2"/>
    <w:rsid w:val="00023136"/>
    <w:rsid w:val="0002318C"/>
    <w:rsid w:val="0002330B"/>
    <w:rsid w:val="00023393"/>
    <w:rsid w:val="000233B5"/>
    <w:rsid w:val="00023474"/>
    <w:rsid w:val="00023477"/>
    <w:rsid w:val="00023489"/>
    <w:rsid w:val="0002353A"/>
    <w:rsid w:val="0002356D"/>
    <w:rsid w:val="00023598"/>
    <w:rsid w:val="0002364A"/>
    <w:rsid w:val="00023691"/>
    <w:rsid w:val="0002386E"/>
    <w:rsid w:val="00023896"/>
    <w:rsid w:val="000238D1"/>
    <w:rsid w:val="000238ED"/>
    <w:rsid w:val="00023A10"/>
    <w:rsid w:val="00023A13"/>
    <w:rsid w:val="00023B3E"/>
    <w:rsid w:val="00023C32"/>
    <w:rsid w:val="00023C44"/>
    <w:rsid w:val="00023C6D"/>
    <w:rsid w:val="00023CA4"/>
    <w:rsid w:val="00023CA6"/>
    <w:rsid w:val="00023D2D"/>
    <w:rsid w:val="00023D8F"/>
    <w:rsid w:val="00023E5A"/>
    <w:rsid w:val="0002401C"/>
    <w:rsid w:val="0002417F"/>
    <w:rsid w:val="000241DA"/>
    <w:rsid w:val="0002421C"/>
    <w:rsid w:val="0002422C"/>
    <w:rsid w:val="0002422D"/>
    <w:rsid w:val="00024333"/>
    <w:rsid w:val="000243A0"/>
    <w:rsid w:val="000243D9"/>
    <w:rsid w:val="0002448D"/>
    <w:rsid w:val="000245D5"/>
    <w:rsid w:val="00024639"/>
    <w:rsid w:val="00024739"/>
    <w:rsid w:val="00024747"/>
    <w:rsid w:val="0002477D"/>
    <w:rsid w:val="00024796"/>
    <w:rsid w:val="000247D2"/>
    <w:rsid w:val="0002483E"/>
    <w:rsid w:val="00024848"/>
    <w:rsid w:val="0002487E"/>
    <w:rsid w:val="0002499B"/>
    <w:rsid w:val="00024ABC"/>
    <w:rsid w:val="00024AC0"/>
    <w:rsid w:val="00024ACB"/>
    <w:rsid w:val="00024AEC"/>
    <w:rsid w:val="00024AFC"/>
    <w:rsid w:val="00024B86"/>
    <w:rsid w:val="00024BFE"/>
    <w:rsid w:val="00024C92"/>
    <w:rsid w:val="00024D00"/>
    <w:rsid w:val="00024D30"/>
    <w:rsid w:val="00024D9D"/>
    <w:rsid w:val="00024E20"/>
    <w:rsid w:val="00024F16"/>
    <w:rsid w:val="00024F2A"/>
    <w:rsid w:val="00024F35"/>
    <w:rsid w:val="00024F66"/>
    <w:rsid w:val="00024F91"/>
    <w:rsid w:val="00025105"/>
    <w:rsid w:val="00025154"/>
    <w:rsid w:val="000251A3"/>
    <w:rsid w:val="00025235"/>
    <w:rsid w:val="00025260"/>
    <w:rsid w:val="000254A9"/>
    <w:rsid w:val="000254CF"/>
    <w:rsid w:val="0002557B"/>
    <w:rsid w:val="000256BB"/>
    <w:rsid w:val="0002582D"/>
    <w:rsid w:val="0002585A"/>
    <w:rsid w:val="00025926"/>
    <w:rsid w:val="00025AB6"/>
    <w:rsid w:val="00025AFF"/>
    <w:rsid w:val="00025B2F"/>
    <w:rsid w:val="00025B42"/>
    <w:rsid w:val="00025B7F"/>
    <w:rsid w:val="00025B9E"/>
    <w:rsid w:val="00025BDC"/>
    <w:rsid w:val="00025BE8"/>
    <w:rsid w:val="00025C87"/>
    <w:rsid w:val="00025CDF"/>
    <w:rsid w:val="00025D0E"/>
    <w:rsid w:val="00025DF8"/>
    <w:rsid w:val="00025E4A"/>
    <w:rsid w:val="00025EEC"/>
    <w:rsid w:val="0002603C"/>
    <w:rsid w:val="00026090"/>
    <w:rsid w:val="00026098"/>
    <w:rsid w:val="000261B6"/>
    <w:rsid w:val="000261C4"/>
    <w:rsid w:val="000261EB"/>
    <w:rsid w:val="0002625F"/>
    <w:rsid w:val="0002629E"/>
    <w:rsid w:val="000262E9"/>
    <w:rsid w:val="00026393"/>
    <w:rsid w:val="000263D3"/>
    <w:rsid w:val="000264EF"/>
    <w:rsid w:val="00026531"/>
    <w:rsid w:val="000265B1"/>
    <w:rsid w:val="000265DD"/>
    <w:rsid w:val="00026685"/>
    <w:rsid w:val="000267CB"/>
    <w:rsid w:val="0002681D"/>
    <w:rsid w:val="000268A4"/>
    <w:rsid w:val="000268C2"/>
    <w:rsid w:val="000268D8"/>
    <w:rsid w:val="000268F1"/>
    <w:rsid w:val="00026AFC"/>
    <w:rsid w:val="00026BB7"/>
    <w:rsid w:val="00026C21"/>
    <w:rsid w:val="00026C3B"/>
    <w:rsid w:val="00026C53"/>
    <w:rsid w:val="00026EA7"/>
    <w:rsid w:val="00026EC6"/>
    <w:rsid w:val="00026FAA"/>
    <w:rsid w:val="00027035"/>
    <w:rsid w:val="0002705C"/>
    <w:rsid w:val="000271E1"/>
    <w:rsid w:val="00027239"/>
    <w:rsid w:val="00027357"/>
    <w:rsid w:val="000273C2"/>
    <w:rsid w:val="00027407"/>
    <w:rsid w:val="0002743B"/>
    <w:rsid w:val="00027471"/>
    <w:rsid w:val="00027565"/>
    <w:rsid w:val="00027643"/>
    <w:rsid w:val="000276F9"/>
    <w:rsid w:val="00027858"/>
    <w:rsid w:val="0002788F"/>
    <w:rsid w:val="0002795F"/>
    <w:rsid w:val="000279D2"/>
    <w:rsid w:val="00027A73"/>
    <w:rsid w:val="00027B31"/>
    <w:rsid w:val="00027BB9"/>
    <w:rsid w:val="00027BD0"/>
    <w:rsid w:val="00027C1B"/>
    <w:rsid w:val="00027C5F"/>
    <w:rsid w:val="00027C7E"/>
    <w:rsid w:val="00027CE3"/>
    <w:rsid w:val="00027D2D"/>
    <w:rsid w:val="00027DF5"/>
    <w:rsid w:val="00027E12"/>
    <w:rsid w:val="00027E3E"/>
    <w:rsid w:val="00027EA2"/>
    <w:rsid w:val="00027EB6"/>
    <w:rsid w:val="00027EF6"/>
    <w:rsid w:val="00027FEF"/>
    <w:rsid w:val="00030031"/>
    <w:rsid w:val="000300A8"/>
    <w:rsid w:val="00030118"/>
    <w:rsid w:val="00030152"/>
    <w:rsid w:val="0003015D"/>
    <w:rsid w:val="0003022F"/>
    <w:rsid w:val="00030258"/>
    <w:rsid w:val="0003025E"/>
    <w:rsid w:val="0003029C"/>
    <w:rsid w:val="0003034F"/>
    <w:rsid w:val="000303DB"/>
    <w:rsid w:val="000303DD"/>
    <w:rsid w:val="00030420"/>
    <w:rsid w:val="00030470"/>
    <w:rsid w:val="0003076A"/>
    <w:rsid w:val="000309FB"/>
    <w:rsid w:val="00030AD0"/>
    <w:rsid w:val="00030BA4"/>
    <w:rsid w:val="00030C0B"/>
    <w:rsid w:val="00030C79"/>
    <w:rsid w:val="00030CA4"/>
    <w:rsid w:val="00030CCB"/>
    <w:rsid w:val="00030D4B"/>
    <w:rsid w:val="00030D8F"/>
    <w:rsid w:val="00030DA2"/>
    <w:rsid w:val="00030DBB"/>
    <w:rsid w:val="00030DD1"/>
    <w:rsid w:val="00030E1B"/>
    <w:rsid w:val="00030F6C"/>
    <w:rsid w:val="00030FC6"/>
    <w:rsid w:val="0003105F"/>
    <w:rsid w:val="0003115F"/>
    <w:rsid w:val="000311D9"/>
    <w:rsid w:val="000311E9"/>
    <w:rsid w:val="00031578"/>
    <w:rsid w:val="00031612"/>
    <w:rsid w:val="000316F9"/>
    <w:rsid w:val="00031740"/>
    <w:rsid w:val="00031856"/>
    <w:rsid w:val="000318C0"/>
    <w:rsid w:val="00031906"/>
    <w:rsid w:val="00031908"/>
    <w:rsid w:val="0003190A"/>
    <w:rsid w:val="00031935"/>
    <w:rsid w:val="000319A9"/>
    <w:rsid w:val="00031A86"/>
    <w:rsid w:val="00031D1F"/>
    <w:rsid w:val="00031D54"/>
    <w:rsid w:val="00031DE9"/>
    <w:rsid w:val="00031E9C"/>
    <w:rsid w:val="000320D9"/>
    <w:rsid w:val="00032296"/>
    <w:rsid w:val="0003239B"/>
    <w:rsid w:val="000323A1"/>
    <w:rsid w:val="0003243E"/>
    <w:rsid w:val="00032454"/>
    <w:rsid w:val="00032498"/>
    <w:rsid w:val="00032513"/>
    <w:rsid w:val="0003253E"/>
    <w:rsid w:val="0003256F"/>
    <w:rsid w:val="0003260E"/>
    <w:rsid w:val="0003261D"/>
    <w:rsid w:val="0003265B"/>
    <w:rsid w:val="0003269F"/>
    <w:rsid w:val="0003272F"/>
    <w:rsid w:val="000327A8"/>
    <w:rsid w:val="0003289C"/>
    <w:rsid w:val="000328AB"/>
    <w:rsid w:val="00032A75"/>
    <w:rsid w:val="00032ACB"/>
    <w:rsid w:val="00032ADC"/>
    <w:rsid w:val="00032AF6"/>
    <w:rsid w:val="00032AFF"/>
    <w:rsid w:val="00032B5C"/>
    <w:rsid w:val="00032C39"/>
    <w:rsid w:val="00032C70"/>
    <w:rsid w:val="00032D4B"/>
    <w:rsid w:val="00032EB7"/>
    <w:rsid w:val="00032F1F"/>
    <w:rsid w:val="00032FEE"/>
    <w:rsid w:val="00033005"/>
    <w:rsid w:val="000330A0"/>
    <w:rsid w:val="00033172"/>
    <w:rsid w:val="00033197"/>
    <w:rsid w:val="000331A3"/>
    <w:rsid w:val="00033204"/>
    <w:rsid w:val="00033266"/>
    <w:rsid w:val="000332C8"/>
    <w:rsid w:val="0003331A"/>
    <w:rsid w:val="00033337"/>
    <w:rsid w:val="0003334B"/>
    <w:rsid w:val="00033437"/>
    <w:rsid w:val="00033439"/>
    <w:rsid w:val="0003346F"/>
    <w:rsid w:val="00033471"/>
    <w:rsid w:val="000334D5"/>
    <w:rsid w:val="000335CC"/>
    <w:rsid w:val="000335EE"/>
    <w:rsid w:val="0003362A"/>
    <w:rsid w:val="00033642"/>
    <w:rsid w:val="00033646"/>
    <w:rsid w:val="0003368E"/>
    <w:rsid w:val="0003368F"/>
    <w:rsid w:val="0003385A"/>
    <w:rsid w:val="0003388F"/>
    <w:rsid w:val="000338FD"/>
    <w:rsid w:val="00033A39"/>
    <w:rsid w:val="00033A62"/>
    <w:rsid w:val="00033B8E"/>
    <w:rsid w:val="00033B9E"/>
    <w:rsid w:val="00033BBD"/>
    <w:rsid w:val="00033BCE"/>
    <w:rsid w:val="00033CAB"/>
    <w:rsid w:val="00033DB7"/>
    <w:rsid w:val="00033F9E"/>
    <w:rsid w:val="00033FD1"/>
    <w:rsid w:val="0003410D"/>
    <w:rsid w:val="0003420D"/>
    <w:rsid w:val="0003427C"/>
    <w:rsid w:val="0003435C"/>
    <w:rsid w:val="000344E1"/>
    <w:rsid w:val="0003450A"/>
    <w:rsid w:val="00034537"/>
    <w:rsid w:val="000346DD"/>
    <w:rsid w:val="000347F8"/>
    <w:rsid w:val="00034871"/>
    <w:rsid w:val="000348EB"/>
    <w:rsid w:val="00034A02"/>
    <w:rsid w:val="00034A58"/>
    <w:rsid w:val="00034BCC"/>
    <w:rsid w:val="00034C3A"/>
    <w:rsid w:val="00034C96"/>
    <w:rsid w:val="00034CEE"/>
    <w:rsid w:val="00034EE2"/>
    <w:rsid w:val="00034FE2"/>
    <w:rsid w:val="0003500C"/>
    <w:rsid w:val="00035255"/>
    <w:rsid w:val="000354DF"/>
    <w:rsid w:val="000354F5"/>
    <w:rsid w:val="00035589"/>
    <w:rsid w:val="00035639"/>
    <w:rsid w:val="00035700"/>
    <w:rsid w:val="0003573B"/>
    <w:rsid w:val="000358D5"/>
    <w:rsid w:val="000359B7"/>
    <w:rsid w:val="000359BB"/>
    <w:rsid w:val="00035A5B"/>
    <w:rsid w:val="00035BA8"/>
    <w:rsid w:val="00035CA3"/>
    <w:rsid w:val="00035CE5"/>
    <w:rsid w:val="00035CE9"/>
    <w:rsid w:val="00035D52"/>
    <w:rsid w:val="00035FC5"/>
    <w:rsid w:val="00036001"/>
    <w:rsid w:val="00036077"/>
    <w:rsid w:val="00036091"/>
    <w:rsid w:val="00036096"/>
    <w:rsid w:val="000360A2"/>
    <w:rsid w:val="00036179"/>
    <w:rsid w:val="0003636A"/>
    <w:rsid w:val="0003646F"/>
    <w:rsid w:val="0003653F"/>
    <w:rsid w:val="000367FC"/>
    <w:rsid w:val="0003681F"/>
    <w:rsid w:val="00036871"/>
    <w:rsid w:val="000369D5"/>
    <w:rsid w:val="00036A19"/>
    <w:rsid w:val="00036AC6"/>
    <w:rsid w:val="00036B9C"/>
    <w:rsid w:val="00036BD9"/>
    <w:rsid w:val="00036BF0"/>
    <w:rsid w:val="00036C61"/>
    <w:rsid w:val="00036C64"/>
    <w:rsid w:val="00036C78"/>
    <w:rsid w:val="00036CD9"/>
    <w:rsid w:val="00036D04"/>
    <w:rsid w:val="00036D27"/>
    <w:rsid w:val="00036EF9"/>
    <w:rsid w:val="00036F49"/>
    <w:rsid w:val="00036FA8"/>
    <w:rsid w:val="00036FB2"/>
    <w:rsid w:val="000370BA"/>
    <w:rsid w:val="00037143"/>
    <w:rsid w:val="000371AC"/>
    <w:rsid w:val="000371C7"/>
    <w:rsid w:val="00037224"/>
    <w:rsid w:val="00037235"/>
    <w:rsid w:val="00037302"/>
    <w:rsid w:val="000373A1"/>
    <w:rsid w:val="0003745D"/>
    <w:rsid w:val="00037519"/>
    <w:rsid w:val="00037523"/>
    <w:rsid w:val="0003769E"/>
    <w:rsid w:val="000376F5"/>
    <w:rsid w:val="00037704"/>
    <w:rsid w:val="00037735"/>
    <w:rsid w:val="0003776B"/>
    <w:rsid w:val="000377CC"/>
    <w:rsid w:val="000378EB"/>
    <w:rsid w:val="000378F2"/>
    <w:rsid w:val="00037916"/>
    <w:rsid w:val="000379B7"/>
    <w:rsid w:val="000379C3"/>
    <w:rsid w:val="00037A3C"/>
    <w:rsid w:val="00037B72"/>
    <w:rsid w:val="00037BCA"/>
    <w:rsid w:val="00037D5C"/>
    <w:rsid w:val="00037D8E"/>
    <w:rsid w:val="00037D92"/>
    <w:rsid w:val="00037DC8"/>
    <w:rsid w:val="00037E8D"/>
    <w:rsid w:val="00037EFE"/>
    <w:rsid w:val="00037F26"/>
    <w:rsid w:val="00037FC9"/>
    <w:rsid w:val="0004000F"/>
    <w:rsid w:val="0004004A"/>
    <w:rsid w:val="000400D3"/>
    <w:rsid w:val="0004010E"/>
    <w:rsid w:val="00040134"/>
    <w:rsid w:val="000401DA"/>
    <w:rsid w:val="00040203"/>
    <w:rsid w:val="0004020E"/>
    <w:rsid w:val="0004026F"/>
    <w:rsid w:val="00040341"/>
    <w:rsid w:val="00040452"/>
    <w:rsid w:val="0004045C"/>
    <w:rsid w:val="00040498"/>
    <w:rsid w:val="000404E3"/>
    <w:rsid w:val="000405F5"/>
    <w:rsid w:val="00040663"/>
    <w:rsid w:val="0004066B"/>
    <w:rsid w:val="00040679"/>
    <w:rsid w:val="000406AD"/>
    <w:rsid w:val="000406B9"/>
    <w:rsid w:val="0004075F"/>
    <w:rsid w:val="00040874"/>
    <w:rsid w:val="0004088E"/>
    <w:rsid w:val="00040B0D"/>
    <w:rsid w:val="00040BBD"/>
    <w:rsid w:val="00040BCB"/>
    <w:rsid w:val="00040BF6"/>
    <w:rsid w:val="00040C04"/>
    <w:rsid w:val="00040CD4"/>
    <w:rsid w:val="00040D20"/>
    <w:rsid w:val="00040D8C"/>
    <w:rsid w:val="00041065"/>
    <w:rsid w:val="000410EC"/>
    <w:rsid w:val="0004111B"/>
    <w:rsid w:val="000411DC"/>
    <w:rsid w:val="00041219"/>
    <w:rsid w:val="0004122E"/>
    <w:rsid w:val="0004138F"/>
    <w:rsid w:val="000413CC"/>
    <w:rsid w:val="000413E1"/>
    <w:rsid w:val="00041499"/>
    <w:rsid w:val="0004149F"/>
    <w:rsid w:val="0004156D"/>
    <w:rsid w:val="00041572"/>
    <w:rsid w:val="0004166A"/>
    <w:rsid w:val="000416F6"/>
    <w:rsid w:val="00041775"/>
    <w:rsid w:val="00041784"/>
    <w:rsid w:val="000417CE"/>
    <w:rsid w:val="0004183B"/>
    <w:rsid w:val="00041873"/>
    <w:rsid w:val="0004188A"/>
    <w:rsid w:val="00041951"/>
    <w:rsid w:val="000419CA"/>
    <w:rsid w:val="00041A38"/>
    <w:rsid w:val="00041B33"/>
    <w:rsid w:val="00041B93"/>
    <w:rsid w:val="00041BC7"/>
    <w:rsid w:val="00041BF2"/>
    <w:rsid w:val="00041C4F"/>
    <w:rsid w:val="00041CE0"/>
    <w:rsid w:val="00041D34"/>
    <w:rsid w:val="00041D51"/>
    <w:rsid w:val="00041DB0"/>
    <w:rsid w:val="00041E20"/>
    <w:rsid w:val="00041EA6"/>
    <w:rsid w:val="00041F13"/>
    <w:rsid w:val="00041F59"/>
    <w:rsid w:val="00041FEB"/>
    <w:rsid w:val="00041FEC"/>
    <w:rsid w:val="00041FF5"/>
    <w:rsid w:val="00042020"/>
    <w:rsid w:val="000420A9"/>
    <w:rsid w:val="000420FA"/>
    <w:rsid w:val="0004211F"/>
    <w:rsid w:val="00042135"/>
    <w:rsid w:val="0004216E"/>
    <w:rsid w:val="000422AE"/>
    <w:rsid w:val="000422F9"/>
    <w:rsid w:val="00042304"/>
    <w:rsid w:val="00042328"/>
    <w:rsid w:val="00042424"/>
    <w:rsid w:val="0004243B"/>
    <w:rsid w:val="000424BA"/>
    <w:rsid w:val="00042508"/>
    <w:rsid w:val="00042523"/>
    <w:rsid w:val="0004252E"/>
    <w:rsid w:val="00042726"/>
    <w:rsid w:val="00042736"/>
    <w:rsid w:val="0004277F"/>
    <w:rsid w:val="000427BE"/>
    <w:rsid w:val="0004281B"/>
    <w:rsid w:val="0004284F"/>
    <w:rsid w:val="0004297B"/>
    <w:rsid w:val="0004297D"/>
    <w:rsid w:val="00042A2D"/>
    <w:rsid w:val="00042A9B"/>
    <w:rsid w:val="00042A9D"/>
    <w:rsid w:val="00042BC7"/>
    <w:rsid w:val="00042C01"/>
    <w:rsid w:val="00042C4F"/>
    <w:rsid w:val="00042C5A"/>
    <w:rsid w:val="00042CF4"/>
    <w:rsid w:val="00042D66"/>
    <w:rsid w:val="00042DED"/>
    <w:rsid w:val="00042DF4"/>
    <w:rsid w:val="00042EA3"/>
    <w:rsid w:val="00042F3B"/>
    <w:rsid w:val="00042FD0"/>
    <w:rsid w:val="00043031"/>
    <w:rsid w:val="000430FE"/>
    <w:rsid w:val="0004313C"/>
    <w:rsid w:val="00043170"/>
    <w:rsid w:val="000431C0"/>
    <w:rsid w:val="000432AA"/>
    <w:rsid w:val="000432EC"/>
    <w:rsid w:val="00043300"/>
    <w:rsid w:val="0004330E"/>
    <w:rsid w:val="00043430"/>
    <w:rsid w:val="0004345E"/>
    <w:rsid w:val="000434EA"/>
    <w:rsid w:val="00043501"/>
    <w:rsid w:val="0004358E"/>
    <w:rsid w:val="000435F3"/>
    <w:rsid w:val="000435F5"/>
    <w:rsid w:val="0004368A"/>
    <w:rsid w:val="0004376C"/>
    <w:rsid w:val="0004389E"/>
    <w:rsid w:val="000438BB"/>
    <w:rsid w:val="000438CC"/>
    <w:rsid w:val="000438E1"/>
    <w:rsid w:val="000438EE"/>
    <w:rsid w:val="000439AB"/>
    <w:rsid w:val="00043A05"/>
    <w:rsid w:val="00043A48"/>
    <w:rsid w:val="00043A9F"/>
    <w:rsid w:val="00043B20"/>
    <w:rsid w:val="00043B88"/>
    <w:rsid w:val="00043C22"/>
    <w:rsid w:val="00043CA1"/>
    <w:rsid w:val="00043CF5"/>
    <w:rsid w:val="00043E02"/>
    <w:rsid w:val="00043E3D"/>
    <w:rsid w:val="00043F2A"/>
    <w:rsid w:val="00043FA8"/>
    <w:rsid w:val="00043FDA"/>
    <w:rsid w:val="00044033"/>
    <w:rsid w:val="0004406F"/>
    <w:rsid w:val="00044082"/>
    <w:rsid w:val="00044084"/>
    <w:rsid w:val="000441A4"/>
    <w:rsid w:val="000441AF"/>
    <w:rsid w:val="000441D5"/>
    <w:rsid w:val="000442A8"/>
    <w:rsid w:val="00044329"/>
    <w:rsid w:val="000443C6"/>
    <w:rsid w:val="00044441"/>
    <w:rsid w:val="000444C0"/>
    <w:rsid w:val="000444C5"/>
    <w:rsid w:val="0004451F"/>
    <w:rsid w:val="00044887"/>
    <w:rsid w:val="00044918"/>
    <w:rsid w:val="0004498C"/>
    <w:rsid w:val="00044A40"/>
    <w:rsid w:val="00044AC0"/>
    <w:rsid w:val="00044B41"/>
    <w:rsid w:val="00044B8F"/>
    <w:rsid w:val="00044C06"/>
    <w:rsid w:val="00044C52"/>
    <w:rsid w:val="00044C6E"/>
    <w:rsid w:val="00044CEE"/>
    <w:rsid w:val="00044DFE"/>
    <w:rsid w:val="00044E00"/>
    <w:rsid w:val="00044EA5"/>
    <w:rsid w:val="00044EB3"/>
    <w:rsid w:val="00044EDC"/>
    <w:rsid w:val="00044F49"/>
    <w:rsid w:val="00044F64"/>
    <w:rsid w:val="00044F6C"/>
    <w:rsid w:val="00044FA3"/>
    <w:rsid w:val="00045003"/>
    <w:rsid w:val="000451E9"/>
    <w:rsid w:val="00045252"/>
    <w:rsid w:val="00045275"/>
    <w:rsid w:val="0004530A"/>
    <w:rsid w:val="000453FF"/>
    <w:rsid w:val="00045572"/>
    <w:rsid w:val="00045618"/>
    <w:rsid w:val="0004569B"/>
    <w:rsid w:val="000456F5"/>
    <w:rsid w:val="00045707"/>
    <w:rsid w:val="000457D7"/>
    <w:rsid w:val="00045823"/>
    <w:rsid w:val="000458AF"/>
    <w:rsid w:val="000458E1"/>
    <w:rsid w:val="000459A8"/>
    <w:rsid w:val="000459B6"/>
    <w:rsid w:val="000459FA"/>
    <w:rsid w:val="00045A23"/>
    <w:rsid w:val="00045A3C"/>
    <w:rsid w:val="00045A42"/>
    <w:rsid w:val="00045AB8"/>
    <w:rsid w:val="00045AE5"/>
    <w:rsid w:val="00045B0D"/>
    <w:rsid w:val="00045C87"/>
    <w:rsid w:val="00045E9A"/>
    <w:rsid w:val="00046000"/>
    <w:rsid w:val="00046275"/>
    <w:rsid w:val="0004633A"/>
    <w:rsid w:val="00046373"/>
    <w:rsid w:val="00046450"/>
    <w:rsid w:val="000464BC"/>
    <w:rsid w:val="000465C1"/>
    <w:rsid w:val="000465F7"/>
    <w:rsid w:val="00046681"/>
    <w:rsid w:val="00046685"/>
    <w:rsid w:val="000466D2"/>
    <w:rsid w:val="000466D7"/>
    <w:rsid w:val="00046710"/>
    <w:rsid w:val="000467A3"/>
    <w:rsid w:val="000467B3"/>
    <w:rsid w:val="000467EE"/>
    <w:rsid w:val="00046806"/>
    <w:rsid w:val="00046873"/>
    <w:rsid w:val="00046899"/>
    <w:rsid w:val="000468A2"/>
    <w:rsid w:val="00046A72"/>
    <w:rsid w:val="00046A92"/>
    <w:rsid w:val="00046AB4"/>
    <w:rsid w:val="00046B24"/>
    <w:rsid w:val="00046BEB"/>
    <w:rsid w:val="00046CA7"/>
    <w:rsid w:val="00046D3A"/>
    <w:rsid w:val="00046DCA"/>
    <w:rsid w:val="00046DD9"/>
    <w:rsid w:val="00046E85"/>
    <w:rsid w:val="00046F06"/>
    <w:rsid w:val="00046F38"/>
    <w:rsid w:val="00046F3C"/>
    <w:rsid w:val="00046F53"/>
    <w:rsid w:val="00046F89"/>
    <w:rsid w:val="0004702D"/>
    <w:rsid w:val="00047119"/>
    <w:rsid w:val="000471D8"/>
    <w:rsid w:val="000471E4"/>
    <w:rsid w:val="00047364"/>
    <w:rsid w:val="00047425"/>
    <w:rsid w:val="0004749C"/>
    <w:rsid w:val="000474B2"/>
    <w:rsid w:val="000474DC"/>
    <w:rsid w:val="000474F5"/>
    <w:rsid w:val="00047515"/>
    <w:rsid w:val="0004751A"/>
    <w:rsid w:val="0004756A"/>
    <w:rsid w:val="000477F1"/>
    <w:rsid w:val="000478C5"/>
    <w:rsid w:val="000478E1"/>
    <w:rsid w:val="0004795B"/>
    <w:rsid w:val="0004798E"/>
    <w:rsid w:val="0004799D"/>
    <w:rsid w:val="000479D1"/>
    <w:rsid w:val="00047A05"/>
    <w:rsid w:val="00047BD1"/>
    <w:rsid w:val="00047BE5"/>
    <w:rsid w:val="00047C26"/>
    <w:rsid w:val="00047CA6"/>
    <w:rsid w:val="00047D16"/>
    <w:rsid w:val="00047D2B"/>
    <w:rsid w:val="00047D2F"/>
    <w:rsid w:val="00047D37"/>
    <w:rsid w:val="00047D69"/>
    <w:rsid w:val="00047E27"/>
    <w:rsid w:val="00047F28"/>
    <w:rsid w:val="00050069"/>
    <w:rsid w:val="000501DA"/>
    <w:rsid w:val="000502FD"/>
    <w:rsid w:val="0005034F"/>
    <w:rsid w:val="0005047A"/>
    <w:rsid w:val="00050493"/>
    <w:rsid w:val="000504B3"/>
    <w:rsid w:val="0005058A"/>
    <w:rsid w:val="00050592"/>
    <w:rsid w:val="0005061F"/>
    <w:rsid w:val="00050648"/>
    <w:rsid w:val="00050740"/>
    <w:rsid w:val="00050782"/>
    <w:rsid w:val="0005089F"/>
    <w:rsid w:val="00050A42"/>
    <w:rsid w:val="00050A4C"/>
    <w:rsid w:val="00050AE6"/>
    <w:rsid w:val="00050AFA"/>
    <w:rsid w:val="00050B6C"/>
    <w:rsid w:val="00050BBD"/>
    <w:rsid w:val="00050BD4"/>
    <w:rsid w:val="00050BD7"/>
    <w:rsid w:val="00050BFF"/>
    <w:rsid w:val="00050C6D"/>
    <w:rsid w:val="00050C96"/>
    <w:rsid w:val="00050CCE"/>
    <w:rsid w:val="00050D62"/>
    <w:rsid w:val="00050DA8"/>
    <w:rsid w:val="00050E4E"/>
    <w:rsid w:val="00050F04"/>
    <w:rsid w:val="00050F2B"/>
    <w:rsid w:val="00050F81"/>
    <w:rsid w:val="00050F9D"/>
    <w:rsid w:val="00051066"/>
    <w:rsid w:val="000510D7"/>
    <w:rsid w:val="000511AE"/>
    <w:rsid w:val="000511F9"/>
    <w:rsid w:val="000512C7"/>
    <w:rsid w:val="00051325"/>
    <w:rsid w:val="00051435"/>
    <w:rsid w:val="00051536"/>
    <w:rsid w:val="0005157D"/>
    <w:rsid w:val="00051597"/>
    <w:rsid w:val="000515F2"/>
    <w:rsid w:val="000516F4"/>
    <w:rsid w:val="0005173A"/>
    <w:rsid w:val="000517C4"/>
    <w:rsid w:val="00051910"/>
    <w:rsid w:val="00051A4B"/>
    <w:rsid w:val="00051AB6"/>
    <w:rsid w:val="00051BB3"/>
    <w:rsid w:val="00051C98"/>
    <w:rsid w:val="00051CAA"/>
    <w:rsid w:val="00051CBA"/>
    <w:rsid w:val="00051D59"/>
    <w:rsid w:val="00051D7E"/>
    <w:rsid w:val="00051D92"/>
    <w:rsid w:val="00051E73"/>
    <w:rsid w:val="00051EE3"/>
    <w:rsid w:val="000521E0"/>
    <w:rsid w:val="00052363"/>
    <w:rsid w:val="000523E1"/>
    <w:rsid w:val="00052586"/>
    <w:rsid w:val="0005264C"/>
    <w:rsid w:val="00052730"/>
    <w:rsid w:val="0005276D"/>
    <w:rsid w:val="0005279D"/>
    <w:rsid w:val="00052820"/>
    <w:rsid w:val="0005284E"/>
    <w:rsid w:val="00052AAD"/>
    <w:rsid w:val="00052AE0"/>
    <w:rsid w:val="00052B52"/>
    <w:rsid w:val="00052C3E"/>
    <w:rsid w:val="00052D6C"/>
    <w:rsid w:val="00052DE9"/>
    <w:rsid w:val="00052E64"/>
    <w:rsid w:val="00052EA1"/>
    <w:rsid w:val="00052F1E"/>
    <w:rsid w:val="00052F51"/>
    <w:rsid w:val="00053000"/>
    <w:rsid w:val="00053087"/>
    <w:rsid w:val="000530AE"/>
    <w:rsid w:val="000530E6"/>
    <w:rsid w:val="0005312E"/>
    <w:rsid w:val="00053179"/>
    <w:rsid w:val="00053197"/>
    <w:rsid w:val="000531F2"/>
    <w:rsid w:val="00053203"/>
    <w:rsid w:val="00053231"/>
    <w:rsid w:val="000532F8"/>
    <w:rsid w:val="000533E2"/>
    <w:rsid w:val="0005348D"/>
    <w:rsid w:val="000534FA"/>
    <w:rsid w:val="00053612"/>
    <w:rsid w:val="0005378F"/>
    <w:rsid w:val="0005390A"/>
    <w:rsid w:val="000539E4"/>
    <w:rsid w:val="000539F6"/>
    <w:rsid w:val="00053A11"/>
    <w:rsid w:val="00053AA5"/>
    <w:rsid w:val="00053ADE"/>
    <w:rsid w:val="00053B31"/>
    <w:rsid w:val="00053BAD"/>
    <w:rsid w:val="00053BAE"/>
    <w:rsid w:val="00053C2D"/>
    <w:rsid w:val="00053C55"/>
    <w:rsid w:val="00053CFE"/>
    <w:rsid w:val="00053D7E"/>
    <w:rsid w:val="00053DED"/>
    <w:rsid w:val="00053DFC"/>
    <w:rsid w:val="00053E32"/>
    <w:rsid w:val="00053E50"/>
    <w:rsid w:val="00053E5C"/>
    <w:rsid w:val="00053E62"/>
    <w:rsid w:val="00053EB0"/>
    <w:rsid w:val="00053EBE"/>
    <w:rsid w:val="00053EF2"/>
    <w:rsid w:val="00054006"/>
    <w:rsid w:val="00054093"/>
    <w:rsid w:val="00054105"/>
    <w:rsid w:val="0005417C"/>
    <w:rsid w:val="000541DB"/>
    <w:rsid w:val="00054323"/>
    <w:rsid w:val="00054352"/>
    <w:rsid w:val="0005436D"/>
    <w:rsid w:val="00054390"/>
    <w:rsid w:val="000543A6"/>
    <w:rsid w:val="00054415"/>
    <w:rsid w:val="00054451"/>
    <w:rsid w:val="0005450D"/>
    <w:rsid w:val="000545B7"/>
    <w:rsid w:val="000545BB"/>
    <w:rsid w:val="00054605"/>
    <w:rsid w:val="00054900"/>
    <w:rsid w:val="000549E8"/>
    <w:rsid w:val="00054A6F"/>
    <w:rsid w:val="00054A8F"/>
    <w:rsid w:val="00054AD6"/>
    <w:rsid w:val="00054BA1"/>
    <w:rsid w:val="00054BAE"/>
    <w:rsid w:val="00054CC2"/>
    <w:rsid w:val="00054D8E"/>
    <w:rsid w:val="00054E3B"/>
    <w:rsid w:val="00054E4C"/>
    <w:rsid w:val="00054FE3"/>
    <w:rsid w:val="00055047"/>
    <w:rsid w:val="00055062"/>
    <w:rsid w:val="0005515F"/>
    <w:rsid w:val="000551F0"/>
    <w:rsid w:val="00055201"/>
    <w:rsid w:val="00055279"/>
    <w:rsid w:val="00055382"/>
    <w:rsid w:val="00055411"/>
    <w:rsid w:val="00055443"/>
    <w:rsid w:val="0005545B"/>
    <w:rsid w:val="000554D2"/>
    <w:rsid w:val="000554F2"/>
    <w:rsid w:val="0005559E"/>
    <w:rsid w:val="000555EC"/>
    <w:rsid w:val="000556B9"/>
    <w:rsid w:val="000558C4"/>
    <w:rsid w:val="000558E9"/>
    <w:rsid w:val="00055907"/>
    <w:rsid w:val="00055A7B"/>
    <w:rsid w:val="00055A86"/>
    <w:rsid w:val="00055ACB"/>
    <w:rsid w:val="00055BC0"/>
    <w:rsid w:val="00055C44"/>
    <w:rsid w:val="00055CA7"/>
    <w:rsid w:val="00055CF8"/>
    <w:rsid w:val="00055DA1"/>
    <w:rsid w:val="00055DE5"/>
    <w:rsid w:val="00055EB5"/>
    <w:rsid w:val="00055F20"/>
    <w:rsid w:val="00055F48"/>
    <w:rsid w:val="00055F8E"/>
    <w:rsid w:val="00055FD6"/>
    <w:rsid w:val="00056024"/>
    <w:rsid w:val="0005603B"/>
    <w:rsid w:val="00056049"/>
    <w:rsid w:val="000560B0"/>
    <w:rsid w:val="00056166"/>
    <w:rsid w:val="00056189"/>
    <w:rsid w:val="000561F8"/>
    <w:rsid w:val="00056262"/>
    <w:rsid w:val="00056285"/>
    <w:rsid w:val="0005629C"/>
    <w:rsid w:val="00056317"/>
    <w:rsid w:val="0005636C"/>
    <w:rsid w:val="0005638C"/>
    <w:rsid w:val="0005638E"/>
    <w:rsid w:val="000563D2"/>
    <w:rsid w:val="0005645D"/>
    <w:rsid w:val="00056481"/>
    <w:rsid w:val="0005659C"/>
    <w:rsid w:val="000565CE"/>
    <w:rsid w:val="00056712"/>
    <w:rsid w:val="0005683A"/>
    <w:rsid w:val="00056876"/>
    <w:rsid w:val="00056911"/>
    <w:rsid w:val="00056971"/>
    <w:rsid w:val="00056974"/>
    <w:rsid w:val="000569F9"/>
    <w:rsid w:val="00056A1F"/>
    <w:rsid w:val="00056A27"/>
    <w:rsid w:val="00056A81"/>
    <w:rsid w:val="00056AF3"/>
    <w:rsid w:val="00056D15"/>
    <w:rsid w:val="00056D99"/>
    <w:rsid w:val="00056DBF"/>
    <w:rsid w:val="00056DD0"/>
    <w:rsid w:val="00056E6E"/>
    <w:rsid w:val="00056EBD"/>
    <w:rsid w:val="00056ECB"/>
    <w:rsid w:val="00056F02"/>
    <w:rsid w:val="00056F59"/>
    <w:rsid w:val="0005708A"/>
    <w:rsid w:val="000571D4"/>
    <w:rsid w:val="00057371"/>
    <w:rsid w:val="00057389"/>
    <w:rsid w:val="00057390"/>
    <w:rsid w:val="000573AE"/>
    <w:rsid w:val="0005744D"/>
    <w:rsid w:val="000574F3"/>
    <w:rsid w:val="000575CB"/>
    <w:rsid w:val="00057728"/>
    <w:rsid w:val="000577C6"/>
    <w:rsid w:val="0005784E"/>
    <w:rsid w:val="00057909"/>
    <w:rsid w:val="00057967"/>
    <w:rsid w:val="00057A1D"/>
    <w:rsid w:val="00057A3A"/>
    <w:rsid w:val="00057AA8"/>
    <w:rsid w:val="00057BE7"/>
    <w:rsid w:val="00057DDB"/>
    <w:rsid w:val="00057ED5"/>
    <w:rsid w:val="00057F26"/>
    <w:rsid w:val="000600F2"/>
    <w:rsid w:val="000600FE"/>
    <w:rsid w:val="00060155"/>
    <w:rsid w:val="000601C9"/>
    <w:rsid w:val="00060218"/>
    <w:rsid w:val="0006021E"/>
    <w:rsid w:val="00060280"/>
    <w:rsid w:val="0006028A"/>
    <w:rsid w:val="000602C2"/>
    <w:rsid w:val="000602CA"/>
    <w:rsid w:val="00060306"/>
    <w:rsid w:val="0006036D"/>
    <w:rsid w:val="000603AA"/>
    <w:rsid w:val="000603BB"/>
    <w:rsid w:val="000603FC"/>
    <w:rsid w:val="000604AB"/>
    <w:rsid w:val="000604D4"/>
    <w:rsid w:val="000604F6"/>
    <w:rsid w:val="000604FB"/>
    <w:rsid w:val="00060549"/>
    <w:rsid w:val="00060564"/>
    <w:rsid w:val="0006059E"/>
    <w:rsid w:val="00060623"/>
    <w:rsid w:val="00060725"/>
    <w:rsid w:val="000607F5"/>
    <w:rsid w:val="00060941"/>
    <w:rsid w:val="00060A6C"/>
    <w:rsid w:val="00060B67"/>
    <w:rsid w:val="00060B84"/>
    <w:rsid w:val="00060BE4"/>
    <w:rsid w:val="00060C87"/>
    <w:rsid w:val="00060CC1"/>
    <w:rsid w:val="00060CF2"/>
    <w:rsid w:val="00060E61"/>
    <w:rsid w:val="00061003"/>
    <w:rsid w:val="000610D0"/>
    <w:rsid w:val="0006110F"/>
    <w:rsid w:val="00061117"/>
    <w:rsid w:val="00061142"/>
    <w:rsid w:val="000611BE"/>
    <w:rsid w:val="000612AB"/>
    <w:rsid w:val="0006137F"/>
    <w:rsid w:val="0006139C"/>
    <w:rsid w:val="000613E2"/>
    <w:rsid w:val="000613FA"/>
    <w:rsid w:val="00061419"/>
    <w:rsid w:val="00061440"/>
    <w:rsid w:val="0006155D"/>
    <w:rsid w:val="000616C4"/>
    <w:rsid w:val="000616E5"/>
    <w:rsid w:val="00061737"/>
    <w:rsid w:val="0006174D"/>
    <w:rsid w:val="0006176B"/>
    <w:rsid w:val="000617D3"/>
    <w:rsid w:val="000617F2"/>
    <w:rsid w:val="0006188D"/>
    <w:rsid w:val="000618BC"/>
    <w:rsid w:val="000618C2"/>
    <w:rsid w:val="00061927"/>
    <w:rsid w:val="000619FE"/>
    <w:rsid w:val="00061B89"/>
    <w:rsid w:val="00061C11"/>
    <w:rsid w:val="00061C32"/>
    <w:rsid w:val="00061C9B"/>
    <w:rsid w:val="00061C9D"/>
    <w:rsid w:val="00061D77"/>
    <w:rsid w:val="00061D8F"/>
    <w:rsid w:val="00061D9E"/>
    <w:rsid w:val="00061DF6"/>
    <w:rsid w:val="00061E32"/>
    <w:rsid w:val="00061EFF"/>
    <w:rsid w:val="00061F29"/>
    <w:rsid w:val="00061FD3"/>
    <w:rsid w:val="00062280"/>
    <w:rsid w:val="00062343"/>
    <w:rsid w:val="000623A9"/>
    <w:rsid w:val="000623DD"/>
    <w:rsid w:val="000623F5"/>
    <w:rsid w:val="000624F2"/>
    <w:rsid w:val="00062559"/>
    <w:rsid w:val="000625B6"/>
    <w:rsid w:val="000625F1"/>
    <w:rsid w:val="000627F1"/>
    <w:rsid w:val="00062A3F"/>
    <w:rsid w:val="00062AE2"/>
    <w:rsid w:val="00062B0C"/>
    <w:rsid w:val="00062B0E"/>
    <w:rsid w:val="00062BBE"/>
    <w:rsid w:val="00062BF0"/>
    <w:rsid w:val="00062C8C"/>
    <w:rsid w:val="00062C97"/>
    <w:rsid w:val="00062CC7"/>
    <w:rsid w:val="00062CD6"/>
    <w:rsid w:val="00062CF2"/>
    <w:rsid w:val="00062DD7"/>
    <w:rsid w:val="00062E06"/>
    <w:rsid w:val="00062F06"/>
    <w:rsid w:val="00062F44"/>
    <w:rsid w:val="00062F5D"/>
    <w:rsid w:val="00062F77"/>
    <w:rsid w:val="00062FD1"/>
    <w:rsid w:val="00062FF6"/>
    <w:rsid w:val="0006306A"/>
    <w:rsid w:val="0006313B"/>
    <w:rsid w:val="00063146"/>
    <w:rsid w:val="00063157"/>
    <w:rsid w:val="000631B8"/>
    <w:rsid w:val="000631FB"/>
    <w:rsid w:val="0006321D"/>
    <w:rsid w:val="0006327C"/>
    <w:rsid w:val="00063296"/>
    <w:rsid w:val="000632AE"/>
    <w:rsid w:val="000632CF"/>
    <w:rsid w:val="0006338E"/>
    <w:rsid w:val="000633A8"/>
    <w:rsid w:val="000633E0"/>
    <w:rsid w:val="00063436"/>
    <w:rsid w:val="00063444"/>
    <w:rsid w:val="000634CC"/>
    <w:rsid w:val="00063532"/>
    <w:rsid w:val="000635B6"/>
    <w:rsid w:val="0006370A"/>
    <w:rsid w:val="0006371D"/>
    <w:rsid w:val="00063781"/>
    <w:rsid w:val="000637FB"/>
    <w:rsid w:val="0006380C"/>
    <w:rsid w:val="000638DD"/>
    <w:rsid w:val="00063A9D"/>
    <w:rsid w:val="00063AB3"/>
    <w:rsid w:val="00063B47"/>
    <w:rsid w:val="00063C32"/>
    <w:rsid w:val="00063C61"/>
    <w:rsid w:val="00063C9A"/>
    <w:rsid w:val="00063CA3"/>
    <w:rsid w:val="00063CA4"/>
    <w:rsid w:val="00063CEF"/>
    <w:rsid w:val="00063DC6"/>
    <w:rsid w:val="00063DF0"/>
    <w:rsid w:val="00063EAF"/>
    <w:rsid w:val="00063F2B"/>
    <w:rsid w:val="00063F4E"/>
    <w:rsid w:val="00063F51"/>
    <w:rsid w:val="00063FDF"/>
    <w:rsid w:val="00063FF8"/>
    <w:rsid w:val="000640F2"/>
    <w:rsid w:val="000640FE"/>
    <w:rsid w:val="0006415B"/>
    <w:rsid w:val="000641BE"/>
    <w:rsid w:val="0006421B"/>
    <w:rsid w:val="00064259"/>
    <w:rsid w:val="000642F5"/>
    <w:rsid w:val="000644DC"/>
    <w:rsid w:val="00064523"/>
    <w:rsid w:val="00064580"/>
    <w:rsid w:val="000645A7"/>
    <w:rsid w:val="000645B2"/>
    <w:rsid w:val="000645DC"/>
    <w:rsid w:val="00064665"/>
    <w:rsid w:val="000646BB"/>
    <w:rsid w:val="00064703"/>
    <w:rsid w:val="00064712"/>
    <w:rsid w:val="000648E9"/>
    <w:rsid w:val="000648F2"/>
    <w:rsid w:val="00064985"/>
    <w:rsid w:val="00064A4A"/>
    <w:rsid w:val="00064B60"/>
    <w:rsid w:val="00064CE0"/>
    <w:rsid w:val="00064D25"/>
    <w:rsid w:val="00064D6A"/>
    <w:rsid w:val="00064DC9"/>
    <w:rsid w:val="00064E48"/>
    <w:rsid w:val="00064F88"/>
    <w:rsid w:val="00064F96"/>
    <w:rsid w:val="00065054"/>
    <w:rsid w:val="00065078"/>
    <w:rsid w:val="0006520D"/>
    <w:rsid w:val="000652B1"/>
    <w:rsid w:val="00065421"/>
    <w:rsid w:val="00065428"/>
    <w:rsid w:val="000654BE"/>
    <w:rsid w:val="00065575"/>
    <w:rsid w:val="00065580"/>
    <w:rsid w:val="0006568D"/>
    <w:rsid w:val="00065705"/>
    <w:rsid w:val="000657C3"/>
    <w:rsid w:val="00065844"/>
    <w:rsid w:val="000658A9"/>
    <w:rsid w:val="000658C3"/>
    <w:rsid w:val="000658E4"/>
    <w:rsid w:val="000658FD"/>
    <w:rsid w:val="00065939"/>
    <w:rsid w:val="0006593B"/>
    <w:rsid w:val="00065ADD"/>
    <w:rsid w:val="00065BA0"/>
    <w:rsid w:val="00065BB3"/>
    <w:rsid w:val="00065C6F"/>
    <w:rsid w:val="00065D1A"/>
    <w:rsid w:val="00065DE1"/>
    <w:rsid w:val="00065DE7"/>
    <w:rsid w:val="00065E78"/>
    <w:rsid w:val="00065FAB"/>
    <w:rsid w:val="000660AE"/>
    <w:rsid w:val="0006615D"/>
    <w:rsid w:val="000661E5"/>
    <w:rsid w:val="00066257"/>
    <w:rsid w:val="0006627E"/>
    <w:rsid w:val="0006629C"/>
    <w:rsid w:val="00066300"/>
    <w:rsid w:val="00066318"/>
    <w:rsid w:val="00066365"/>
    <w:rsid w:val="000663BC"/>
    <w:rsid w:val="0006642C"/>
    <w:rsid w:val="00066494"/>
    <w:rsid w:val="00066631"/>
    <w:rsid w:val="0006669A"/>
    <w:rsid w:val="000666A6"/>
    <w:rsid w:val="000666BB"/>
    <w:rsid w:val="00066793"/>
    <w:rsid w:val="000668BC"/>
    <w:rsid w:val="000668C8"/>
    <w:rsid w:val="000668CC"/>
    <w:rsid w:val="000668D0"/>
    <w:rsid w:val="00066905"/>
    <w:rsid w:val="00066AB5"/>
    <w:rsid w:val="00066ADE"/>
    <w:rsid w:val="00066B25"/>
    <w:rsid w:val="00066B5D"/>
    <w:rsid w:val="00066B8C"/>
    <w:rsid w:val="00066B91"/>
    <w:rsid w:val="00066C19"/>
    <w:rsid w:val="00066C4E"/>
    <w:rsid w:val="00066D45"/>
    <w:rsid w:val="00066E2F"/>
    <w:rsid w:val="00066F6F"/>
    <w:rsid w:val="00066FAC"/>
    <w:rsid w:val="00066FDD"/>
    <w:rsid w:val="00067054"/>
    <w:rsid w:val="00067062"/>
    <w:rsid w:val="000670A2"/>
    <w:rsid w:val="000670DD"/>
    <w:rsid w:val="00067177"/>
    <w:rsid w:val="000671E2"/>
    <w:rsid w:val="00067371"/>
    <w:rsid w:val="000673B6"/>
    <w:rsid w:val="000673F5"/>
    <w:rsid w:val="00067460"/>
    <w:rsid w:val="00067667"/>
    <w:rsid w:val="000676E1"/>
    <w:rsid w:val="0006774E"/>
    <w:rsid w:val="0006776B"/>
    <w:rsid w:val="000677CD"/>
    <w:rsid w:val="000677E1"/>
    <w:rsid w:val="000678BC"/>
    <w:rsid w:val="000678C6"/>
    <w:rsid w:val="00067901"/>
    <w:rsid w:val="0006791B"/>
    <w:rsid w:val="00067931"/>
    <w:rsid w:val="00067952"/>
    <w:rsid w:val="00067986"/>
    <w:rsid w:val="000679F5"/>
    <w:rsid w:val="00067A37"/>
    <w:rsid w:val="00067A94"/>
    <w:rsid w:val="00067AB2"/>
    <w:rsid w:val="00067EC7"/>
    <w:rsid w:val="00067F69"/>
    <w:rsid w:val="00067F8E"/>
    <w:rsid w:val="00070006"/>
    <w:rsid w:val="000700C8"/>
    <w:rsid w:val="00070160"/>
    <w:rsid w:val="00070274"/>
    <w:rsid w:val="0007036D"/>
    <w:rsid w:val="0007046B"/>
    <w:rsid w:val="000704DA"/>
    <w:rsid w:val="000704EE"/>
    <w:rsid w:val="00070529"/>
    <w:rsid w:val="00070553"/>
    <w:rsid w:val="00070573"/>
    <w:rsid w:val="000705EA"/>
    <w:rsid w:val="00070613"/>
    <w:rsid w:val="00070632"/>
    <w:rsid w:val="0007065B"/>
    <w:rsid w:val="0007068C"/>
    <w:rsid w:val="00070706"/>
    <w:rsid w:val="00070798"/>
    <w:rsid w:val="0007089B"/>
    <w:rsid w:val="000708C7"/>
    <w:rsid w:val="000709A7"/>
    <w:rsid w:val="00070A51"/>
    <w:rsid w:val="00070ACF"/>
    <w:rsid w:val="00070AD5"/>
    <w:rsid w:val="00070B89"/>
    <w:rsid w:val="00070C61"/>
    <w:rsid w:val="00070C6A"/>
    <w:rsid w:val="00070C7F"/>
    <w:rsid w:val="00070CA0"/>
    <w:rsid w:val="00070CB7"/>
    <w:rsid w:val="00070D0D"/>
    <w:rsid w:val="00070D34"/>
    <w:rsid w:val="00070D3A"/>
    <w:rsid w:val="00070E52"/>
    <w:rsid w:val="00070F84"/>
    <w:rsid w:val="00071060"/>
    <w:rsid w:val="00071063"/>
    <w:rsid w:val="000710F5"/>
    <w:rsid w:val="0007116C"/>
    <w:rsid w:val="000711A3"/>
    <w:rsid w:val="000711FC"/>
    <w:rsid w:val="000712A9"/>
    <w:rsid w:val="000712F6"/>
    <w:rsid w:val="0007131D"/>
    <w:rsid w:val="0007137C"/>
    <w:rsid w:val="000713DC"/>
    <w:rsid w:val="00071415"/>
    <w:rsid w:val="00071440"/>
    <w:rsid w:val="00071489"/>
    <w:rsid w:val="00071543"/>
    <w:rsid w:val="0007158F"/>
    <w:rsid w:val="0007164F"/>
    <w:rsid w:val="0007167E"/>
    <w:rsid w:val="00071680"/>
    <w:rsid w:val="000716BF"/>
    <w:rsid w:val="000716E8"/>
    <w:rsid w:val="0007175A"/>
    <w:rsid w:val="000717A4"/>
    <w:rsid w:val="00071862"/>
    <w:rsid w:val="000718CB"/>
    <w:rsid w:val="0007192A"/>
    <w:rsid w:val="0007199D"/>
    <w:rsid w:val="00071A8C"/>
    <w:rsid w:val="00071AAD"/>
    <w:rsid w:val="00071B4F"/>
    <w:rsid w:val="00071BAF"/>
    <w:rsid w:val="00071E02"/>
    <w:rsid w:val="00071E20"/>
    <w:rsid w:val="00071ED7"/>
    <w:rsid w:val="00071EFA"/>
    <w:rsid w:val="00071F3C"/>
    <w:rsid w:val="00071F70"/>
    <w:rsid w:val="00071FC0"/>
    <w:rsid w:val="00072158"/>
    <w:rsid w:val="000722D2"/>
    <w:rsid w:val="000722FB"/>
    <w:rsid w:val="000723DC"/>
    <w:rsid w:val="00072415"/>
    <w:rsid w:val="00072442"/>
    <w:rsid w:val="00072444"/>
    <w:rsid w:val="0007251C"/>
    <w:rsid w:val="00072540"/>
    <w:rsid w:val="00072604"/>
    <w:rsid w:val="00072622"/>
    <w:rsid w:val="00072707"/>
    <w:rsid w:val="00072711"/>
    <w:rsid w:val="00072807"/>
    <w:rsid w:val="00072819"/>
    <w:rsid w:val="00072872"/>
    <w:rsid w:val="0007289B"/>
    <w:rsid w:val="00072909"/>
    <w:rsid w:val="0007291F"/>
    <w:rsid w:val="00072B0D"/>
    <w:rsid w:val="00072D0D"/>
    <w:rsid w:val="00072DEF"/>
    <w:rsid w:val="00072DFC"/>
    <w:rsid w:val="00072E96"/>
    <w:rsid w:val="00072F9C"/>
    <w:rsid w:val="00073032"/>
    <w:rsid w:val="0007305C"/>
    <w:rsid w:val="00073081"/>
    <w:rsid w:val="0007314B"/>
    <w:rsid w:val="0007321A"/>
    <w:rsid w:val="0007332F"/>
    <w:rsid w:val="00073334"/>
    <w:rsid w:val="0007337B"/>
    <w:rsid w:val="000733C6"/>
    <w:rsid w:val="0007343F"/>
    <w:rsid w:val="000734AA"/>
    <w:rsid w:val="00073648"/>
    <w:rsid w:val="00073660"/>
    <w:rsid w:val="0007366E"/>
    <w:rsid w:val="000736C9"/>
    <w:rsid w:val="000738D3"/>
    <w:rsid w:val="00073940"/>
    <w:rsid w:val="00073959"/>
    <w:rsid w:val="00073998"/>
    <w:rsid w:val="00073A2A"/>
    <w:rsid w:val="00073B01"/>
    <w:rsid w:val="00073B66"/>
    <w:rsid w:val="00073BAD"/>
    <w:rsid w:val="00073BF8"/>
    <w:rsid w:val="00073C4F"/>
    <w:rsid w:val="00073C9A"/>
    <w:rsid w:val="00073CC7"/>
    <w:rsid w:val="00073E95"/>
    <w:rsid w:val="00073F19"/>
    <w:rsid w:val="000740E9"/>
    <w:rsid w:val="0007412B"/>
    <w:rsid w:val="000741E4"/>
    <w:rsid w:val="0007420E"/>
    <w:rsid w:val="00074349"/>
    <w:rsid w:val="000743A1"/>
    <w:rsid w:val="00074481"/>
    <w:rsid w:val="000744EB"/>
    <w:rsid w:val="00074554"/>
    <w:rsid w:val="0007457E"/>
    <w:rsid w:val="000745EC"/>
    <w:rsid w:val="0007468B"/>
    <w:rsid w:val="000747D3"/>
    <w:rsid w:val="000749EC"/>
    <w:rsid w:val="000749F5"/>
    <w:rsid w:val="00074A3E"/>
    <w:rsid w:val="00074B2D"/>
    <w:rsid w:val="00074B8D"/>
    <w:rsid w:val="00074BE4"/>
    <w:rsid w:val="00074C14"/>
    <w:rsid w:val="00074C65"/>
    <w:rsid w:val="00074D4C"/>
    <w:rsid w:val="00074D7D"/>
    <w:rsid w:val="00074DD8"/>
    <w:rsid w:val="00074EDF"/>
    <w:rsid w:val="00074EE6"/>
    <w:rsid w:val="00074EEC"/>
    <w:rsid w:val="00074F95"/>
    <w:rsid w:val="00074FA7"/>
    <w:rsid w:val="00075198"/>
    <w:rsid w:val="000752D1"/>
    <w:rsid w:val="000754CD"/>
    <w:rsid w:val="000754F7"/>
    <w:rsid w:val="00075599"/>
    <w:rsid w:val="000756AB"/>
    <w:rsid w:val="00075829"/>
    <w:rsid w:val="00075845"/>
    <w:rsid w:val="00075867"/>
    <w:rsid w:val="00075882"/>
    <w:rsid w:val="000758A8"/>
    <w:rsid w:val="000758B4"/>
    <w:rsid w:val="00075980"/>
    <w:rsid w:val="000759D7"/>
    <w:rsid w:val="000759E0"/>
    <w:rsid w:val="00075B13"/>
    <w:rsid w:val="00075C90"/>
    <w:rsid w:val="00075CE5"/>
    <w:rsid w:val="00075D7C"/>
    <w:rsid w:val="00075E11"/>
    <w:rsid w:val="00075FB4"/>
    <w:rsid w:val="00076037"/>
    <w:rsid w:val="000760BD"/>
    <w:rsid w:val="000760CD"/>
    <w:rsid w:val="000760FD"/>
    <w:rsid w:val="000761A0"/>
    <w:rsid w:val="000762B7"/>
    <w:rsid w:val="000762F0"/>
    <w:rsid w:val="000762FF"/>
    <w:rsid w:val="0007633D"/>
    <w:rsid w:val="0007633E"/>
    <w:rsid w:val="00076351"/>
    <w:rsid w:val="000763AD"/>
    <w:rsid w:val="00076479"/>
    <w:rsid w:val="00076507"/>
    <w:rsid w:val="0007653B"/>
    <w:rsid w:val="000765F6"/>
    <w:rsid w:val="00076650"/>
    <w:rsid w:val="00076679"/>
    <w:rsid w:val="000766E6"/>
    <w:rsid w:val="00076759"/>
    <w:rsid w:val="0007676B"/>
    <w:rsid w:val="00076816"/>
    <w:rsid w:val="000768AD"/>
    <w:rsid w:val="000768C6"/>
    <w:rsid w:val="000769B0"/>
    <w:rsid w:val="00076A1D"/>
    <w:rsid w:val="00076A2B"/>
    <w:rsid w:val="00076B36"/>
    <w:rsid w:val="00076B8F"/>
    <w:rsid w:val="00076C09"/>
    <w:rsid w:val="00076C11"/>
    <w:rsid w:val="00076C75"/>
    <w:rsid w:val="00076CF4"/>
    <w:rsid w:val="00076D3F"/>
    <w:rsid w:val="00076D55"/>
    <w:rsid w:val="00076DCF"/>
    <w:rsid w:val="00076E0C"/>
    <w:rsid w:val="00076E7C"/>
    <w:rsid w:val="00076EA9"/>
    <w:rsid w:val="00076F17"/>
    <w:rsid w:val="00076F28"/>
    <w:rsid w:val="00076F33"/>
    <w:rsid w:val="00076F3C"/>
    <w:rsid w:val="00076FB0"/>
    <w:rsid w:val="00076FC9"/>
    <w:rsid w:val="0007701F"/>
    <w:rsid w:val="00077027"/>
    <w:rsid w:val="0007707C"/>
    <w:rsid w:val="000770A6"/>
    <w:rsid w:val="000770D8"/>
    <w:rsid w:val="000770FA"/>
    <w:rsid w:val="00077129"/>
    <w:rsid w:val="0007714B"/>
    <w:rsid w:val="00077182"/>
    <w:rsid w:val="00077294"/>
    <w:rsid w:val="0007735C"/>
    <w:rsid w:val="00077482"/>
    <w:rsid w:val="000774AE"/>
    <w:rsid w:val="00077531"/>
    <w:rsid w:val="00077573"/>
    <w:rsid w:val="00077650"/>
    <w:rsid w:val="00077669"/>
    <w:rsid w:val="00077726"/>
    <w:rsid w:val="000777A6"/>
    <w:rsid w:val="0007782E"/>
    <w:rsid w:val="000778ED"/>
    <w:rsid w:val="0007791F"/>
    <w:rsid w:val="0007792C"/>
    <w:rsid w:val="00077A4E"/>
    <w:rsid w:val="00077ABD"/>
    <w:rsid w:val="00077B54"/>
    <w:rsid w:val="00077C14"/>
    <w:rsid w:val="00077C78"/>
    <w:rsid w:val="00077CF1"/>
    <w:rsid w:val="00077D04"/>
    <w:rsid w:val="00077D3D"/>
    <w:rsid w:val="00077DB1"/>
    <w:rsid w:val="00077DF1"/>
    <w:rsid w:val="00077E25"/>
    <w:rsid w:val="00077E45"/>
    <w:rsid w:val="00077E47"/>
    <w:rsid w:val="00077FE1"/>
    <w:rsid w:val="00077FFA"/>
    <w:rsid w:val="00080017"/>
    <w:rsid w:val="000800A3"/>
    <w:rsid w:val="0008010E"/>
    <w:rsid w:val="0008014D"/>
    <w:rsid w:val="00080175"/>
    <w:rsid w:val="0008024E"/>
    <w:rsid w:val="00080355"/>
    <w:rsid w:val="00080391"/>
    <w:rsid w:val="00080401"/>
    <w:rsid w:val="000804ED"/>
    <w:rsid w:val="000804F5"/>
    <w:rsid w:val="00080563"/>
    <w:rsid w:val="00080657"/>
    <w:rsid w:val="000806CD"/>
    <w:rsid w:val="000806DB"/>
    <w:rsid w:val="0008075B"/>
    <w:rsid w:val="0008079E"/>
    <w:rsid w:val="000807E7"/>
    <w:rsid w:val="000807ED"/>
    <w:rsid w:val="00080849"/>
    <w:rsid w:val="0008085A"/>
    <w:rsid w:val="0008095A"/>
    <w:rsid w:val="000809B4"/>
    <w:rsid w:val="00080C67"/>
    <w:rsid w:val="00080CE4"/>
    <w:rsid w:val="00080D0C"/>
    <w:rsid w:val="00080D1B"/>
    <w:rsid w:val="00080E2D"/>
    <w:rsid w:val="00080F34"/>
    <w:rsid w:val="00080F8E"/>
    <w:rsid w:val="0008101F"/>
    <w:rsid w:val="0008102A"/>
    <w:rsid w:val="000810C4"/>
    <w:rsid w:val="00081129"/>
    <w:rsid w:val="00081138"/>
    <w:rsid w:val="00081162"/>
    <w:rsid w:val="000811FF"/>
    <w:rsid w:val="0008120E"/>
    <w:rsid w:val="00081284"/>
    <w:rsid w:val="0008133F"/>
    <w:rsid w:val="000813AF"/>
    <w:rsid w:val="00081494"/>
    <w:rsid w:val="0008149E"/>
    <w:rsid w:val="000815CD"/>
    <w:rsid w:val="000815DC"/>
    <w:rsid w:val="000815E3"/>
    <w:rsid w:val="000815E7"/>
    <w:rsid w:val="0008174B"/>
    <w:rsid w:val="000817A6"/>
    <w:rsid w:val="000817FE"/>
    <w:rsid w:val="00081846"/>
    <w:rsid w:val="00081847"/>
    <w:rsid w:val="00081858"/>
    <w:rsid w:val="000818B7"/>
    <w:rsid w:val="000818EB"/>
    <w:rsid w:val="000819B5"/>
    <w:rsid w:val="00081A2D"/>
    <w:rsid w:val="00081A31"/>
    <w:rsid w:val="00081A69"/>
    <w:rsid w:val="00081CB0"/>
    <w:rsid w:val="00081CFA"/>
    <w:rsid w:val="00081D20"/>
    <w:rsid w:val="00081E50"/>
    <w:rsid w:val="00081EF5"/>
    <w:rsid w:val="00081FBE"/>
    <w:rsid w:val="00082055"/>
    <w:rsid w:val="0008209A"/>
    <w:rsid w:val="0008209E"/>
    <w:rsid w:val="000820B7"/>
    <w:rsid w:val="0008219D"/>
    <w:rsid w:val="000821D8"/>
    <w:rsid w:val="00082287"/>
    <w:rsid w:val="00082322"/>
    <w:rsid w:val="0008238F"/>
    <w:rsid w:val="00082403"/>
    <w:rsid w:val="00082408"/>
    <w:rsid w:val="0008243A"/>
    <w:rsid w:val="0008255E"/>
    <w:rsid w:val="000825F9"/>
    <w:rsid w:val="0008264D"/>
    <w:rsid w:val="00082653"/>
    <w:rsid w:val="0008266E"/>
    <w:rsid w:val="0008279D"/>
    <w:rsid w:val="0008285C"/>
    <w:rsid w:val="00082874"/>
    <w:rsid w:val="00082880"/>
    <w:rsid w:val="00082A32"/>
    <w:rsid w:val="00082A40"/>
    <w:rsid w:val="00082B2D"/>
    <w:rsid w:val="00082BD0"/>
    <w:rsid w:val="00082BDE"/>
    <w:rsid w:val="00082C16"/>
    <w:rsid w:val="00082C1F"/>
    <w:rsid w:val="00082C63"/>
    <w:rsid w:val="00082CDC"/>
    <w:rsid w:val="00082CF8"/>
    <w:rsid w:val="00082D3C"/>
    <w:rsid w:val="00082D3F"/>
    <w:rsid w:val="00082DB4"/>
    <w:rsid w:val="00082E5C"/>
    <w:rsid w:val="00082F70"/>
    <w:rsid w:val="00082FB2"/>
    <w:rsid w:val="00082FDB"/>
    <w:rsid w:val="0008300C"/>
    <w:rsid w:val="0008306B"/>
    <w:rsid w:val="000830DA"/>
    <w:rsid w:val="00083308"/>
    <w:rsid w:val="000833FD"/>
    <w:rsid w:val="0008353E"/>
    <w:rsid w:val="000835B7"/>
    <w:rsid w:val="000835EE"/>
    <w:rsid w:val="0008380D"/>
    <w:rsid w:val="00083846"/>
    <w:rsid w:val="0008387C"/>
    <w:rsid w:val="000839BD"/>
    <w:rsid w:val="000839DF"/>
    <w:rsid w:val="00083A34"/>
    <w:rsid w:val="00083ADE"/>
    <w:rsid w:val="00083AED"/>
    <w:rsid w:val="00083BA5"/>
    <w:rsid w:val="00083BB3"/>
    <w:rsid w:val="00083C18"/>
    <w:rsid w:val="00083C23"/>
    <w:rsid w:val="00083C4E"/>
    <w:rsid w:val="00083CA0"/>
    <w:rsid w:val="00083CD8"/>
    <w:rsid w:val="00083D10"/>
    <w:rsid w:val="00083DC5"/>
    <w:rsid w:val="00083DFD"/>
    <w:rsid w:val="00083E29"/>
    <w:rsid w:val="00083E4B"/>
    <w:rsid w:val="00083ECD"/>
    <w:rsid w:val="00083EE4"/>
    <w:rsid w:val="00083F26"/>
    <w:rsid w:val="00083F40"/>
    <w:rsid w:val="00084050"/>
    <w:rsid w:val="000840C4"/>
    <w:rsid w:val="00084100"/>
    <w:rsid w:val="000841E2"/>
    <w:rsid w:val="00084203"/>
    <w:rsid w:val="0008427C"/>
    <w:rsid w:val="000844F4"/>
    <w:rsid w:val="00084515"/>
    <w:rsid w:val="0008457F"/>
    <w:rsid w:val="00084588"/>
    <w:rsid w:val="0008462E"/>
    <w:rsid w:val="00084713"/>
    <w:rsid w:val="00084722"/>
    <w:rsid w:val="0008476D"/>
    <w:rsid w:val="0008476E"/>
    <w:rsid w:val="000847C8"/>
    <w:rsid w:val="000847D9"/>
    <w:rsid w:val="0008490C"/>
    <w:rsid w:val="00084949"/>
    <w:rsid w:val="00084A27"/>
    <w:rsid w:val="00084A2B"/>
    <w:rsid w:val="00084AB5"/>
    <w:rsid w:val="00084B52"/>
    <w:rsid w:val="00084B7C"/>
    <w:rsid w:val="00084B8F"/>
    <w:rsid w:val="00084C16"/>
    <w:rsid w:val="00084CDB"/>
    <w:rsid w:val="00084D49"/>
    <w:rsid w:val="00084F92"/>
    <w:rsid w:val="00084FF1"/>
    <w:rsid w:val="00084FF3"/>
    <w:rsid w:val="0008505E"/>
    <w:rsid w:val="00085070"/>
    <w:rsid w:val="000850C4"/>
    <w:rsid w:val="000850F7"/>
    <w:rsid w:val="00085147"/>
    <w:rsid w:val="0008529E"/>
    <w:rsid w:val="000852BD"/>
    <w:rsid w:val="000853C2"/>
    <w:rsid w:val="00085400"/>
    <w:rsid w:val="00085482"/>
    <w:rsid w:val="000855A1"/>
    <w:rsid w:val="00085653"/>
    <w:rsid w:val="000856E4"/>
    <w:rsid w:val="00085791"/>
    <w:rsid w:val="00085796"/>
    <w:rsid w:val="000857AA"/>
    <w:rsid w:val="00085893"/>
    <w:rsid w:val="000858A0"/>
    <w:rsid w:val="000858B8"/>
    <w:rsid w:val="00085A16"/>
    <w:rsid w:val="00085A20"/>
    <w:rsid w:val="00085A59"/>
    <w:rsid w:val="00085AD3"/>
    <w:rsid w:val="00085BE8"/>
    <w:rsid w:val="00085BFA"/>
    <w:rsid w:val="00085C41"/>
    <w:rsid w:val="00085D14"/>
    <w:rsid w:val="00085D53"/>
    <w:rsid w:val="00085D75"/>
    <w:rsid w:val="00085D95"/>
    <w:rsid w:val="00085DC8"/>
    <w:rsid w:val="00085E17"/>
    <w:rsid w:val="00085E2D"/>
    <w:rsid w:val="00085E35"/>
    <w:rsid w:val="00085E39"/>
    <w:rsid w:val="00085E66"/>
    <w:rsid w:val="00085E7A"/>
    <w:rsid w:val="00085F2F"/>
    <w:rsid w:val="00085FF2"/>
    <w:rsid w:val="000860EB"/>
    <w:rsid w:val="0008615A"/>
    <w:rsid w:val="000861D6"/>
    <w:rsid w:val="000861EE"/>
    <w:rsid w:val="000862E4"/>
    <w:rsid w:val="00086371"/>
    <w:rsid w:val="0008638E"/>
    <w:rsid w:val="000863A6"/>
    <w:rsid w:val="000863B7"/>
    <w:rsid w:val="0008647E"/>
    <w:rsid w:val="000864AC"/>
    <w:rsid w:val="00086532"/>
    <w:rsid w:val="0008656B"/>
    <w:rsid w:val="000865B6"/>
    <w:rsid w:val="00086692"/>
    <w:rsid w:val="00086697"/>
    <w:rsid w:val="000868CC"/>
    <w:rsid w:val="000868E9"/>
    <w:rsid w:val="00086931"/>
    <w:rsid w:val="00086987"/>
    <w:rsid w:val="00086A7C"/>
    <w:rsid w:val="00086B65"/>
    <w:rsid w:val="00086BCC"/>
    <w:rsid w:val="00086BDA"/>
    <w:rsid w:val="00086C8D"/>
    <w:rsid w:val="00086D6B"/>
    <w:rsid w:val="00086DDC"/>
    <w:rsid w:val="00086E81"/>
    <w:rsid w:val="00086FC5"/>
    <w:rsid w:val="00087082"/>
    <w:rsid w:val="0008717B"/>
    <w:rsid w:val="000871B1"/>
    <w:rsid w:val="00087234"/>
    <w:rsid w:val="00087375"/>
    <w:rsid w:val="0008742B"/>
    <w:rsid w:val="000874D7"/>
    <w:rsid w:val="000874ED"/>
    <w:rsid w:val="000874F1"/>
    <w:rsid w:val="000874FC"/>
    <w:rsid w:val="0008752C"/>
    <w:rsid w:val="00087534"/>
    <w:rsid w:val="000876C6"/>
    <w:rsid w:val="000877D9"/>
    <w:rsid w:val="00087878"/>
    <w:rsid w:val="000878C7"/>
    <w:rsid w:val="0008795F"/>
    <w:rsid w:val="00087989"/>
    <w:rsid w:val="00087A25"/>
    <w:rsid w:val="00087A81"/>
    <w:rsid w:val="00087D03"/>
    <w:rsid w:val="00087D2B"/>
    <w:rsid w:val="00087DE1"/>
    <w:rsid w:val="00087DE7"/>
    <w:rsid w:val="00087E28"/>
    <w:rsid w:val="00087E42"/>
    <w:rsid w:val="00087EAE"/>
    <w:rsid w:val="00087F37"/>
    <w:rsid w:val="00087F9C"/>
    <w:rsid w:val="00087FA2"/>
    <w:rsid w:val="00090056"/>
    <w:rsid w:val="0009008D"/>
    <w:rsid w:val="000900D1"/>
    <w:rsid w:val="0009013A"/>
    <w:rsid w:val="00090159"/>
    <w:rsid w:val="000901A0"/>
    <w:rsid w:val="00090219"/>
    <w:rsid w:val="0009023E"/>
    <w:rsid w:val="00090341"/>
    <w:rsid w:val="00090366"/>
    <w:rsid w:val="00090495"/>
    <w:rsid w:val="000904CD"/>
    <w:rsid w:val="00090557"/>
    <w:rsid w:val="00090596"/>
    <w:rsid w:val="000905F8"/>
    <w:rsid w:val="000906BC"/>
    <w:rsid w:val="0009070E"/>
    <w:rsid w:val="00090784"/>
    <w:rsid w:val="00090997"/>
    <w:rsid w:val="000909AF"/>
    <w:rsid w:val="000909E6"/>
    <w:rsid w:val="00090A11"/>
    <w:rsid w:val="00090B63"/>
    <w:rsid w:val="00090B6D"/>
    <w:rsid w:val="00090C04"/>
    <w:rsid w:val="00090C13"/>
    <w:rsid w:val="00090CFC"/>
    <w:rsid w:val="00090D2C"/>
    <w:rsid w:val="00090EB9"/>
    <w:rsid w:val="00090F29"/>
    <w:rsid w:val="00090F81"/>
    <w:rsid w:val="00090FDB"/>
    <w:rsid w:val="00091008"/>
    <w:rsid w:val="00091013"/>
    <w:rsid w:val="0009106A"/>
    <w:rsid w:val="00091220"/>
    <w:rsid w:val="00091227"/>
    <w:rsid w:val="00091291"/>
    <w:rsid w:val="00091529"/>
    <w:rsid w:val="000915A3"/>
    <w:rsid w:val="000915DB"/>
    <w:rsid w:val="00091629"/>
    <w:rsid w:val="000916A8"/>
    <w:rsid w:val="000916D1"/>
    <w:rsid w:val="000916F8"/>
    <w:rsid w:val="0009184A"/>
    <w:rsid w:val="00091868"/>
    <w:rsid w:val="000919C5"/>
    <w:rsid w:val="00091A92"/>
    <w:rsid w:val="00091A95"/>
    <w:rsid w:val="00091B14"/>
    <w:rsid w:val="00091B92"/>
    <w:rsid w:val="00091BDA"/>
    <w:rsid w:val="00091C20"/>
    <w:rsid w:val="00091C75"/>
    <w:rsid w:val="00091C7C"/>
    <w:rsid w:val="00091CD9"/>
    <w:rsid w:val="00091D32"/>
    <w:rsid w:val="00091E12"/>
    <w:rsid w:val="00091E3A"/>
    <w:rsid w:val="00091ED4"/>
    <w:rsid w:val="00091ED7"/>
    <w:rsid w:val="00091F16"/>
    <w:rsid w:val="00091F40"/>
    <w:rsid w:val="00091FB5"/>
    <w:rsid w:val="00092074"/>
    <w:rsid w:val="00092085"/>
    <w:rsid w:val="0009208E"/>
    <w:rsid w:val="000920E5"/>
    <w:rsid w:val="000920EF"/>
    <w:rsid w:val="0009213A"/>
    <w:rsid w:val="00092180"/>
    <w:rsid w:val="00092183"/>
    <w:rsid w:val="000921DE"/>
    <w:rsid w:val="0009228E"/>
    <w:rsid w:val="000923B2"/>
    <w:rsid w:val="0009245B"/>
    <w:rsid w:val="0009247C"/>
    <w:rsid w:val="00092593"/>
    <w:rsid w:val="0009259D"/>
    <w:rsid w:val="000925C4"/>
    <w:rsid w:val="0009260A"/>
    <w:rsid w:val="00092636"/>
    <w:rsid w:val="00092762"/>
    <w:rsid w:val="0009276B"/>
    <w:rsid w:val="0009286A"/>
    <w:rsid w:val="00092926"/>
    <w:rsid w:val="00092A22"/>
    <w:rsid w:val="00092A88"/>
    <w:rsid w:val="00092A95"/>
    <w:rsid w:val="00092AD7"/>
    <w:rsid w:val="00092BFC"/>
    <w:rsid w:val="00092C40"/>
    <w:rsid w:val="00092C88"/>
    <w:rsid w:val="00092C9F"/>
    <w:rsid w:val="00092CE7"/>
    <w:rsid w:val="00092E1E"/>
    <w:rsid w:val="00092E40"/>
    <w:rsid w:val="00092E50"/>
    <w:rsid w:val="00092F89"/>
    <w:rsid w:val="0009302F"/>
    <w:rsid w:val="0009306F"/>
    <w:rsid w:val="000931B0"/>
    <w:rsid w:val="0009324B"/>
    <w:rsid w:val="0009325B"/>
    <w:rsid w:val="000932BF"/>
    <w:rsid w:val="000932C1"/>
    <w:rsid w:val="0009331C"/>
    <w:rsid w:val="00093332"/>
    <w:rsid w:val="0009339C"/>
    <w:rsid w:val="000933D9"/>
    <w:rsid w:val="0009340C"/>
    <w:rsid w:val="00093432"/>
    <w:rsid w:val="00093543"/>
    <w:rsid w:val="00093685"/>
    <w:rsid w:val="00093713"/>
    <w:rsid w:val="00093780"/>
    <w:rsid w:val="00093855"/>
    <w:rsid w:val="000938D1"/>
    <w:rsid w:val="00093A2C"/>
    <w:rsid w:val="00093A85"/>
    <w:rsid w:val="00093DB0"/>
    <w:rsid w:val="00093E2C"/>
    <w:rsid w:val="00093E83"/>
    <w:rsid w:val="00093F41"/>
    <w:rsid w:val="00093F66"/>
    <w:rsid w:val="00093FA2"/>
    <w:rsid w:val="00093FD6"/>
    <w:rsid w:val="000940CF"/>
    <w:rsid w:val="00094101"/>
    <w:rsid w:val="0009416E"/>
    <w:rsid w:val="00094240"/>
    <w:rsid w:val="00094377"/>
    <w:rsid w:val="00094391"/>
    <w:rsid w:val="00094451"/>
    <w:rsid w:val="0009447F"/>
    <w:rsid w:val="000945A1"/>
    <w:rsid w:val="000947A3"/>
    <w:rsid w:val="000947CE"/>
    <w:rsid w:val="000947E2"/>
    <w:rsid w:val="00094812"/>
    <w:rsid w:val="00094822"/>
    <w:rsid w:val="00094967"/>
    <w:rsid w:val="000949C2"/>
    <w:rsid w:val="00094A4E"/>
    <w:rsid w:val="00094BCF"/>
    <w:rsid w:val="00094C3D"/>
    <w:rsid w:val="00094C87"/>
    <w:rsid w:val="00094CA1"/>
    <w:rsid w:val="00094D45"/>
    <w:rsid w:val="00094D51"/>
    <w:rsid w:val="00094E69"/>
    <w:rsid w:val="00094F1A"/>
    <w:rsid w:val="0009512D"/>
    <w:rsid w:val="00095138"/>
    <w:rsid w:val="000952AC"/>
    <w:rsid w:val="000952DA"/>
    <w:rsid w:val="0009537D"/>
    <w:rsid w:val="00095463"/>
    <w:rsid w:val="00095527"/>
    <w:rsid w:val="0009555A"/>
    <w:rsid w:val="00095565"/>
    <w:rsid w:val="000955CF"/>
    <w:rsid w:val="00095683"/>
    <w:rsid w:val="00095853"/>
    <w:rsid w:val="0009586B"/>
    <w:rsid w:val="000959DC"/>
    <w:rsid w:val="000959E7"/>
    <w:rsid w:val="00095A66"/>
    <w:rsid w:val="00095A70"/>
    <w:rsid w:val="00095AAE"/>
    <w:rsid w:val="00095B41"/>
    <w:rsid w:val="00095B5A"/>
    <w:rsid w:val="00095BF3"/>
    <w:rsid w:val="00095CC5"/>
    <w:rsid w:val="00095CC6"/>
    <w:rsid w:val="00095D09"/>
    <w:rsid w:val="00095DEF"/>
    <w:rsid w:val="00095ED0"/>
    <w:rsid w:val="00095F63"/>
    <w:rsid w:val="00095F6B"/>
    <w:rsid w:val="00095F96"/>
    <w:rsid w:val="00095FA7"/>
    <w:rsid w:val="00095FA9"/>
    <w:rsid w:val="00095FEF"/>
    <w:rsid w:val="00096074"/>
    <w:rsid w:val="000960CD"/>
    <w:rsid w:val="000960F2"/>
    <w:rsid w:val="00096128"/>
    <w:rsid w:val="00096182"/>
    <w:rsid w:val="0009622E"/>
    <w:rsid w:val="0009633A"/>
    <w:rsid w:val="00096378"/>
    <w:rsid w:val="0009650A"/>
    <w:rsid w:val="00096571"/>
    <w:rsid w:val="000965AC"/>
    <w:rsid w:val="000965BB"/>
    <w:rsid w:val="000965DD"/>
    <w:rsid w:val="0009668E"/>
    <w:rsid w:val="000966A5"/>
    <w:rsid w:val="00096791"/>
    <w:rsid w:val="000967F2"/>
    <w:rsid w:val="00096804"/>
    <w:rsid w:val="00096988"/>
    <w:rsid w:val="000969A6"/>
    <w:rsid w:val="00096A4F"/>
    <w:rsid w:val="00096AC5"/>
    <w:rsid w:val="00096B8C"/>
    <w:rsid w:val="00096C16"/>
    <w:rsid w:val="00096CDE"/>
    <w:rsid w:val="00096D2F"/>
    <w:rsid w:val="00096E1F"/>
    <w:rsid w:val="00096E73"/>
    <w:rsid w:val="00096F1A"/>
    <w:rsid w:val="00096F9E"/>
    <w:rsid w:val="000970C0"/>
    <w:rsid w:val="0009711B"/>
    <w:rsid w:val="0009713F"/>
    <w:rsid w:val="000971BF"/>
    <w:rsid w:val="000972D9"/>
    <w:rsid w:val="00097325"/>
    <w:rsid w:val="00097472"/>
    <w:rsid w:val="000974C0"/>
    <w:rsid w:val="0009759D"/>
    <w:rsid w:val="00097703"/>
    <w:rsid w:val="000977D1"/>
    <w:rsid w:val="0009785A"/>
    <w:rsid w:val="000979D7"/>
    <w:rsid w:val="000979FE"/>
    <w:rsid w:val="00097A02"/>
    <w:rsid w:val="00097A2F"/>
    <w:rsid w:val="00097A79"/>
    <w:rsid w:val="00097AD3"/>
    <w:rsid w:val="00097AF2"/>
    <w:rsid w:val="00097B8B"/>
    <w:rsid w:val="00097BA1"/>
    <w:rsid w:val="00097BCA"/>
    <w:rsid w:val="00097C3E"/>
    <w:rsid w:val="00097C7B"/>
    <w:rsid w:val="00097D03"/>
    <w:rsid w:val="00097D21"/>
    <w:rsid w:val="00097D56"/>
    <w:rsid w:val="00097D6D"/>
    <w:rsid w:val="00097DBE"/>
    <w:rsid w:val="00097FA2"/>
    <w:rsid w:val="000A00A3"/>
    <w:rsid w:val="000A0149"/>
    <w:rsid w:val="000A01FD"/>
    <w:rsid w:val="000A0245"/>
    <w:rsid w:val="000A0280"/>
    <w:rsid w:val="000A02A7"/>
    <w:rsid w:val="000A02C2"/>
    <w:rsid w:val="000A02F9"/>
    <w:rsid w:val="000A046D"/>
    <w:rsid w:val="000A04B1"/>
    <w:rsid w:val="000A04BA"/>
    <w:rsid w:val="000A051D"/>
    <w:rsid w:val="000A0533"/>
    <w:rsid w:val="000A05A8"/>
    <w:rsid w:val="000A068F"/>
    <w:rsid w:val="000A06E8"/>
    <w:rsid w:val="000A06EB"/>
    <w:rsid w:val="000A079C"/>
    <w:rsid w:val="000A080B"/>
    <w:rsid w:val="000A0895"/>
    <w:rsid w:val="000A08B6"/>
    <w:rsid w:val="000A08D4"/>
    <w:rsid w:val="000A0954"/>
    <w:rsid w:val="000A0A9E"/>
    <w:rsid w:val="000A0B1A"/>
    <w:rsid w:val="000A0B39"/>
    <w:rsid w:val="000A0BFD"/>
    <w:rsid w:val="000A0C51"/>
    <w:rsid w:val="000A0CBB"/>
    <w:rsid w:val="000A0CCC"/>
    <w:rsid w:val="000A0D5B"/>
    <w:rsid w:val="000A0EFF"/>
    <w:rsid w:val="000A0FB5"/>
    <w:rsid w:val="000A0FDC"/>
    <w:rsid w:val="000A0FE5"/>
    <w:rsid w:val="000A0FE6"/>
    <w:rsid w:val="000A1027"/>
    <w:rsid w:val="000A10B0"/>
    <w:rsid w:val="000A10C1"/>
    <w:rsid w:val="000A1125"/>
    <w:rsid w:val="000A118A"/>
    <w:rsid w:val="000A1249"/>
    <w:rsid w:val="000A1276"/>
    <w:rsid w:val="000A127E"/>
    <w:rsid w:val="000A134F"/>
    <w:rsid w:val="000A13A1"/>
    <w:rsid w:val="000A13D1"/>
    <w:rsid w:val="000A13DD"/>
    <w:rsid w:val="000A13F9"/>
    <w:rsid w:val="000A141A"/>
    <w:rsid w:val="000A142B"/>
    <w:rsid w:val="000A14A7"/>
    <w:rsid w:val="000A1506"/>
    <w:rsid w:val="000A1522"/>
    <w:rsid w:val="000A1552"/>
    <w:rsid w:val="000A15C4"/>
    <w:rsid w:val="000A161B"/>
    <w:rsid w:val="000A1738"/>
    <w:rsid w:val="000A1867"/>
    <w:rsid w:val="000A18CA"/>
    <w:rsid w:val="000A1975"/>
    <w:rsid w:val="000A199F"/>
    <w:rsid w:val="000A1A25"/>
    <w:rsid w:val="000A1A3E"/>
    <w:rsid w:val="000A1ACC"/>
    <w:rsid w:val="000A1B58"/>
    <w:rsid w:val="000A1BBD"/>
    <w:rsid w:val="000A1C71"/>
    <w:rsid w:val="000A1C7D"/>
    <w:rsid w:val="000A1C9E"/>
    <w:rsid w:val="000A1DAE"/>
    <w:rsid w:val="000A1DDB"/>
    <w:rsid w:val="000A1ED6"/>
    <w:rsid w:val="000A1F22"/>
    <w:rsid w:val="000A1F73"/>
    <w:rsid w:val="000A1F84"/>
    <w:rsid w:val="000A1FDC"/>
    <w:rsid w:val="000A20EE"/>
    <w:rsid w:val="000A2115"/>
    <w:rsid w:val="000A214F"/>
    <w:rsid w:val="000A21C4"/>
    <w:rsid w:val="000A2223"/>
    <w:rsid w:val="000A2263"/>
    <w:rsid w:val="000A22A2"/>
    <w:rsid w:val="000A22DC"/>
    <w:rsid w:val="000A2456"/>
    <w:rsid w:val="000A2464"/>
    <w:rsid w:val="000A248D"/>
    <w:rsid w:val="000A2611"/>
    <w:rsid w:val="000A2664"/>
    <w:rsid w:val="000A266D"/>
    <w:rsid w:val="000A274D"/>
    <w:rsid w:val="000A2799"/>
    <w:rsid w:val="000A27A8"/>
    <w:rsid w:val="000A282E"/>
    <w:rsid w:val="000A2882"/>
    <w:rsid w:val="000A292A"/>
    <w:rsid w:val="000A292C"/>
    <w:rsid w:val="000A29C5"/>
    <w:rsid w:val="000A29D3"/>
    <w:rsid w:val="000A2A03"/>
    <w:rsid w:val="000A2B2F"/>
    <w:rsid w:val="000A2BA9"/>
    <w:rsid w:val="000A2DFA"/>
    <w:rsid w:val="000A2E44"/>
    <w:rsid w:val="000A2EBA"/>
    <w:rsid w:val="000A2F2E"/>
    <w:rsid w:val="000A2F49"/>
    <w:rsid w:val="000A3004"/>
    <w:rsid w:val="000A3017"/>
    <w:rsid w:val="000A3187"/>
    <w:rsid w:val="000A3390"/>
    <w:rsid w:val="000A3393"/>
    <w:rsid w:val="000A33E4"/>
    <w:rsid w:val="000A3480"/>
    <w:rsid w:val="000A3539"/>
    <w:rsid w:val="000A35B1"/>
    <w:rsid w:val="000A35C1"/>
    <w:rsid w:val="000A38B9"/>
    <w:rsid w:val="000A3BD8"/>
    <w:rsid w:val="000A3BEC"/>
    <w:rsid w:val="000A3C93"/>
    <w:rsid w:val="000A3CF0"/>
    <w:rsid w:val="000A3D02"/>
    <w:rsid w:val="000A3D1C"/>
    <w:rsid w:val="000A3DFE"/>
    <w:rsid w:val="000A3EED"/>
    <w:rsid w:val="000A4028"/>
    <w:rsid w:val="000A40EA"/>
    <w:rsid w:val="000A4176"/>
    <w:rsid w:val="000A41DC"/>
    <w:rsid w:val="000A4399"/>
    <w:rsid w:val="000A43E3"/>
    <w:rsid w:val="000A445C"/>
    <w:rsid w:val="000A4536"/>
    <w:rsid w:val="000A454F"/>
    <w:rsid w:val="000A458C"/>
    <w:rsid w:val="000A458E"/>
    <w:rsid w:val="000A4591"/>
    <w:rsid w:val="000A45AF"/>
    <w:rsid w:val="000A462A"/>
    <w:rsid w:val="000A4644"/>
    <w:rsid w:val="000A4792"/>
    <w:rsid w:val="000A4796"/>
    <w:rsid w:val="000A48B2"/>
    <w:rsid w:val="000A4910"/>
    <w:rsid w:val="000A49C0"/>
    <w:rsid w:val="000A4A90"/>
    <w:rsid w:val="000A4A95"/>
    <w:rsid w:val="000A4B2F"/>
    <w:rsid w:val="000A4B6A"/>
    <w:rsid w:val="000A4BCE"/>
    <w:rsid w:val="000A4BD2"/>
    <w:rsid w:val="000A4BF1"/>
    <w:rsid w:val="000A4C9F"/>
    <w:rsid w:val="000A4CA2"/>
    <w:rsid w:val="000A4D93"/>
    <w:rsid w:val="000A4DD4"/>
    <w:rsid w:val="000A4DE0"/>
    <w:rsid w:val="000A5061"/>
    <w:rsid w:val="000A5098"/>
    <w:rsid w:val="000A50F1"/>
    <w:rsid w:val="000A50FB"/>
    <w:rsid w:val="000A5110"/>
    <w:rsid w:val="000A5119"/>
    <w:rsid w:val="000A5255"/>
    <w:rsid w:val="000A5370"/>
    <w:rsid w:val="000A54DC"/>
    <w:rsid w:val="000A551C"/>
    <w:rsid w:val="000A5591"/>
    <w:rsid w:val="000A559F"/>
    <w:rsid w:val="000A55FD"/>
    <w:rsid w:val="000A566A"/>
    <w:rsid w:val="000A568A"/>
    <w:rsid w:val="000A569F"/>
    <w:rsid w:val="000A570C"/>
    <w:rsid w:val="000A5743"/>
    <w:rsid w:val="000A5801"/>
    <w:rsid w:val="000A5878"/>
    <w:rsid w:val="000A58B7"/>
    <w:rsid w:val="000A590A"/>
    <w:rsid w:val="000A5AB7"/>
    <w:rsid w:val="000A5B7F"/>
    <w:rsid w:val="000A5B89"/>
    <w:rsid w:val="000A5B93"/>
    <w:rsid w:val="000A5C39"/>
    <w:rsid w:val="000A5D41"/>
    <w:rsid w:val="000A5ED0"/>
    <w:rsid w:val="000A5F3F"/>
    <w:rsid w:val="000A6136"/>
    <w:rsid w:val="000A61D4"/>
    <w:rsid w:val="000A627F"/>
    <w:rsid w:val="000A62DF"/>
    <w:rsid w:val="000A6353"/>
    <w:rsid w:val="000A6386"/>
    <w:rsid w:val="000A63B2"/>
    <w:rsid w:val="000A63DE"/>
    <w:rsid w:val="000A6408"/>
    <w:rsid w:val="000A6466"/>
    <w:rsid w:val="000A6469"/>
    <w:rsid w:val="000A64E2"/>
    <w:rsid w:val="000A65A4"/>
    <w:rsid w:val="000A65E2"/>
    <w:rsid w:val="000A6633"/>
    <w:rsid w:val="000A663F"/>
    <w:rsid w:val="000A6683"/>
    <w:rsid w:val="000A66B0"/>
    <w:rsid w:val="000A66C4"/>
    <w:rsid w:val="000A688A"/>
    <w:rsid w:val="000A6894"/>
    <w:rsid w:val="000A68FA"/>
    <w:rsid w:val="000A6925"/>
    <w:rsid w:val="000A6931"/>
    <w:rsid w:val="000A69C7"/>
    <w:rsid w:val="000A6B0F"/>
    <w:rsid w:val="000A6BC8"/>
    <w:rsid w:val="000A6C01"/>
    <w:rsid w:val="000A6C77"/>
    <w:rsid w:val="000A6C82"/>
    <w:rsid w:val="000A6D31"/>
    <w:rsid w:val="000A6DB0"/>
    <w:rsid w:val="000A6DE8"/>
    <w:rsid w:val="000A6EBB"/>
    <w:rsid w:val="000A6F19"/>
    <w:rsid w:val="000A7062"/>
    <w:rsid w:val="000A70BF"/>
    <w:rsid w:val="000A7170"/>
    <w:rsid w:val="000A71C2"/>
    <w:rsid w:val="000A71F4"/>
    <w:rsid w:val="000A72B1"/>
    <w:rsid w:val="000A72F3"/>
    <w:rsid w:val="000A732A"/>
    <w:rsid w:val="000A7369"/>
    <w:rsid w:val="000A73ED"/>
    <w:rsid w:val="000A74B1"/>
    <w:rsid w:val="000A74EF"/>
    <w:rsid w:val="000A750F"/>
    <w:rsid w:val="000A7576"/>
    <w:rsid w:val="000A75A1"/>
    <w:rsid w:val="000A75A7"/>
    <w:rsid w:val="000A76AD"/>
    <w:rsid w:val="000A770A"/>
    <w:rsid w:val="000A785B"/>
    <w:rsid w:val="000A7A41"/>
    <w:rsid w:val="000A7AE3"/>
    <w:rsid w:val="000A7AE9"/>
    <w:rsid w:val="000A7B28"/>
    <w:rsid w:val="000A7BF0"/>
    <w:rsid w:val="000A7C1C"/>
    <w:rsid w:val="000A7D8F"/>
    <w:rsid w:val="000A7DBF"/>
    <w:rsid w:val="000A7DD1"/>
    <w:rsid w:val="000A7E05"/>
    <w:rsid w:val="000A7EA5"/>
    <w:rsid w:val="000A7EBC"/>
    <w:rsid w:val="000A7FF3"/>
    <w:rsid w:val="000ABA7B"/>
    <w:rsid w:val="000B0112"/>
    <w:rsid w:val="000B014D"/>
    <w:rsid w:val="000B02DD"/>
    <w:rsid w:val="000B02E1"/>
    <w:rsid w:val="000B02EE"/>
    <w:rsid w:val="000B031C"/>
    <w:rsid w:val="000B036F"/>
    <w:rsid w:val="000B03B9"/>
    <w:rsid w:val="000B0505"/>
    <w:rsid w:val="000B06A5"/>
    <w:rsid w:val="000B0776"/>
    <w:rsid w:val="000B08EC"/>
    <w:rsid w:val="000B093E"/>
    <w:rsid w:val="000B09F0"/>
    <w:rsid w:val="000B0ADA"/>
    <w:rsid w:val="000B0B17"/>
    <w:rsid w:val="000B0B88"/>
    <w:rsid w:val="000B0CD5"/>
    <w:rsid w:val="000B0DFC"/>
    <w:rsid w:val="000B0E96"/>
    <w:rsid w:val="000B0ED4"/>
    <w:rsid w:val="000B0F30"/>
    <w:rsid w:val="000B0F60"/>
    <w:rsid w:val="000B1041"/>
    <w:rsid w:val="000B1088"/>
    <w:rsid w:val="000B10B5"/>
    <w:rsid w:val="000B1138"/>
    <w:rsid w:val="000B11ED"/>
    <w:rsid w:val="000B123E"/>
    <w:rsid w:val="000B1284"/>
    <w:rsid w:val="000B12D8"/>
    <w:rsid w:val="000B12DD"/>
    <w:rsid w:val="000B12EC"/>
    <w:rsid w:val="000B140C"/>
    <w:rsid w:val="000B14DE"/>
    <w:rsid w:val="000B15B0"/>
    <w:rsid w:val="000B1691"/>
    <w:rsid w:val="000B16BF"/>
    <w:rsid w:val="000B174E"/>
    <w:rsid w:val="000B1779"/>
    <w:rsid w:val="000B1818"/>
    <w:rsid w:val="000B1843"/>
    <w:rsid w:val="000B199F"/>
    <w:rsid w:val="000B19C9"/>
    <w:rsid w:val="000B19D4"/>
    <w:rsid w:val="000B1A82"/>
    <w:rsid w:val="000B1ABA"/>
    <w:rsid w:val="000B1AE8"/>
    <w:rsid w:val="000B1AF3"/>
    <w:rsid w:val="000B1AF5"/>
    <w:rsid w:val="000B1B1B"/>
    <w:rsid w:val="000B1B55"/>
    <w:rsid w:val="000B1BAC"/>
    <w:rsid w:val="000B1C71"/>
    <w:rsid w:val="000B1C88"/>
    <w:rsid w:val="000B1CB1"/>
    <w:rsid w:val="000B1CB3"/>
    <w:rsid w:val="000B1CEB"/>
    <w:rsid w:val="000B1D33"/>
    <w:rsid w:val="000B1E71"/>
    <w:rsid w:val="000B1FD8"/>
    <w:rsid w:val="000B1FE6"/>
    <w:rsid w:val="000B2086"/>
    <w:rsid w:val="000B2146"/>
    <w:rsid w:val="000B22C2"/>
    <w:rsid w:val="000B23A3"/>
    <w:rsid w:val="000B244D"/>
    <w:rsid w:val="000B247C"/>
    <w:rsid w:val="000B24EE"/>
    <w:rsid w:val="000B25E0"/>
    <w:rsid w:val="000B27B9"/>
    <w:rsid w:val="000B27C2"/>
    <w:rsid w:val="000B29F7"/>
    <w:rsid w:val="000B2A18"/>
    <w:rsid w:val="000B2A3A"/>
    <w:rsid w:val="000B2A7A"/>
    <w:rsid w:val="000B2AB8"/>
    <w:rsid w:val="000B2B10"/>
    <w:rsid w:val="000B2B2F"/>
    <w:rsid w:val="000B2BDC"/>
    <w:rsid w:val="000B2D19"/>
    <w:rsid w:val="000B2D6F"/>
    <w:rsid w:val="000B2DC0"/>
    <w:rsid w:val="000B2ED6"/>
    <w:rsid w:val="000B2ED8"/>
    <w:rsid w:val="000B2EE2"/>
    <w:rsid w:val="000B303D"/>
    <w:rsid w:val="000B3127"/>
    <w:rsid w:val="000B319F"/>
    <w:rsid w:val="000B31A5"/>
    <w:rsid w:val="000B31CD"/>
    <w:rsid w:val="000B31DA"/>
    <w:rsid w:val="000B331A"/>
    <w:rsid w:val="000B335B"/>
    <w:rsid w:val="000B33C4"/>
    <w:rsid w:val="000B3477"/>
    <w:rsid w:val="000B34DF"/>
    <w:rsid w:val="000B368C"/>
    <w:rsid w:val="000B379B"/>
    <w:rsid w:val="000B37BB"/>
    <w:rsid w:val="000B3808"/>
    <w:rsid w:val="000B383F"/>
    <w:rsid w:val="000B38C0"/>
    <w:rsid w:val="000B393F"/>
    <w:rsid w:val="000B3B39"/>
    <w:rsid w:val="000B3BC3"/>
    <w:rsid w:val="000B3CE9"/>
    <w:rsid w:val="000B3D92"/>
    <w:rsid w:val="000B3E0D"/>
    <w:rsid w:val="000B3E14"/>
    <w:rsid w:val="000B3EC4"/>
    <w:rsid w:val="000B4005"/>
    <w:rsid w:val="000B4075"/>
    <w:rsid w:val="000B413F"/>
    <w:rsid w:val="000B4142"/>
    <w:rsid w:val="000B41BF"/>
    <w:rsid w:val="000B41DB"/>
    <w:rsid w:val="000B4232"/>
    <w:rsid w:val="000B42C3"/>
    <w:rsid w:val="000B430E"/>
    <w:rsid w:val="000B4348"/>
    <w:rsid w:val="000B43E6"/>
    <w:rsid w:val="000B4474"/>
    <w:rsid w:val="000B447D"/>
    <w:rsid w:val="000B44D4"/>
    <w:rsid w:val="000B451E"/>
    <w:rsid w:val="000B45E0"/>
    <w:rsid w:val="000B46A7"/>
    <w:rsid w:val="000B48AD"/>
    <w:rsid w:val="000B49A6"/>
    <w:rsid w:val="000B49AE"/>
    <w:rsid w:val="000B49D6"/>
    <w:rsid w:val="000B4B4B"/>
    <w:rsid w:val="000B4B4F"/>
    <w:rsid w:val="000B4C3E"/>
    <w:rsid w:val="000B4C78"/>
    <w:rsid w:val="000B4CC4"/>
    <w:rsid w:val="000B4D01"/>
    <w:rsid w:val="000B4D49"/>
    <w:rsid w:val="000B4DE0"/>
    <w:rsid w:val="000B4DE9"/>
    <w:rsid w:val="000B4DF1"/>
    <w:rsid w:val="000B4E2A"/>
    <w:rsid w:val="000B4FDC"/>
    <w:rsid w:val="000B4FF1"/>
    <w:rsid w:val="000B50B7"/>
    <w:rsid w:val="000B50BC"/>
    <w:rsid w:val="000B51B7"/>
    <w:rsid w:val="000B5207"/>
    <w:rsid w:val="000B520F"/>
    <w:rsid w:val="000B5231"/>
    <w:rsid w:val="000B52D6"/>
    <w:rsid w:val="000B535E"/>
    <w:rsid w:val="000B53A8"/>
    <w:rsid w:val="000B53AA"/>
    <w:rsid w:val="000B53C7"/>
    <w:rsid w:val="000B5485"/>
    <w:rsid w:val="000B5524"/>
    <w:rsid w:val="000B5534"/>
    <w:rsid w:val="000B5616"/>
    <w:rsid w:val="000B5666"/>
    <w:rsid w:val="000B57CD"/>
    <w:rsid w:val="000B57DC"/>
    <w:rsid w:val="000B5875"/>
    <w:rsid w:val="000B5933"/>
    <w:rsid w:val="000B5973"/>
    <w:rsid w:val="000B59A4"/>
    <w:rsid w:val="000B59A7"/>
    <w:rsid w:val="000B5A62"/>
    <w:rsid w:val="000B5B67"/>
    <w:rsid w:val="000B5B74"/>
    <w:rsid w:val="000B5C5F"/>
    <w:rsid w:val="000B5C87"/>
    <w:rsid w:val="000B5C93"/>
    <w:rsid w:val="000B5CF3"/>
    <w:rsid w:val="000B5D01"/>
    <w:rsid w:val="000B5E2B"/>
    <w:rsid w:val="000B5E86"/>
    <w:rsid w:val="000B5EBD"/>
    <w:rsid w:val="000B5FA8"/>
    <w:rsid w:val="000B5FF1"/>
    <w:rsid w:val="000B6004"/>
    <w:rsid w:val="000B603C"/>
    <w:rsid w:val="000B60A1"/>
    <w:rsid w:val="000B6109"/>
    <w:rsid w:val="000B612B"/>
    <w:rsid w:val="000B61A6"/>
    <w:rsid w:val="000B61B3"/>
    <w:rsid w:val="000B61DC"/>
    <w:rsid w:val="000B6209"/>
    <w:rsid w:val="000B624A"/>
    <w:rsid w:val="000B63BA"/>
    <w:rsid w:val="000B646F"/>
    <w:rsid w:val="000B648E"/>
    <w:rsid w:val="000B64EF"/>
    <w:rsid w:val="000B64F5"/>
    <w:rsid w:val="000B650C"/>
    <w:rsid w:val="000B6577"/>
    <w:rsid w:val="000B657B"/>
    <w:rsid w:val="000B657D"/>
    <w:rsid w:val="000B65BD"/>
    <w:rsid w:val="000B662E"/>
    <w:rsid w:val="000B666D"/>
    <w:rsid w:val="000B6670"/>
    <w:rsid w:val="000B667E"/>
    <w:rsid w:val="000B676F"/>
    <w:rsid w:val="000B68D0"/>
    <w:rsid w:val="000B690D"/>
    <w:rsid w:val="000B6A6B"/>
    <w:rsid w:val="000B6AB7"/>
    <w:rsid w:val="000B6B82"/>
    <w:rsid w:val="000B6B8F"/>
    <w:rsid w:val="000B6B95"/>
    <w:rsid w:val="000B6C01"/>
    <w:rsid w:val="000B6C07"/>
    <w:rsid w:val="000B6C3A"/>
    <w:rsid w:val="000B6C99"/>
    <w:rsid w:val="000B6CF7"/>
    <w:rsid w:val="000B6D05"/>
    <w:rsid w:val="000B6D21"/>
    <w:rsid w:val="000B6DCD"/>
    <w:rsid w:val="000B6DDC"/>
    <w:rsid w:val="000B6DFE"/>
    <w:rsid w:val="000B6EBA"/>
    <w:rsid w:val="000B6EC5"/>
    <w:rsid w:val="000B6ED7"/>
    <w:rsid w:val="000B6EFA"/>
    <w:rsid w:val="000B7000"/>
    <w:rsid w:val="000B712B"/>
    <w:rsid w:val="000B722D"/>
    <w:rsid w:val="000B7292"/>
    <w:rsid w:val="000B734E"/>
    <w:rsid w:val="000B7359"/>
    <w:rsid w:val="000B73FD"/>
    <w:rsid w:val="000B74B4"/>
    <w:rsid w:val="000B74BC"/>
    <w:rsid w:val="000B7585"/>
    <w:rsid w:val="000B75A6"/>
    <w:rsid w:val="000B75D1"/>
    <w:rsid w:val="000B77AA"/>
    <w:rsid w:val="000B78C9"/>
    <w:rsid w:val="000B78FD"/>
    <w:rsid w:val="000B7A1B"/>
    <w:rsid w:val="000B7A1D"/>
    <w:rsid w:val="000B7B3C"/>
    <w:rsid w:val="000B7C31"/>
    <w:rsid w:val="000B7D0B"/>
    <w:rsid w:val="000B7D86"/>
    <w:rsid w:val="000B7E19"/>
    <w:rsid w:val="000B7F96"/>
    <w:rsid w:val="000B7FA5"/>
    <w:rsid w:val="000B7FBA"/>
    <w:rsid w:val="000B7FD0"/>
    <w:rsid w:val="000B7FF7"/>
    <w:rsid w:val="000C007D"/>
    <w:rsid w:val="000C0086"/>
    <w:rsid w:val="000C014B"/>
    <w:rsid w:val="000C0236"/>
    <w:rsid w:val="000C02F7"/>
    <w:rsid w:val="000C03B4"/>
    <w:rsid w:val="000C060A"/>
    <w:rsid w:val="000C06A6"/>
    <w:rsid w:val="000C0747"/>
    <w:rsid w:val="000C07D7"/>
    <w:rsid w:val="000C088D"/>
    <w:rsid w:val="000C0B4E"/>
    <w:rsid w:val="000C0BB2"/>
    <w:rsid w:val="000C0BC2"/>
    <w:rsid w:val="000C0E6D"/>
    <w:rsid w:val="000C0E9B"/>
    <w:rsid w:val="000C0F10"/>
    <w:rsid w:val="000C0F30"/>
    <w:rsid w:val="000C0F39"/>
    <w:rsid w:val="000C137B"/>
    <w:rsid w:val="000C14A6"/>
    <w:rsid w:val="000C14B1"/>
    <w:rsid w:val="000C1504"/>
    <w:rsid w:val="000C1521"/>
    <w:rsid w:val="000C165B"/>
    <w:rsid w:val="000C16A9"/>
    <w:rsid w:val="000C16AE"/>
    <w:rsid w:val="000C171C"/>
    <w:rsid w:val="000C176B"/>
    <w:rsid w:val="000C17D7"/>
    <w:rsid w:val="000C1882"/>
    <w:rsid w:val="000C18C0"/>
    <w:rsid w:val="000C1A98"/>
    <w:rsid w:val="000C1AE5"/>
    <w:rsid w:val="000C1BB9"/>
    <w:rsid w:val="000C1BC2"/>
    <w:rsid w:val="000C1C3A"/>
    <w:rsid w:val="000C1C62"/>
    <w:rsid w:val="000C1C70"/>
    <w:rsid w:val="000C1CB4"/>
    <w:rsid w:val="000C1D5D"/>
    <w:rsid w:val="000C1D6E"/>
    <w:rsid w:val="000C1D84"/>
    <w:rsid w:val="000C1D8B"/>
    <w:rsid w:val="000C1E45"/>
    <w:rsid w:val="000C1FED"/>
    <w:rsid w:val="000C205C"/>
    <w:rsid w:val="000C20AA"/>
    <w:rsid w:val="000C20B0"/>
    <w:rsid w:val="000C211B"/>
    <w:rsid w:val="000C21B6"/>
    <w:rsid w:val="000C22F1"/>
    <w:rsid w:val="000C231E"/>
    <w:rsid w:val="000C25F3"/>
    <w:rsid w:val="000C265E"/>
    <w:rsid w:val="000C27A9"/>
    <w:rsid w:val="000C289E"/>
    <w:rsid w:val="000C295D"/>
    <w:rsid w:val="000C29E8"/>
    <w:rsid w:val="000C2BAA"/>
    <w:rsid w:val="000C2BC7"/>
    <w:rsid w:val="000C2BFE"/>
    <w:rsid w:val="000C2C3D"/>
    <w:rsid w:val="000C2C4F"/>
    <w:rsid w:val="000C2CE5"/>
    <w:rsid w:val="000C2D04"/>
    <w:rsid w:val="000C2D10"/>
    <w:rsid w:val="000C2D21"/>
    <w:rsid w:val="000C2D3A"/>
    <w:rsid w:val="000C2D76"/>
    <w:rsid w:val="000C2E1D"/>
    <w:rsid w:val="000C2EC3"/>
    <w:rsid w:val="000C2EE4"/>
    <w:rsid w:val="000C2F4D"/>
    <w:rsid w:val="000C2F90"/>
    <w:rsid w:val="000C2FAE"/>
    <w:rsid w:val="000C307E"/>
    <w:rsid w:val="000C314C"/>
    <w:rsid w:val="000C3170"/>
    <w:rsid w:val="000C318E"/>
    <w:rsid w:val="000C319D"/>
    <w:rsid w:val="000C325E"/>
    <w:rsid w:val="000C3275"/>
    <w:rsid w:val="000C32CB"/>
    <w:rsid w:val="000C32E9"/>
    <w:rsid w:val="000C32F6"/>
    <w:rsid w:val="000C32FF"/>
    <w:rsid w:val="000C33E4"/>
    <w:rsid w:val="000C3414"/>
    <w:rsid w:val="000C346B"/>
    <w:rsid w:val="000C34C2"/>
    <w:rsid w:val="000C3608"/>
    <w:rsid w:val="000C360B"/>
    <w:rsid w:val="000C360C"/>
    <w:rsid w:val="000C3638"/>
    <w:rsid w:val="000C36EB"/>
    <w:rsid w:val="000C3757"/>
    <w:rsid w:val="000C37E0"/>
    <w:rsid w:val="000C3821"/>
    <w:rsid w:val="000C384A"/>
    <w:rsid w:val="000C39EC"/>
    <w:rsid w:val="000C3A9D"/>
    <w:rsid w:val="000C3AE4"/>
    <w:rsid w:val="000C3B00"/>
    <w:rsid w:val="000C3B17"/>
    <w:rsid w:val="000C3B60"/>
    <w:rsid w:val="000C3CC8"/>
    <w:rsid w:val="000C3D8A"/>
    <w:rsid w:val="000C3DEA"/>
    <w:rsid w:val="000C3E8E"/>
    <w:rsid w:val="000C3EA0"/>
    <w:rsid w:val="000C3F24"/>
    <w:rsid w:val="000C3F32"/>
    <w:rsid w:val="000C4034"/>
    <w:rsid w:val="000C4145"/>
    <w:rsid w:val="000C4248"/>
    <w:rsid w:val="000C4292"/>
    <w:rsid w:val="000C431A"/>
    <w:rsid w:val="000C4324"/>
    <w:rsid w:val="000C4365"/>
    <w:rsid w:val="000C43FC"/>
    <w:rsid w:val="000C44E6"/>
    <w:rsid w:val="000C4508"/>
    <w:rsid w:val="000C4594"/>
    <w:rsid w:val="000C45EF"/>
    <w:rsid w:val="000C4626"/>
    <w:rsid w:val="000C47C2"/>
    <w:rsid w:val="000C48FF"/>
    <w:rsid w:val="000C4A04"/>
    <w:rsid w:val="000C4B29"/>
    <w:rsid w:val="000C4B32"/>
    <w:rsid w:val="000C4BA2"/>
    <w:rsid w:val="000C4BCA"/>
    <w:rsid w:val="000C4BDC"/>
    <w:rsid w:val="000C4CE2"/>
    <w:rsid w:val="000C4D0C"/>
    <w:rsid w:val="000C4E2A"/>
    <w:rsid w:val="000C4E6B"/>
    <w:rsid w:val="000C4E6C"/>
    <w:rsid w:val="000C4F40"/>
    <w:rsid w:val="000C4FAA"/>
    <w:rsid w:val="000C4FD9"/>
    <w:rsid w:val="000C5031"/>
    <w:rsid w:val="000C5187"/>
    <w:rsid w:val="000C51FB"/>
    <w:rsid w:val="000C5241"/>
    <w:rsid w:val="000C52A3"/>
    <w:rsid w:val="000C5362"/>
    <w:rsid w:val="000C5397"/>
    <w:rsid w:val="000C53A7"/>
    <w:rsid w:val="000C5624"/>
    <w:rsid w:val="000C5671"/>
    <w:rsid w:val="000C56A9"/>
    <w:rsid w:val="000C57B4"/>
    <w:rsid w:val="000C57D8"/>
    <w:rsid w:val="000C5845"/>
    <w:rsid w:val="000C590E"/>
    <w:rsid w:val="000C5916"/>
    <w:rsid w:val="000C599E"/>
    <w:rsid w:val="000C5A0A"/>
    <w:rsid w:val="000C5A0E"/>
    <w:rsid w:val="000C5A57"/>
    <w:rsid w:val="000C5A63"/>
    <w:rsid w:val="000C5B62"/>
    <w:rsid w:val="000C5B98"/>
    <w:rsid w:val="000C5BBD"/>
    <w:rsid w:val="000C5C50"/>
    <w:rsid w:val="000C5C5C"/>
    <w:rsid w:val="000C5D0D"/>
    <w:rsid w:val="000C5E02"/>
    <w:rsid w:val="000C5E2D"/>
    <w:rsid w:val="000C5E8D"/>
    <w:rsid w:val="000C5F92"/>
    <w:rsid w:val="000C6024"/>
    <w:rsid w:val="000C60BB"/>
    <w:rsid w:val="000C60F0"/>
    <w:rsid w:val="000C6175"/>
    <w:rsid w:val="000C61CE"/>
    <w:rsid w:val="000C6253"/>
    <w:rsid w:val="000C62A3"/>
    <w:rsid w:val="000C62B4"/>
    <w:rsid w:val="000C6350"/>
    <w:rsid w:val="000C63C6"/>
    <w:rsid w:val="000C6520"/>
    <w:rsid w:val="000C653F"/>
    <w:rsid w:val="000C6545"/>
    <w:rsid w:val="000C655A"/>
    <w:rsid w:val="000C6693"/>
    <w:rsid w:val="000C66D1"/>
    <w:rsid w:val="000C670B"/>
    <w:rsid w:val="000C6765"/>
    <w:rsid w:val="000C6793"/>
    <w:rsid w:val="000C68D2"/>
    <w:rsid w:val="000C68D8"/>
    <w:rsid w:val="000C6AF4"/>
    <w:rsid w:val="000C6B2E"/>
    <w:rsid w:val="000C6CB3"/>
    <w:rsid w:val="000C6D23"/>
    <w:rsid w:val="000C6D2B"/>
    <w:rsid w:val="000C6D3F"/>
    <w:rsid w:val="000C6D55"/>
    <w:rsid w:val="000C6DC5"/>
    <w:rsid w:val="000C6F5B"/>
    <w:rsid w:val="000C6F8E"/>
    <w:rsid w:val="000C6FC3"/>
    <w:rsid w:val="000C70A8"/>
    <w:rsid w:val="000C70CC"/>
    <w:rsid w:val="000C70CE"/>
    <w:rsid w:val="000C712F"/>
    <w:rsid w:val="000C71A1"/>
    <w:rsid w:val="000C71A9"/>
    <w:rsid w:val="000C729F"/>
    <w:rsid w:val="000C7568"/>
    <w:rsid w:val="000C7597"/>
    <w:rsid w:val="000C7659"/>
    <w:rsid w:val="000C769A"/>
    <w:rsid w:val="000C78AC"/>
    <w:rsid w:val="000C7937"/>
    <w:rsid w:val="000C799C"/>
    <w:rsid w:val="000C79E0"/>
    <w:rsid w:val="000C7B05"/>
    <w:rsid w:val="000C7B5F"/>
    <w:rsid w:val="000C7BDB"/>
    <w:rsid w:val="000C7BE0"/>
    <w:rsid w:val="000C7C31"/>
    <w:rsid w:val="000C7DB6"/>
    <w:rsid w:val="000C7E10"/>
    <w:rsid w:val="000C7E8D"/>
    <w:rsid w:val="000C7EFF"/>
    <w:rsid w:val="000C7F57"/>
    <w:rsid w:val="000C7F7E"/>
    <w:rsid w:val="000D0057"/>
    <w:rsid w:val="000D006C"/>
    <w:rsid w:val="000D010C"/>
    <w:rsid w:val="000D01C0"/>
    <w:rsid w:val="000D01EF"/>
    <w:rsid w:val="000D035D"/>
    <w:rsid w:val="000D0518"/>
    <w:rsid w:val="000D0589"/>
    <w:rsid w:val="000D0639"/>
    <w:rsid w:val="000D0683"/>
    <w:rsid w:val="000D06E3"/>
    <w:rsid w:val="000D06FD"/>
    <w:rsid w:val="000D0709"/>
    <w:rsid w:val="000D07AD"/>
    <w:rsid w:val="000D0812"/>
    <w:rsid w:val="000D0839"/>
    <w:rsid w:val="000D08C7"/>
    <w:rsid w:val="000D09E1"/>
    <w:rsid w:val="000D0A0B"/>
    <w:rsid w:val="000D0B4B"/>
    <w:rsid w:val="000D0B9A"/>
    <w:rsid w:val="000D0C56"/>
    <w:rsid w:val="000D0CA9"/>
    <w:rsid w:val="000D0CEF"/>
    <w:rsid w:val="000D0D26"/>
    <w:rsid w:val="000D0E3B"/>
    <w:rsid w:val="000D0EA8"/>
    <w:rsid w:val="000D0F95"/>
    <w:rsid w:val="000D0FCC"/>
    <w:rsid w:val="000D1016"/>
    <w:rsid w:val="000D1201"/>
    <w:rsid w:val="000D121A"/>
    <w:rsid w:val="000D1342"/>
    <w:rsid w:val="000D1377"/>
    <w:rsid w:val="000D1399"/>
    <w:rsid w:val="000D13F7"/>
    <w:rsid w:val="000D14F1"/>
    <w:rsid w:val="000D15BB"/>
    <w:rsid w:val="000D15E5"/>
    <w:rsid w:val="000D16B3"/>
    <w:rsid w:val="000D16CE"/>
    <w:rsid w:val="000D170F"/>
    <w:rsid w:val="000D171C"/>
    <w:rsid w:val="000D1734"/>
    <w:rsid w:val="000D17CA"/>
    <w:rsid w:val="000D17CD"/>
    <w:rsid w:val="000D17F3"/>
    <w:rsid w:val="000D1889"/>
    <w:rsid w:val="000D1968"/>
    <w:rsid w:val="000D19E2"/>
    <w:rsid w:val="000D1A5A"/>
    <w:rsid w:val="000D1B47"/>
    <w:rsid w:val="000D1B93"/>
    <w:rsid w:val="000D1BAA"/>
    <w:rsid w:val="000D1BF9"/>
    <w:rsid w:val="000D1C1F"/>
    <w:rsid w:val="000D1CA2"/>
    <w:rsid w:val="000D1D08"/>
    <w:rsid w:val="000D1D9F"/>
    <w:rsid w:val="000D1F27"/>
    <w:rsid w:val="000D1F51"/>
    <w:rsid w:val="000D2013"/>
    <w:rsid w:val="000D21CB"/>
    <w:rsid w:val="000D2250"/>
    <w:rsid w:val="000D236D"/>
    <w:rsid w:val="000D2444"/>
    <w:rsid w:val="000D2482"/>
    <w:rsid w:val="000D2521"/>
    <w:rsid w:val="000D252A"/>
    <w:rsid w:val="000D253B"/>
    <w:rsid w:val="000D25C3"/>
    <w:rsid w:val="000D2630"/>
    <w:rsid w:val="000D263B"/>
    <w:rsid w:val="000D269A"/>
    <w:rsid w:val="000D26F2"/>
    <w:rsid w:val="000D2769"/>
    <w:rsid w:val="000D27CC"/>
    <w:rsid w:val="000D2815"/>
    <w:rsid w:val="000D28BE"/>
    <w:rsid w:val="000D29B9"/>
    <w:rsid w:val="000D2AC0"/>
    <w:rsid w:val="000D2B01"/>
    <w:rsid w:val="000D2B1C"/>
    <w:rsid w:val="000D2B7B"/>
    <w:rsid w:val="000D2BD8"/>
    <w:rsid w:val="000D2C92"/>
    <w:rsid w:val="000D2CF7"/>
    <w:rsid w:val="000D2D17"/>
    <w:rsid w:val="000D2D73"/>
    <w:rsid w:val="000D2D94"/>
    <w:rsid w:val="000D2E66"/>
    <w:rsid w:val="000D2F0A"/>
    <w:rsid w:val="000D2F1B"/>
    <w:rsid w:val="000D2FAA"/>
    <w:rsid w:val="000D304A"/>
    <w:rsid w:val="000D3057"/>
    <w:rsid w:val="000D30A4"/>
    <w:rsid w:val="000D3129"/>
    <w:rsid w:val="000D3181"/>
    <w:rsid w:val="000D31AB"/>
    <w:rsid w:val="000D31B0"/>
    <w:rsid w:val="000D322C"/>
    <w:rsid w:val="000D3277"/>
    <w:rsid w:val="000D334E"/>
    <w:rsid w:val="000D33B1"/>
    <w:rsid w:val="000D33F3"/>
    <w:rsid w:val="000D3405"/>
    <w:rsid w:val="000D34A6"/>
    <w:rsid w:val="000D354D"/>
    <w:rsid w:val="000D35AB"/>
    <w:rsid w:val="000D35C6"/>
    <w:rsid w:val="000D35E3"/>
    <w:rsid w:val="000D365A"/>
    <w:rsid w:val="000D3785"/>
    <w:rsid w:val="000D37F8"/>
    <w:rsid w:val="000D38AB"/>
    <w:rsid w:val="000D391F"/>
    <w:rsid w:val="000D3ABE"/>
    <w:rsid w:val="000D3D36"/>
    <w:rsid w:val="000D3E1A"/>
    <w:rsid w:val="000D3F0E"/>
    <w:rsid w:val="000D3F86"/>
    <w:rsid w:val="000D3F8E"/>
    <w:rsid w:val="000D3FF0"/>
    <w:rsid w:val="000D4052"/>
    <w:rsid w:val="000D415D"/>
    <w:rsid w:val="000D4260"/>
    <w:rsid w:val="000D4263"/>
    <w:rsid w:val="000D4268"/>
    <w:rsid w:val="000D4305"/>
    <w:rsid w:val="000D4339"/>
    <w:rsid w:val="000D43F2"/>
    <w:rsid w:val="000D443A"/>
    <w:rsid w:val="000D44AD"/>
    <w:rsid w:val="000D450F"/>
    <w:rsid w:val="000D4541"/>
    <w:rsid w:val="000D45A9"/>
    <w:rsid w:val="000D46BE"/>
    <w:rsid w:val="000D46E1"/>
    <w:rsid w:val="000D46E4"/>
    <w:rsid w:val="000D470E"/>
    <w:rsid w:val="000D4779"/>
    <w:rsid w:val="000D47EF"/>
    <w:rsid w:val="000D47F6"/>
    <w:rsid w:val="000D4820"/>
    <w:rsid w:val="000D495D"/>
    <w:rsid w:val="000D4990"/>
    <w:rsid w:val="000D4A53"/>
    <w:rsid w:val="000D4ABE"/>
    <w:rsid w:val="000D4B31"/>
    <w:rsid w:val="000D4C9E"/>
    <w:rsid w:val="000D4CAC"/>
    <w:rsid w:val="000D4D18"/>
    <w:rsid w:val="000D4EC9"/>
    <w:rsid w:val="000D4EEC"/>
    <w:rsid w:val="000D4EF0"/>
    <w:rsid w:val="000D50D3"/>
    <w:rsid w:val="000D517F"/>
    <w:rsid w:val="000D52A6"/>
    <w:rsid w:val="000D53CA"/>
    <w:rsid w:val="000D547B"/>
    <w:rsid w:val="000D54C5"/>
    <w:rsid w:val="000D551E"/>
    <w:rsid w:val="000D574C"/>
    <w:rsid w:val="000D575F"/>
    <w:rsid w:val="000D57BD"/>
    <w:rsid w:val="000D5857"/>
    <w:rsid w:val="000D59C2"/>
    <w:rsid w:val="000D5B18"/>
    <w:rsid w:val="000D5B87"/>
    <w:rsid w:val="000D5BA1"/>
    <w:rsid w:val="000D5C52"/>
    <w:rsid w:val="000D5D17"/>
    <w:rsid w:val="000D5D7E"/>
    <w:rsid w:val="000D5E1F"/>
    <w:rsid w:val="000D5FA4"/>
    <w:rsid w:val="000D6028"/>
    <w:rsid w:val="000D6097"/>
    <w:rsid w:val="000D60DC"/>
    <w:rsid w:val="000D615A"/>
    <w:rsid w:val="000D6170"/>
    <w:rsid w:val="000D6209"/>
    <w:rsid w:val="000D62E5"/>
    <w:rsid w:val="000D635F"/>
    <w:rsid w:val="000D6393"/>
    <w:rsid w:val="000D6497"/>
    <w:rsid w:val="000D65C6"/>
    <w:rsid w:val="000D6605"/>
    <w:rsid w:val="000D6618"/>
    <w:rsid w:val="000D66E4"/>
    <w:rsid w:val="000D6723"/>
    <w:rsid w:val="000D6773"/>
    <w:rsid w:val="000D67C9"/>
    <w:rsid w:val="000D68C0"/>
    <w:rsid w:val="000D6923"/>
    <w:rsid w:val="000D6988"/>
    <w:rsid w:val="000D69E3"/>
    <w:rsid w:val="000D6AC2"/>
    <w:rsid w:val="000D6B56"/>
    <w:rsid w:val="000D6B59"/>
    <w:rsid w:val="000D6BA9"/>
    <w:rsid w:val="000D6C4C"/>
    <w:rsid w:val="000D6D94"/>
    <w:rsid w:val="000D6DBA"/>
    <w:rsid w:val="000D6E01"/>
    <w:rsid w:val="000D6E5D"/>
    <w:rsid w:val="000D6EEC"/>
    <w:rsid w:val="000D6EFA"/>
    <w:rsid w:val="000D6F8D"/>
    <w:rsid w:val="000D6FA3"/>
    <w:rsid w:val="000D6FBE"/>
    <w:rsid w:val="000D6FCA"/>
    <w:rsid w:val="000D701B"/>
    <w:rsid w:val="000D7056"/>
    <w:rsid w:val="000D70A5"/>
    <w:rsid w:val="000D70BE"/>
    <w:rsid w:val="000D7195"/>
    <w:rsid w:val="000D71B1"/>
    <w:rsid w:val="000D71B7"/>
    <w:rsid w:val="000D71CC"/>
    <w:rsid w:val="000D71FB"/>
    <w:rsid w:val="000D723D"/>
    <w:rsid w:val="000D72D6"/>
    <w:rsid w:val="000D72E9"/>
    <w:rsid w:val="000D7591"/>
    <w:rsid w:val="000D7666"/>
    <w:rsid w:val="000D7694"/>
    <w:rsid w:val="000D771D"/>
    <w:rsid w:val="000D774F"/>
    <w:rsid w:val="000D7765"/>
    <w:rsid w:val="000D77BD"/>
    <w:rsid w:val="000D7842"/>
    <w:rsid w:val="000D7881"/>
    <w:rsid w:val="000D789D"/>
    <w:rsid w:val="000D797F"/>
    <w:rsid w:val="000D799D"/>
    <w:rsid w:val="000D79A3"/>
    <w:rsid w:val="000D79ED"/>
    <w:rsid w:val="000D7A4A"/>
    <w:rsid w:val="000D7AC4"/>
    <w:rsid w:val="000D7B09"/>
    <w:rsid w:val="000D7B44"/>
    <w:rsid w:val="000D7B7A"/>
    <w:rsid w:val="000D7B9F"/>
    <w:rsid w:val="000D7C06"/>
    <w:rsid w:val="000D7C8E"/>
    <w:rsid w:val="000D7E02"/>
    <w:rsid w:val="000D7FA6"/>
    <w:rsid w:val="000E0021"/>
    <w:rsid w:val="000E005F"/>
    <w:rsid w:val="000E006B"/>
    <w:rsid w:val="000E00A0"/>
    <w:rsid w:val="000E0132"/>
    <w:rsid w:val="000E0357"/>
    <w:rsid w:val="000E0399"/>
    <w:rsid w:val="000E0427"/>
    <w:rsid w:val="000E0463"/>
    <w:rsid w:val="000E0520"/>
    <w:rsid w:val="000E05AE"/>
    <w:rsid w:val="000E0681"/>
    <w:rsid w:val="000E0689"/>
    <w:rsid w:val="000E06E5"/>
    <w:rsid w:val="000E075E"/>
    <w:rsid w:val="000E0823"/>
    <w:rsid w:val="000E08B2"/>
    <w:rsid w:val="000E08E8"/>
    <w:rsid w:val="000E08FE"/>
    <w:rsid w:val="000E0901"/>
    <w:rsid w:val="000E099F"/>
    <w:rsid w:val="000E09DD"/>
    <w:rsid w:val="000E0A4A"/>
    <w:rsid w:val="000E0ACF"/>
    <w:rsid w:val="000E0AFC"/>
    <w:rsid w:val="000E0B40"/>
    <w:rsid w:val="000E0C12"/>
    <w:rsid w:val="000E0CF4"/>
    <w:rsid w:val="000E0D1A"/>
    <w:rsid w:val="000E0E26"/>
    <w:rsid w:val="000E0E72"/>
    <w:rsid w:val="000E0EDB"/>
    <w:rsid w:val="000E0F50"/>
    <w:rsid w:val="000E0F7A"/>
    <w:rsid w:val="000E1122"/>
    <w:rsid w:val="000E120C"/>
    <w:rsid w:val="000E1278"/>
    <w:rsid w:val="000E12FD"/>
    <w:rsid w:val="000E1330"/>
    <w:rsid w:val="000E1372"/>
    <w:rsid w:val="000E13DF"/>
    <w:rsid w:val="000E13EA"/>
    <w:rsid w:val="000E140E"/>
    <w:rsid w:val="000E141F"/>
    <w:rsid w:val="000E14CD"/>
    <w:rsid w:val="000E14EA"/>
    <w:rsid w:val="000E14F8"/>
    <w:rsid w:val="000E163B"/>
    <w:rsid w:val="000E16A3"/>
    <w:rsid w:val="000E176D"/>
    <w:rsid w:val="000E17E5"/>
    <w:rsid w:val="000E1850"/>
    <w:rsid w:val="000E18D9"/>
    <w:rsid w:val="000E1909"/>
    <w:rsid w:val="000E1933"/>
    <w:rsid w:val="000E1996"/>
    <w:rsid w:val="000E19F7"/>
    <w:rsid w:val="000E1AEC"/>
    <w:rsid w:val="000E1AF9"/>
    <w:rsid w:val="000E1B53"/>
    <w:rsid w:val="000E1B72"/>
    <w:rsid w:val="000E1B87"/>
    <w:rsid w:val="000E1DC8"/>
    <w:rsid w:val="000E1E7A"/>
    <w:rsid w:val="000E1FB1"/>
    <w:rsid w:val="000E1FFE"/>
    <w:rsid w:val="000E20AA"/>
    <w:rsid w:val="000E20FD"/>
    <w:rsid w:val="000E2245"/>
    <w:rsid w:val="000E22D9"/>
    <w:rsid w:val="000E23C2"/>
    <w:rsid w:val="000E23C8"/>
    <w:rsid w:val="000E23F9"/>
    <w:rsid w:val="000E24F8"/>
    <w:rsid w:val="000E2511"/>
    <w:rsid w:val="000E2534"/>
    <w:rsid w:val="000E25B4"/>
    <w:rsid w:val="000E26B2"/>
    <w:rsid w:val="000E27B2"/>
    <w:rsid w:val="000E27B6"/>
    <w:rsid w:val="000E27D1"/>
    <w:rsid w:val="000E293A"/>
    <w:rsid w:val="000E2950"/>
    <w:rsid w:val="000E29B0"/>
    <w:rsid w:val="000E29F9"/>
    <w:rsid w:val="000E2B0C"/>
    <w:rsid w:val="000E2B34"/>
    <w:rsid w:val="000E2BC1"/>
    <w:rsid w:val="000E2C48"/>
    <w:rsid w:val="000E2CAC"/>
    <w:rsid w:val="000E2CDA"/>
    <w:rsid w:val="000E2CE4"/>
    <w:rsid w:val="000E2CF9"/>
    <w:rsid w:val="000E2DC5"/>
    <w:rsid w:val="000E2DE3"/>
    <w:rsid w:val="000E2E5A"/>
    <w:rsid w:val="000E2E5B"/>
    <w:rsid w:val="000E2F6E"/>
    <w:rsid w:val="000E2FC7"/>
    <w:rsid w:val="000E308F"/>
    <w:rsid w:val="000E31F6"/>
    <w:rsid w:val="000E32CF"/>
    <w:rsid w:val="000E3358"/>
    <w:rsid w:val="000E33FC"/>
    <w:rsid w:val="000E3494"/>
    <w:rsid w:val="000E35BC"/>
    <w:rsid w:val="000E362E"/>
    <w:rsid w:val="000E368B"/>
    <w:rsid w:val="000E36A6"/>
    <w:rsid w:val="000E3806"/>
    <w:rsid w:val="000E3876"/>
    <w:rsid w:val="000E396F"/>
    <w:rsid w:val="000E39C7"/>
    <w:rsid w:val="000E3A3E"/>
    <w:rsid w:val="000E3A41"/>
    <w:rsid w:val="000E3A5D"/>
    <w:rsid w:val="000E3AEC"/>
    <w:rsid w:val="000E3B05"/>
    <w:rsid w:val="000E3C49"/>
    <w:rsid w:val="000E3C79"/>
    <w:rsid w:val="000E3CD6"/>
    <w:rsid w:val="000E3D02"/>
    <w:rsid w:val="000E3ED1"/>
    <w:rsid w:val="000E3F29"/>
    <w:rsid w:val="000E3F84"/>
    <w:rsid w:val="000E403E"/>
    <w:rsid w:val="000E409A"/>
    <w:rsid w:val="000E40E9"/>
    <w:rsid w:val="000E412C"/>
    <w:rsid w:val="000E4183"/>
    <w:rsid w:val="000E4233"/>
    <w:rsid w:val="000E425C"/>
    <w:rsid w:val="000E42E8"/>
    <w:rsid w:val="000E4339"/>
    <w:rsid w:val="000E439C"/>
    <w:rsid w:val="000E43D3"/>
    <w:rsid w:val="000E43FC"/>
    <w:rsid w:val="000E4469"/>
    <w:rsid w:val="000E448B"/>
    <w:rsid w:val="000E4572"/>
    <w:rsid w:val="000E4579"/>
    <w:rsid w:val="000E458C"/>
    <w:rsid w:val="000E45C8"/>
    <w:rsid w:val="000E46B1"/>
    <w:rsid w:val="000E474A"/>
    <w:rsid w:val="000E4783"/>
    <w:rsid w:val="000E47B5"/>
    <w:rsid w:val="000E47BC"/>
    <w:rsid w:val="000E4963"/>
    <w:rsid w:val="000E4990"/>
    <w:rsid w:val="000E49B8"/>
    <w:rsid w:val="000E4A06"/>
    <w:rsid w:val="000E4B99"/>
    <w:rsid w:val="000E4BB0"/>
    <w:rsid w:val="000E4C08"/>
    <w:rsid w:val="000E4C16"/>
    <w:rsid w:val="000E4E3E"/>
    <w:rsid w:val="000E4E5D"/>
    <w:rsid w:val="000E4EC5"/>
    <w:rsid w:val="000E4F1A"/>
    <w:rsid w:val="000E4FE6"/>
    <w:rsid w:val="000E50BC"/>
    <w:rsid w:val="000E5159"/>
    <w:rsid w:val="000E51A6"/>
    <w:rsid w:val="000E51E0"/>
    <w:rsid w:val="000E5260"/>
    <w:rsid w:val="000E52B6"/>
    <w:rsid w:val="000E5343"/>
    <w:rsid w:val="000E54DC"/>
    <w:rsid w:val="000E5580"/>
    <w:rsid w:val="000E56AC"/>
    <w:rsid w:val="000E5737"/>
    <w:rsid w:val="000E57E6"/>
    <w:rsid w:val="000E5826"/>
    <w:rsid w:val="000E582E"/>
    <w:rsid w:val="000E584E"/>
    <w:rsid w:val="000E5890"/>
    <w:rsid w:val="000E58C6"/>
    <w:rsid w:val="000E5946"/>
    <w:rsid w:val="000E5975"/>
    <w:rsid w:val="000E598E"/>
    <w:rsid w:val="000E599E"/>
    <w:rsid w:val="000E59D3"/>
    <w:rsid w:val="000E59DD"/>
    <w:rsid w:val="000E5A98"/>
    <w:rsid w:val="000E5AF7"/>
    <w:rsid w:val="000E5B1B"/>
    <w:rsid w:val="000E5CFB"/>
    <w:rsid w:val="000E5E13"/>
    <w:rsid w:val="000E5E3F"/>
    <w:rsid w:val="000E5E4C"/>
    <w:rsid w:val="000E6045"/>
    <w:rsid w:val="000E616D"/>
    <w:rsid w:val="000E61DC"/>
    <w:rsid w:val="000E6427"/>
    <w:rsid w:val="000E64CD"/>
    <w:rsid w:val="000E6540"/>
    <w:rsid w:val="000E65D9"/>
    <w:rsid w:val="000E668C"/>
    <w:rsid w:val="000E6725"/>
    <w:rsid w:val="000E67A9"/>
    <w:rsid w:val="000E69A0"/>
    <w:rsid w:val="000E6A67"/>
    <w:rsid w:val="000E6AAC"/>
    <w:rsid w:val="000E6B06"/>
    <w:rsid w:val="000E6B91"/>
    <w:rsid w:val="000E6BD5"/>
    <w:rsid w:val="000E6BF0"/>
    <w:rsid w:val="000E6EDD"/>
    <w:rsid w:val="000E6EED"/>
    <w:rsid w:val="000E718B"/>
    <w:rsid w:val="000E71CE"/>
    <w:rsid w:val="000E71D2"/>
    <w:rsid w:val="000E720D"/>
    <w:rsid w:val="000E7260"/>
    <w:rsid w:val="000E730A"/>
    <w:rsid w:val="000E7362"/>
    <w:rsid w:val="000E742E"/>
    <w:rsid w:val="000E7496"/>
    <w:rsid w:val="000E751E"/>
    <w:rsid w:val="000E75D5"/>
    <w:rsid w:val="000E761B"/>
    <w:rsid w:val="000E7756"/>
    <w:rsid w:val="000E7757"/>
    <w:rsid w:val="000E7818"/>
    <w:rsid w:val="000E7895"/>
    <w:rsid w:val="000E7A12"/>
    <w:rsid w:val="000E7A81"/>
    <w:rsid w:val="000E7B9A"/>
    <w:rsid w:val="000E7CD9"/>
    <w:rsid w:val="000E7D15"/>
    <w:rsid w:val="000E7D35"/>
    <w:rsid w:val="000E7D3D"/>
    <w:rsid w:val="000E7D3F"/>
    <w:rsid w:val="000E7E3C"/>
    <w:rsid w:val="000E7E85"/>
    <w:rsid w:val="000E7F8A"/>
    <w:rsid w:val="000E7F90"/>
    <w:rsid w:val="000F0071"/>
    <w:rsid w:val="000F00FA"/>
    <w:rsid w:val="000F01E3"/>
    <w:rsid w:val="000F0252"/>
    <w:rsid w:val="000F0276"/>
    <w:rsid w:val="000F02EA"/>
    <w:rsid w:val="000F0326"/>
    <w:rsid w:val="000F03F7"/>
    <w:rsid w:val="000F0537"/>
    <w:rsid w:val="000F05B3"/>
    <w:rsid w:val="000F0669"/>
    <w:rsid w:val="000F074F"/>
    <w:rsid w:val="000F07DF"/>
    <w:rsid w:val="000F07F9"/>
    <w:rsid w:val="000F082B"/>
    <w:rsid w:val="000F08A8"/>
    <w:rsid w:val="000F09AC"/>
    <w:rsid w:val="000F09EE"/>
    <w:rsid w:val="000F0A0A"/>
    <w:rsid w:val="000F0AAC"/>
    <w:rsid w:val="000F0B60"/>
    <w:rsid w:val="000F0BF6"/>
    <w:rsid w:val="000F0C02"/>
    <w:rsid w:val="000F0C64"/>
    <w:rsid w:val="000F0C84"/>
    <w:rsid w:val="000F0D09"/>
    <w:rsid w:val="000F0ECC"/>
    <w:rsid w:val="000F0F17"/>
    <w:rsid w:val="000F102A"/>
    <w:rsid w:val="000F1064"/>
    <w:rsid w:val="000F1095"/>
    <w:rsid w:val="000F1234"/>
    <w:rsid w:val="000F127A"/>
    <w:rsid w:val="000F13EB"/>
    <w:rsid w:val="000F141B"/>
    <w:rsid w:val="000F145B"/>
    <w:rsid w:val="000F149F"/>
    <w:rsid w:val="000F14BC"/>
    <w:rsid w:val="000F156D"/>
    <w:rsid w:val="000F15D3"/>
    <w:rsid w:val="000F15FE"/>
    <w:rsid w:val="000F1696"/>
    <w:rsid w:val="000F170C"/>
    <w:rsid w:val="000F1854"/>
    <w:rsid w:val="000F1865"/>
    <w:rsid w:val="000F19BD"/>
    <w:rsid w:val="000F1A04"/>
    <w:rsid w:val="000F1A5C"/>
    <w:rsid w:val="000F1ACE"/>
    <w:rsid w:val="000F1B4C"/>
    <w:rsid w:val="000F1B6C"/>
    <w:rsid w:val="000F1BCF"/>
    <w:rsid w:val="000F1D88"/>
    <w:rsid w:val="000F1E20"/>
    <w:rsid w:val="000F212D"/>
    <w:rsid w:val="000F2153"/>
    <w:rsid w:val="000F21DD"/>
    <w:rsid w:val="000F233D"/>
    <w:rsid w:val="000F236F"/>
    <w:rsid w:val="000F2383"/>
    <w:rsid w:val="000F2399"/>
    <w:rsid w:val="000F23B6"/>
    <w:rsid w:val="000F2476"/>
    <w:rsid w:val="000F2605"/>
    <w:rsid w:val="000F276D"/>
    <w:rsid w:val="000F27B9"/>
    <w:rsid w:val="000F280C"/>
    <w:rsid w:val="000F28C2"/>
    <w:rsid w:val="000F2A34"/>
    <w:rsid w:val="000F2A4F"/>
    <w:rsid w:val="000F2A50"/>
    <w:rsid w:val="000F2A75"/>
    <w:rsid w:val="000F2A82"/>
    <w:rsid w:val="000F2AAA"/>
    <w:rsid w:val="000F2AC0"/>
    <w:rsid w:val="000F2B9E"/>
    <w:rsid w:val="000F2C53"/>
    <w:rsid w:val="000F2D12"/>
    <w:rsid w:val="000F2D2B"/>
    <w:rsid w:val="000F2D4E"/>
    <w:rsid w:val="000F2D98"/>
    <w:rsid w:val="000F2DCE"/>
    <w:rsid w:val="000F2E1A"/>
    <w:rsid w:val="000F2E28"/>
    <w:rsid w:val="000F2E94"/>
    <w:rsid w:val="000F2EB7"/>
    <w:rsid w:val="000F3120"/>
    <w:rsid w:val="000F31EF"/>
    <w:rsid w:val="000F3340"/>
    <w:rsid w:val="000F3429"/>
    <w:rsid w:val="000F34E7"/>
    <w:rsid w:val="000F35C3"/>
    <w:rsid w:val="000F35F7"/>
    <w:rsid w:val="000F365C"/>
    <w:rsid w:val="000F367B"/>
    <w:rsid w:val="000F37F0"/>
    <w:rsid w:val="000F3881"/>
    <w:rsid w:val="000F38DC"/>
    <w:rsid w:val="000F3900"/>
    <w:rsid w:val="000F3A1C"/>
    <w:rsid w:val="000F3A2C"/>
    <w:rsid w:val="000F3A40"/>
    <w:rsid w:val="000F3A7F"/>
    <w:rsid w:val="000F3AC9"/>
    <w:rsid w:val="000F3AD5"/>
    <w:rsid w:val="000F3B94"/>
    <w:rsid w:val="000F3DA9"/>
    <w:rsid w:val="000F3E76"/>
    <w:rsid w:val="000F3E83"/>
    <w:rsid w:val="000F3E85"/>
    <w:rsid w:val="000F40CD"/>
    <w:rsid w:val="000F40E1"/>
    <w:rsid w:val="000F40E3"/>
    <w:rsid w:val="000F4177"/>
    <w:rsid w:val="000F41C3"/>
    <w:rsid w:val="000F4279"/>
    <w:rsid w:val="000F438B"/>
    <w:rsid w:val="000F43EB"/>
    <w:rsid w:val="000F441F"/>
    <w:rsid w:val="000F4536"/>
    <w:rsid w:val="000F4562"/>
    <w:rsid w:val="000F45AE"/>
    <w:rsid w:val="000F45BE"/>
    <w:rsid w:val="000F4659"/>
    <w:rsid w:val="000F46D2"/>
    <w:rsid w:val="000F477D"/>
    <w:rsid w:val="000F47A0"/>
    <w:rsid w:val="000F47BD"/>
    <w:rsid w:val="000F47D7"/>
    <w:rsid w:val="000F483D"/>
    <w:rsid w:val="000F4872"/>
    <w:rsid w:val="000F48F0"/>
    <w:rsid w:val="000F49B2"/>
    <w:rsid w:val="000F4A0E"/>
    <w:rsid w:val="000F4A2D"/>
    <w:rsid w:val="000F4A71"/>
    <w:rsid w:val="000F4B28"/>
    <w:rsid w:val="000F4BA2"/>
    <w:rsid w:val="000F4BFE"/>
    <w:rsid w:val="000F4C6B"/>
    <w:rsid w:val="000F4CAC"/>
    <w:rsid w:val="000F4D2E"/>
    <w:rsid w:val="000F4E00"/>
    <w:rsid w:val="000F4EB3"/>
    <w:rsid w:val="000F4F61"/>
    <w:rsid w:val="000F517C"/>
    <w:rsid w:val="000F51CB"/>
    <w:rsid w:val="000F51F9"/>
    <w:rsid w:val="000F5238"/>
    <w:rsid w:val="000F523C"/>
    <w:rsid w:val="000F5404"/>
    <w:rsid w:val="000F5408"/>
    <w:rsid w:val="000F540A"/>
    <w:rsid w:val="000F54F5"/>
    <w:rsid w:val="000F5522"/>
    <w:rsid w:val="000F5656"/>
    <w:rsid w:val="000F5665"/>
    <w:rsid w:val="000F568F"/>
    <w:rsid w:val="000F574F"/>
    <w:rsid w:val="000F582B"/>
    <w:rsid w:val="000F597A"/>
    <w:rsid w:val="000F5A15"/>
    <w:rsid w:val="000F5A88"/>
    <w:rsid w:val="000F5ABF"/>
    <w:rsid w:val="000F5ACE"/>
    <w:rsid w:val="000F5B89"/>
    <w:rsid w:val="000F5B8D"/>
    <w:rsid w:val="000F5C7B"/>
    <w:rsid w:val="000F5CF4"/>
    <w:rsid w:val="000F5D68"/>
    <w:rsid w:val="000F5D74"/>
    <w:rsid w:val="000F5DAD"/>
    <w:rsid w:val="000F5E18"/>
    <w:rsid w:val="000F5E33"/>
    <w:rsid w:val="000F5EDC"/>
    <w:rsid w:val="000F6011"/>
    <w:rsid w:val="000F60D2"/>
    <w:rsid w:val="000F6107"/>
    <w:rsid w:val="000F61E9"/>
    <w:rsid w:val="000F626B"/>
    <w:rsid w:val="000F6324"/>
    <w:rsid w:val="000F632E"/>
    <w:rsid w:val="000F6344"/>
    <w:rsid w:val="000F6419"/>
    <w:rsid w:val="000F64AF"/>
    <w:rsid w:val="000F64B6"/>
    <w:rsid w:val="000F64ED"/>
    <w:rsid w:val="000F65C5"/>
    <w:rsid w:val="000F65CB"/>
    <w:rsid w:val="000F65D8"/>
    <w:rsid w:val="000F6635"/>
    <w:rsid w:val="000F66E1"/>
    <w:rsid w:val="000F66EB"/>
    <w:rsid w:val="000F67A4"/>
    <w:rsid w:val="000F6999"/>
    <w:rsid w:val="000F6B72"/>
    <w:rsid w:val="000F6C7A"/>
    <w:rsid w:val="000F6C7D"/>
    <w:rsid w:val="000F6D00"/>
    <w:rsid w:val="000F6DA8"/>
    <w:rsid w:val="000F6DE2"/>
    <w:rsid w:val="000F6FBB"/>
    <w:rsid w:val="000F7054"/>
    <w:rsid w:val="000F70E6"/>
    <w:rsid w:val="000F70FF"/>
    <w:rsid w:val="000F7118"/>
    <w:rsid w:val="000F7208"/>
    <w:rsid w:val="000F72C8"/>
    <w:rsid w:val="000F736B"/>
    <w:rsid w:val="000F73ED"/>
    <w:rsid w:val="000F7496"/>
    <w:rsid w:val="000F757A"/>
    <w:rsid w:val="000F75EB"/>
    <w:rsid w:val="000F7633"/>
    <w:rsid w:val="000F763F"/>
    <w:rsid w:val="000F779D"/>
    <w:rsid w:val="000F77D5"/>
    <w:rsid w:val="000F7A5B"/>
    <w:rsid w:val="000F7AAE"/>
    <w:rsid w:val="000F7AEC"/>
    <w:rsid w:val="000F7B47"/>
    <w:rsid w:val="000F7B8E"/>
    <w:rsid w:val="000F7BB3"/>
    <w:rsid w:val="000F7C30"/>
    <w:rsid w:val="000F7C49"/>
    <w:rsid w:val="000F7C8D"/>
    <w:rsid w:val="000F7DF2"/>
    <w:rsid w:val="000F7DF4"/>
    <w:rsid w:val="000F7E1F"/>
    <w:rsid w:val="000F7E27"/>
    <w:rsid w:val="000F7E74"/>
    <w:rsid w:val="000F7FE2"/>
    <w:rsid w:val="0010001A"/>
    <w:rsid w:val="001000EA"/>
    <w:rsid w:val="001001D6"/>
    <w:rsid w:val="0010029A"/>
    <w:rsid w:val="00100355"/>
    <w:rsid w:val="0010035A"/>
    <w:rsid w:val="00100378"/>
    <w:rsid w:val="00100389"/>
    <w:rsid w:val="001004B8"/>
    <w:rsid w:val="001004C3"/>
    <w:rsid w:val="00100669"/>
    <w:rsid w:val="0010066C"/>
    <w:rsid w:val="001006B0"/>
    <w:rsid w:val="001006BB"/>
    <w:rsid w:val="00100753"/>
    <w:rsid w:val="001007A7"/>
    <w:rsid w:val="001007CF"/>
    <w:rsid w:val="0010084C"/>
    <w:rsid w:val="001008E4"/>
    <w:rsid w:val="001008E5"/>
    <w:rsid w:val="00100A23"/>
    <w:rsid w:val="00100A26"/>
    <w:rsid w:val="00100B3B"/>
    <w:rsid w:val="00100BAA"/>
    <w:rsid w:val="00100DD6"/>
    <w:rsid w:val="00100E56"/>
    <w:rsid w:val="00100EBF"/>
    <w:rsid w:val="00100FEA"/>
    <w:rsid w:val="00101048"/>
    <w:rsid w:val="0010110F"/>
    <w:rsid w:val="0010117F"/>
    <w:rsid w:val="00101210"/>
    <w:rsid w:val="0010122E"/>
    <w:rsid w:val="00101268"/>
    <w:rsid w:val="001012B9"/>
    <w:rsid w:val="00101320"/>
    <w:rsid w:val="001013DA"/>
    <w:rsid w:val="00101460"/>
    <w:rsid w:val="0010149A"/>
    <w:rsid w:val="00101515"/>
    <w:rsid w:val="0010155B"/>
    <w:rsid w:val="00101565"/>
    <w:rsid w:val="0010156D"/>
    <w:rsid w:val="001015B2"/>
    <w:rsid w:val="00101614"/>
    <w:rsid w:val="00101674"/>
    <w:rsid w:val="001017F1"/>
    <w:rsid w:val="001018A0"/>
    <w:rsid w:val="001018B3"/>
    <w:rsid w:val="001019A7"/>
    <w:rsid w:val="00101A23"/>
    <w:rsid w:val="00101A31"/>
    <w:rsid w:val="00101AF0"/>
    <w:rsid w:val="00101BAB"/>
    <w:rsid w:val="00101C0F"/>
    <w:rsid w:val="00101D98"/>
    <w:rsid w:val="00101DEC"/>
    <w:rsid w:val="00101E0A"/>
    <w:rsid w:val="00101E41"/>
    <w:rsid w:val="00101EA6"/>
    <w:rsid w:val="00101EE1"/>
    <w:rsid w:val="00101F19"/>
    <w:rsid w:val="00101FF8"/>
    <w:rsid w:val="00102005"/>
    <w:rsid w:val="001020ED"/>
    <w:rsid w:val="00102137"/>
    <w:rsid w:val="001021D7"/>
    <w:rsid w:val="00102260"/>
    <w:rsid w:val="00102289"/>
    <w:rsid w:val="00102312"/>
    <w:rsid w:val="00102314"/>
    <w:rsid w:val="00102354"/>
    <w:rsid w:val="00102358"/>
    <w:rsid w:val="0010237C"/>
    <w:rsid w:val="001023A2"/>
    <w:rsid w:val="001023C8"/>
    <w:rsid w:val="001023E5"/>
    <w:rsid w:val="00102413"/>
    <w:rsid w:val="00102524"/>
    <w:rsid w:val="00102542"/>
    <w:rsid w:val="0010254E"/>
    <w:rsid w:val="001025DA"/>
    <w:rsid w:val="0010260F"/>
    <w:rsid w:val="0010264A"/>
    <w:rsid w:val="001026D8"/>
    <w:rsid w:val="001026E2"/>
    <w:rsid w:val="001026E7"/>
    <w:rsid w:val="00102750"/>
    <w:rsid w:val="00102797"/>
    <w:rsid w:val="0010281D"/>
    <w:rsid w:val="00102943"/>
    <w:rsid w:val="001029E3"/>
    <w:rsid w:val="00102A12"/>
    <w:rsid w:val="00102A45"/>
    <w:rsid w:val="00102A53"/>
    <w:rsid w:val="00102AE1"/>
    <w:rsid w:val="00102AF1"/>
    <w:rsid w:val="00102B5B"/>
    <w:rsid w:val="00102B76"/>
    <w:rsid w:val="00102B9B"/>
    <w:rsid w:val="00102BD3"/>
    <w:rsid w:val="00102C39"/>
    <w:rsid w:val="00102CF8"/>
    <w:rsid w:val="00102D15"/>
    <w:rsid w:val="00102D26"/>
    <w:rsid w:val="00102D41"/>
    <w:rsid w:val="00102DA4"/>
    <w:rsid w:val="00102E32"/>
    <w:rsid w:val="00102E52"/>
    <w:rsid w:val="00102E8C"/>
    <w:rsid w:val="00102F38"/>
    <w:rsid w:val="001030B7"/>
    <w:rsid w:val="00103150"/>
    <w:rsid w:val="00103171"/>
    <w:rsid w:val="00103209"/>
    <w:rsid w:val="0010320E"/>
    <w:rsid w:val="00103221"/>
    <w:rsid w:val="00103254"/>
    <w:rsid w:val="0010326E"/>
    <w:rsid w:val="00103375"/>
    <w:rsid w:val="001033DC"/>
    <w:rsid w:val="00103421"/>
    <w:rsid w:val="00103430"/>
    <w:rsid w:val="001034D6"/>
    <w:rsid w:val="001035E0"/>
    <w:rsid w:val="001036EC"/>
    <w:rsid w:val="00103784"/>
    <w:rsid w:val="00103951"/>
    <w:rsid w:val="0010395C"/>
    <w:rsid w:val="00103A11"/>
    <w:rsid w:val="00103A21"/>
    <w:rsid w:val="00103ACB"/>
    <w:rsid w:val="00103ACF"/>
    <w:rsid w:val="00103B12"/>
    <w:rsid w:val="00103D70"/>
    <w:rsid w:val="00103F07"/>
    <w:rsid w:val="00103F0D"/>
    <w:rsid w:val="00103F59"/>
    <w:rsid w:val="00103FC4"/>
    <w:rsid w:val="0010405D"/>
    <w:rsid w:val="00104069"/>
    <w:rsid w:val="001041EF"/>
    <w:rsid w:val="00104251"/>
    <w:rsid w:val="001042B3"/>
    <w:rsid w:val="00104390"/>
    <w:rsid w:val="001043AB"/>
    <w:rsid w:val="0010440A"/>
    <w:rsid w:val="001044BA"/>
    <w:rsid w:val="0010451B"/>
    <w:rsid w:val="00104525"/>
    <w:rsid w:val="00104535"/>
    <w:rsid w:val="0010454A"/>
    <w:rsid w:val="00104572"/>
    <w:rsid w:val="0010459B"/>
    <w:rsid w:val="001045B3"/>
    <w:rsid w:val="001045D8"/>
    <w:rsid w:val="001045EA"/>
    <w:rsid w:val="0010466E"/>
    <w:rsid w:val="001046B4"/>
    <w:rsid w:val="0010475F"/>
    <w:rsid w:val="00104768"/>
    <w:rsid w:val="0010479D"/>
    <w:rsid w:val="0010492D"/>
    <w:rsid w:val="001049EB"/>
    <w:rsid w:val="00104A8F"/>
    <w:rsid w:val="00104B14"/>
    <w:rsid w:val="00104B21"/>
    <w:rsid w:val="00104C09"/>
    <w:rsid w:val="00104E2B"/>
    <w:rsid w:val="00104E35"/>
    <w:rsid w:val="00104F65"/>
    <w:rsid w:val="00104FEC"/>
    <w:rsid w:val="0010503D"/>
    <w:rsid w:val="00105131"/>
    <w:rsid w:val="00105251"/>
    <w:rsid w:val="001052F7"/>
    <w:rsid w:val="001053B5"/>
    <w:rsid w:val="001053D6"/>
    <w:rsid w:val="001053FD"/>
    <w:rsid w:val="0010541A"/>
    <w:rsid w:val="00105540"/>
    <w:rsid w:val="0010556D"/>
    <w:rsid w:val="001055BF"/>
    <w:rsid w:val="001055C7"/>
    <w:rsid w:val="0010564C"/>
    <w:rsid w:val="001056C4"/>
    <w:rsid w:val="001056CA"/>
    <w:rsid w:val="00105785"/>
    <w:rsid w:val="00105796"/>
    <w:rsid w:val="00105958"/>
    <w:rsid w:val="00105984"/>
    <w:rsid w:val="00105A96"/>
    <w:rsid w:val="00105C9A"/>
    <w:rsid w:val="00105CC4"/>
    <w:rsid w:val="00105CDC"/>
    <w:rsid w:val="00105D3A"/>
    <w:rsid w:val="00105D51"/>
    <w:rsid w:val="00105DFF"/>
    <w:rsid w:val="00105E20"/>
    <w:rsid w:val="00105E6C"/>
    <w:rsid w:val="00105E6D"/>
    <w:rsid w:val="00105E86"/>
    <w:rsid w:val="00105EB3"/>
    <w:rsid w:val="00105EF4"/>
    <w:rsid w:val="00105F63"/>
    <w:rsid w:val="00105F94"/>
    <w:rsid w:val="00105FF3"/>
    <w:rsid w:val="00106022"/>
    <w:rsid w:val="001060FE"/>
    <w:rsid w:val="00106113"/>
    <w:rsid w:val="0010612A"/>
    <w:rsid w:val="00106205"/>
    <w:rsid w:val="0010620C"/>
    <w:rsid w:val="001062D6"/>
    <w:rsid w:val="0010640F"/>
    <w:rsid w:val="0010641B"/>
    <w:rsid w:val="001064D6"/>
    <w:rsid w:val="001064DF"/>
    <w:rsid w:val="00106569"/>
    <w:rsid w:val="0010656B"/>
    <w:rsid w:val="00106646"/>
    <w:rsid w:val="00106684"/>
    <w:rsid w:val="001066F7"/>
    <w:rsid w:val="00106765"/>
    <w:rsid w:val="00106873"/>
    <w:rsid w:val="001068D4"/>
    <w:rsid w:val="001069BC"/>
    <w:rsid w:val="00106A2B"/>
    <w:rsid w:val="00106B35"/>
    <w:rsid w:val="00106D57"/>
    <w:rsid w:val="00106D9D"/>
    <w:rsid w:val="00106E12"/>
    <w:rsid w:val="00106E66"/>
    <w:rsid w:val="00106EB4"/>
    <w:rsid w:val="00106EB7"/>
    <w:rsid w:val="00106FFA"/>
    <w:rsid w:val="00106FFB"/>
    <w:rsid w:val="00107028"/>
    <w:rsid w:val="001070A4"/>
    <w:rsid w:val="001071A0"/>
    <w:rsid w:val="001071D1"/>
    <w:rsid w:val="0010721C"/>
    <w:rsid w:val="001072D2"/>
    <w:rsid w:val="001072F4"/>
    <w:rsid w:val="0010731B"/>
    <w:rsid w:val="001073B8"/>
    <w:rsid w:val="0010744B"/>
    <w:rsid w:val="00107451"/>
    <w:rsid w:val="0010759E"/>
    <w:rsid w:val="001077B6"/>
    <w:rsid w:val="001077FD"/>
    <w:rsid w:val="0010787A"/>
    <w:rsid w:val="001078C0"/>
    <w:rsid w:val="001079A5"/>
    <w:rsid w:val="00107A2B"/>
    <w:rsid w:val="00107BF3"/>
    <w:rsid w:val="00107BF8"/>
    <w:rsid w:val="00107C0E"/>
    <w:rsid w:val="00107C50"/>
    <w:rsid w:val="00107D88"/>
    <w:rsid w:val="00107D8C"/>
    <w:rsid w:val="00107E70"/>
    <w:rsid w:val="00107ED2"/>
    <w:rsid w:val="00107F20"/>
    <w:rsid w:val="00110061"/>
    <w:rsid w:val="00110188"/>
    <w:rsid w:val="001101B2"/>
    <w:rsid w:val="001101FD"/>
    <w:rsid w:val="001102CA"/>
    <w:rsid w:val="00110331"/>
    <w:rsid w:val="00110380"/>
    <w:rsid w:val="001103CF"/>
    <w:rsid w:val="0011040E"/>
    <w:rsid w:val="00110457"/>
    <w:rsid w:val="001105DF"/>
    <w:rsid w:val="001105E3"/>
    <w:rsid w:val="00110602"/>
    <w:rsid w:val="00110648"/>
    <w:rsid w:val="0011065C"/>
    <w:rsid w:val="00110676"/>
    <w:rsid w:val="00110708"/>
    <w:rsid w:val="0011081F"/>
    <w:rsid w:val="00110829"/>
    <w:rsid w:val="0011082D"/>
    <w:rsid w:val="001108AD"/>
    <w:rsid w:val="001108BB"/>
    <w:rsid w:val="001108FE"/>
    <w:rsid w:val="00110965"/>
    <w:rsid w:val="00110A1A"/>
    <w:rsid w:val="00110A65"/>
    <w:rsid w:val="00110AFE"/>
    <w:rsid w:val="00110B31"/>
    <w:rsid w:val="00110B39"/>
    <w:rsid w:val="00110C30"/>
    <w:rsid w:val="00110C53"/>
    <w:rsid w:val="00110D3B"/>
    <w:rsid w:val="00110D82"/>
    <w:rsid w:val="00110FF3"/>
    <w:rsid w:val="0011105A"/>
    <w:rsid w:val="001110FF"/>
    <w:rsid w:val="0011117B"/>
    <w:rsid w:val="001111A4"/>
    <w:rsid w:val="00111230"/>
    <w:rsid w:val="00111239"/>
    <w:rsid w:val="001112DE"/>
    <w:rsid w:val="001113EF"/>
    <w:rsid w:val="0011161A"/>
    <w:rsid w:val="001116E2"/>
    <w:rsid w:val="001118F0"/>
    <w:rsid w:val="00111970"/>
    <w:rsid w:val="001119DD"/>
    <w:rsid w:val="00111A52"/>
    <w:rsid w:val="00111A8E"/>
    <w:rsid w:val="00111A9C"/>
    <w:rsid w:val="00111ACB"/>
    <w:rsid w:val="00111ACD"/>
    <w:rsid w:val="00111B27"/>
    <w:rsid w:val="00111B57"/>
    <w:rsid w:val="00111B88"/>
    <w:rsid w:val="00111BA4"/>
    <w:rsid w:val="00111DC6"/>
    <w:rsid w:val="00111DDA"/>
    <w:rsid w:val="00111E3A"/>
    <w:rsid w:val="00111E6E"/>
    <w:rsid w:val="00111EAE"/>
    <w:rsid w:val="00111F1D"/>
    <w:rsid w:val="0011200C"/>
    <w:rsid w:val="0011202A"/>
    <w:rsid w:val="0011202E"/>
    <w:rsid w:val="00112037"/>
    <w:rsid w:val="001120ED"/>
    <w:rsid w:val="001121A3"/>
    <w:rsid w:val="001121E8"/>
    <w:rsid w:val="00112242"/>
    <w:rsid w:val="00112346"/>
    <w:rsid w:val="001123B4"/>
    <w:rsid w:val="001123D3"/>
    <w:rsid w:val="001124BA"/>
    <w:rsid w:val="0011263F"/>
    <w:rsid w:val="0011265F"/>
    <w:rsid w:val="00112707"/>
    <w:rsid w:val="00112976"/>
    <w:rsid w:val="0011297C"/>
    <w:rsid w:val="001129AC"/>
    <w:rsid w:val="001129D6"/>
    <w:rsid w:val="001129FB"/>
    <w:rsid w:val="00112AB4"/>
    <w:rsid w:val="00112B15"/>
    <w:rsid w:val="00112B4F"/>
    <w:rsid w:val="00112BB8"/>
    <w:rsid w:val="00112CC9"/>
    <w:rsid w:val="00112CED"/>
    <w:rsid w:val="00112D0A"/>
    <w:rsid w:val="00112D20"/>
    <w:rsid w:val="00112D94"/>
    <w:rsid w:val="00112E81"/>
    <w:rsid w:val="00112EC2"/>
    <w:rsid w:val="00112F84"/>
    <w:rsid w:val="00112F86"/>
    <w:rsid w:val="00112FB9"/>
    <w:rsid w:val="00112FF3"/>
    <w:rsid w:val="00113120"/>
    <w:rsid w:val="0011319C"/>
    <w:rsid w:val="001131F3"/>
    <w:rsid w:val="001132E0"/>
    <w:rsid w:val="00113383"/>
    <w:rsid w:val="0011342B"/>
    <w:rsid w:val="001134B1"/>
    <w:rsid w:val="0011356D"/>
    <w:rsid w:val="00113571"/>
    <w:rsid w:val="001135E3"/>
    <w:rsid w:val="00113605"/>
    <w:rsid w:val="00113699"/>
    <w:rsid w:val="0011369A"/>
    <w:rsid w:val="001136D3"/>
    <w:rsid w:val="00113741"/>
    <w:rsid w:val="00113757"/>
    <w:rsid w:val="001137A1"/>
    <w:rsid w:val="001137C8"/>
    <w:rsid w:val="001137EF"/>
    <w:rsid w:val="00113815"/>
    <w:rsid w:val="00113874"/>
    <w:rsid w:val="0011387A"/>
    <w:rsid w:val="0011389B"/>
    <w:rsid w:val="00113929"/>
    <w:rsid w:val="001139C0"/>
    <w:rsid w:val="001139CF"/>
    <w:rsid w:val="00113A02"/>
    <w:rsid w:val="00113A2F"/>
    <w:rsid w:val="00113A31"/>
    <w:rsid w:val="00113A98"/>
    <w:rsid w:val="00113B0F"/>
    <w:rsid w:val="00113B20"/>
    <w:rsid w:val="00113BC1"/>
    <w:rsid w:val="00113BCA"/>
    <w:rsid w:val="00113DC8"/>
    <w:rsid w:val="00113DDA"/>
    <w:rsid w:val="00113E65"/>
    <w:rsid w:val="00113EA3"/>
    <w:rsid w:val="00113EA9"/>
    <w:rsid w:val="00113FAA"/>
    <w:rsid w:val="00113FC7"/>
    <w:rsid w:val="0011415C"/>
    <w:rsid w:val="00114174"/>
    <w:rsid w:val="00114183"/>
    <w:rsid w:val="001141E7"/>
    <w:rsid w:val="001141F9"/>
    <w:rsid w:val="00114281"/>
    <w:rsid w:val="001143AC"/>
    <w:rsid w:val="001143D9"/>
    <w:rsid w:val="00114492"/>
    <w:rsid w:val="001144FE"/>
    <w:rsid w:val="001145F4"/>
    <w:rsid w:val="00114622"/>
    <w:rsid w:val="001146E5"/>
    <w:rsid w:val="001146EC"/>
    <w:rsid w:val="0011478D"/>
    <w:rsid w:val="001147EC"/>
    <w:rsid w:val="00114894"/>
    <w:rsid w:val="00114899"/>
    <w:rsid w:val="001148E5"/>
    <w:rsid w:val="0011496F"/>
    <w:rsid w:val="00114A1B"/>
    <w:rsid w:val="00114A1F"/>
    <w:rsid w:val="00114A78"/>
    <w:rsid w:val="00114AD3"/>
    <w:rsid w:val="00114AF3"/>
    <w:rsid w:val="00114C72"/>
    <w:rsid w:val="00114C93"/>
    <w:rsid w:val="00114CAC"/>
    <w:rsid w:val="00114D6C"/>
    <w:rsid w:val="00114DAF"/>
    <w:rsid w:val="00114FEB"/>
    <w:rsid w:val="00115034"/>
    <w:rsid w:val="001150F5"/>
    <w:rsid w:val="00115144"/>
    <w:rsid w:val="00115154"/>
    <w:rsid w:val="00115204"/>
    <w:rsid w:val="00115211"/>
    <w:rsid w:val="00115291"/>
    <w:rsid w:val="00115383"/>
    <w:rsid w:val="0011542D"/>
    <w:rsid w:val="00115488"/>
    <w:rsid w:val="00115511"/>
    <w:rsid w:val="001155E3"/>
    <w:rsid w:val="001155FA"/>
    <w:rsid w:val="0011562B"/>
    <w:rsid w:val="0011567D"/>
    <w:rsid w:val="0011568C"/>
    <w:rsid w:val="00115734"/>
    <w:rsid w:val="00115739"/>
    <w:rsid w:val="0011575D"/>
    <w:rsid w:val="0011577E"/>
    <w:rsid w:val="001157AD"/>
    <w:rsid w:val="00115881"/>
    <w:rsid w:val="001158B7"/>
    <w:rsid w:val="001158EA"/>
    <w:rsid w:val="001159CA"/>
    <w:rsid w:val="00115A93"/>
    <w:rsid w:val="00115C0E"/>
    <w:rsid w:val="00115C44"/>
    <w:rsid w:val="00115C4E"/>
    <w:rsid w:val="00115CF8"/>
    <w:rsid w:val="00115DD6"/>
    <w:rsid w:val="00115EF6"/>
    <w:rsid w:val="00115F0A"/>
    <w:rsid w:val="00115F55"/>
    <w:rsid w:val="0011602F"/>
    <w:rsid w:val="001160FE"/>
    <w:rsid w:val="00116113"/>
    <w:rsid w:val="00116118"/>
    <w:rsid w:val="0011619A"/>
    <w:rsid w:val="001161DC"/>
    <w:rsid w:val="00116209"/>
    <w:rsid w:val="001162B0"/>
    <w:rsid w:val="001162D3"/>
    <w:rsid w:val="0011634B"/>
    <w:rsid w:val="00116353"/>
    <w:rsid w:val="0011635B"/>
    <w:rsid w:val="00116422"/>
    <w:rsid w:val="0011648D"/>
    <w:rsid w:val="001166AC"/>
    <w:rsid w:val="001166D7"/>
    <w:rsid w:val="0011676A"/>
    <w:rsid w:val="001167A4"/>
    <w:rsid w:val="001167AA"/>
    <w:rsid w:val="00116900"/>
    <w:rsid w:val="00116910"/>
    <w:rsid w:val="00116973"/>
    <w:rsid w:val="001169ED"/>
    <w:rsid w:val="00116ACB"/>
    <w:rsid w:val="00116ACD"/>
    <w:rsid w:val="00116AF7"/>
    <w:rsid w:val="00116D12"/>
    <w:rsid w:val="00116DB9"/>
    <w:rsid w:val="00116E61"/>
    <w:rsid w:val="00116F46"/>
    <w:rsid w:val="00116F6A"/>
    <w:rsid w:val="00116FAF"/>
    <w:rsid w:val="00117428"/>
    <w:rsid w:val="001174E4"/>
    <w:rsid w:val="00117515"/>
    <w:rsid w:val="00117667"/>
    <w:rsid w:val="0011767C"/>
    <w:rsid w:val="001177C7"/>
    <w:rsid w:val="001178A3"/>
    <w:rsid w:val="00117912"/>
    <w:rsid w:val="001179B0"/>
    <w:rsid w:val="001179BC"/>
    <w:rsid w:val="001179C2"/>
    <w:rsid w:val="001179F4"/>
    <w:rsid w:val="00117A36"/>
    <w:rsid w:val="00117B09"/>
    <w:rsid w:val="00117B40"/>
    <w:rsid w:val="00117C12"/>
    <w:rsid w:val="00117C75"/>
    <w:rsid w:val="00117D61"/>
    <w:rsid w:val="00117DFC"/>
    <w:rsid w:val="00117E5F"/>
    <w:rsid w:val="00117ED1"/>
    <w:rsid w:val="00117F0A"/>
    <w:rsid w:val="00117F1A"/>
    <w:rsid w:val="001200F0"/>
    <w:rsid w:val="0012013C"/>
    <w:rsid w:val="0012017C"/>
    <w:rsid w:val="001202F4"/>
    <w:rsid w:val="0012035A"/>
    <w:rsid w:val="00120453"/>
    <w:rsid w:val="00120535"/>
    <w:rsid w:val="001205ED"/>
    <w:rsid w:val="001205F8"/>
    <w:rsid w:val="0012076C"/>
    <w:rsid w:val="001208FF"/>
    <w:rsid w:val="00120958"/>
    <w:rsid w:val="00120BC7"/>
    <w:rsid w:val="00120C8C"/>
    <w:rsid w:val="00120D4C"/>
    <w:rsid w:val="00120DCF"/>
    <w:rsid w:val="00120DE9"/>
    <w:rsid w:val="00120E1A"/>
    <w:rsid w:val="00120E65"/>
    <w:rsid w:val="00120EAC"/>
    <w:rsid w:val="00120F52"/>
    <w:rsid w:val="00120F8A"/>
    <w:rsid w:val="00120FAF"/>
    <w:rsid w:val="00120FC5"/>
    <w:rsid w:val="00121095"/>
    <w:rsid w:val="001210DB"/>
    <w:rsid w:val="00121177"/>
    <w:rsid w:val="001211BD"/>
    <w:rsid w:val="0012120E"/>
    <w:rsid w:val="001212B9"/>
    <w:rsid w:val="001212F8"/>
    <w:rsid w:val="00121332"/>
    <w:rsid w:val="001213DE"/>
    <w:rsid w:val="00121420"/>
    <w:rsid w:val="00121425"/>
    <w:rsid w:val="00121427"/>
    <w:rsid w:val="00121488"/>
    <w:rsid w:val="001214DD"/>
    <w:rsid w:val="0012150B"/>
    <w:rsid w:val="00121618"/>
    <w:rsid w:val="001216C5"/>
    <w:rsid w:val="0012180F"/>
    <w:rsid w:val="00121861"/>
    <w:rsid w:val="00121988"/>
    <w:rsid w:val="001219E4"/>
    <w:rsid w:val="001219F9"/>
    <w:rsid w:val="00121A01"/>
    <w:rsid w:val="00121B77"/>
    <w:rsid w:val="00121C15"/>
    <w:rsid w:val="00121C24"/>
    <w:rsid w:val="00121DB3"/>
    <w:rsid w:val="00121E7C"/>
    <w:rsid w:val="00121E91"/>
    <w:rsid w:val="00121E9D"/>
    <w:rsid w:val="00121EF6"/>
    <w:rsid w:val="00121F32"/>
    <w:rsid w:val="00121F33"/>
    <w:rsid w:val="00121FBB"/>
    <w:rsid w:val="00122000"/>
    <w:rsid w:val="001220BE"/>
    <w:rsid w:val="00122160"/>
    <w:rsid w:val="0012216A"/>
    <w:rsid w:val="0012224E"/>
    <w:rsid w:val="001222E7"/>
    <w:rsid w:val="0012230B"/>
    <w:rsid w:val="001223DC"/>
    <w:rsid w:val="00122403"/>
    <w:rsid w:val="00122471"/>
    <w:rsid w:val="001224E3"/>
    <w:rsid w:val="00122672"/>
    <w:rsid w:val="00122677"/>
    <w:rsid w:val="00122811"/>
    <w:rsid w:val="00122846"/>
    <w:rsid w:val="0012287D"/>
    <w:rsid w:val="00122883"/>
    <w:rsid w:val="0012288D"/>
    <w:rsid w:val="0012294A"/>
    <w:rsid w:val="0012298A"/>
    <w:rsid w:val="001229B2"/>
    <w:rsid w:val="001229B5"/>
    <w:rsid w:val="00122A90"/>
    <w:rsid w:val="00122B67"/>
    <w:rsid w:val="00122BF4"/>
    <w:rsid w:val="00122C0B"/>
    <w:rsid w:val="00122CC9"/>
    <w:rsid w:val="00122D95"/>
    <w:rsid w:val="00122DB0"/>
    <w:rsid w:val="00122E5B"/>
    <w:rsid w:val="00122F02"/>
    <w:rsid w:val="00122F1B"/>
    <w:rsid w:val="00122FC3"/>
    <w:rsid w:val="00123004"/>
    <w:rsid w:val="0012301C"/>
    <w:rsid w:val="0012307F"/>
    <w:rsid w:val="001230D7"/>
    <w:rsid w:val="001230D8"/>
    <w:rsid w:val="001230F0"/>
    <w:rsid w:val="001230FC"/>
    <w:rsid w:val="00123129"/>
    <w:rsid w:val="001231C2"/>
    <w:rsid w:val="001231E2"/>
    <w:rsid w:val="001231EF"/>
    <w:rsid w:val="001232A9"/>
    <w:rsid w:val="001232EA"/>
    <w:rsid w:val="0012334A"/>
    <w:rsid w:val="001233AB"/>
    <w:rsid w:val="0012344D"/>
    <w:rsid w:val="00123467"/>
    <w:rsid w:val="0012351C"/>
    <w:rsid w:val="0012351D"/>
    <w:rsid w:val="00123556"/>
    <w:rsid w:val="001235B0"/>
    <w:rsid w:val="0012361A"/>
    <w:rsid w:val="00123696"/>
    <w:rsid w:val="001237AF"/>
    <w:rsid w:val="001238ED"/>
    <w:rsid w:val="00123993"/>
    <w:rsid w:val="0012399C"/>
    <w:rsid w:val="001239AA"/>
    <w:rsid w:val="001239CE"/>
    <w:rsid w:val="00123AC6"/>
    <w:rsid w:val="00123B37"/>
    <w:rsid w:val="00123C64"/>
    <w:rsid w:val="00123CEF"/>
    <w:rsid w:val="00123D22"/>
    <w:rsid w:val="00123DD5"/>
    <w:rsid w:val="00123DF4"/>
    <w:rsid w:val="00123E03"/>
    <w:rsid w:val="00123EDA"/>
    <w:rsid w:val="00123F5C"/>
    <w:rsid w:val="00123F9A"/>
    <w:rsid w:val="00124056"/>
    <w:rsid w:val="00124078"/>
    <w:rsid w:val="00124081"/>
    <w:rsid w:val="00124084"/>
    <w:rsid w:val="0012408A"/>
    <w:rsid w:val="001240CA"/>
    <w:rsid w:val="001240E3"/>
    <w:rsid w:val="0012412A"/>
    <w:rsid w:val="001242D4"/>
    <w:rsid w:val="001242DB"/>
    <w:rsid w:val="0012434A"/>
    <w:rsid w:val="0012436F"/>
    <w:rsid w:val="00124388"/>
    <w:rsid w:val="001243D3"/>
    <w:rsid w:val="00124443"/>
    <w:rsid w:val="001244F3"/>
    <w:rsid w:val="00124532"/>
    <w:rsid w:val="001245EA"/>
    <w:rsid w:val="0012464C"/>
    <w:rsid w:val="001246DD"/>
    <w:rsid w:val="0012477A"/>
    <w:rsid w:val="0012478A"/>
    <w:rsid w:val="00124801"/>
    <w:rsid w:val="0012481C"/>
    <w:rsid w:val="00124884"/>
    <w:rsid w:val="001248C4"/>
    <w:rsid w:val="001249A7"/>
    <w:rsid w:val="001249BD"/>
    <w:rsid w:val="001249FA"/>
    <w:rsid w:val="00124A3F"/>
    <w:rsid w:val="00124AA5"/>
    <w:rsid w:val="00124AA9"/>
    <w:rsid w:val="00124B29"/>
    <w:rsid w:val="00124CA1"/>
    <w:rsid w:val="00124D82"/>
    <w:rsid w:val="00124E1F"/>
    <w:rsid w:val="00124F0D"/>
    <w:rsid w:val="00124F7B"/>
    <w:rsid w:val="00124FE2"/>
    <w:rsid w:val="00124FF9"/>
    <w:rsid w:val="00125028"/>
    <w:rsid w:val="00125076"/>
    <w:rsid w:val="00125088"/>
    <w:rsid w:val="001250E5"/>
    <w:rsid w:val="001251C4"/>
    <w:rsid w:val="00125255"/>
    <w:rsid w:val="001252C3"/>
    <w:rsid w:val="0012534F"/>
    <w:rsid w:val="00125498"/>
    <w:rsid w:val="0012551B"/>
    <w:rsid w:val="00125605"/>
    <w:rsid w:val="00125766"/>
    <w:rsid w:val="001257C4"/>
    <w:rsid w:val="001257D3"/>
    <w:rsid w:val="001257D5"/>
    <w:rsid w:val="00125893"/>
    <w:rsid w:val="001259D3"/>
    <w:rsid w:val="00125A77"/>
    <w:rsid w:val="00125A9A"/>
    <w:rsid w:val="00125B8C"/>
    <w:rsid w:val="00125C43"/>
    <w:rsid w:val="00125CA9"/>
    <w:rsid w:val="00125CE4"/>
    <w:rsid w:val="00125D50"/>
    <w:rsid w:val="00125D6C"/>
    <w:rsid w:val="0012604C"/>
    <w:rsid w:val="0012607A"/>
    <w:rsid w:val="001260AC"/>
    <w:rsid w:val="00126186"/>
    <w:rsid w:val="00126209"/>
    <w:rsid w:val="00126313"/>
    <w:rsid w:val="00126499"/>
    <w:rsid w:val="001264C3"/>
    <w:rsid w:val="0012653B"/>
    <w:rsid w:val="00126551"/>
    <w:rsid w:val="00126628"/>
    <w:rsid w:val="001266D1"/>
    <w:rsid w:val="001266ED"/>
    <w:rsid w:val="00126949"/>
    <w:rsid w:val="00126993"/>
    <w:rsid w:val="001269F4"/>
    <w:rsid w:val="00126A44"/>
    <w:rsid w:val="00126A86"/>
    <w:rsid w:val="00126AA1"/>
    <w:rsid w:val="00126C35"/>
    <w:rsid w:val="00126E8A"/>
    <w:rsid w:val="00126E91"/>
    <w:rsid w:val="00126EF9"/>
    <w:rsid w:val="00126F3C"/>
    <w:rsid w:val="0012701F"/>
    <w:rsid w:val="0012702D"/>
    <w:rsid w:val="00127061"/>
    <w:rsid w:val="001270CD"/>
    <w:rsid w:val="001271FC"/>
    <w:rsid w:val="00127293"/>
    <w:rsid w:val="00127335"/>
    <w:rsid w:val="00127352"/>
    <w:rsid w:val="00127437"/>
    <w:rsid w:val="00127498"/>
    <w:rsid w:val="001275D0"/>
    <w:rsid w:val="001276DD"/>
    <w:rsid w:val="001276F9"/>
    <w:rsid w:val="00127714"/>
    <w:rsid w:val="00127777"/>
    <w:rsid w:val="0012777B"/>
    <w:rsid w:val="0012779F"/>
    <w:rsid w:val="001277B4"/>
    <w:rsid w:val="00127888"/>
    <w:rsid w:val="0012797A"/>
    <w:rsid w:val="001279BB"/>
    <w:rsid w:val="00127AB1"/>
    <w:rsid w:val="00127B4F"/>
    <w:rsid w:val="00127C3A"/>
    <w:rsid w:val="00127C79"/>
    <w:rsid w:val="00127CEC"/>
    <w:rsid w:val="00127D6D"/>
    <w:rsid w:val="00127E12"/>
    <w:rsid w:val="00127E45"/>
    <w:rsid w:val="00130025"/>
    <w:rsid w:val="00130057"/>
    <w:rsid w:val="00130112"/>
    <w:rsid w:val="00130122"/>
    <w:rsid w:val="001303A7"/>
    <w:rsid w:val="001304BE"/>
    <w:rsid w:val="00130504"/>
    <w:rsid w:val="001305BA"/>
    <w:rsid w:val="001305EF"/>
    <w:rsid w:val="00130677"/>
    <w:rsid w:val="001306EC"/>
    <w:rsid w:val="00130745"/>
    <w:rsid w:val="00130776"/>
    <w:rsid w:val="00130892"/>
    <w:rsid w:val="00130895"/>
    <w:rsid w:val="00130928"/>
    <w:rsid w:val="001309A7"/>
    <w:rsid w:val="001309B5"/>
    <w:rsid w:val="00130A2A"/>
    <w:rsid w:val="00130A51"/>
    <w:rsid w:val="00130ACD"/>
    <w:rsid w:val="00130AEB"/>
    <w:rsid w:val="00130C40"/>
    <w:rsid w:val="00130C57"/>
    <w:rsid w:val="00130C7B"/>
    <w:rsid w:val="00130D03"/>
    <w:rsid w:val="00130D1F"/>
    <w:rsid w:val="00130D51"/>
    <w:rsid w:val="00130DC5"/>
    <w:rsid w:val="00130E00"/>
    <w:rsid w:val="00130E32"/>
    <w:rsid w:val="00130EB1"/>
    <w:rsid w:val="001310AE"/>
    <w:rsid w:val="001310EA"/>
    <w:rsid w:val="00131132"/>
    <w:rsid w:val="00131192"/>
    <w:rsid w:val="00131268"/>
    <w:rsid w:val="001312F9"/>
    <w:rsid w:val="00131343"/>
    <w:rsid w:val="001313C3"/>
    <w:rsid w:val="001313C6"/>
    <w:rsid w:val="001314CE"/>
    <w:rsid w:val="0013150C"/>
    <w:rsid w:val="001315A5"/>
    <w:rsid w:val="0013167C"/>
    <w:rsid w:val="00131754"/>
    <w:rsid w:val="001317FB"/>
    <w:rsid w:val="0013181D"/>
    <w:rsid w:val="00131943"/>
    <w:rsid w:val="00131A11"/>
    <w:rsid w:val="00131AF1"/>
    <w:rsid w:val="00131BA0"/>
    <w:rsid w:val="00131BA8"/>
    <w:rsid w:val="00131C04"/>
    <w:rsid w:val="00131D1A"/>
    <w:rsid w:val="00131D78"/>
    <w:rsid w:val="00131DF4"/>
    <w:rsid w:val="00131E93"/>
    <w:rsid w:val="00131EC2"/>
    <w:rsid w:val="00131EF3"/>
    <w:rsid w:val="00131F68"/>
    <w:rsid w:val="00131F75"/>
    <w:rsid w:val="00131F99"/>
    <w:rsid w:val="00131FD9"/>
    <w:rsid w:val="0013207A"/>
    <w:rsid w:val="0013207D"/>
    <w:rsid w:val="001320B2"/>
    <w:rsid w:val="001320F8"/>
    <w:rsid w:val="001320F9"/>
    <w:rsid w:val="001322D3"/>
    <w:rsid w:val="00132345"/>
    <w:rsid w:val="0013249C"/>
    <w:rsid w:val="001325A5"/>
    <w:rsid w:val="001325CE"/>
    <w:rsid w:val="00132650"/>
    <w:rsid w:val="0013266B"/>
    <w:rsid w:val="00132682"/>
    <w:rsid w:val="001327A0"/>
    <w:rsid w:val="001327D0"/>
    <w:rsid w:val="00132821"/>
    <w:rsid w:val="0013288B"/>
    <w:rsid w:val="001328A8"/>
    <w:rsid w:val="001328B1"/>
    <w:rsid w:val="001328CE"/>
    <w:rsid w:val="00132942"/>
    <w:rsid w:val="00132954"/>
    <w:rsid w:val="00132973"/>
    <w:rsid w:val="0013299A"/>
    <w:rsid w:val="001329B2"/>
    <w:rsid w:val="001329D5"/>
    <w:rsid w:val="00132A3A"/>
    <w:rsid w:val="00132B5C"/>
    <w:rsid w:val="00132B66"/>
    <w:rsid w:val="00132BC2"/>
    <w:rsid w:val="00132BE8"/>
    <w:rsid w:val="00132C36"/>
    <w:rsid w:val="00132C3E"/>
    <w:rsid w:val="00132C8B"/>
    <w:rsid w:val="00132DCB"/>
    <w:rsid w:val="00132E18"/>
    <w:rsid w:val="00132E41"/>
    <w:rsid w:val="00132EC5"/>
    <w:rsid w:val="00132F19"/>
    <w:rsid w:val="00132F53"/>
    <w:rsid w:val="00132F78"/>
    <w:rsid w:val="00132F96"/>
    <w:rsid w:val="00133198"/>
    <w:rsid w:val="00133269"/>
    <w:rsid w:val="001332FC"/>
    <w:rsid w:val="0013336B"/>
    <w:rsid w:val="00133395"/>
    <w:rsid w:val="00133427"/>
    <w:rsid w:val="001334ED"/>
    <w:rsid w:val="00133543"/>
    <w:rsid w:val="001336BC"/>
    <w:rsid w:val="001336F5"/>
    <w:rsid w:val="00133875"/>
    <w:rsid w:val="001338C3"/>
    <w:rsid w:val="00133901"/>
    <w:rsid w:val="0013390A"/>
    <w:rsid w:val="00133914"/>
    <w:rsid w:val="00133944"/>
    <w:rsid w:val="00133949"/>
    <w:rsid w:val="001339A8"/>
    <w:rsid w:val="001339AE"/>
    <w:rsid w:val="001339BC"/>
    <w:rsid w:val="001339D1"/>
    <w:rsid w:val="00133A30"/>
    <w:rsid w:val="00133B4F"/>
    <w:rsid w:val="00133B62"/>
    <w:rsid w:val="00133B67"/>
    <w:rsid w:val="00133CAC"/>
    <w:rsid w:val="00133E02"/>
    <w:rsid w:val="00133E69"/>
    <w:rsid w:val="00133E90"/>
    <w:rsid w:val="00133EDB"/>
    <w:rsid w:val="00133F40"/>
    <w:rsid w:val="00133F51"/>
    <w:rsid w:val="0013401E"/>
    <w:rsid w:val="001340F6"/>
    <w:rsid w:val="00134156"/>
    <w:rsid w:val="001341C0"/>
    <w:rsid w:val="001341F7"/>
    <w:rsid w:val="00134276"/>
    <w:rsid w:val="001342E8"/>
    <w:rsid w:val="001342EE"/>
    <w:rsid w:val="00134314"/>
    <w:rsid w:val="00134416"/>
    <w:rsid w:val="00134426"/>
    <w:rsid w:val="001344CE"/>
    <w:rsid w:val="00134528"/>
    <w:rsid w:val="001345DD"/>
    <w:rsid w:val="00134680"/>
    <w:rsid w:val="001346AD"/>
    <w:rsid w:val="001346C7"/>
    <w:rsid w:val="0013474D"/>
    <w:rsid w:val="00134775"/>
    <w:rsid w:val="00134782"/>
    <w:rsid w:val="001347AA"/>
    <w:rsid w:val="00134813"/>
    <w:rsid w:val="001348B7"/>
    <w:rsid w:val="001349DC"/>
    <w:rsid w:val="00134A58"/>
    <w:rsid w:val="00134A7E"/>
    <w:rsid w:val="00134B54"/>
    <w:rsid w:val="00134B82"/>
    <w:rsid w:val="00134D0C"/>
    <w:rsid w:val="00134D6D"/>
    <w:rsid w:val="00134D7B"/>
    <w:rsid w:val="00134D7C"/>
    <w:rsid w:val="00134E69"/>
    <w:rsid w:val="00134EB7"/>
    <w:rsid w:val="00134EBF"/>
    <w:rsid w:val="00134EFB"/>
    <w:rsid w:val="0013501F"/>
    <w:rsid w:val="00135032"/>
    <w:rsid w:val="0013504B"/>
    <w:rsid w:val="001350BE"/>
    <w:rsid w:val="00135149"/>
    <w:rsid w:val="001351D7"/>
    <w:rsid w:val="001351EE"/>
    <w:rsid w:val="00135277"/>
    <w:rsid w:val="001352A0"/>
    <w:rsid w:val="001352B7"/>
    <w:rsid w:val="001353B7"/>
    <w:rsid w:val="001354DF"/>
    <w:rsid w:val="0013555D"/>
    <w:rsid w:val="0013557D"/>
    <w:rsid w:val="001356A2"/>
    <w:rsid w:val="00135761"/>
    <w:rsid w:val="00135780"/>
    <w:rsid w:val="00135851"/>
    <w:rsid w:val="0013585B"/>
    <w:rsid w:val="00135865"/>
    <w:rsid w:val="00135914"/>
    <w:rsid w:val="001359A6"/>
    <w:rsid w:val="001359AF"/>
    <w:rsid w:val="00135A94"/>
    <w:rsid w:val="00135B1D"/>
    <w:rsid w:val="00135B39"/>
    <w:rsid w:val="00135BFB"/>
    <w:rsid w:val="00135C7E"/>
    <w:rsid w:val="00135D7A"/>
    <w:rsid w:val="00135E36"/>
    <w:rsid w:val="00135E7D"/>
    <w:rsid w:val="00135EC6"/>
    <w:rsid w:val="00135F33"/>
    <w:rsid w:val="00135F4F"/>
    <w:rsid w:val="00135FA2"/>
    <w:rsid w:val="001360AB"/>
    <w:rsid w:val="001360CA"/>
    <w:rsid w:val="00136110"/>
    <w:rsid w:val="001361CB"/>
    <w:rsid w:val="001361F7"/>
    <w:rsid w:val="00136255"/>
    <w:rsid w:val="00136377"/>
    <w:rsid w:val="00136446"/>
    <w:rsid w:val="00136473"/>
    <w:rsid w:val="001364FD"/>
    <w:rsid w:val="00136549"/>
    <w:rsid w:val="0013664B"/>
    <w:rsid w:val="00136711"/>
    <w:rsid w:val="00136718"/>
    <w:rsid w:val="0013674F"/>
    <w:rsid w:val="00136807"/>
    <w:rsid w:val="0013693A"/>
    <w:rsid w:val="00136A8A"/>
    <w:rsid w:val="00136BCD"/>
    <w:rsid w:val="00136BF4"/>
    <w:rsid w:val="00136C90"/>
    <w:rsid w:val="00136CA8"/>
    <w:rsid w:val="00136CF1"/>
    <w:rsid w:val="00136DFF"/>
    <w:rsid w:val="00136EDF"/>
    <w:rsid w:val="00136F73"/>
    <w:rsid w:val="00137014"/>
    <w:rsid w:val="0013704F"/>
    <w:rsid w:val="001370ED"/>
    <w:rsid w:val="00137109"/>
    <w:rsid w:val="00137161"/>
    <w:rsid w:val="0013718C"/>
    <w:rsid w:val="001371AD"/>
    <w:rsid w:val="00137209"/>
    <w:rsid w:val="00137256"/>
    <w:rsid w:val="001372D1"/>
    <w:rsid w:val="001373F1"/>
    <w:rsid w:val="001374DE"/>
    <w:rsid w:val="00137681"/>
    <w:rsid w:val="001376A0"/>
    <w:rsid w:val="001376A2"/>
    <w:rsid w:val="001376ED"/>
    <w:rsid w:val="001377FF"/>
    <w:rsid w:val="00137881"/>
    <w:rsid w:val="00137975"/>
    <w:rsid w:val="00137977"/>
    <w:rsid w:val="0013797D"/>
    <w:rsid w:val="00137A1A"/>
    <w:rsid w:val="00137A67"/>
    <w:rsid w:val="00137ACE"/>
    <w:rsid w:val="00137B29"/>
    <w:rsid w:val="00137B89"/>
    <w:rsid w:val="00137CE8"/>
    <w:rsid w:val="00137D4F"/>
    <w:rsid w:val="00137DA9"/>
    <w:rsid w:val="00137E3B"/>
    <w:rsid w:val="00137E51"/>
    <w:rsid w:val="00137F1B"/>
    <w:rsid w:val="00137FA8"/>
    <w:rsid w:val="00140054"/>
    <w:rsid w:val="001400D2"/>
    <w:rsid w:val="001402C6"/>
    <w:rsid w:val="00140547"/>
    <w:rsid w:val="001405CE"/>
    <w:rsid w:val="001405E5"/>
    <w:rsid w:val="00140638"/>
    <w:rsid w:val="00140658"/>
    <w:rsid w:val="001406C7"/>
    <w:rsid w:val="001406E1"/>
    <w:rsid w:val="001406EA"/>
    <w:rsid w:val="00140790"/>
    <w:rsid w:val="0014079A"/>
    <w:rsid w:val="001407AD"/>
    <w:rsid w:val="001407B3"/>
    <w:rsid w:val="001408C1"/>
    <w:rsid w:val="00140B0D"/>
    <w:rsid w:val="00140BF0"/>
    <w:rsid w:val="00140C32"/>
    <w:rsid w:val="00140C76"/>
    <w:rsid w:val="00140CAC"/>
    <w:rsid w:val="00140CB1"/>
    <w:rsid w:val="00140CEA"/>
    <w:rsid w:val="00140D49"/>
    <w:rsid w:val="00140D9F"/>
    <w:rsid w:val="00140EFB"/>
    <w:rsid w:val="00140F11"/>
    <w:rsid w:val="00140FDF"/>
    <w:rsid w:val="00140FF8"/>
    <w:rsid w:val="00141052"/>
    <w:rsid w:val="001410D0"/>
    <w:rsid w:val="00141170"/>
    <w:rsid w:val="001411BD"/>
    <w:rsid w:val="00141215"/>
    <w:rsid w:val="0014126C"/>
    <w:rsid w:val="001412C0"/>
    <w:rsid w:val="001412D1"/>
    <w:rsid w:val="00141367"/>
    <w:rsid w:val="00141413"/>
    <w:rsid w:val="0014141C"/>
    <w:rsid w:val="0014146A"/>
    <w:rsid w:val="0014147F"/>
    <w:rsid w:val="0014164E"/>
    <w:rsid w:val="00141667"/>
    <w:rsid w:val="0014166B"/>
    <w:rsid w:val="00141768"/>
    <w:rsid w:val="0014176F"/>
    <w:rsid w:val="001417B0"/>
    <w:rsid w:val="00141853"/>
    <w:rsid w:val="001418A4"/>
    <w:rsid w:val="00141B12"/>
    <w:rsid w:val="00141B19"/>
    <w:rsid w:val="00141D46"/>
    <w:rsid w:val="00141D81"/>
    <w:rsid w:val="00141DD3"/>
    <w:rsid w:val="00141EC8"/>
    <w:rsid w:val="00141ED4"/>
    <w:rsid w:val="00141EF4"/>
    <w:rsid w:val="00141F4A"/>
    <w:rsid w:val="00142005"/>
    <w:rsid w:val="00142012"/>
    <w:rsid w:val="0014203E"/>
    <w:rsid w:val="001420A4"/>
    <w:rsid w:val="001420B6"/>
    <w:rsid w:val="001420DE"/>
    <w:rsid w:val="001421D4"/>
    <w:rsid w:val="00142221"/>
    <w:rsid w:val="001422D2"/>
    <w:rsid w:val="001422FF"/>
    <w:rsid w:val="00142314"/>
    <w:rsid w:val="001423F5"/>
    <w:rsid w:val="00142441"/>
    <w:rsid w:val="0014249B"/>
    <w:rsid w:val="001424A7"/>
    <w:rsid w:val="001424F6"/>
    <w:rsid w:val="00142599"/>
    <w:rsid w:val="00142639"/>
    <w:rsid w:val="00142640"/>
    <w:rsid w:val="001426D7"/>
    <w:rsid w:val="0014270F"/>
    <w:rsid w:val="00142753"/>
    <w:rsid w:val="001428A3"/>
    <w:rsid w:val="001428AF"/>
    <w:rsid w:val="001428BA"/>
    <w:rsid w:val="001428E6"/>
    <w:rsid w:val="00142963"/>
    <w:rsid w:val="001429A8"/>
    <w:rsid w:val="00142BF5"/>
    <w:rsid w:val="00142C42"/>
    <w:rsid w:val="00142C45"/>
    <w:rsid w:val="00142D2D"/>
    <w:rsid w:val="00142D64"/>
    <w:rsid w:val="00142E2B"/>
    <w:rsid w:val="00142E64"/>
    <w:rsid w:val="00142F54"/>
    <w:rsid w:val="00142FEB"/>
    <w:rsid w:val="00143070"/>
    <w:rsid w:val="001430A7"/>
    <w:rsid w:val="0014316D"/>
    <w:rsid w:val="001431E8"/>
    <w:rsid w:val="00143394"/>
    <w:rsid w:val="0014340C"/>
    <w:rsid w:val="001434C8"/>
    <w:rsid w:val="00143510"/>
    <w:rsid w:val="00143679"/>
    <w:rsid w:val="001436C3"/>
    <w:rsid w:val="0014377A"/>
    <w:rsid w:val="0014379A"/>
    <w:rsid w:val="00143900"/>
    <w:rsid w:val="00143911"/>
    <w:rsid w:val="0014399C"/>
    <w:rsid w:val="00143A0F"/>
    <w:rsid w:val="00143A52"/>
    <w:rsid w:val="00143A9F"/>
    <w:rsid w:val="00143AC2"/>
    <w:rsid w:val="00143AD2"/>
    <w:rsid w:val="00143C23"/>
    <w:rsid w:val="00143DB1"/>
    <w:rsid w:val="00143F07"/>
    <w:rsid w:val="00143F0F"/>
    <w:rsid w:val="00143F54"/>
    <w:rsid w:val="00143F85"/>
    <w:rsid w:val="00143FBB"/>
    <w:rsid w:val="00144190"/>
    <w:rsid w:val="00144205"/>
    <w:rsid w:val="00144216"/>
    <w:rsid w:val="001442AA"/>
    <w:rsid w:val="00144331"/>
    <w:rsid w:val="00144386"/>
    <w:rsid w:val="001443AB"/>
    <w:rsid w:val="001443D5"/>
    <w:rsid w:val="00144439"/>
    <w:rsid w:val="001444ED"/>
    <w:rsid w:val="0014458D"/>
    <w:rsid w:val="0014463A"/>
    <w:rsid w:val="001446DC"/>
    <w:rsid w:val="00144744"/>
    <w:rsid w:val="001447DD"/>
    <w:rsid w:val="00144802"/>
    <w:rsid w:val="00144845"/>
    <w:rsid w:val="0014484D"/>
    <w:rsid w:val="001448CA"/>
    <w:rsid w:val="001448DA"/>
    <w:rsid w:val="0014499F"/>
    <w:rsid w:val="001449A8"/>
    <w:rsid w:val="00144A2A"/>
    <w:rsid w:val="00144A62"/>
    <w:rsid w:val="00144AB0"/>
    <w:rsid w:val="00144BEF"/>
    <w:rsid w:val="00144C59"/>
    <w:rsid w:val="00144D44"/>
    <w:rsid w:val="00144D48"/>
    <w:rsid w:val="00144DCA"/>
    <w:rsid w:val="00144EC2"/>
    <w:rsid w:val="00144ECE"/>
    <w:rsid w:val="0014513C"/>
    <w:rsid w:val="00145171"/>
    <w:rsid w:val="001451B0"/>
    <w:rsid w:val="001451E2"/>
    <w:rsid w:val="00145306"/>
    <w:rsid w:val="00145368"/>
    <w:rsid w:val="001454A0"/>
    <w:rsid w:val="001454AF"/>
    <w:rsid w:val="001454DB"/>
    <w:rsid w:val="0014551D"/>
    <w:rsid w:val="00145577"/>
    <w:rsid w:val="0014563F"/>
    <w:rsid w:val="0014589C"/>
    <w:rsid w:val="001458B0"/>
    <w:rsid w:val="001458B3"/>
    <w:rsid w:val="00145AF9"/>
    <w:rsid w:val="00145B33"/>
    <w:rsid w:val="00145CC3"/>
    <w:rsid w:val="00145D3B"/>
    <w:rsid w:val="00145D81"/>
    <w:rsid w:val="0014602B"/>
    <w:rsid w:val="0014609A"/>
    <w:rsid w:val="001460C7"/>
    <w:rsid w:val="001460F3"/>
    <w:rsid w:val="001460F9"/>
    <w:rsid w:val="00146134"/>
    <w:rsid w:val="00146229"/>
    <w:rsid w:val="0014629D"/>
    <w:rsid w:val="0014629E"/>
    <w:rsid w:val="001462E4"/>
    <w:rsid w:val="001462EC"/>
    <w:rsid w:val="0014640B"/>
    <w:rsid w:val="001464C5"/>
    <w:rsid w:val="001464F5"/>
    <w:rsid w:val="00146569"/>
    <w:rsid w:val="001465AD"/>
    <w:rsid w:val="00146607"/>
    <w:rsid w:val="0014661B"/>
    <w:rsid w:val="00146632"/>
    <w:rsid w:val="001466BB"/>
    <w:rsid w:val="00146893"/>
    <w:rsid w:val="001468B6"/>
    <w:rsid w:val="001468F4"/>
    <w:rsid w:val="00146A31"/>
    <w:rsid w:val="00146A58"/>
    <w:rsid w:val="00146A8A"/>
    <w:rsid w:val="00146A96"/>
    <w:rsid w:val="00146A9A"/>
    <w:rsid w:val="00146AE0"/>
    <w:rsid w:val="00146AF7"/>
    <w:rsid w:val="00146C6E"/>
    <w:rsid w:val="00146D0A"/>
    <w:rsid w:val="00146DB4"/>
    <w:rsid w:val="00146DE3"/>
    <w:rsid w:val="00146F96"/>
    <w:rsid w:val="00147031"/>
    <w:rsid w:val="001470A3"/>
    <w:rsid w:val="001470FE"/>
    <w:rsid w:val="00147101"/>
    <w:rsid w:val="001471C8"/>
    <w:rsid w:val="001471CC"/>
    <w:rsid w:val="001471DF"/>
    <w:rsid w:val="0014720F"/>
    <w:rsid w:val="00147211"/>
    <w:rsid w:val="0014726A"/>
    <w:rsid w:val="00147274"/>
    <w:rsid w:val="001472E6"/>
    <w:rsid w:val="0014733F"/>
    <w:rsid w:val="0014738F"/>
    <w:rsid w:val="00147455"/>
    <w:rsid w:val="00147476"/>
    <w:rsid w:val="001475AC"/>
    <w:rsid w:val="00147622"/>
    <w:rsid w:val="0014773A"/>
    <w:rsid w:val="001477BC"/>
    <w:rsid w:val="0014792E"/>
    <w:rsid w:val="001479FC"/>
    <w:rsid w:val="00147A40"/>
    <w:rsid w:val="00147ADC"/>
    <w:rsid w:val="00147B02"/>
    <w:rsid w:val="00147B3F"/>
    <w:rsid w:val="00147BB0"/>
    <w:rsid w:val="00147CBD"/>
    <w:rsid w:val="00147D27"/>
    <w:rsid w:val="00147D5C"/>
    <w:rsid w:val="00147E71"/>
    <w:rsid w:val="00147E99"/>
    <w:rsid w:val="0015005A"/>
    <w:rsid w:val="0015005B"/>
    <w:rsid w:val="00150076"/>
    <w:rsid w:val="00150079"/>
    <w:rsid w:val="001500A8"/>
    <w:rsid w:val="001501E3"/>
    <w:rsid w:val="0015025E"/>
    <w:rsid w:val="001502FA"/>
    <w:rsid w:val="00150371"/>
    <w:rsid w:val="0015037E"/>
    <w:rsid w:val="00150394"/>
    <w:rsid w:val="001503FD"/>
    <w:rsid w:val="0015057C"/>
    <w:rsid w:val="00150676"/>
    <w:rsid w:val="001506F9"/>
    <w:rsid w:val="001506FD"/>
    <w:rsid w:val="0015076C"/>
    <w:rsid w:val="00150771"/>
    <w:rsid w:val="00150876"/>
    <w:rsid w:val="00150887"/>
    <w:rsid w:val="001508A8"/>
    <w:rsid w:val="00150935"/>
    <w:rsid w:val="0015093D"/>
    <w:rsid w:val="0015095C"/>
    <w:rsid w:val="00150A1E"/>
    <w:rsid w:val="00150A22"/>
    <w:rsid w:val="00150A4F"/>
    <w:rsid w:val="00150AAB"/>
    <w:rsid w:val="00150B04"/>
    <w:rsid w:val="00150D0E"/>
    <w:rsid w:val="00150E10"/>
    <w:rsid w:val="00150E8F"/>
    <w:rsid w:val="00150EF3"/>
    <w:rsid w:val="0015119B"/>
    <w:rsid w:val="00151202"/>
    <w:rsid w:val="0015128B"/>
    <w:rsid w:val="00151319"/>
    <w:rsid w:val="0015139C"/>
    <w:rsid w:val="0015139F"/>
    <w:rsid w:val="001513B9"/>
    <w:rsid w:val="00151509"/>
    <w:rsid w:val="001515CB"/>
    <w:rsid w:val="001515F3"/>
    <w:rsid w:val="0015160C"/>
    <w:rsid w:val="00151665"/>
    <w:rsid w:val="001516A6"/>
    <w:rsid w:val="001516E6"/>
    <w:rsid w:val="001516E8"/>
    <w:rsid w:val="0015180E"/>
    <w:rsid w:val="001518AD"/>
    <w:rsid w:val="001519CD"/>
    <w:rsid w:val="00151BF3"/>
    <w:rsid w:val="00151C31"/>
    <w:rsid w:val="00151CFB"/>
    <w:rsid w:val="00151D2E"/>
    <w:rsid w:val="00151F0B"/>
    <w:rsid w:val="00151F15"/>
    <w:rsid w:val="00152016"/>
    <w:rsid w:val="0015206B"/>
    <w:rsid w:val="001520F7"/>
    <w:rsid w:val="001521E9"/>
    <w:rsid w:val="00152238"/>
    <w:rsid w:val="0015235B"/>
    <w:rsid w:val="001527C3"/>
    <w:rsid w:val="00152A3F"/>
    <w:rsid w:val="00152A73"/>
    <w:rsid w:val="00152B19"/>
    <w:rsid w:val="00152C0D"/>
    <w:rsid w:val="00152C56"/>
    <w:rsid w:val="00152CE6"/>
    <w:rsid w:val="00152D3B"/>
    <w:rsid w:val="00152D64"/>
    <w:rsid w:val="00152EA9"/>
    <w:rsid w:val="00152F6F"/>
    <w:rsid w:val="00152F87"/>
    <w:rsid w:val="00152FD5"/>
    <w:rsid w:val="00153031"/>
    <w:rsid w:val="0015304B"/>
    <w:rsid w:val="00153087"/>
    <w:rsid w:val="001533AF"/>
    <w:rsid w:val="001534CF"/>
    <w:rsid w:val="001534E0"/>
    <w:rsid w:val="001534EE"/>
    <w:rsid w:val="0015358C"/>
    <w:rsid w:val="001535D8"/>
    <w:rsid w:val="0015365B"/>
    <w:rsid w:val="0015367F"/>
    <w:rsid w:val="00153734"/>
    <w:rsid w:val="0015384A"/>
    <w:rsid w:val="001538B1"/>
    <w:rsid w:val="001538B4"/>
    <w:rsid w:val="001538E7"/>
    <w:rsid w:val="001539AC"/>
    <w:rsid w:val="00153B87"/>
    <w:rsid w:val="00153BF3"/>
    <w:rsid w:val="00153C83"/>
    <w:rsid w:val="00153CA4"/>
    <w:rsid w:val="00153CE7"/>
    <w:rsid w:val="00153CF9"/>
    <w:rsid w:val="00153D31"/>
    <w:rsid w:val="00153DCB"/>
    <w:rsid w:val="00153F1A"/>
    <w:rsid w:val="00154060"/>
    <w:rsid w:val="0015408B"/>
    <w:rsid w:val="001541E9"/>
    <w:rsid w:val="001541FF"/>
    <w:rsid w:val="00154243"/>
    <w:rsid w:val="001542A9"/>
    <w:rsid w:val="0015435B"/>
    <w:rsid w:val="00154361"/>
    <w:rsid w:val="001543C8"/>
    <w:rsid w:val="00154401"/>
    <w:rsid w:val="00154428"/>
    <w:rsid w:val="00154441"/>
    <w:rsid w:val="00154566"/>
    <w:rsid w:val="001545E4"/>
    <w:rsid w:val="00154606"/>
    <w:rsid w:val="00154638"/>
    <w:rsid w:val="001546B1"/>
    <w:rsid w:val="001546DA"/>
    <w:rsid w:val="001546DD"/>
    <w:rsid w:val="00154774"/>
    <w:rsid w:val="0015481D"/>
    <w:rsid w:val="001548B2"/>
    <w:rsid w:val="001548EE"/>
    <w:rsid w:val="001549D2"/>
    <w:rsid w:val="001549E0"/>
    <w:rsid w:val="001549F0"/>
    <w:rsid w:val="00154A1C"/>
    <w:rsid w:val="00154A55"/>
    <w:rsid w:val="00154AAB"/>
    <w:rsid w:val="00154ACB"/>
    <w:rsid w:val="00154B5D"/>
    <w:rsid w:val="00154BE7"/>
    <w:rsid w:val="00154CCB"/>
    <w:rsid w:val="00154D1B"/>
    <w:rsid w:val="00154DA3"/>
    <w:rsid w:val="00154E02"/>
    <w:rsid w:val="00154E0D"/>
    <w:rsid w:val="00154EA0"/>
    <w:rsid w:val="00154EB9"/>
    <w:rsid w:val="00154F87"/>
    <w:rsid w:val="00154FD0"/>
    <w:rsid w:val="00154FD6"/>
    <w:rsid w:val="00154FE6"/>
    <w:rsid w:val="00155138"/>
    <w:rsid w:val="00155152"/>
    <w:rsid w:val="00155153"/>
    <w:rsid w:val="001551A4"/>
    <w:rsid w:val="0015527E"/>
    <w:rsid w:val="0015528A"/>
    <w:rsid w:val="0015531E"/>
    <w:rsid w:val="00155501"/>
    <w:rsid w:val="00155601"/>
    <w:rsid w:val="00155636"/>
    <w:rsid w:val="0015568F"/>
    <w:rsid w:val="001556FB"/>
    <w:rsid w:val="001557A4"/>
    <w:rsid w:val="001557C5"/>
    <w:rsid w:val="0015585C"/>
    <w:rsid w:val="00155884"/>
    <w:rsid w:val="001559D5"/>
    <w:rsid w:val="00155A06"/>
    <w:rsid w:val="00155A0D"/>
    <w:rsid w:val="00155A8F"/>
    <w:rsid w:val="00155A9F"/>
    <w:rsid w:val="00155AC4"/>
    <w:rsid w:val="00155B76"/>
    <w:rsid w:val="00155B95"/>
    <w:rsid w:val="00155BD5"/>
    <w:rsid w:val="00155C28"/>
    <w:rsid w:val="00155DF4"/>
    <w:rsid w:val="00155F25"/>
    <w:rsid w:val="00155F46"/>
    <w:rsid w:val="00155F48"/>
    <w:rsid w:val="00155F51"/>
    <w:rsid w:val="00155F53"/>
    <w:rsid w:val="00155FB8"/>
    <w:rsid w:val="001560CE"/>
    <w:rsid w:val="00156127"/>
    <w:rsid w:val="00156200"/>
    <w:rsid w:val="001562A4"/>
    <w:rsid w:val="001562BC"/>
    <w:rsid w:val="001562F0"/>
    <w:rsid w:val="001562F9"/>
    <w:rsid w:val="0015636A"/>
    <w:rsid w:val="00156373"/>
    <w:rsid w:val="001563C4"/>
    <w:rsid w:val="00156485"/>
    <w:rsid w:val="0015652D"/>
    <w:rsid w:val="00156544"/>
    <w:rsid w:val="00156583"/>
    <w:rsid w:val="0015658E"/>
    <w:rsid w:val="00156621"/>
    <w:rsid w:val="001566B8"/>
    <w:rsid w:val="001566CB"/>
    <w:rsid w:val="001566E9"/>
    <w:rsid w:val="00156810"/>
    <w:rsid w:val="0015683A"/>
    <w:rsid w:val="00156887"/>
    <w:rsid w:val="00156889"/>
    <w:rsid w:val="001568A9"/>
    <w:rsid w:val="001568BA"/>
    <w:rsid w:val="00156974"/>
    <w:rsid w:val="001569AA"/>
    <w:rsid w:val="001569FF"/>
    <w:rsid w:val="00156AE1"/>
    <w:rsid w:val="00156B0A"/>
    <w:rsid w:val="00156C35"/>
    <w:rsid w:val="00156CF1"/>
    <w:rsid w:val="00156D70"/>
    <w:rsid w:val="00156E0E"/>
    <w:rsid w:val="00156F33"/>
    <w:rsid w:val="0015718B"/>
    <w:rsid w:val="0015718F"/>
    <w:rsid w:val="001571D5"/>
    <w:rsid w:val="001571FD"/>
    <w:rsid w:val="00157208"/>
    <w:rsid w:val="00157260"/>
    <w:rsid w:val="00157268"/>
    <w:rsid w:val="001573E5"/>
    <w:rsid w:val="001574B9"/>
    <w:rsid w:val="001574E8"/>
    <w:rsid w:val="0015751D"/>
    <w:rsid w:val="00157561"/>
    <w:rsid w:val="0015758C"/>
    <w:rsid w:val="001575B0"/>
    <w:rsid w:val="001575DB"/>
    <w:rsid w:val="00157640"/>
    <w:rsid w:val="00157654"/>
    <w:rsid w:val="0015769B"/>
    <w:rsid w:val="00157709"/>
    <w:rsid w:val="0015779B"/>
    <w:rsid w:val="00157879"/>
    <w:rsid w:val="0015789A"/>
    <w:rsid w:val="0015799A"/>
    <w:rsid w:val="0015799D"/>
    <w:rsid w:val="001579A0"/>
    <w:rsid w:val="00157B79"/>
    <w:rsid w:val="00157C83"/>
    <w:rsid w:val="00157C8A"/>
    <w:rsid w:val="00157D7C"/>
    <w:rsid w:val="00157E66"/>
    <w:rsid w:val="00160008"/>
    <w:rsid w:val="00160025"/>
    <w:rsid w:val="00160087"/>
    <w:rsid w:val="001600FB"/>
    <w:rsid w:val="0016015D"/>
    <w:rsid w:val="001601CC"/>
    <w:rsid w:val="001601F4"/>
    <w:rsid w:val="00160286"/>
    <w:rsid w:val="001603A2"/>
    <w:rsid w:val="001603D6"/>
    <w:rsid w:val="001603F9"/>
    <w:rsid w:val="00160417"/>
    <w:rsid w:val="0016044B"/>
    <w:rsid w:val="001604CA"/>
    <w:rsid w:val="00160505"/>
    <w:rsid w:val="00160556"/>
    <w:rsid w:val="001605FC"/>
    <w:rsid w:val="0016060C"/>
    <w:rsid w:val="00160616"/>
    <w:rsid w:val="001607ED"/>
    <w:rsid w:val="001608CE"/>
    <w:rsid w:val="001608F1"/>
    <w:rsid w:val="00160961"/>
    <w:rsid w:val="00160A0F"/>
    <w:rsid w:val="00160A64"/>
    <w:rsid w:val="00160C0B"/>
    <w:rsid w:val="00160EB3"/>
    <w:rsid w:val="00160F7D"/>
    <w:rsid w:val="0016119C"/>
    <w:rsid w:val="001611BB"/>
    <w:rsid w:val="001613C8"/>
    <w:rsid w:val="001614FA"/>
    <w:rsid w:val="0016157A"/>
    <w:rsid w:val="001615A7"/>
    <w:rsid w:val="00161600"/>
    <w:rsid w:val="001616DA"/>
    <w:rsid w:val="001616DF"/>
    <w:rsid w:val="00161707"/>
    <w:rsid w:val="00161739"/>
    <w:rsid w:val="001617AA"/>
    <w:rsid w:val="00161847"/>
    <w:rsid w:val="0016186C"/>
    <w:rsid w:val="001618E5"/>
    <w:rsid w:val="001619D2"/>
    <w:rsid w:val="00161A68"/>
    <w:rsid w:val="00161B9A"/>
    <w:rsid w:val="00161C03"/>
    <w:rsid w:val="00161D29"/>
    <w:rsid w:val="00161D93"/>
    <w:rsid w:val="00161DE2"/>
    <w:rsid w:val="00161E45"/>
    <w:rsid w:val="00161E48"/>
    <w:rsid w:val="00161E87"/>
    <w:rsid w:val="00161F67"/>
    <w:rsid w:val="00161F7B"/>
    <w:rsid w:val="00161FAA"/>
    <w:rsid w:val="001621FC"/>
    <w:rsid w:val="00162290"/>
    <w:rsid w:val="001622A3"/>
    <w:rsid w:val="00162304"/>
    <w:rsid w:val="00162427"/>
    <w:rsid w:val="00162473"/>
    <w:rsid w:val="00162518"/>
    <w:rsid w:val="00162586"/>
    <w:rsid w:val="00162646"/>
    <w:rsid w:val="001626B6"/>
    <w:rsid w:val="00162748"/>
    <w:rsid w:val="00162783"/>
    <w:rsid w:val="001627CD"/>
    <w:rsid w:val="0016288A"/>
    <w:rsid w:val="001629CA"/>
    <w:rsid w:val="001629F9"/>
    <w:rsid w:val="00162AF3"/>
    <w:rsid w:val="00162B43"/>
    <w:rsid w:val="00162BFE"/>
    <w:rsid w:val="00162C50"/>
    <w:rsid w:val="00162D7D"/>
    <w:rsid w:val="00162DA3"/>
    <w:rsid w:val="00162DB3"/>
    <w:rsid w:val="00162DBE"/>
    <w:rsid w:val="00162DDE"/>
    <w:rsid w:val="00162DF5"/>
    <w:rsid w:val="00162E28"/>
    <w:rsid w:val="00162EAC"/>
    <w:rsid w:val="00162EC6"/>
    <w:rsid w:val="00162F25"/>
    <w:rsid w:val="00162F62"/>
    <w:rsid w:val="00162FAB"/>
    <w:rsid w:val="00162FFC"/>
    <w:rsid w:val="00163079"/>
    <w:rsid w:val="00163167"/>
    <w:rsid w:val="001632C5"/>
    <w:rsid w:val="0016330A"/>
    <w:rsid w:val="00163557"/>
    <w:rsid w:val="0016367B"/>
    <w:rsid w:val="0016369E"/>
    <w:rsid w:val="001636AA"/>
    <w:rsid w:val="001636E5"/>
    <w:rsid w:val="001636EE"/>
    <w:rsid w:val="00163711"/>
    <w:rsid w:val="00163813"/>
    <w:rsid w:val="00163962"/>
    <w:rsid w:val="00163977"/>
    <w:rsid w:val="001639DE"/>
    <w:rsid w:val="00163A27"/>
    <w:rsid w:val="00163B0D"/>
    <w:rsid w:val="00163BAD"/>
    <w:rsid w:val="00163BD2"/>
    <w:rsid w:val="00163C95"/>
    <w:rsid w:val="00163D19"/>
    <w:rsid w:val="00163EE5"/>
    <w:rsid w:val="00163F72"/>
    <w:rsid w:val="00164000"/>
    <w:rsid w:val="00164303"/>
    <w:rsid w:val="00164305"/>
    <w:rsid w:val="00164369"/>
    <w:rsid w:val="00164424"/>
    <w:rsid w:val="00164462"/>
    <w:rsid w:val="001644A3"/>
    <w:rsid w:val="00164575"/>
    <w:rsid w:val="00164616"/>
    <w:rsid w:val="0016467F"/>
    <w:rsid w:val="001646DB"/>
    <w:rsid w:val="001646F1"/>
    <w:rsid w:val="0016478F"/>
    <w:rsid w:val="001647DE"/>
    <w:rsid w:val="001647ED"/>
    <w:rsid w:val="00164816"/>
    <w:rsid w:val="0016492E"/>
    <w:rsid w:val="00164952"/>
    <w:rsid w:val="00164965"/>
    <w:rsid w:val="00164B3A"/>
    <w:rsid w:val="00164B54"/>
    <w:rsid w:val="00164C89"/>
    <w:rsid w:val="00164C8F"/>
    <w:rsid w:val="00164CC8"/>
    <w:rsid w:val="00164DD7"/>
    <w:rsid w:val="00164E14"/>
    <w:rsid w:val="00164EC8"/>
    <w:rsid w:val="00164F1D"/>
    <w:rsid w:val="00164F50"/>
    <w:rsid w:val="00164F80"/>
    <w:rsid w:val="00165089"/>
    <w:rsid w:val="00165244"/>
    <w:rsid w:val="0016524E"/>
    <w:rsid w:val="001653FD"/>
    <w:rsid w:val="0016547E"/>
    <w:rsid w:val="001654C5"/>
    <w:rsid w:val="0016551B"/>
    <w:rsid w:val="00165650"/>
    <w:rsid w:val="00165686"/>
    <w:rsid w:val="0016572D"/>
    <w:rsid w:val="0016574F"/>
    <w:rsid w:val="0016578F"/>
    <w:rsid w:val="00165816"/>
    <w:rsid w:val="00165880"/>
    <w:rsid w:val="00165A81"/>
    <w:rsid w:val="00165BC0"/>
    <w:rsid w:val="00165BF9"/>
    <w:rsid w:val="00165D02"/>
    <w:rsid w:val="00165D41"/>
    <w:rsid w:val="00165D65"/>
    <w:rsid w:val="00165E9E"/>
    <w:rsid w:val="00165F26"/>
    <w:rsid w:val="00165F58"/>
    <w:rsid w:val="00166102"/>
    <w:rsid w:val="0016622D"/>
    <w:rsid w:val="001662C5"/>
    <w:rsid w:val="00166302"/>
    <w:rsid w:val="0016643C"/>
    <w:rsid w:val="00166460"/>
    <w:rsid w:val="0016648E"/>
    <w:rsid w:val="001664D7"/>
    <w:rsid w:val="00166542"/>
    <w:rsid w:val="001665CB"/>
    <w:rsid w:val="0016664E"/>
    <w:rsid w:val="0016664F"/>
    <w:rsid w:val="00166867"/>
    <w:rsid w:val="001668E1"/>
    <w:rsid w:val="00166958"/>
    <w:rsid w:val="0016697E"/>
    <w:rsid w:val="0016698B"/>
    <w:rsid w:val="00166A20"/>
    <w:rsid w:val="00166BB2"/>
    <w:rsid w:val="00166BC1"/>
    <w:rsid w:val="00166C0A"/>
    <w:rsid w:val="00166C84"/>
    <w:rsid w:val="00166CB7"/>
    <w:rsid w:val="00166CFB"/>
    <w:rsid w:val="00166DB3"/>
    <w:rsid w:val="00166DCD"/>
    <w:rsid w:val="00166DEB"/>
    <w:rsid w:val="00166E56"/>
    <w:rsid w:val="00166E88"/>
    <w:rsid w:val="00166F01"/>
    <w:rsid w:val="00166F08"/>
    <w:rsid w:val="00166F1C"/>
    <w:rsid w:val="00166F6F"/>
    <w:rsid w:val="00166F89"/>
    <w:rsid w:val="00166FEE"/>
    <w:rsid w:val="00167052"/>
    <w:rsid w:val="001670E5"/>
    <w:rsid w:val="00167133"/>
    <w:rsid w:val="0016713D"/>
    <w:rsid w:val="00167190"/>
    <w:rsid w:val="00167280"/>
    <w:rsid w:val="00167428"/>
    <w:rsid w:val="001674BD"/>
    <w:rsid w:val="00167508"/>
    <w:rsid w:val="00167564"/>
    <w:rsid w:val="001675BD"/>
    <w:rsid w:val="00167632"/>
    <w:rsid w:val="00167638"/>
    <w:rsid w:val="0016771C"/>
    <w:rsid w:val="0016785A"/>
    <w:rsid w:val="0016785B"/>
    <w:rsid w:val="00167919"/>
    <w:rsid w:val="0016791E"/>
    <w:rsid w:val="00167979"/>
    <w:rsid w:val="001679F5"/>
    <w:rsid w:val="00167A44"/>
    <w:rsid w:val="00167A56"/>
    <w:rsid w:val="00167A9B"/>
    <w:rsid w:val="00167B08"/>
    <w:rsid w:val="00167B0A"/>
    <w:rsid w:val="00167B7F"/>
    <w:rsid w:val="00167BBD"/>
    <w:rsid w:val="00167BC7"/>
    <w:rsid w:val="00167BD5"/>
    <w:rsid w:val="00167C5B"/>
    <w:rsid w:val="00167CB5"/>
    <w:rsid w:val="00167D29"/>
    <w:rsid w:val="00167DBB"/>
    <w:rsid w:val="00167E0D"/>
    <w:rsid w:val="00167E14"/>
    <w:rsid w:val="00167E1B"/>
    <w:rsid w:val="00167E7B"/>
    <w:rsid w:val="00167F8D"/>
    <w:rsid w:val="0017003B"/>
    <w:rsid w:val="00170077"/>
    <w:rsid w:val="00170253"/>
    <w:rsid w:val="0017030A"/>
    <w:rsid w:val="001703D9"/>
    <w:rsid w:val="0017045C"/>
    <w:rsid w:val="00170464"/>
    <w:rsid w:val="00170486"/>
    <w:rsid w:val="00170490"/>
    <w:rsid w:val="00170595"/>
    <w:rsid w:val="0017059E"/>
    <w:rsid w:val="001705B4"/>
    <w:rsid w:val="001705E3"/>
    <w:rsid w:val="00170636"/>
    <w:rsid w:val="0017065A"/>
    <w:rsid w:val="001706B3"/>
    <w:rsid w:val="00170885"/>
    <w:rsid w:val="00170903"/>
    <w:rsid w:val="00170904"/>
    <w:rsid w:val="0017090B"/>
    <w:rsid w:val="00170948"/>
    <w:rsid w:val="0017098E"/>
    <w:rsid w:val="001709BA"/>
    <w:rsid w:val="001709CB"/>
    <w:rsid w:val="001709D1"/>
    <w:rsid w:val="001709E5"/>
    <w:rsid w:val="001709F5"/>
    <w:rsid w:val="00170A07"/>
    <w:rsid w:val="00170CAA"/>
    <w:rsid w:val="00170CBD"/>
    <w:rsid w:val="00170D4B"/>
    <w:rsid w:val="00170DC2"/>
    <w:rsid w:val="00170EB0"/>
    <w:rsid w:val="00170F96"/>
    <w:rsid w:val="0017100C"/>
    <w:rsid w:val="00171073"/>
    <w:rsid w:val="00171123"/>
    <w:rsid w:val="00171140"/>
    <w:rsid w:val="00171151"/>
    <w:rsid w:val="00171194"/>
    <w:rsid w:val="001711D2"/>
    <w:rsid w:val="00171234"/>
    <w:rsid w:val="0017129D"/>
    <w:rsid w:val="00171398"/>
    <w:rsid w:val="001713B2"/>
    <w:rsid w:val="0017150D"/>
    <w:rsid w:val="001715CC"/>
    <w:rsid w:val="00171653"/>
    <w:rsid w:val="00171657"/>
    <w:rsid w:val="001716A8"/>
    <w:rsid w:val="001716C2"/>
    <w:rsid w:val="00171720"/>
    <w:rsid w:val="0017177B"/>
    <w:rsid w:val="001717C7"/>
    <w:rsid w:val="001719BF"/>
    <w:rsid w:val="001719F2"/>
    <w:rsid w:val="00171A8C"/>
    <w:rsid w:val="00171AA2"/>
    <w:rsid w:val="00171AAF"/>
    <w:rsid w:val="00171C8D"/>
    <w:rsid w:val="00171D80"/>
    <w:rsid w:val="00171EBA"/>
    <w:rsid w:val="00171FB1"/>
    <w:rsid w:val="00171FC8"/>
    <w:rsid w:val="00172052"/>
    <w:rsid w:val="001720B4"/>
    <w:rsid w:val="001720D8"/>
    <w:rsid w:val="001720F9"/>
    <w:rsid w:val="001723EF"/>
    <w:rsid w:val="001723F2"/>
    <w:rsid w:val="00172411"/>
    <w:rsid w:val="00172634"/>
    <w:rsid w:val="0017265C"/>
    <w:rsid w:val="00172664"/>
    <w:rsid w:val="0017268B"/>
    <w:rsid w:val="0017270B"/>
    <w:rsid w:val="00172782"/>
    <w:rsid w:val="00172793"/>
    <w:rsid w:val="001727AF"/>
    <w:rsid w:val="001727C2"/>
    <w:rsid w:val="00172852"/>
    <w:rsid w:val="00172878"/>
    <w:rsid w:val="00172AF4"/>
    <w:rsid w:val="00172B4E"/>
    <w:rsid w:val="00172B91"/>
    <w:rsid w:val="00172B9C"/>
    <w:rsid w:val="00172BEC"/>
    <w:rsid w:val="00172C20"/>
    <w:rsid w:val="00172C21"/>
    <w:rsid w:val="00172CDB"/>
    <w:rsid w:val="00172D1D"/>
    <w:rsid w:val="00172D3C"/>
    <w:rsid w:val="00172DF2"/>
    <w:rsid w:val="00172EC1"/>
    <w:rsid w:val="00172ECF"/>
    <w:rsid w:val="00172F16"/>
    <w:rsid w:val="00173010"/>
    <w:rsid w:val="00173146"/>
    <w:rsid w:val="001731F3"/>
    <w:rsid w:val="00173258"/>
    <w:rsid w:val="0017325F"/>
    <w:rsid w:val="001732A2"/>
    <w:rsid w:val="001733DE"/>
    <w:rsid w:val="001734D0"/>
    <w:rsid w:val="001735FC"/>
    <w:rsid w:val="00173650"/>
    <w:rsid w:val="00173819"/>
    <w:rsid w:val="001738F7"/>
    <w:rsid w:val="0017391D"/>
    <w:rsid w:val="0017395D"/>
    <w:rsid w:val="001739AD"/>
    <w:rsid w:val="00173A27"/>
    <w:rsid w:val="00173A39"/>
    <w:rsid w:val="00173AC2"/>
    <w:rsid w:val="00173AE7"/>
    <w:rsid w:val="00173BF8"/>
    <w:rsid w:val="00173C3B"/>
    <w:rsid w:val="00173C94"/>
    <w:rsid w:val="00173CBD"/>
    <w:rsid w:val="00173CF3"/>
    <w:rsid w:val="00173D39"/>
    <w:rsid w:val="00173D9E"/>
    <w:rsid w:val="00173DD0"/>
    <w:rsid w:val="00173E48"/>
    <w:rsid w:val="00173F96"/>
    <w:rsid w:val="00174216"/>
    <w:rsid w:val="00174459"/>
    <w:rsid w:val="00174534"/>
    <w:rsid w:val="0017465F"/>
    <w:rsid w:val="001746CA"/>
    <w:rsid w:val="001746EC"/>
    <w:rsid w:val="0017478D"/>
    <w:rsid w:val="001747E4"/>
    <w:rsid w:val="0017480E"/>
    <w:rsid w:val="0017481D"/>
    <w:rsid w:val="00174854"/>
    <w:rsid w:val="00174A0A"/>
    <w:rsid w:val="00174A11"/>
    <w:rsid w:val="00174AC5"/>
    <w:rsid w:val="00174AE0"/>
    <w:rsid w:val="00174B60"/>
    <w:rsid w:val="00174BC0"/>
    <w:rsid w:val="00174BE0"/>
    <w:rsid w:val="00174E45"/>
    <w:rsid w:val="00174F62"/>
    <w:rsid w:val="00174F6E"/>
    <w:rsid w:val="00175053"/>
    <w:rsid w:val="001750A7"/>
    <w:rsid w:val="001750D4"/>
    <w:rsid w:val="00175223"/>
    <w:rsid w:val="0017526B"/>
    <w:rsid w:val="0017530F"/>
    <w:rsid w:val="0017532E"/>
    <w:rsid w:val="001753D0"/>
    <w:rsid w:val="00175410"/>
    <w:rsid w:val="0017544F"/>
    <w:rsid w:val="00175454"/>
    <w:rsid w:val="0017547C"/>
    <w:rsid w:val="001755FC"/>
    <w:rsid w:val="00175609"/>
    <w:rsid w:val="00175613"/>
    <w:rsid w:val="00175641"/>
    <w:rsid w:val="00175699"/>
    <w:rsid w:val="001756D2"/>
    <w:rsid w:val="00175741"/>
    <w:rsid w:val="001757E4"/>
    <w:rsid w:val="001757FD"/>
    <w:rsid w:val="00175826"/>
    <w:rsid w:val="0017594D"/>
    <w:rsid w:val="0017598F"/>
    <w:rsid w:val="001759C9"/>
    <w:rsid w:val="001759D2"/>
    <w:rsid w:val="00175A91"/>
    <w:rsid w:val="00175AA0"/>
    <w:rsid w:val="00175AB8"/>
    <w:rsid w:val="00175B1E"/>
    <w:rsid w:val="00175B79"/>
    <w:rsid w:val="00175B93"/>
    <w:rsid w:val="00175BF1"/>
    <w:rsid w:val="00175C06"/>
    <w:rsid w:val="00175C25"/>
    <w:rsid w:val="00175C94"/>
    <w:rsid w:val="00175CFC"/>
    <w:rsid w:val="00175D11"/>
    <w:rsid w:val="00175DE2"/>
    <w:rsid w:val="00175E16"/>
    <w:rsid w:val="00175EDA"/>
    <w:rsid w:val="00175F8F"/>
    <w:rsid w:val="0017608E"/>
    <w:rsid w:val="001760C1"/>
    <w:rsid w:val="001760C9"/>
    <w:rsid w:val="001760D0"/>
    <w:rsid w:val="001760FB"/>
    <w:rsid w:val="00176125"/>
    <w:rsid w:val="001761B7"/>
    <w:rsid w:val="001762E6"/>
    <w:rsid w:val="001763AA"/>
    <w:rsid w:val="00176418"/>
    <w:rsid w:val="00176429"/>
    <w:rsid w:val="0017643A"/>
    <w:rsid w:val="00176445"/>
    <w:rsid w:val="001765E7"/>
    <w:rsid w:val="0017668B"/>
    <w:rsid w:val="00176755"/>
    <w:rsid w:val="0017679A"/>
    <w:rsid w:val="00176876"/>
    <w:rsid w:val="001768AB"/>
    <w:rsid w:val="001768D4"/>
    <w:rsid w:val="0017693C"/>
    <w:rsid w:val="001769D6"/>
    <w:rsid w:val="001769ED"/>
    <w:rsid w:val="00176ADE"/>
    <w:rsid w:val="00176B0D"/>
    <w:rsid w:val="00176B3F"/>
    <w:rsid w:val="00176B72"/>
    <w:rsid w:val="00176C43"/>
    <w:rsid w:val="00176C46"/>
    <w:rsid w:val="00176CD5"/>
    <w:rsid w:val="00176D35"/>
    <w:rsid w:val="00176D5D"/>
    <w:rsid w:val="00176DCF"/>
    <w:rsid w:val="00176E1F"/>
    <w:rsid w:val="00176E26"/>
    <w:rsid w:val="00176F36"/>
    <w:rsid w:val="00176F37"/>
    <w:rsid w:val="00176F6F"/>
    <w:rsid w:val="0017717A"/>
    <w:rsid w:val="00177220"/>
    <w:rsid w:val="0017738E"/>
    <w:rsid w:val="00177391"/>
    <w:rsid w:val="00177546"/>
    <w:rsid w:val="00177642"/>
    <w:rsid w:val="001776B9"/>
    <w:rsid w:val="0017779F"/>
    <w:rsid w:val="0017781C"/>
    <w:rsid w:val="00177837"/>
    <w:rsid w:val="0017794B"/>
    <w:rsid w:val="00177975"/>
    <w:rsid w:val="0017799E"/>
    <w:rsid w:val="001779A0"/>
    <w:rsid w:val="001779BC"/>
    <w:rsid w:val="001779DE"/>
    <w:rsid w:val="00177AE3"/>
    <w:rsid w:val="00177B23"/>
    <w:rsid w:val="00177B2F"/>
    <w:rsid w:val="00177C75"/>
    <w:rsid w:val="00177D04"/>
    <w:rsid w:val="00177D0F"/>
    <w:rsid w:val="00177D75"/>
    <w:rsid w:val="00177DF1"/>
    <w:rsid w:val="00177E46"/>
    <w:rsid w:val="00177E4B"/>
    <w:rsid w:val="00177E78"/>
    <w:rsid w:val="00177EB3"/>
    <w:rsid w:val="00177F17"/>
    <w:rsid w:val="00177F51"/>
    <w:rsid w:val="00177F6F"/>
    <w:rsid w:val="00177F7E"/>
    <w:rsid w:val="00177F9C"/>
    <w:rsid w:val="00177FB9"/>
    <w:rsid w:val="0018002E"/>
    <w:rsid w:val="00180094"/>
    <w:rsid w:val="001800C8"/>
    <w:rsid w:val="0018011C"/>
    <w:rsid w:val="001801B8"/>
    <w:rsid w:val="001802F8"/>
    <w:rsid w:val="00180321"/>
    <w:rsid w:val="001803B2"/>
    <w:rsid w:val="001803FC"/>
    <w:rsid w:val="00180431"/>
    <w:rsid w:val="00180594"/>
    <w:rsid w:val="001806EB"/>
    <w:rsid w:val="00180737"/>
    <w:rsid w:val="00180828"/>
    <w:rsid w:val="00180857"/>
    <w:rsid w:val="00180975"/>
    <w:rsid w:val="001809B1"/>
    <w:rsid w:val="00180A4A"/>
    <w:rsid w:val="00180AC9"/>
    <w:rsid w:val="00180B1A"/>
    <w:rsid w:val="00180B34"/>
    <w:rsid w:val="00180B6D"/>
    <w:rsid w:val="00180BFF"/>
    <w:rsid w:val="00180C18"/>
    <w:rsid w:val="00180D59"/>
    <w:rsid w:val="00180D96"/>
    <w:rsid w:val="00180DE6"/>
    <w:rsid w:val="00180E8C"/>
    <w:rsid w:val="00180F0B"/>
    <w:rsid w:val="00181025"/>
    <w:rsid w:val="001810A0"/>
    <w:rsid w:val="001810D1"/>
    <w:rsid w:val="001810F3"/>
    <w:rsid w:val="00181232"/>
    <w:rsid w:val="0018126A"/>
    <w:rsid w:val="00181286"/>
    <w:rsid w:val="00181341"/>
    <w:rsid w:val="001813E6"/>
    <w:rsid w:val="00181417"/>
    <w:rsid w:val="0018147E"/>
    <w:rsid w:val="001814F9"/>
    <w:rsid w:val="001815A8"/>
    <w:rsid w:val="001815E0"/>
    <w:rsid w:val="00181617"/>
    <w:rsid w:val="001816CD"/>
    <w:rsid w:val="001816FF"/>
    <w:rsid w:val="00181730"/>
    <w:rsid w:val="00181843"/>
    <w:rsid w:val="0018185F"/>
    <w:rsid w:val="001818F6"/>
    <w:rsid w:val="0018196D"/>
    <w:rsid w:val="00181AA9"/>
    <w:rsid w:val="00181AB0"/>
    <w:rsid w:val="00181ABA"/>
    <w:rsid w:val="00181AD8"/>
    <w:rsid w:val="00181B0E"/>
    <w:rsid w:val="00181B37"/>
    <w:rsid w:val="00181B6A"/>
    <w:rsid w:val="00181B82"/>
    <w:rsid w:val="00181BD1"/>
    <w:rsid w:val="00181BE3"/>
    <w:rsid w:val="00181BFF"/>
    <w:rsid w:val="00181CD1"/>
    <w:rsid w:val="00181CD2"/>
    <w:rsid w:val="00181D10"/>
    <w:rsid w:val="00181E31"/>
    <w:rsid w:val="00181E68"/>
    <w:rsid w:val="00181E74"/>
    <w:rsid w:val="00181F21"/>
    <w:rsid w:val="0018206C"/>
    <w:rsid w:val="001821AF"/>
    <w:rsid w:val="001821C6"/>
    <w:rsid w:val="00182234"/>
    <w:rsid w:val="00182235"/>
    <w:rsid w:val="001823E6"/>
    <w:rsid w:val="0018251B"/>
    <w:rsid w:val="001825A9"/>
    <w:rsid w:val="001826F2"/>
    <w:rsid w:val="00182719"/>
    <w:rsid w:val="0018272D"/>
    <w:rsid w:val="00182740"/>
    <w:rsid w:val="00182745"/>
    <w:rsid w:val="0018277B"/>
    <w:rsid w:val="001827A2"/>
    <w:rsid w:val="001827BA"/>
    <w:rsid w:val="001827FB"/>
    <w:rsid w:val="00182801"/>
    <w:rsid w:val="0018291F"/>
    <w:rsid w:val="0018298B"/>
    <w:rsid w:val="00182A61"/>
    <w:rsid w:val="00182A9F"/>
    <w:rsid w:val="00182AB2"/>
    <w:rsid w:val="00182AD2"/>
    <w:rsid w:val="00182ADC"/>
    <w:rsid w:val="00182B6E"/>
    <w:rsid w:val="00182C7B"/>
    <w:rsid w:val="00182DCE"/>
    <w:rsid w:val="00182E55"/>
    <w:rsid w:val="00182E7A"/>
    <w:rsid w:val="00182EF1"/>
    <w:rsid w:val="00182FA5"/>
    <w:rsid w:val="00182FF9"/>
    <w:rsid w:val="0018311F"/>
    <w:rsid w:val="001831A0"/>
    <w:rsid w:val="00183281"/>
    <w:rsid w:val="001832F3"/>
    <w:rsid w:val="0018333C"/>
    <w:rsid w:val="00183439"/>
    <w:rsid w:val="0018345C"/>
    <w:rsid w:val="0018348A"/>
    <w:rsid w:val="001834BA"/>
    <w:rsid w:val="0018350D"/>
    <w:rsid w:val="0018360F"/>
    <w:rsid w:val="001837E4"/>
    <w:rsid w:val="00183875"/>
    <w:rsid w:val="001838D6"/>
    <w:rsid w:val="001838F0"/>
    <w:rsid w:val="0018391E"/>
    <w:rsid w:val="0018393D"/>
    <w:rsid w:val="00183945"/>
    <w:rsid w:val="0018394B"/>
    <w:rsid w:val="001839F9"/>
    <w:rsid w:val="00183AC5"/>
    <w:rsid w:val="00183BD6"/>
    <w:rsid w:val="00183C20"/>
    <w:rsid w:val="00183C2B"/>
    <w:rsid w:val="00183D72"/>
    <w:rsid w:val="00183E93"/>
    <w:rsid w:val="00183EF8"/>
    <w:rsid w:val="00183F04"/>
    <w:rsid w:val="00183F13"/>
    <w:rsid w:val="00183F47"/>
    <w:rsid w:val="00184055"/>
    <w:rsid w:val="00184077"/>
    <w:rsid w:val="00184091"/>
    <w:rsid w:val="00184098"/>
    <w:rsid w:val="001840A4"/>
    <w:rsid w:val="00184193"/>
    <w:rsid w:val="001841C8"/>
    <w:rsid w:val="001841EC"/>
    <w:rsid w:val="00184259"/>
    <w:rsid w:val="00184392"/>
    <w:rsid w:val="00184428"/>
    <w:rsid w:val="00184507"/>
    <w:rsid w:val="001846F4"/>
    <w:rsid w:val="00184784"/>
    <w:rsid w:val="001847B5"/>
    <w:rsid w:val="00184816"/>
    <w:rsid w:val="00184841"/>
    <w:rsid w:val="0018488A"/>
    <w:rsid w:val="00184A20"/>
    <w:rsid w:val="00184ABD"/>
    <w:rsid w:val="00184B65"/>
    <w:rsid w:val="00184C21"/>
    <w:rsid w:val="00184C4C"/>
    <w:rsid w:val="00184D40"/>
    <w:rsid w:val="00184DC0"/>
    <w:rsid w:val="00184E28"/>
    <w:rsid w:val="00184E9B"/>
    <w:rsid w:val="00184EE2"/>
    <w:rsid w:val="00184F3E"/>
    <w:rsid w:val="00184F54"/>
    <w:rsid w:val="00184FA3"/>
    <w:rsid w:val="00184FEA"/>
    <w:rsid w:val="001850ED"/>
    <w:rsid w:val="0018515E"/>
    <w:rsid w:val="001851E8"/>
    <w:rsid w:val="0018528C"/>
    <w:rsid w:val="001852B4"/>
    <w:rsid w:val="001852C2"/>
    <w:rsid w:val="00185379"/>
    <w:rsid w:val="00185598"/>
    <w:rsid w:val="001855FA"/>
    <w:rsid w:val="0018568F"/>
    <w:rsid w:val="001856A6"/>
    <w:rsid w:val="001856C9"/>
    <w:rsid w:val="00185777"/>
    <w:rsid w:val="0018585E"/>
    <w:rsid w:val="001858B7"/>
    <w:rsid w:val="001858BE"/>
    <w:rsid w:val="0018590D"/>
    <w:rsid w:val="00185B1E"/>
    <w:rsid w:val="00185B66"/>
    <w:rsid w:val="00185BF7"/>
    <w:rsid w:val="00185C13"/>
    <w:rsid w:val="00185CDC"/>
    <w:rsid w:val="00185DE6"/>
    <w:rsid w:val="00185DFA"/>
    <w:rsid w:val="00185E53"/>
    <w:rsid w:val="00185E7F"/>
    <w:rsid w:val="00186090"/>
    <w:rsid w:val="0018610F"/>
    <w:rsid w:val="0018615F"/>
    <w:rsid w:val="0018617B"/>
    <w:rsid w:val="001861AA"/>
    <w:rsid w:val="0018623A"/>
    <w:rsid w:val="0018635C"/>
    <w:rsid w:val="00186397"/>
    <w:rsid w:val="001864DB"/>
    <w:rsid w:val="00186503"/>
    <w:rsid w:val="00186512"/>
    <w:rsid w:val="00186532"/>
    <w:rsid w:val="0018656A"/>
    <w:rsid w:val="00186615"/>
    <w:rsid w:val="001866BA"/>
    <w:rsid w:val="001866C9"/>
    <w:rsid w:val="00186729"/>
    <w:rsid w:val="00186861"/>
    <w:rsid w:val="001868F2"/>
    <w:rsid w:val="001868F3"/>
    <w:rsid w:val="0018694E"/>
    <w:rsid w:val="0018699D"/>
    <w:rsid w:val="00186BD9"/>
    <w:rsid w:val="00186C11"/>
    <w:rsid w:val="00186D2D"/>
    <w:rsid w:val="00186E33"/>
    <w:rsid w:val="00186F9A"/>
    <w:rsid w:val="00186FEF"/>
    <w:rsid w:val="00187019"/>
    <w:rsid w:val="00187020"/>
    <w:rsid w:val="00187102"/>
    <w:rsid w:val="001871A6"/>
    <w:rsid w:val="00187231"/>
    <w:rsid w:val="00187267"/>
    <w:rsid w:val="001872A9"/>
    <w:rsid w:val="001872EC"/>
    <w:rsid w:val="00187353"/>
    <w:rsid w:val="0018743F"/>
    <w:rsid w:val="0018744C"/>
    <w:rsid w:val="00187510"/>
    <w:rsid w:val="00187517"/>
    <w:rsid w:val="00187569"/>
    <w:rsid w:val="00187581"/>
    <w:rsid w:val="0018759A"/>
    <w:rsid w:val="001875B4"/>
    <w:rsid w:val="00187601"/>
    <w:rsid w:val="001876A2"/>
    <w:rsid w:val="00187709"/>
    <w:rsid w:val="00187711"/>
    <w:rsid w:val="0018782F"/>
    <w:rsid w:val="001878B8"/>
    <w:rsid w:val="001878D2"/>
    <w:rsid w:val="001878DE"/>
    <w:rsid w:val="00187935"/>
    <w:rsid w:val="0018795B"/>
    <w:rsid w:val="00187A74"/>
    <w:rsid w:val="00187AB5"/>
    <w:rsid w:val="00187B33"/>
    <w:rsid w:val="00187B92"/>
    <w:rsid w:val="00187C1F"/>
    <w:rsid w:val="00187C68"/>
    <w:rsid w:val="00187D0B"/>
    <w:rsid w:val="00187D7C"/>
    <w:rsid w:val="00187EAE"/>
    <w:rsid w:val="00187FA1"/>
    <w:rsid w:val="00187FE1"/>
    <w:rsid w:val="00187FF1"/>
    <w:rsid w:val="00190037"/>
    <w:rsid w:val="00190058"/>
    <w:rsid w:val="00190077"/>
    <w:rsid w:val="001900E9"/>
    <w:rsid w:val="00190147"/>
    <w:rsid w:val="001901BB"/>
    <w:rsid w:val="001901EA"/>
    <w:rsid w:val="00190321"/>
    <w:rsid w:val="001905C1"/>
    <w:rsid w:val="00190608"/>
    <w:rsid w:val="00190688"/>
    <w:rsid w:val="00190885"/>
    <w:rsid w:val="0019089B"/>
    <w:rsid w:val="001908FD"/>
    <w:rsid w:val="0019094B"/>
    <w:rsid w:val="00190A58"/>
    <w:rsid w:val="00190AB2"/>
    <w:rsid w:val="00190AF9"/>
    <w:rsid w:val="00190AFE"/>
    <w:rsid w:val="00190B2B"/>
    <w:rsid w:val="00190C07"/>
    <w:rsid w:val="00190C7A"/>
    <w:rsid w:val="00190E0F"/>
    <w:rsid w:val="00190E51"/>
    <w:rsid w:val="00190E87"/>
    <w:rsid w:val="00190E94"/>
    <w:rsid w:val="00190F03"/>
    <w:rsid w:val="00191055"/>
    <w:rsid w:val="0019117A"/>
    <w:rsid w:val="001911CD"/>
    <w:rsid w:val="001911D9"/>
    <w:rsid w:val="00191207"/>
    <w:rsid w:val="0019121B"/>
    <w:rsid w:val="001912DB"/>
    <w:rsid w:val="001912E3"/>
    <w:rsid w:val="001913E4"/>
    <w:rsid w:val="00191538"/>
    <w:rsid w:val="00191596"/>
    <w:rsid w:val="001916A3"/>
    <w:rsid w:val="001917EA"/>
    <w:rsid w:val="001917FF"/>
    <w:rsid w:val="001918D0"/>
    <w:rsid w:val="00191A22"/>
    <w:rsid w:val="00191A41"/>
    <w:rsid w:val="00191A7A"/>
    <w:rsid w:val="00191A84"/>
    <w:rsid w:val="00191B91"/>
    <w:rsid w:val="00191B99"/>
    <w:rsid w:val="00191BDA"/>
    <w:rsid w:val="00191D03"/>
    <w:rsid w:val="00191DED"/>
    <w:rsid w:val="00191E2B"/>
    <w:rsid w:val="00191F4E"/>
    <w:rsid w:val="00191F60"/>
    <w:rsid w:val="0019200F"/>
    <w:rsid w:val="0019214D"/>
    <w:rsid w:val="001921B9"/>
    <w:rsid w:val="0019226D"/>
    <w:rsid w:val="0019229F"/>
    <w:rsid w:val="001923FD"/>
    <w:rsid w:val="0019264D"/>
    <w:rsid w:val="0019264E"/>
    <w:rsid w:val="0019269C"/>
    <w:rsid w:val="001926AA"/>
    <w:rsid w:val="001926D1"/>
    <w:rsid w:val="001926E2"/>
    <w:rsid w:val="0019276A"/>
    <w:rsid w:val="00192852"/>
    <w:rsid w:val="00192858"/>
    <w:rsid w:val="001928B7"/>
    <w:rsid w:val="001928EE"/>
    <w:rsid w:val="00192983"/>
    <w:rsid w:val="001929D9"/>
    <w:rsid w:val="00192A6B"/>
    <w:rsid w:val="00192A70"/>
    <w:rsid w:val="00192AEF"/>
    <w:rsid w:val="00192B39"/>
    <w:rsid w:val="00192B63"/>
    <w:rsid w:val="00192B83"/>
    <w:rsid w:val="00192BC1"/>
    <w:rsid w:val="00192C35"/>
    <w:rsid w:val="00192C4F"/>
    <w:rsid w:val="00192C59"/>
    <w:rsid w:val="00192C7F"/>
    <w:rsid w:val="00192CA8"/>
    <w:rsid w:val="00192DD3"/>
    <w:rsid w:val="00192E77"/>
    <w:rsid w:val="00192E9B"/>
    <w:rsid w:val="00192EA7"/>
    <w:rsid w:val="00192EBF"/>
    <w:rsid w:val="00192F49"/>
    <w:rsid w:val="00192F4A"/>
    <w:rsid w:val="00192F58"/>
    <w:rsid w:val="00192F74"/>
    <w:rsid w:val="00193112"/>
    <w:rsid w:val="00193144"/>
    <w:rsid w:val="0019315D"/>
    <w:rsid w:val="00193211"/>
    <w:rsid w:val="00193214"/>
    <w:rsid w:val="00193424"/>
    <w:rsid w:val="001934A6"/>
    <w:rsid w:val="001935BD"/>
    <w:rsid w:val="001935D4"/>
    <w:rsid w:val="001935FE"/>
    <w:rsid w:val="00193697"/>
    <w:rsid w:val="001936BB"/>
    <w:rsid w:val="001936BC"/>
    <w:rsid w:val="001936DD"/>
    <w:rsid w:val="001936DF"/>
    <w:rsid w:val="001936FB"/>
    <w:rsid w:val="0019376E"/>
    <w:rsid w:val="001938A4"/>
    <w:rsid w:val="0019390F"/>
    <w:rsid w:val="0019391D"/>
    <w:rsid w:val="00193C10"/>
    <w:rsid w:val="00193C87"/>
    <w:rsid w:val="00193D21"/>
    <w:rsid w:val="00193DD6"/>
    <w:rsid w:val="00193DDE"/>
    <w:rsid w:val="00193EBB"/>
    <w:rsid w:val="00194221"/>
    <w:rsid w:val="0019423E"/>
    <w:rsid w:val="00194282"/>
    <w:rsid w:val="001942BA"/>
    <w:rsid w:val="001943BB"/>
    <w:rsid w:val="001943EE"/>
    <w:rsid w:val="0019445B"/>
    <w:rsid w:val="00194519"/>
    <w:rsid w:val="00194627"/>
    <w:rsid w:val="001946F1"/>
    <w:rsid w:val="001947B2"/>
    <w:rsid w:val="00194845"/>
    <w:rsid w:val="0019484B"/>
    <w:rsid w:val="001948C0"/>
    <w:rsid w:val="001948C6"/>
    <w:rsid w:val="001948F6"/>
    <w:rsid w:val="00194902"/>
    <w:rsid w:val="0019495E"/>
    <w:rsid w:val="0019495F"/>
    <w:rsid w:val="00194981"/>
    <w:rsid w:val="001949F9"/>
    <w:rsid w:val="00194A25"/>
    <w:rsid w:val="00194AF6"/>
    <w:rsid w:val="00194B1D"/>
    <w:rsid w:val="00194B20"/>
    <w:rsid w:val="00194B3E"/>
    <w:rsid w:val="00194B65"/>
    <w:rsid w:val="00194C3E"/>
    <w:rsid w:val="00194C7F"/>
    <w:rsid w:val="00194D40"/>
    <w:rsid w:val="00194E40"/>
    <w:rsid w:val="00194EA6"/>
    <w:rsid w:val="00194F03"/>
    <w:rsid w:val="00194F1F"/>
    <w:rsid w:val="00195057"/>
    <w:rsid w:val="00195095"/>
    <w:rsid w:val="001950A4"/>
    <w:rsid w:val="001950AF"/>
    <w:rsid w:val="001950B9"/>
    <w:rsid w:val="00195116"/>
    <w:rsid w:val="00195117"/>
    <w:rsid w:val="0019518B"/>
    <w:rsid w:val="001951F6"/>
    <w:rsid w:val="0019523B"/>
    <w:rsid w:val="00195251"/>
    <w:rsid w:val="00195372"/>
    <w:rsid w:val="00195497"/>
    <w:rsid w:val="001954B9"/>
    <w:rsid w:val="001954ED"/>
    <w:rsid w:val="0019559B"/>
    <w:rsid w:val="001955AF"/>
    <w:rsid w:val="001955C1"/>
    <w:rsid w:val="0019574A"/>
    <w:rsid w:val="0019576B"/>
    <w:rsid w:val="00195843"/>
    <w:rsid w:val="00195855"/>
    <w:rsid w:val="00195880"/>
    <w:rsid w:val="00195A7B"/>
    <w:rsid w:val="00195BB9"/>
    <w:rsid w:val="00195BD7"/>
    <w:rsid w:val="00195C1D"/>
    <w:rsid w:val="00195C30"/>
    <w:rsid w:val="00195DD2"/>
    <w:rsid w:val="00196089"/>
    <w:rsid w:val="001960D3"/>
    <w:rsid w:val="00196154"/>
    <w:rsid w:val="0019618F"/>
    <w:rsid w:val="001961CC"/>
    <w:rsid w:val="0019635F"/>
    <w:rsid w:val="00196427"/>
    <w:rsid w:val="001964D5"/>
    <w:rsid w:val="0019653B"/>
    <w:rsid w:val="001965CE"/>
    <w:rsid w:val="0019666A"/>
    <w:rsid w:val="001966EA"/>
    <w:rsid w:val="0019673C"/>
    <w:rsid w:val="0019677E"/>
    <w:rsid w:val="0019688D"/>
    <w:rsid w:val="0019693C"/>
    <w:rsid w:val="0019695C"/>
    <w:rsid w:val="00196A4B"/>
    <w:rsid w:val="00196A58"/>
    <w:rsid w:val="00196A9A"/>
    <w:rsid w:val="00196AC4"/>
    <w:rsid w:val="00196B13"/>
    <w:rsid w:val="00196B22"/>
    <w:rsid w:val="00196BF7"/>
    <w:rsid w:val="00196C3D"/>
    <w:rsid w:val="00196C50"/>
    <w:rsid w:val="00196C59"/>
    <w:rsid w:val="00196D32"/>
    <w:rsid w:val="00196D5B"/>
    <w:rsid w:val="00196FC3"/>
    <w:rsid w:val="001970BB"/>
    <w:rsid w:val="0019711F"/>
    <w:rsid w:val="001971AD"/>
    <w:rsid w:val="001971DB"/>
    <w:rsid w:val="00197385"/>
    <w:rsid w:val="001973C3"/>
    <w:rsid w:val="001974A1"/>
    <w:rsid w:val="00197591"/>
    <w:rsid w:val="001976EA"/>
    <w:rsid w:val="001978A4"/>
    <w:rsid w:val="001978A6"/>
    <w:rsid w:val="001978F9"/>
    <w:rsid w:val="001979DA"/>
    <w:rsid w:val="001979E3"/>
    <w:rsid w:val="001979E6"/>
    <w:rsid w:val="00197C95"/>
    <w:rsid w:val="00197D25"/>
    <w:rsid w:val="00197DD1"/>
    <w:rsid w:val="00197EEB"/>
    <w:rsid w:val="00197FCF"/>
    <w:rsid w:val="001A00B4"/>
    <w:rsid w:val="001A010E"/>
    <w:rsid w:val="001A015C"/>
    <w:rsid w:val="001A018D"/>
    <w:rsid w:val="001A01B9"/>
    <w:rsid w:val="001A01BC"/>
    <w:rsid w:val="001A01FC"/>
    <w:rsid w:val="001A0296"/>
    <w:rsid w:val="001A03FD"/>
    <w:rsid w:val="001A0400"/>
    <w:rsid w:val="001A04C6"/>
    <w:rsid w:val="001A0538"/>
    <w:rsid w:val="001A066B"/>
    <w:rsid w:val="001A06CD"/>
    <w:rsid w:val="001A06F0"/>
    <w:rsid w:val="001A079A"/>
    <w:rsid w:val="001A0892"/>
    <w:rsid w:val="001A089C"/>
    <w:rsid w:val="001A08A0"/>
    <w:rsid w:val="001A08D6"/>
    <w:rsid w:val="001A09A6"/>
    <w:rsid w:val="001A0A3E"/>
    <w:rsid w:val="001A0AD7"/>
    <w:rsid w:val="001A0CDC"/>
    <w:rsid w:val="001A0CF2"/>
    <w:rsid w:val="001A0D1A"/>
    <w:rsid w:val="001A0D2E"/>
    <w:rsid w:val="001A0E09"/>
    <w:rsid w:val="001A0E2D"/>
    <w:rsid w:val="001A0E8F"/>
    <w:rsid w:val="001A0EB3"/>
    <w:rsid w:val="001A1030"/>
    <w:rsid w:val="001A1095"/>
    <w:rsid w:val="001A10EE"/>
    <w:rsid w:val="001A110F"/>
    <w:rsid w:val="001A1172"/>
    <w:rsid w:val="001A1212"/>
    <w:rsid w:val="001A1330"/>
    <w:rsid w:val="001A1356"/>
    <w:rsid w:val="001A13AC"/>
    <w:rsid w:val="001A143B"/>
    <w:rsid w:val="001A14A2"/>
    <w:rsid w:val="001A1539"/>
    <w:rsid w:val="001A1669"/>
    <w:rsid w:val="001A1708"/>
    <w:rsid w:val="001A170A"/>
    <w:rsid w:val="001A187B"/>
    <w:rsid w:val="001A18C2"/>
    <w:rsid w:val="001A18F6"/>
    <w:rsid w:val="001A1982"/>
    <w:rsid w:val="001A1A0C"/>
    <w:rsid w:val="001A1A2D"/>
    <w:rsid w:val="001A1B5A"/>
    <w:rsid w:val="001A1B74"/>
    <w:rsid w:val="001A1D81"/>
    <w:rsid w:val="001A1D8C"/>
    <w:rsid w:val="001A1DC9"/>
    <w:rsid w:val="001A1E69"/>
    <w:rsid w:val="001A1F64"/>
    <w:rsid w:val="001A1FCE"/>
    <w:rsid w:val="001A221E"/>
    <w:rsid w:val="001A2255"/>
    <w:rsid w:val="001A227A"/>
    <w:rsid w:val="001A22DD"/>
    <w:rsid w:val="001A2338"/>
    <w:rsid w:val="001A2388"/>
    <w:rsid w:val="001A23B5"/>
    <w:rsid w:val="001A240F"/>
    <w:rsid w:val="001A247B"/>
    <w:rsid w:val="001A27A2"/>
    <w:rsid w:val="001A2813"/>
    <w:rsid w:val="001A282C"/>
    <w:rsid w:val="001A2895"/>
    <w:rsid w:val="001A28A0"/>
    <w:rsid w:val="001A2992"/>
    <w:rsid w:val="001A2A21"/>
    <w:rsid w:val="001A2A8F"/>
    <w:rsid w:val="001A2AD3"/>
    <w:rsid w:val="001A2B09"/>
    <w:rsid w:val="001A2B26"/>
    <w:rsid w:val="001A2C40"/>
    <w:rsid w:val="001A2D9C"/>
    <w:rsid w:val="001A2E70"/>
    <w:rsid w:val="001A2E9B"/>
    <w:rsid w:val="001A2ECE"/>
    <w:rsid w:val="001A2F24"/>
    <w:rsid w:val="001A2F60"/>
    <w:rsid w:val="001A2F6F"/>
    <w:rsid w:val="001A2FF2"/>
    <w:rsid w:val="001A3144"/>
    <w:rsid w:val="001A31AB"/>
    <w:rsid w:val="001A31AD"/>
    <w:rsid w:val="001A32C4"/>
    <w:rsid w:val="001A3306"/>
    <w:rsid w:val="001A3341"/>
    <w:rsid w:val="001A3346"/>
    <w:rsid w:val="001A334F"/>
    <w:rsid w:val="001A34B3"/>
    <w:rsid w:val="001A35A2"/>
    <w:rsid w:val="001A363C"/>
    <w:rsid w:val="001A365F"/>
    <w:rsid w:val="001A374B"/>
    <w:rsid w:val="001A389E"/>
    <w:rsid w:val="001A38D2"/>
    <w:rsid w:val="001A39F5"/>
    <w:rsid w:val="001A3A14"/>
    <w:rsid w:val="001A3A1C"/>
    <w:rsid w:val="001A3AC2"/>
    <w:rsid w:val="001A3AED"/>
    <w:rsid w:val="001A3BA0"/>
    <w:rsid w:val="001A3C7B"/>
    <w:rsid w:val="001A3DE7"/>
    <w:rsid w:val="001A3E07"/>
    <w:rsid w:val="001A3E32"/>
    <w:rsid w:val="001A3EA1"/>
    <w:rsid w:val="001A3EE0"/>
    <w:rsid w:val="001A3FB0"/>
    <w:rsid w:val="001A3FD6"/>
    <w:rsid w:val="001A403F"/>
    <w:rsid w:val="001A4049"/>
    <w:rsid w:val="001A40B6"/>
    <w:rsid w:val="001A40FF"/>
    <w:rsid w:val="001A416F"/>
    <w:rsid w:val="001A425A"/>
    <w:rsid w:val="001A4303"/>
    <w:rsid w:val="001A4366"/>
    <w:rsid w:val="001A4616"/>
    <w:rsid w:val="001A4653"/>
    <w:rsid w:val="001A4654"/>
    <w:rsid w:val="001A47AC"/>
    <w:rsid w:val="001A4816"/>
    <w:rsid w:val="001A4879"/>
    <w:rsid w:val="001A489D"/>
    <w:rsid w:val="001A48A7"/>
    <w:rsid w:val="001A48EC"/>
    <w:rsid w:val="001A4970"/>
    <w:rsid w:val="001A4A60"/>
    <w:rsid w:val="001A4A7A"/>
    <w:rsid w:val="001A4B48"/>
    <w:rsid w:val="001A4B52"/>
    <w:rsid w:val="001A4CBF"/>
    <w:rsid w:val="001A4CEE"/>
    <w:rsid w:val="001A4CF2"/>
    <w:rsid w:val="001A4D74"/>
    <w:rsid w:val="001A4DE6"/>
    <w:rsid w:val="001A4E2E"/>
    <w:rsid w:val="001A4F1B"/>
    <w:rsid w:val="001A50D4"/>
    <w:rsid w:val="001A50E4"/>
    <w:rsid w:val="001A50F9"/>
    <w:rsid w:val="001A5158"/>
    <w:rsid w:val="001A5198"/>
    <w:rsid w:val="001A51BD"/>
    <w:rsid w:val="001A51E3"/>
    <w:rsid w:val="001A523E"/>
    <w:rsid w:val="001A5260"/>
    <w:rsid w:val="001A531B"/>
    <w:rsid w:val="001A5396"/>
    <w:rsid w:val="001A54F9"/>
    <w:rsid w:val="001A55A0"/>
    <w:rsid w:val="001A55B3"/>
    <w:rsid w:val="001A562B"/>
    <w:rsid w:val="001A56DC"/>
    <w:rsid w:val="001A56ED"/>
    <w:rsid w:val="001A5735"/>
    <w:rsid w:val="001A57D7"/>
    <w:rsid w:val="001A57D8"/>
    <w:rsid w:val="001A57DB"/>
    <w:rsid w:val="001A57FE"/>
    <w:rsid w:val="001A5886"/>
    <w:rsid w:val="001A599B"/>
    <w:rsid w:val="001A5A3D"/>
    <w:rsid w:val="001A5A59"/>
    <w:rsid w:val="001A5B2A"/>
    <w:rsid w:val="001A5BF8"/>
    <w:rsid w:val="001A5C02"/>
    <w:rsid w:val="001A5C44"/>
    <w:rsid w:val="001A5DE1"/>
    <w:rsid w:val="001A5E6A"/>
    <w:rsid w:val="001A5F78"/>
    <w:rsid w:val="001A5FF4"/>
    <w:rsid w:val="001A6019"/>
    <w:rsid w:val="001A6072"/>
    <w:rsid w:val="001A6094"/>
    <w:rsid w:val="001A6198"/>
    <w:rsid w:val="001A6288"/>
    <w:rsid w:val="001A628E"/>
    <w:rsid w:val="001A6296"/>
    <w:rsid w:val="001A62A5"/>
    <w:rsid w:val="001A634B"/>
    <w:rsid w:val="001A6398"/>
    <w:rsid w:val="001A646E"/>
    <w:rsid w:val="001A666A"/>
    <w:rsid w:val="001A668C"/>
    <w:rsid w:val="001A6725"/>
    <w:rsid w:val="001A673B"/>
    <w:rsid w:val="001A675C"/>
    <w:rsid w:val="001A687B"/>
    <w:rsid w:val="001A68DA"/>
    <w:rsid w:val="001A6970"/>
    <w:rsid w:val="001A6A29"/>
    <w:rsid w:val="001A6ADE"/>
    <w:rsid w:val="001A6B08"/>
    <w:rsid w:val="001A6C05"/>
    <w:rsid w:val="001A6E71"/>
    <w:rsid w:val="001A6F17"/>
    <w:rsid w:val="001A6F55"/>
    <w:rsid w:val="001A6FE5"/>
    <w:rsid w:val="001A7045"/>
    <w:rsid w:val="001A70AE"/>
    <w:rsid w:val="001A70BD"/>
    <w:rsid w:val="001A7110"/>
    <w:rsid w:val="001A7176"/>
    <w:rsid w:val="001A7192"/>
    <w:rsid w:val="001A720C"/>
    <w:rsid w:val="001A72C2"/>
    <w:rsid w:val="001A7320"/>
    <w:rsid w:val="001A736D"/>
    <w:rsid w:val="001A73A7"/>
    <w:rsid w:val="001A7413"/>
    <w:rsid w:val="001A7445"/>
    <w:rsid w:val="001A74B0"/>
    <w:rsid w:val="001A74CC"/>
    <w:rsid w:val="001A7506"/>
    <w:rsid w:val="001A75EF"/>
    <w:rsid w:val="001A760A"/>
    <w:rsid w:val="001A7617"/>
    <w:rsid w:val="001A7644"/>
    <w:rsid w:val="001A7712"/>
    <w:rsid w:val="001A7747"/>
    <w:rsid w:val="001A777F"/>
    <w:rsid w:val="001A7925"/>
    <w:rsid w:val="001A79E4"/>
    <w:rsid w:val="001A7A81"/>
    <w:rsid w:val="001A7AD5"/>
    <w:rsid w:val="001A7AE8"/>
    <w:rsid w:val="001A7B3A"/>
    <w:rsid w:val="001A7B6C"/>
    <w:rsid w:val="001A7B77"/>
    <w:rsid w:val="001A7BD4"/>
    <w:rsid w:val="001A7C69"/>
    <w:rsid w:val="001A7C79"/>
    <w:rsid w:val="001A7D14"/>
    <w:rsid w:val="001A7F37"/>
    <w:rsid w:val="001A7F42"/>
    <w:rsid w:val="001A7FB2"/>
    <w:rsid w:val="001B0000"/>
    <w:rsid w:val="001B000A"/>
    <w:rsid w:val="001B0091"/>
    <w:rsid w:val="001B01A5"/>
    <w:rsid w:val="001B01CD"/>
    <w:rsid w:val="001B01DE"/>
    <w:rsid w:val="001B01F9"/>
    <w:rsid w:val="001B0309"/>
    <w:rsid w:val="001B0324"/>
    <w:rsid w:val="001B0338"/>
    <w:rsid w:val="001B03B1"/>
    <w:rsid w:val="001B0402"/>
    <w:rsid w:val="001B0421"/>
    <w:rsid w:val="001B0453"/>
    <w:rsid w:val="001B0545"/>
    <w:rsid w:val="001B0722"/>
    <w:rsid w:val="001B080E"/>
    <w:rsid w:val="001B09D7"/>
    <w:rsid w:val="001B0A46"/>
    <w:rsid w:val="001B0B8F"/>
    <w:rsid w:val="001B0BD0"/>
    <w:rsid w:val="001B0BE1"/>
    <w:rsid w:val="001B0C34"/>
    <w:rsid w:val="001B0C64"/>
    <w:rsid w:val="001B0CA5"/>
    <w:rsid w:val="001B0CF9"/>
    <w:rsid w:val="001B0D55"/>
    <w:rsid w:val="001B0E72"/>
    <w:rsid w:val="001B0F80"/>
    <w:rsid w:val="001B0FB4"/>
    <w:rsid w:val="001B0FD3"/>
    <w:rsid w:val="001B0FEB"/>
    <w:rsid w:val="001B1252"/>
    <w:rsid w:val="001B1253"/>
    <w:rsid w:val="001B1368"/>
    <w:rsid w:val="001B1425"/>
    <w:rsid w:val="001B1496"/>
    <w:rsid w:val="001B14BC"/>
    <w:rsid w:val="001B1514"/>
    <w:rsid w:val="001B15E4"/>
    <w:rsid w:val="001B16A4"/>
    <w:rsid w:val="001B17E4"/>
    <w:rsid w:val="001B17E8"/>
    <w:rsid w:val="001B1854"/>
    <w:rsid w:val="001B1961"/>
    <w:rsid w:val="001B1998"/>
    <w:rsid w:val="001B1999"/>
    <w:rsid w:val="001B19BF"/>
    <w:rsid w:val="001B19C7"/>
    <w:rsid w:val="001B1A4B"/>
    <w:rsid w:val="001B1C2D"/>
    <w:rsid w:val="001B1C2F"/>
    <w:rsid w:val="001B1CCD"/>
    <w:rsid w:val="001B1D59"/>
    <w:rsid w:val="001B1DE5"/>
    <w:rsid w:val="001B1E6B"/>
    <w:rsid w:val="001B1F0A"/>
    <w:rsid w:val="001B1F4C"/>
    <w:rsid w:val="001B1F91"/>
    <w:rsid w:val="001B1FB1"/>
    <w:rsid w:val="001B2065"/>
    <w:rsid w:val="001B20AB"/>
    <w:rsid w:val="001B20B5"/>
    <w:rsid w:val="001B20C2"/>
    <w:rsid w:val="001B20CC"/>
    <w:rsid w:val="001B20DF"/>
    <w:rsid w:val="001B2127"/>
    <w:rsid w:val="001B21D2"/>
    <w:rsid w:val="001B222D"/>
    <w:rsid w:val="001B23A0"/>
    <w:rsid w:val="001B23DB"/>
    <w:rsid w:val="001B2413"/>
    <w:rsid w:val="001B2430"/>
    <w:rsid w:val="001B24D6"/>
    <w:rsid w:val="001B2552"/>
    <w:rsid w:val="001B2557"/>
    <w:rsid w:val="001B25CE"/>
    <w:rsid w:val="001B25E8"/>
    <w:rsid w:val="001B268A"/>
    <w:rsid w:val="001B2703"/>
    <w:rsid w:val="001B274E"/>
    <w:rsid w:val="001B2782"/>
    <w:rsid w:val="001B2842"/>
    <w:rsid w:val="001B2859"/>
    <w:rsid w:val="001B289A"/>
    <w:rsid w:val="001B28B4"/>
    <w:rsid w:val="001B28C2"/>
    <w:rsid w:val="001B2A0B"/>
    <w:rsid w:val="001B2A39"/>
    <w:rsid w:val="001B2AB6"/>
    <w:rsid w:val="001B2B11"/>
    <w:rsid w:val="001B2B1C"/>
    <w:rsid w:val="001B2BFC"/>
    <w:rsid w:val="001B2C8A"/>
    <w:rsid w:val="001B2CC7"/>
    <w:rsid w:val="001B2DEC"/>
    <w:rsid w:val="001B2E0E"/>
    <w:rsid w:val="001B2E62"/>
    <w:rsid w:val="001B2F30"/>
    <w:rsid w:val="001B2FAE"/>
    <w:rsid w:val="001B2FC1"/>
    <w:rsid w:val="001B304E"/>
    <w:rsid w:val="001B30A2"/>
    <w:rsid w:val="001B30D3"/>
    <w:rsid w:val="001B3129"/>
    <w:rsid w:val="001B3175"/>
    <w:rsid w:val="001B31D7"/>
    <w:rsid w:val="001B3236"/>
    <w:rsid w:val="001B33BF"/>
    <w:rsid w:val="001B33E2"/>
    <w:rsid w:val="001B33F7"/>
    <w:rsid w:val="001B3403"/>
    <w:rsid w:val="001B3459"/>
    <w:rsid w:val="001B34AF"/>
    <w:rsid w:val="001B3655"/>
    <w:rsid w:val="001B3702"/>
    <w:rsid w:val="001B377A"/>
    <w:rsid w:val="001B38FA"/>
    <w:rsid w:val="001B395E"/>
    <w:rsid w:val="001B39BF"/>
    <w:rsid w:val="001B3ADA"/>
    <w:rsid w:val="001B3C2B"/>
    <w:rsid w:val="001B3D60"/>
    <w:rsid w:val="001B3DD0"/>
    <w:rsid w:val="001B3DE6"/>
    <w:rsid w:val="001B3E15"/>
    <w:rsid w:val="001B3EAB"/>
    <w:rsid w:val="001B3F1E"/>
    <w:rsid w:val="001B3F3E"/>
    <w:rsid w:val="001B400A"/>
    <w:rsid w:val="001B400B"/>
    <w:rsid w:val="001B4071"/>
    <w:rsid w:val="001B4080"/>
    <w:rsid w:val="001B40A4"/>
    <w:rsid w:val="001B4154"/>
    <w:rsid w:val="001B4247"/>
    <w:rsid w:val="001B4282"/>
    <w:rsid w:val="001B42A6"/>
    <w:rsid w:val="001B436A"/>
    <w:rsid w:val="001B4371"/>
    <w:rsid w:val="001B4434"/>
    <w:rsid w:val="001B448D"/>
    <w:rsid w:val="001B4554"/>
    <w:rsid w:val="001B45FA"/>
    <w:rsid w:val="001B465E"/>
    <w:rsid w:val="001B4693"/>
    <w:rsid w:val="001B46CE"/>
    <w:rsid w:val="001B46DC"/>
    <w:rsid w:val="001B4771"/>
    <w:rsid w:val="001B47ED"/>
    <w:rsid w:val="001B480F"/>
    <w:rsid w:val="001B4942"/>
    <w:rsid w:val="001B4988"/>
    <w:rsid w:val="001B49A1"/>
    <w:rsid w:val="001B4A09"/>
    <w:rsid w:val="001B4A3E"/>
    <w:rsid w:val="001B4AA8"/>
    <w:rsid w:val="001B4C38"/>
    <w:rsid w:val="001B4CB4"/>
    <w:rsid w:val="001B4D90"/>
    <w:rsid w:val="001B4DAD"/>
    <w:rsid w:val="001B4DDA"/>
    <w:rsid w:val="001B4E12"/>
    <w:rsid w:val="001B4E69"/>
    <w:rsid w:val="001B4EF7"/>
    <w:rsid w:val="001B4FBA"/>
    <w:rsid w:val="001B5008"/>
    <w:rsid w:val="001B516E"/>
    <w:rsid w:val="001B5171"/>
    <w:rsid w:val="001B5185"/>
    <w:rsid w:val="001B51C4"/>
    <w:rsid w:val="001B51C7"/>
    <w:rsid w:val="001B5243"/>
    <w:rsid w:val="001B5451"/>
    <w:rsid w:val="001B5590"/>
    <w:rsid w:val="001B55E8"/>
    <w:rsid w:val="001B55FC"/>
    <w:rsid w:val="001B5615"/>
    <w:rsid w:val="001B5631"/>
    <w:rsid w:val="001B56E7"/>
    <w:rsid w:val="001B5841"/>
    <w:rsid w:val="001B58D3"/>
    <w:rsid w:val="001B58DF"/>
    <w:rsid w:val="001B5938"/>
    <w:rsid w:val="001B5A03"/>
    <w:rsid w:val="001B5A58"/>
    <w:rsid w:val="001B5A8C"/>
    <w:rsid w:val="001B5AD0"/>
    <w:rsid w:val="001B5B12"/>
    <w:rsid w:val="001B5B4A"/>
    <w:rsid w:val="001B5B4C"/>
    <w:rsid w:val="001B5BA4"/>
    <w:rsid w:val="001B5C20"/>
    <w:rsid w:val="001B5C4A"/>
    <w:rsid w:val="001B5C6D"/>
    <w:rsid w:val="001B5CB9"/>
    <w:rsid w:val="001B5CE9"/>
    <w:rsid w:val="001B5D1F"/>
    <w:rsid w:val="001B5D36"/>
    <w:rsid w:val="001B5D84"/>
    <w:rsid w:val="001B5E6D"/>
    <w:rsid w:val="001B5F1B"/>
    <w:rsid w:val="001B5F58"/>
    <w:rsid w:val="001B6023"/>
    <w:rsid w:val="001B6056"/>
    <w:rsid w:val="001B610A"/>
    <w:rsid w:val="001B6197"/>
    <w:rsid w:val="001B61F6"/>
    <w:rsid w:val="001B6211"/>
    <w:rsid w:val="001B6328"/>
    <w:rsid w:val="001B6391"/>
    <w:rsid w:val="001B63BE"/>
    <w:rsid w:val="001B64E8"/>
    <w:rsid w:val="001B64F9"/>
    <w:rsid w:val="001B6515"/>
    <w:rsid w:val="001B6567"/>
    <w:rsid w:val="001B65E3"/>
    <w:rsid w:val="001B65E5"/>
    <w:rsid w:val="001B65E7"/>
    <w:rsid w:val="001B6655"/>
    <w:rsid w:val="001B6727"/>
    <w:rsid w:val="001B6792"/>
    <w:rsid w:val="001B67C7"/>
    <w:rsid w:val="001B6894"/>
    <w:rsid w:val="001B689F"/>
    <w:rsid w:val="001B68AD"/>
    <w:rsid w:val="001B692B"/>
    <w:rsid w:val="001B694A"/>
    <w:rsid w:val="001B69D5"/>
    <w:rsid w:val="001B6A01"/>
    <w:rsid w:val="001B6A30"/>
    <w:rsid w:val="001B6BAC"/>
    <w:rsid w:val="001B6CF2"/>
    <w:rsid w:val="001B6CFF"/>
    <w:rsid w:val="001B6DA5"/>
    <w:rsid w:val="001B6E22"/>
    <w:rsid w:val="001B6E96"/>
    <w:rsid w:val="001B6F25"/>
    <w:rsid w:val="001B7015"/>
    <w:rsid w:val="001B7056"/>
    <w:rsid w:val="001B706D"/>
    <w:rsid w:val="001B709C"/>
    <w:rsid w:val="001B70D0"/>
    <w:rsid w:val="001B7100"/>
    <w:rsid w:val="001B711D"/>
    <w:rsid w:val="001B7151"/>
    <w:rsid w:val="001B71C6"/>
    <w:rsid w:val="001B71D5"/>
    <w:rsid w:val="001B72BB"/>
    <w:rsid w:val="001B72C6"/>
    <w:rsid w:val="001B72ED"/>
    <w:rsid w:val="001B739E"/>
    <w:rsid w:val="001B73F8"/>
    <w:rsid w:val="001B73FC"/>
    <w:rsid w:val="001B744A"/>
    <w:rsid w:val="001B7517"/>
    <w:rsid w:val="001B75CC"/>
    <w:rsid w:val="001B75ED"/>
    <w:rsid w:val="001B7740"/>
    <w:rsid w:val="001B7786"/>
    <w:rsid w:val="001B78AA"/>
    <w:rsid w:val="001B7962"/>
    <w:rsid w:val="001B79E8"/>
    <w:rsid w:val="001B7B1C"/>
    <w:rsid w:val="001B7C12"/>
    <w:rsid w:val="001B7C6D"/>
    <w:rsid w:val="001B7D5F"/>
    <w:rsid w:val="001B7E5D"/>
    <w:rsid w:val="001B7ED9"/>
    <w:rsid w:val="001B7F1D"/>
    <w:rsid w:val="001B7F34"/>
    <w:rsid w:val="001C00A3"/>
    <w:rsid w:val="001C00AB"/>
    <w:rsid w:val="001C029E"/>
    <w:rsid w:val="001C02DA"/>
    <w:rsid w:val="001C0317"/>
    <w:rsid w:val="001C039E"/>
    <w:rsid w:val="001C03D1"/>
    <w:rsid w:val="001C0411"/>
    <w:rsid w:val="001C042D"/>
    <w:rsid w:val="001C0466"/>
    <w:rsid w:val="001C04CB"/>
    <w:rsid w:val="001C0500"/>
    <w:rsid w:val="001C0510"/>
    <w:rsid w:val="001C06BB"/>
    <w:rsid w:val="001C0771"/>
    <w:rsid w:val="001C080A"/>
    <w:rsid w:val="001C0812"/>
    <w:rsid w:val="001C0837"/>
    <w:rsid w:val="001C0860"/>
    <w:rsid w:val="001C0861"/>
    <w:rsid w:val="001C08D7"/>
    <w:rsid w:val="001C093F"/>
    <w:rsid w:val="001C09DC"/>
    <w:rsid w:val="001C0ADB"/>
    <w:rsid w:val="001C0C15"/>
    <w:rsid w:val="001C0D96"/>
    <w:rsid w:val="001C0DB4"/>
    <w:rsid w:val="001C0E9D"/>
    <w:rsid w:val="001C0EA3"/>
    <w:rsid w:val="001C0F27"/>
    <w:rsid w:val="001C1003"/>
    <w:rsid w:val="001C109B"/>
    <w:rsid w:val="001C10BE"/>
    <w:rsid w:val="001C1173"/>
    <w:rsid w:val="001C11C2"/>
    <w:rsid w:val="001C11C4"/>
    <w:rsid w:val="001C129B"/>
    <w:rsid w:val="001C13AB"/>
    <w:rsid w:val="001C13E6"/>
    <w:rsid w:val="001C140A"/>
    <w:rsid w:val="001C1450"/>
    <w:rsid w:val="001C147A"/>
    <w:rsid w:val="001C1485"/>
    <w:rsid w:val="001C153B"/>
    <w:rsid w:val="001C159E"/>
    <w:rsid w:val="001C15D2"/>
    <w:rsid w:val="001C16B6"/>
    <w:rsid w:val="001C16F0"/>
    <w:rsid w:val="001C1710"/>
    <w:rsid w:val="001C17E5"/>
    <w:rsid w:val="001C18BC"/>
    <w:rsid w:val="001C19C4"/>
    <w:rsid w:val="001C19F6"/>
    <w:rsid w:val="001C1A40"/>
    <w:rsid w:val="001C1A89"/>
    <w:rsid w:val="001C1AA4"/>
    <w:rsid w:val="001C1AFA"/>
    <w:rsid w:val="001C1B17"/>
    <w:rsid w:val="001C1BA7"/>
    <w:rsid w:val="001C1BC6"/>
    <w:rsid w:val="001C1C1E"/>
    <w:rsid w:val="001C1C69"/>
    <w:rsid w:val="001C1C7B"/>
    <w:rsid w:val="001C1D41"/>
    <w:rsid w:val="001C1DC9"/>
    <w:rsid w:val="001C20E0"/>
    <w:rsid w:val="001C20EB"/>
    <w:rsid w:val="001C218F"/>
    <w:rsid w:val="001C2273"/>
    <w:rsid w:val="001C22D9"/>
    <w:rsid w:val="001C235B"/>
    <w:rsid w:val="001C23D2"/>
    <w:rsid w:val="001C2416"/>
    <w:rsid w:val="001C245B"/>
    <w:rsid w:val="001C24F0"/>
    <w:rsid w:val="001C24F1"/>
    <w:rsid w:val="001C2793"/>
    <w:rsid w:val="001C27AE"/>
    <w:rsid w:val="001C297A"/>
    <w:rsid w:val="001C298C"/>
    <w:rsid w:val="001C2AD6"/>
    <w:rsid w:val="001C2B17"/>
    <w:rsid w:val="001C2B2E"/>
    <w:rsid w:val="001C2B7C"/>
    <w:rsid w:val="001C2BD1"/>
    <w:rsid w:val="001C2C50"/>
    <w:rsid w:val="001C2C60"/>
    <w:rsid w:val="001C2C66"/>
    <w:rsid w:val="001C2C74"/>
    <w:rsid w:val="001C2CE5"/>
    <w:rsid w:val="001C2D3D"/>
    <w:rsid w:val="001C2E35"/>
    <w:rsid w:val="001C2EE3"/>
    <w:rsid w:val="001C2F31"/>
    <w:rsid w:val="001C2F87"/>
    <w:rsid w:val="001C3027"/>
    <w:rsid w:val="001C3196"/>
    <w:rsid w:val="001C32C4"/>
    <w:rsid w:val="001C3431"/>
    <w:rsid w:val="001C34FD"/>
    <w:rsid w:val="001C3540"/>
    <w:rsid w:val="001C3554"/>
    <w:rsid w:val="001C3590"/>
    <w:rsid w:val="001C364B"/>
    <w:rsid w:val="001C3707"/>
    <w:rsid w:val="001C372E"/>
    <w:rsid w:val="001C37DF"/>
    <w:rsid w:val="001C383D"/>
    <w:rsid w:val="001C383F"/>
    <w:rsid w:val="001C3968"/>
    <w:rsid w:val="001C39B5"/>
    <w:rsid w:val="001C39B8"/>
    <w:rsid w:val="001C3B9A"/>
    <w:rsid w:val="001C3CA7"/>
    <w:rsid w:val="001C3CFC"/>
    <w:rsid w:val="001C3D64"/>
    <w:rsid w:val="001C3D73"/>
    <w:rsid w:val="001C3D7C"/>
    <w:rsid w:val="001C3DCA"/>
    <w:rsid w:val="001C3E4E"/>
    <w:rsid w:val="001C3E62"/>
    <w:rsid w:val="001C3E75"/>
    <w:rsid w:val="001C3F7F"/>
    <w:rsid w:val="001C3FE9"/>
    <w:rsid w:val="001C40CB"/>
    <w:rsid w:val="001C414C"/>
    <w:rsid w:val="001C41A4"/>
    <w:rsid w:val="001C41A6"/>
    <w:rsid w:val="001C41A7"/>
    <w:rsid w:val="001C427D"/>
    <w:rsid w:val="001C429C"/>
    <w:rsid w:val="001C42E0"/>
    <w:rsid w:val="001C443A"/>
    <w:rsid w:val="001C4467"/>
    <w:rsid w:val="001C449A"/>
    <w:rsid w:val="001C44BB"/>
    <w:rsid w:val="001C44C7"/>
    <w:rsid w:val="001C4572"/>
    <w:rsid w:val="001C4630"/>
    <w:rsid w:val="001C47C6"/>
    <w:rsid w:val="001C47E7"/>
    <w:rsid w:val="001C4807"/>
    <w:rsid w:val="001C489D"/>
    <w:rsid w:val="001C49B7"/>
    <w:rsid w:val="001C4A33"/>
    <w:rsid w:val="001C4A85"/>
    <w:rsid w:val="001C4B75"/>
    <w:rsid w:val="001C4B7D"/>
    <w:rsid w:val="001C4BA9"/>
    <w:rsid w:val="001C4C19"/>
    <w:rsid w:val="001C4C34"/>
    <w:rsid w:val="001C4D63"/>
    <w:rsid w:val="001C4DEC"/>
    <w:rsid w:val="001C4DFA"/>
    <w:rsid w:val="001C4F50"/>
    <w:rsid w:val="001C4FDD"/>
    <w:rsid w:val="001C509F"/>
    <w:rsid w:val="001C5168"/>
    <w:rsid w:val="001C5211"/>
    <w:rsid w:val="001C52CE"/>
    <w:rsid w:val="001C5318"/>
    <w:rsid w:val="001C537A"/>
    <w:rsid w:val="001C546D"/>
    <w:rsid w:val="001C5515"/>
    <w:rsid w:val="001C551F"/>
    <w:rsid w:val="001C552B"/>
    <w:rsid w:val="001C5556"/>
    <w:rsid w:val="001C5572"/>
    <w:rsid w:val="001C55DA"/>
    <w:rsid w:val="001C569E"/>
    <w:rsid w:val="001C570B"/>
    <w:rsid w:val="001C57F5"/>
    <w:rsid w:val="001C5808"/>
    <w:rsid w:val="001C5810"/>
    <w:rsid w:val="001C5815"/>
    <w:rsid w:val="001C5827"/>
    <w:rsid w:val="001C5902"/>
    <w:rsid w:val="001C59F3"/>
    <w:rsid w:val="001C5A64"/>
    <w:rsid w:val="001C5A93"/>
    <w:rsid w:val="001C5ABA"/>
    <w:rsid w:val="001C5B0F"/>
    <w:rsid w:val="001C5B4C"/>
    <w:rsid w:val="001C5B4F"/>
    <w:rsid w:val="001C5BE7"/>
    <w:rsid w:val="001C5C8E"/>
    <w:rsid w:val="001C5CC6"/>
    <w:rsid w:val="001C5DE2"/>
    <w:rsid w:val="001C5EB6"/>
    <w:rsid w:val="001C5EB8"/>
    <w:rsid w:val="001C5F76"/>
    <w:rsid w:val="001C603C"/>
    <w:rsid w:val="001C6047"/>
    <w:rsid w:val="001C60D7"/>
    <w:rsid w:val="001C611B"/>
    <w:rsid w:val="001C61BB"/>
    <w:rsid w:val="001C6206"/>
    <w:rsid w:val="001C6219"/>
    <w:rsid w:val="001C63C1"/>
    <w:rsid w:val="001C64B6"/>
    <w:rsid w:val="001C64E9"/>
    <w:rsid w:val="001C6501"/>
    <w:rsid w:val="001C65E8"/>
    <w:rsid w:val="001C665D"/>
    <w:rsid w:val="001C673B"/>
    <w:rsid w:val="001C6781"/>
    <w:rsid w:val="001C688D"/>
    <w:rsid w:val="001C690D"/>
    <w:rsid w:val="001C6976"/>
    <w:rsid w:val="001C6A0E"/>
    <w:rsid w:val="001C6ADD"/>
    <w:rsid w:val="001C6AE3"/>
    <w:rsid w:val="001C6B14"/>
    <w:rsid w:val="001C6B78"/>
    <w:rsid w:val="001C6B7D"/>
    <w:rsid w:val="001C6BB8"/>
    <w:rsid w:val="001C6C34"/>
    <w:rsid w:val="001C6C3E"/>
    <w:rsid w:val="001C6C5F"/>
    <w:rsid w:val="001C6C6F"/>
    <w:rsid w:val="001C6CD0"/>
    <w:rsid w:val="001C6DFC"/>
    <w:rsid w:val="001C6EE9"/>
    <w:rsid w:val="001C6EF5"/>
    <w:rsid w:val="001C6F12"/>
    <w:rsid w:val="001C70DC"/>
    <w:rsid w:val="001C712B"/>
    <w:rsid w:val="001C7270"/>
    <w:rsid w:val="001C72E5"/>
    <w:rsid w:val="001C7366"/>
    <w:rsid w:val="001C7422"/>
    <w:rsid w:val="001C752C"/>
    <w:rsid w:val="001C752D"/>
    <w:rsid w:val="001C75F2"/>
    <w:rsid w:val="001C7653"/>
    <w:rsid w:val="001C766B"/>
    <w:rsid w:val="001C76C1"/>
    <w:rsid w:val="001C76D9"/>
    <w:rsid w:val="001C76F4"/>
    <w:rsid w:val="001C779F"/>
    <w:rsid w:val="001C77EC"/>
    <w:rsid w:val="001C7863"/>
    <w:rsid w:val="001C794D"/>
    <w:rsid w:val="001C7957"/>
    <w:rsid w:val="001C7990"/>
    <w:rsid w:val="001C79D1"/>
    <w:rsid w:val="001C79D9"/>
    <w:rsid w:val="001C7A09"/>
    <w:rsid w:val="001C7A21"/>
    <w:rsid w:val="001C7BA8"/>
    <w:rsid w:val="001C7CD2"/>
    <w:rsid w:val="001C7CFC"/>
    <w:rsid w:val="001C7DD3"/>
    <w:rsid w:val="001C7DFD"/>
    <w:rsid w:val="001C7E1C"/>
    <w:rsid w:val="001C7E2D"/>
    <w:rsid w:val="001C7ECC"/>
    <w:rsid w:val="001C7EEC"/>
    <w:rsid w:val="001C7F11"/>
    <w:rsid w:val="001C7F5A"/>
    <w:rsid w:val="001C7FED"/>
    <w:rsid w:val="001D0094"/>
    <w:rsid w:val="001D010C"/>
    <w:rsid w:val="001D0158"/>
    <w:rsid w:val="001D0185"/>
    <w:rsid w:val="001D0270"/>
    <w:rsid w:val="001D0328"/>
    <w:rsid w:val="001D0391"/>
    <w:rsid w:val="001D0398"/>
    <w:rsid w:val="001D03AB"/>
    <w:rsid w:val="001D0423"/>
    <w:rsid w:val="001D042B"/>
    <w:rsid w:val="001D042E"/>
    <w:rsid w:val="001D0472"/>
    <w:rsid w:val="001D04EE"/>
    <w:rsid w:val="001D0523"/>
    <w:rsid w:val="001D056F"/>
    <w:rsid w:val="001D0574"/>
    <w:rsid w:val="001D0636"/>
    <w:rsid w:val="001D06F4"/>
    <w:rsid w:val="001D075B"/>
    <w:rsid w:val="001D076C"/>
    <w:rsid w:val="001D07A3"/>
    <w:rsid w:val="001D08AE"/>
    <w:rsid w:val="001D0B23"/>
    <w:rsid w:val="001D0B33"/>
    <w:rsid w:val="001D0B99"/>
    <w:rsid w:val="001D0CBD"/>
    <w:rsid w:val="001D0CF1"/>
    <w:rsid w:val="001D0EA6"/>
    <w:rsid w:val="001D0F4F"/>
    <w:rsid w:val="001D0FB3"/>
    <w:rsid w:val="001D0FBE"/>
    <w:rsid w:val="001D0FD9"/>
    <w:rsid w:val="001D0FDB"/>
    <w:rsid w:val="001D1064"/>
    <w:rsid w:val="001D1099"/>
    <w:rsid w:val="001D10C6"/>
    <w:rsid w:val="001D10DC"/>
    <w:rsid w:val="001D1132"/>
    <w:rsid w:val="001D1230"/>
    <w:rsid w:val="001D1388"/>
    <w:rsid w:val="001D1468"/>
    <w:rsid w:val="001D14E0"/>
    <w:rsid w:val="001D1619"/>
    <w:rsid w:val="001D166F"/>
    <w:rsid w:val="001D168B"/>
    <w:rsid w:val="001D173E"/>
    <w:rsid w:val="001D1752"/>
    <w:rsid w:val="001D1757"/>
    <w:rsid w:val="001D1802"/>
    <w:rsid w:val="001D1862"/>
    <w:rsid w:val="001D1895"/>
    <w:rsid w:val="001D18A0"/>
    <w:rsid w:val="001D18B4"/>
    <w:rsid w:val="001D18FC"/>
    <w:rsid w:val="001D1903"/>
    <w:rsid w:val="001D193D"/>
    <w:rsid w:val="001D1956"/>
    <w:rsid w:val="001D19E6"/>
    <w:rsid w:val="001D1A0B"/>
    <w:rsid w:val="001D1AA8"/>
    <w:rsid w:val="001D1AB5"/>
    <w:rsid w:val="001D1B50"/>
    <w:rsid w:val="001D1B80"/>
    <w:rsid w:val="001D1CDB"/>
    <w:rsid w:val="001D1DD6"/>
    <w:rsid w:val="001D1EA7"/>
    <w:rsid w:val="001D1FB0"/>
    <w:rsid w:val="001D1FE3"/>
    <w:rsid w:val="001D2063"/>
    <w:rsid w:val="001D2083"/>
    <w:rsid w:val="001D20A4"/>
    <w:rsid w:val="001D2136"/>
    <w:rsid w:val="001D224B"/>
    <w:rsid w:val="001D22E5"/>
    <w:rsid w:val="001D23A7"/>
    <w:rsid w:val="001D244F"/>
    <w:rsid w:val="001D245B"/>
    <w:rsid w:val="001D2519"/>
    <w:rsid w:val="001D254D"/>
    <w:rsid w:val="001D25A8"/>
    <w:rsid w:val="001D25B9"/>
    <w:rsid w:val="001D25F7"/>
    <w:rsid w:val="001D2893"/>
    <w:rsid w:val="001D28D5"/>
    <w:rsid w:val="001D290F"/>
    <w:rsid w:val="001D2A57"/>
    <w:rsid w:val="001D2A88"/>
    <w:rsid w:val="001D2B99"/>
    <w:rsid w:val="001D2BD9"/>
    <w:rsid w:val="001D2CF3"/>
    <w:rsid w:val="001D2DFD"/>
    <w:rsid w:val="001D2EFE"/>
    <w:rsid w:val="001D2F29"/>
    <w:rsid w:val="001D2F32"/>
    <w:rsid w:val="001D2F62"/>
    <w:rsid w:val="001D306B"/>
    <w:rsid w:val="001D311D"/>
    <w:rsid w:val="001D31F4"/>
    <w:rsid w:val="001D322B"/>
    <w:rsid w:val="001D323B"/>
    <w:rsid w:val="001D3458"/>
    <w:rsid w:val="001D34DE"/>
    <w:rsid w:val="001D34F4"/>
    <w:rsid w:val="001D3584"/>
    <w:rsid w:val="001D3586"/>
    <w:rsid w:val="001D3633"/>
    <w:rsid w:val="001D36A2"/>
    <w:rsid w:val="001D3846"/>
    <w:rsid w:val="001D38A4"/>
    <w:rsid w:val="001D393E"/>
    <w:rsid w:val="001D39CA"/>
    <w:rsid w:val="001D3A50"/>
    <w:rsid w:val="001D3AAD"/>
    <w:rsid w:val="001D3ACD"/>
    <w:rsid w:val="001D3B28"/>
    <w:rsid w:val="001D3B94"/>
    <w:rsid w:val="001D3C30"/>
    <w:rsid w:val="001D3C75"/>
    <w:rsid w:val="001D3CC1"/>
    <w:rsid w:val="001D3CC6"/>
    <w:rsid w:val="001D3D15"/>
    <w:rsid w:val="001D3E0C"/>
    <w:rsid w:val="001D3E24"/>
    <w:rsid w:val="001D3E42"/>
    <w:rsid w:val="001D3E6C"/>
    <w:rsid w:val="001D3E78"/>
    <w:rsid w:val="001D3F00"/>
    <w:rsid w:val="001D3FE8"/>
    <w:rsid w:val="001D3FF6"/>
    <w:rsid w:val="001D40DD"/>
    <w:rsid w:val="001D40F1"/>
    <w:rsid w:val="001D41FA"/>
    <w:rsid w:val="001D42DA"/>
    <w:rsid w:val="001D455D"/>
    <w:rsid w:val="001D45D2"/>
    <w:rsid w:val="001D45D4"/>
    <w:rsid w:val="001D4687"/>
    <w:rsid w:val="001D4831"/>
    <w:rsid w:val="001D48BA"/>
    <w:rsid w:val="001D48EC"/>
    <w:rsid w:val="001D4A0F"/>
    <w:rsid w:val="001D4A5F"/>
    <w:rsid w:val="001D4AB4"/>
    <w:rsid w:val="001D4B72"/>
    <w:rsid w:val="001D4CBB"/>
    <w:rsid w:val="001D4CBD"/>
    <w:rsid w:val="001D4D67"/>
    <w:rsid w:val="001D4D7E"/>
    <w:rsid w:val="001D4DFA"/>
    <w:rsid w:val="001D4E6B"/>
    <w:rsid w:val="001D4E80"/>
    <w:rsid w:val="001D4F80"/>
    <w:rsid w:val="001D4FF6"/>
    <w:rsid w:val="001D5105"/>
    <w:rsid w:val="001D5115"/>
    <w:rsid w:val="001D5156"/>
    <w:rsid w:val="001D51FB"/>
    <w:rsid w:val="001D520C"/>
    <w:rsid w:val="001D5230"/>
    <w:rsid w:val="001D5347"/>
    <w:rsid w:val="001D5348"/>
    <w:rsid w:val="001D535B"/>
    <w:rsid w:val="001D5396"/>
    <w:rsid w:val="001D53F3"/>
    <w:rsid w:val="001D541D"/>
    <w:rsid w:val="001D5455"/>
    <w:rsid w:val="001D54AB"/>
    <w:rsid w:val="001D54C3"/>
    <w:rsid w:val="001D54E1"/>
    <w:rsid w:val="001D5500"/>
    <w:rsid w:val="001D5550"/>
    <w:rsid w:val="001D5646"/>
    <w:rsid w:val="001D56C8"/>
    <w:rsid w:val="001D5789"/>
    <w:rsid w:val="001D5822"/>
    <w:rsid w:val="001D58C5"/>
    <w:rsid w:val="001D5922"/>
    <w:rsid w:val="001D595C"/>
    <w:rsid w:val="001D5979"/>
    <w:rsid w:val="001D59CE"/>
    <w:rsid w:val="001D5A27"/>
    <w:rsid w:val="001D5AC4"/>
    <w:rsid w:val="001D5BAB"/>
    <w:rsid w:val="001D5BD2"/>
    <w:rsid w:val="001D5BE3"/>
    <w:rsid w:val="001D5CF7"/>
    <w:rsid w:val="001D5D52"/>
    <w:rsid w:val="001D5D6D"/>
    <w:rsid w:val="001D5D86"/>
    <w:rsid w:val="001D5D96"/>
    <w:rsid w:val="001D5DA7"/>
    <w:rsid w:val="001D5E73"/>
    <w:rsid w:val="001D5F05"/>
    <w:rsid w:val="001D5FC5"/>
    <w:rsid w:val="001D60E3"/>
    <w:rsid w:val="001D6130"/>
    <w:rsid w:val="001D6203"/>
    <w:rsid w:val="001D627A"/>
    <w:rsid w:val="001D6280"/>
    <w:rsid w:val="001D6297"/>
    <w:rsid w:val="001D62F0"/>
    <w:rsid w:val="001D6315"/>
    <w:rsid w:val="001D6327"/>
    <w:rsid w:val="001D63B4"/>
    <w:rsid w:val="001D643B"/>
    <w:rsid w:val="001D6464"/>
    <w:rsid w:val="001D648B"/>
    <w:rsid w:val="001D64AB"/>
    <w:rsid w:val="001D65E2"/>
    <w:rsid w:val="001D67DB"/>
    <w:rsid w:val="001D6815"/>
    <w:rsid w:val="001D6937"/>
    <w:rsid w:val="001D6A7E"/>
    <w:rsid w:val="001D6AF6"/>
    <w:rsid w:val="001D6B41"/>
    <w:rsid w:val="001D6B5E"/>
    <w:rsid w:val="001D6D0C"/>
    <w:rsid w:val="001D6D65"/>
    <w:rsid w:val="001D6D7C"/>
    <w:rsid w:val="001D6DC8"/>
    <w:rsid w:val="001D6DEB"/>
    <w:rsid w:val="001D6EDC"/>
    <w:rsid w:val="001D6FF4"/>
    <w:rsid w:val="001D730E"/>
    <w:rsid w:val="001D7340"/>
    <w:rsid w:val="001D73C7"/>
    <w:rsid w:val="001D7481"/>
    <w:rsid w:val="001D7562"/>
    <w:rsid w:val="001D760E"/>
    <w:rsid w:val="001D764F"/>
    <w:rsid w:val="001D7731"/>
    <w:rsid w:val="001D778B"/>
    <w:rsid w:val="001D77A1"/>
    <w:rsid w:val="001D77BE"/>
    <w:rsid w:val="001D788C"/>
    <w:rsid w:val="001D790F"/>
    <w:rsid w:val="001D793E"/>
    <w:rsid w:val="001D7A29"/>
    <w:rsid w:val="001D7A61"/>
    <w:rsid w:val="001D7A8E"/>
    <w:rsid w:val="001D7AFC"/>
    <w:rsid w:val="001D7B12"/>
    <w:rsid w:val="001D7BC7"/>
    <w:rsid w:val="001D7CE8"/>
    <w:rsid w:val="001D7D0B"/>
    <w:rsid w:val="001D7D42"/>
    <w:rsid w:val="001D7D9A"/>
    <w:rsid w:val="001D7E42"/>
    <w:rsid w:val="001D7E5D"/>
    <w:rsid w:val="001D7E78"/>
    <w:rsid w:val="001D7EBF"/>
    <w:rsid w:val="001E0033"/>
    <w:rsid w:val="001E0045"/>
    <w:rsid w:val="001E0075"/>
    <w:rsid w:val="001E03EE"/>
    <w:rsid w:val="001E046A"/>
    <w:rsid w:val="001E049C"/>
    <w:rsid w:val="001E04E7"/>
    <w:rsid w:val="001E051A"/>
    <w:rsid w:val="001E067D"/>
    <w:rsid w:val="001E067E"/>
    <w:rsid w:val="001E0774"/>
    <w:rsid w:val="001E07C9"/>
    <w:rsid w:val="001E08D9"/>
    <w:rsid w:val="001E0925"/>
    <w:rsid w:val="001E0B6A"/>
    <w:rsid w:val="001E0BA5"/>
    <w:rsid w:val="001E0BB6"/>
    <w:rsid w:val="001E0C43"/>
    <w:rsid w:val="001E0CDE"/>
    <w:rsid w:val="001E0D3F"/>
    <w:rsid w:val="001E0D47"/>
    <w:rsid w:val="001E0D62"/>
    <w:rsid w:val="001E0DBC"/>
    <w:rsid w:val="001E0E67"/>
    <w:rsid w:val="001E0E9B"/>
    <w:rsid w:val="001E0EFF"/>
    <w:rsid w:val="001E1024"/>
    <w:rsid w:val="001E102C"/>
    <w:rsid w:val="001E1059"/>
    <w:rsid w:val="001E1089"/>
    <w:rsid w:val="001E10B3"/>
    <w:rsid w:val="001E1234"/>
    <w:rsid w:val="001E12B8"/>
    <w:rsid w:val="001E13B2"/>
    <w:rsid w:val="001E1448"/>
    <w:rsid w:val="001E14A9"/>
    <w:rsid w:val="001E14F4"/>
    <w:rsid w:val="001E1589"/>
    <w:rsid w:val="001E15E7"/>
    <w:rsid w:val="001E1677"/>
    <w:rsid w:val="001E16D7"/>
    <w:rsid w:val="001E170C"/>
    <w:rsid w:val="001E1799"/>
    <w:rsid w:val="001E17E0"/>
    <w:rsid w:val="001E18E8"/>
    <w:rsid w:val="001E18F6"/>
    <w:rsid w:val="001E192B"/>
    <w:rsid w:val="001E19BD"/>
    <w:rsid w:val="001E1A0B"/>
    <w:rsid w:val="001E1AB5"/>
    <w:rsid w:val="001E1AC4"/>
    <w:rsid w:val="001E1AFF"/>
    <w:rsid w:val="001E1BD6"/>
    <w:rsid w:val="001E1D3A"/>
    <w:rsid w:val="001E1D4A"/>
    <w:rsid w:val="001E1DC2"/>
    <w:rsid w:val="001E1E10"/>
    <w:rsid w:val="001E1ED8"/>
    <w:rsid w:val="001E1EF6"/>
    <w:rsid w:val="001E1FA6"/>
    <w:rsid w:val="001E1FCA"/>
    <w:rsid w:val="001E2002"/>
    <w:rsid w:val="001E2016"/>
    <w:rsid w:val="001E202D"/>
    <w:rsid w:val="001E20CB"/>
    <w:rsid w:val="001E20FD"/>
    <w:rsid w:val="001E2115"/>
    <w:rsid w:val="001E2195"/>
    <w:rsid w:val="001E2289"/>
    <w:rsid w:val="001E22F7"/>
    <w:rsid w:val="001E23D8"/>
    <w:rsid w:val="001E24EC"/>
    <w:rsid w:val="001E254E"/>
    <w:rsid w:val="001E258C"/>
    <w:rsid w:val="001E25F8"/>
    <w:rsid w:val="001E2641"/>
    <w:rsid w:val="001E2650"/>
    <w:rsid w:val="001E269A"/>
    <w:rsid w:val="001E26AC"/>
    <w:rsid w:val="001E2714"/>
    <w:rsid w:val="001E2722"/>
    <w:rsid w:val="001E2787"/>
    <w:rsid w:val="001E2858"/>
    <w:rsid w:val="001E291B"/>
    <w:rsid w:val="001E2983"/>
    <w:rsid w:val="001E2A5F"/>
    <w:rsid w:val="001E2AAB"/>
    <w:rsid w:val="001E2BC7"/>
    <w:rsid w:val="001E2BE5"/>
    <w:rsid w:val="001E2D44"/>
    <w:rsid w:val="001E2E73"/>
    <w:rsid w:val="001E2EC0"/>
    <w:rsid w:val="001E2F1A"/>
    <w:rsid w:val="001E2FEB"/>
    <w:rsid w:val="001E3165"/>
    <w:rsid w:val="001E331B"/>
    <w:rsid w:val="001E334E"/>
    <w:rsid w:val="001E3384"/>
    <w:rsid w:val="001E3478"/>
    <w:rsid w:val="001E347F"/>
    <w:rsid w:val="001E3501"/>
    <w:rsid w:val="001E35DD"/>
    <w:rsid w:val="001E360E"/>
    <w:rsid w:val="001E3648"/>
    <w:rsid w:val="001E3658"/>
    <w:rsid w:val="001E36D2"/>
    <w:rsid w:val="001E36EA"/>
    <w:rsid w:val="001E3738"/>
    <w:rsid w:val="001E37D8"/>
    <w:rsid w:val="001E37FE"/>
    <w:rsid w:val="001E3833"/>
    <w:rsid w:val="001E3890"/>
    <w:rsid w:val="001E389B"/>
    <w:rsid w:val="001E38D2"/>
    <w:rsid w:val="001E39B4"/>
    <w:rsid w:val="001E3A4F"/>
    <w:rsid w:val="001E3B50"/>
    <w:rsid w:val="001E3B97"/>
    <w:rsid w:val="001E3C04"/>
    <w:rsid w:val="001E3CB9"/>
    <w:rsid w:val="001E3DED"/>
    <w:rsid w:val="001E3DF2"/>
    <w:rsid w:val="001E3E2F"/>
    <w:rsid w:val="001E3E38"/>
    <w:rsid w:val="001E3E7F"/>
    <w:rsid w:val="001E3ECE"/>
    <w:rsid w:val="001E4016"/>
    <w:rsid w:val="001E401A"/>
    <w:rsid w:val="001E40FF"/>
    <w:rsid w:val="001E411B"/>
    <w:rsid w:val="001E4122"/>
    <w:rsid w:val="001E4134"/>
    <w:rsid w:val="001E421C"/>
    <w:rsid w:val="001E4232"/>
    <w:rsid w:val="001E439E"/>
    <w:rsid w:val="001E440D"/>
    <w:rsid w:val="001E4457"/>
    <w:rsid w:val="001E44C5"/>
    <w:rsid w:val="001E4507"/>
    <w:rsid w:val="001E461F"/>
    <w:rsid w:val="001E479E"/>
    <w:rsid w:val="001E47A6"/>
    <w:rsid w:val="001E47E3"/>
    <w:rsid w:val="001E4857"/>
    <w:rsid w:val="001E48E2"/>
    <w:rsid w:val="001E496F"/>
    <w:rsid w:val="001E4983"/>
    <w:rsid w:val="001E4A29"/>
    <w:rsid w:val="001E4B3E"/>
    <w:rsid w:val="001E4E0F"/>
    <w:rsid w:val="001E4EA2"/>
    <w:rsid w:val="001E4EEE"/>
    <w:rsid w:val="001E4F6D"/>
    <w:rsid w:val="001E4FE0"/>
    <w:rsid w:val="001E50FF"/>
    <w:rsid w:val="001E5116"/>
    <w:rsid w:val="001E516A"/>
    <w:rsid w:val="001E5220"/>
    <w:rsid w:val="001E5267"/>
    <w:rsid w:val="001E529A"/>
    <w:rsid w:val="001E531D"/>
    <w:rsid w:val="001E53B0"/>
    <w:rsid w:val="001E5443"/>
    <w:rsid w:val="001E552D"/>
    <w:rsid w:val="001E5642"/>
    <w:rsid w:val="001E5679"/>
    <w:rsid w:val="001E570A"/>
    <w:rsid w:val="001E57CF"/>
    <w:rsid w:val="001E57FD"/>
    <w:rsid w:val="001E581F"/>
    <w:rsid w:val="001E5892"/>
    <w:rsid w:val="001E59FD"/>
    <w:rsid w:val="001E5A38"/>
    <w:rsid w:val="001E5A3E"/>
    <w:rsid w:val="001E5A4E"/>
    <w:rsid w:val="001E5AEA"/>
    <w:rsid w:val="001E5BF4"/>
    <w:rsid w:val="001E5C02"/>
    <w:rsid w:val="001E5CE5"/>
    <w:rsid w:val="001E5D2C"/>
    <w:rsid w:val="001E5D40"/>
    <w:rsid w:val="001E5D56"/>
    <w:rsid w:val="001E5DA2"/>
    <w:rsid w:val="001E5E39"/>
    <w:rsid w:val="001E5E46"/>
    <w:rsid w:val="001E5E95"/>
    <w:rsid w:val="001E5F27"/>
    <w:rsid w:val="001E5F9D"/>
    <w:rsid w:val="001E6010"/>
    <w:rsid w:val="001E60BD"/>
    <w:rsid w:val="001E60E6"/>
    <w:rsid w:val="001E6146"/>
    <w:rsid w:val="001E6440"/>
    <w:rsid w:val="001E64CA"/>
    <w:rsid w:val="001E6510"/>
    <w:rsid w:val="001E6517"/>
    <w:rsid w:val="001E6535"/>
    <w:rsid w:val="001E65B7"/>
    <w:rsid w:val="001E682D"/>
    <w:rsid w:val="001E68ED"/>
    <w:rsid w:val="001E6944"/>
    <w:rsid w:val="001E6A95"/>
    <w:rsid w:val="001E6A9E"/>
    <w:rsid w:val="001E6B6F"/>
    <w:rsid w:val="001E6C93"/>
    <w:rsid w:val="001E6CD4"/>
    <w:rsid w:val="001E6DEF"/>
    <w:rsid w:val="001E6E63"/>
    <w:rsid w:val="001E6EE3"/>
    <w:rsid w:val="001E6EE5"/>
    <w:rsid w:val="001E6EFF"/>
    <w:rsid w:val="001E6F4B"/>
    <w:rsid w:val="001E6F57"/>
    <w:rsid w:val="001E6F9F"/>
    <w:rsid w:val="001E6FA2"/>
    <w:rsid w:val="001E6FA3"/>
    <w:rsid w:val="001E704D"/>
    <w:rsid w:val="001E7121"/>
    <w:rsid w:val="001E71BF"/>
    <w:rsid w:val="001E71E2"/>
    <w:rsid w:val="001E7306"/>
    <w:rsid w:val="001E7353"/>
    <w:rsid w:val="001E7510"/>
    <w:rsid w:val="001E7596"/>
    <w:rsid w:val="001E7601"/>
    <w:rsid w:val="001E760E"/>
    <w:rsid w:val="001E7795"/>
    <w:rsid w:val="001E77C9"/>
    <w:rsid w:val="001E77D9"/>
    <w:rsid w:val="001E7833"/>
    <w:rsid w:val="001E7867"/>
    <w:rsid w:val="001E7976"/>
    <w:rsid w:val="001E79BA"/>
    <w:rsid w:val="001E7A29"/>
    <w:rsid w:val="001E7A53"/>
    <w:rsid w:val="001E7AC4"/>
    <w:rsid w:val="001E7C06"/>
    <w:rsid w:val="001E7CC3"/>
    <w:rsid w:val="001E7E1F"/>
    <w:rsid w:val="001E7FE8"/>
    <w:rsid w:val="001EBDA0"/>
    <w:rsid w:val="001F0001"/>
    <w:rsid w:val="001F004D"/>
    <w:rsid w:val="001F021C"/>
    <w:rsid w:val="001F026B"/>
    <w:rsid w:val="001F0302"/>
    <w:rsid w:val="001F03DF"/>
    <w:rsid w:val="001F03EF"/>
    <w:rsid w:val="001F0426"/>
    <w:rsid w:val="001F046C"/>
    <w:rsid w:val="001F04CB"/>
    <w:rsid w:val="001F0519"/>
    <w:rsid w:val="001F052F"/>
    <w:rsid w:val="001F05CF"/>
    <w:rsid w:val="001F05E1"/>
    <w:rsid w:val="001F0613"/>
    <w:rsid w:val="001F0680"/>
    <w:rsid w:val="001F06D7"/>
    <w:rsid w:val="001F07BE"/>
    <w:rsid w:val="001F0836"/>
    <w:rsid w:val="001F08C6"/>
    <w:rsid w:val="001F092C"/>
    <w:rsid w:val="001F095F"/>
    <w:rsid w:val="001F0B9A"/>
    <w:rsid w:val="001F0BC3"/>
    <w:rsid w:val="001F0D5A"/>
    <w:rsid w:val="001F0D82"/>
    <w:rsid w:val="001F0EAC"/>
    <w:rsid w:val="001F0EEF"/>
    <w:rsid w:val="001F0F68"/>
    <w:rsid w:val="001F0F95"/>
    <w:rsid w:val="001F1087"/>
    <w:rsid w:val="001F10D0"/>
    <w:rsid w:val="001F1238"/>
    <w:rsid w:val="001F12A0"/>
    <w:rsid w:val="001F135E"/>
    <w:rsid w:val="001F138E"/>
    <w:rsid w:val="001F13C9"/>
    <w:rsid w:val="001F1408"/>
    <w:rsid w:val="001F1446"/>
    <w:rsid w:val="001F1462"/>
    <w:rsid w:val="001F15B0"/>
    <w:rsid w:val="001F15FB"/>
    <w:rsid w:val="001F1644"/>
    <w:rsid w:val="001F166E"/>
    <w:rsid w:val="001F1725"/>
    <w:rsid w:val="001F172D"/>
    <w:rsid w:val="001F1743"/>
    <w:rsid w:val="001F176B"/>
    <w:rsid w:val="001F1806"/>
    <w:rsid w:val="001F1863"/>
    <w:rsid w:val="001F1892"/>
    <w:rsid w:val="001F189D"/>
    <w:rsid w:val="001F1919"/>
    <w:rsid w:val="001F1940"/>
    <w:rsid w:val="001F199B"/>
    <w:rsid w:val="001F1A5D"/>
    <w:rsid w:val="001F1ABB"/>
    <w:rsid w:val="001F1AC5"/>
    <w:rsid w:val="001F1BA3"/>
    <w:rsid w:val="001F1BE1"/>
    <w:rsid w:val="001F1C86"/>
    <w:rsid w:val="001F1CCC"/>
    <w:rsid w:val="001F1CEC"/>
    <w:rsid w:val="001F1DC4"/>
    <w:rsid w:val="001F1DCB"/>
    <w:rsid w:val="001F1E95"/>
    <w:rsid w:val="001F1F61"/>
    <w:rsid w:val="001F1FC9"/>
    <w:rsid w:val="001F1FCB"/>
    <w:rsid w:val="001F1FF9"/>
    <w:rsid w:val="001F20EC"/>
    <w:rsid w:val="001F20F5"/>
    <w:rsid w:val="001F2113"/>
    <w:rsid w:val="001F22A0"/>
    <w:rsid w:val="001F22F6"/>
    <w:rsid w:val="001F23E6"/>
    <w:rsid w:val="001F23F4"/>
    <w:rsid w:val="001F2444"/>
    <w:rsid w:val="001F24E6"/>
    <w:rsid w:val="001F2741"/>
    <w:rsid w:val="001F27AE"/>
    <w:rsid w:val="001F2819"/>
    <w:rsid w:val="001F2901"/>
    <w:rsid w:val="001F292D"/>
    <w:rsid w:val="001F2B40"/>
    <w:rsid w:val="001F2B51"/>
    <w:rsid w:val="001F2D2F"/>
    <w:rsid w:val="001F2E0D"/>
    <w:rsid w:val="001F302C"/>
    <w:rsid w:val="001F307F"/>
    <w:rsid w:val="001F30D4"/>
    <w:rsid w:val="001F30FD"/>
    <w:rsid w:val="001F3110"/>
    <w:rsid w:val="001F326A"/>
    <w:rsid w:val="001F32AD"/>
    <w:rsid w:val="001F3307"/>
    <w:rsid w:val="001F336C"/>
    <w:rsid w:val="001F3478"/>
    <w:rsid w:val="001F348E"/>
    <w:rsid w:val="001F34AA"/>
    <w:rsid w:val="001F3564"/>
    <w:rsid w:val="001F35CA"/>
    <w:rsid w:val="001F35E2"/>
    <w:rsid w:val="001F36C7"/>
    <w:rsid w:val="001F36CB"/>
    <w:rsid w:val="001F36E7"/>
    <w:rsid w:val="001F36EE"/>
    <w:rsid w:val="001F3715"/>
    <w:rsid w:val="001F375B"/>
    <w:rsid w:val="001F3846"/>
    <w:rsid w:val="001F38E6"/>
    <w:rsid w:val="001F3920"/>
    <w:rsid w:val="001F3A0E"/>
    <w:rsid w:val="001F3A84"/>
    <w:rsid w:val="001F3C64"/>
    <w:rsid w:val="001F3D01"/>
    <w:rsid w:val="001F3E15"/>
    <w:rsid w:val="001F3F47"/>
    <w:rsid w:val="001F3F69"/>
    <w:rsid w:val="001F3FE1"/>
    <w:rsid w:val="001F40F4"/>
    <w:rsid w:val="001F4145"/>
    <w:rsid w:val="001F42DA"/>
    <w:rsid w:val="001F4317"/>
    <w:rsid w:val="001F4318"/>
    <w:rsid w:val="001F433E"/>
    <w:rsid w:val="001F4393"/>
    <w:rsid w:val="001F4394"/>
    <w:rsid w:val="001F43AF"/>
    <w:rsid w:val="001F43FB"/>
    <w:rsid w:val="001F4416"/>
    <w:rsid w:val="001F444D"/>
    <w:rsid w:val="001F4463"/>
    <w:rsid w:val="001F4467"/>
    <w:rsid w:val="001F4608"/>
    <w:rsid w:val="001F4663"/>
    <w:rsid w:val="001F4721"/>
    <w:rsid w:val="001F4759"/>
    <w:rsid w:val="001F47ED"/>
    <w:rsid w:val="001F47FF"/>
    <w:rsid w:val="001F4826"/>
    <w:rsid w:val="001F4912"/>
    <w:rsid w:val="001F4B38"/>
    <w:rsid w:val="001F4C9E"/>
    <w:rsid w:val="001F4E11"/>
    <w:rsid w:val="001F4E93"/>
    <w:rsid w:val="001F4F2E"/>
    <w:rsid w:val="001F4FA9"/>
    <w:rsid w:val="001F5014"/>
    <w:rsid w:val="001F501E"/>
    <w:rsid w:val="001F5030"/>
    <w:rsid w:val="001F5213"/>
    <w:rsid w:val="001F52C2"/>
    <w:rsid w:val="001F54A1"/>
    <w:rsid w:val="001F54F9"/>
    <w:rsid w:val="001F552E"/>
    <w:rsid w:val="001F5565"/>
    <w:rsid w:val="001F5598"/>
    <w:rsid w:val="001F55D9"/>
    <w:rsid w:val="001F55FD"/>
    <w:rsid w:val="001F5607"/>
    <w:rsid w:val="001F5747"/>
    <w:rsid w:val="001F57E0"/>
    <w:rsid w:val="001F5808"/>
    <w:rsid w:val="001F5851"/>
    <w:rsid w:val="001F5898"/>
    <w:rsid w:val="001F594F"/>
    <w:rsid w:val="001F5967"/>
    <w:rsid w:val="001F5996"/>
    <w:rsid w:val="001F59CF"/>
    <w:rsid w:val="001F5AC8"/>
    <w:rsid w:val="001F5D32"/>
    <w:rsid w:val="001F5E7C"/>
    <w:rsid w:val="001F5EC5"/>
    <w:rsid w:val="001F5F75"/>
    <w:rsid w:val="001F600C"/>
    <w:rsid w:val="001F6095"/>
    <w:rsid w:val="001F611C"/>
    <w:rsid w:val="001F6276"/>
    <w:rsid w:val="001F629D"/>
    <w:rsid w:val="001F63AB"/>
    <w:rsid w:val="001F642B"/>
    <w:rsid w:val="001F6467"/>
    <w:rsid w:val="001F64E7"/>
    <w:rsid w:val="001F6526"/>
    <w:rsid w:val="001F657F"/>
    <w:rsid w:val="001F65B3"/>
    <w:rsid w:val="001F65EA"/>
    <w:rsid w:val="001F660F"/>
    <w:rsid w:val="001F6634"/>
    <w:rsid w:val="001F6688"/>
    <w:rsid w:val="001F671B"/>
    <w:rsid w:val="001F684D"/>
    <w:rsid w:val="001F6859"/>
    <w:rsid w:val="001F68F8"/>
    <w:rsid w:val="001F6984"/>
    <w:rsid w:val="001F698A"/>
    <w:rsid w:val="001F69A0"/>
    <w:rsid w:val="001F6A39"/>
    <w:rsid w:val="001F6A96"/>
    <w:rsid w:val="001F6AEA"/>
    <w:rsid w:val="001F6BAE"/>
    <w:rsid w:val="001F6BDC"/>
    <w:rsid w:val="001F6C2E"/>
    <w:rsid w:val="001F6C33"/>
    <w:rsid w:val="001F6C3D"/>
    <w:rsid w:val="001F6D59"/>
    <w:rsid w:val="001F6D62"/>
    <w:rsid w:val="001F6DDD"/>
    <w:rsid w:val="001F6F1A"/>
    <w:rsid w:val="001F6F26"/>
    <w:rsid w:val="001F6F44"/>
    <w:rsid w:val="001F6F58"/>
    <w:rsid w:val="001F6FAE"/>
    <w:rsid w:val="001F6FE3"/>
    <w:rsid w:val="001F7013"/>
    <w:rsid w:val="001F7020"/>
    <w:rsid w:val="001F70A6"/>
    <w:rsid w:val="001F70B8"/>
    <w:rsid w:val="001F70F5"/>
    <w:rsid w:val="001F7132"/>
    <w:rsid w:val="001F7163"/>
    <w:rsid w:val="001F71AC"/>
    <w:rsid w:val="001F71D0"/>
    <w:rsid w:val="001F723F"/>
    <w:rsid w:val="001F7256"/>
    <w:rsid w:val="001F72A9"/>
    <w:rsid w:val="001F7444"/>
    <w:rsid w:val="001F752B"/>
    <w:rsid w:val="001F7531"/>
    <w:rsid w:val="001F753C"/>
    <w:rsid w:val="001F7553"/>
    <w:rsid w:val="001F75AA"/>
    <w:rsid w:val="001F75FA"/>
    <w:rsid w:val="001F7617"/>
    <w:rsid w:val="001F7634"/>
    <w:rsid w:val="001F7688"/>
    <w:rsid w:val="001F77B7"/>
    <w:rsid w:val="001F77DA"/>
    <w:rsid w:val="001F78F5"/>
    <w:rsid w:val="001F79F5"/>
    <w:rsid w:val="001F7A24"/>
    <w:rsid w:val="001F7AAC"/>
    <w:rsid w:val="001F7B04"/>
    <w:rsid w:val="001F7B6C"/>
    <w:rsid w:val="001F7C18"/>
    <w:rsid w:val="001F7CA7"/>
    <w:rsid w:val="001F7CB1"/>
    <w:rsid w:val="001F7D24"/>
    <w:rsid w:val="001F7D30"/>
    <w:rsid w:val="001F7D68"/>
    <w:rsid w:val="001F7D6D"/>
    <w:rsid w:val="001F7D98"/>
    <w:rsid w:val="001F7DA4"/>
    <w:rsid w:val="001F7E68"/>
    <w:rsid w:val="001F7E80"/>
    <w:rsid w:val="001F7E94"/>
    <w:rsid w:val="001F7F48"/>
    <w:rsid w:val="0020013A"/>
    <w:rsid w:val="00200263"/>
    <w:rsid w:val="00200291"/>
    <w:rsid w:val="002003B3"/>
    <w:rsid w:val="002003F1"/>
    <w:rsid w:val="00200485"/>
    <w:rsid w:val="00200564"/>
    <w:rsid w:val="00200591"/>
    <w:rsid w:val="0020062C"/>
    <w:rsid w:val="002006A2"/>
    <w:rsid w:val="002007A8"/>
    <w:rsid w:val="002007AC"/>
    <w:rsid w:val="00200885"/>
    <w:rsid w:val="002008A5"/>
    <w:rsid w:val="00200901"/>
    <w:rsid w:val="002009A8"/>
    <w:rsid w:val="00200A9E"/>
    <w:rsid w:val="00200DB8"/>
    <w:rsid w:val="00200EE0"/>
    <w:rsid w:val="00200F58"/>
    <w:rsid w:val="00200F93"/>
    <w:rsid w:val="00201098"/>
    <w:rsid w:val="002010F3"/>
    <w:rsid w:val="0020121A"/>
    <w:rsid w:val="002012E8"/>
    <w:rsid w:val="00201308"/>
    <w:rsid w:val="0020138D"/>
    <w:rsid w:val="002013E1"/>
    <w:rsid w:val="00201414"/>
    <w:rsid w:val="0020145A"/>
    <w:rsid w:val="002014A3"/>
    <w:rsid w:val="002015D7"/>
    <w:rsid w:val="002015F2"/>
    <w:rsid w:val="00201649"/>
    <w:rsid w:val="0020164B"/>
    <w:rsid w:val="00201760"/>
    <w:rsid w:val="002018BB"/>
    <w:rsid w:val="00201921"/>
    <w:rsid w:val="00201975"/>
    <w:rsid w:val="002019E6"/>
    <w:rsid w:val="00201AA8"/>
    <w:rsid w:val="00201B49"/>
    <w:rsid w:val="00201BF7"/>
    <w:rsid w:val="00201CD5"/>
    <w:rsid w:val="00201E27"/>
    <w:rsid w:val="00201F53"/>
    <w:rsid w:val="00201F6C"/>
    <w:rsid w:val="00201FBE"/>
    <w:rsid w:val="00201FC5"/>
    <w:rsid w:val="00201FD4"/>
    <w:rsid w:val="00201FEA"/>
    <w:rsid w:val="00202040"/>
    <w:rsid w:val="00202117"/>
    <w:rsid w:val="00202223"/>
    <w:rsid w:val="0020234E"/>
    <w:rsid w:val="0020238A"/>
    <w:rsid w:val="00202421"/>
    <w:rsid w:val="002024AD"/>
    <w:rsid w:val="00202570"/>
    <w:rsid w:val="00202651"/>
    <w:rsid w:val="002026D8"/>
    <w:rsid w:val="00202757"/>
    <w:rsid w:val="00202766"/>
    <w:rsid w:val="00202796"/>
    <w:rsid w:val="002028CC"/>
    <w:rsid w:val="002028E2"/>
    <w:rsid w:val="0020290A"/>
    <w:rsid w:val="00202947"/>
    <w:rsid w:val="0020297B"/>
    <w:rsid w:val="002029BB"/>
    <w:rsid w:val="002029DD"/>
    <w:rsid w:val="00202A2C"/>
    <w:rsid w:val="00202A3D"/>
    <w:rsid w:val="00202A6A"/>
    <w:rsid w:val="00202AB6"/>
    <w:rsid w:val="00202B61"/>
    <w:rsid w:val="00202C72"/>
    <w:rsid w:val="00202C78"/>
    <w:rsid w:val="00202D11"/>
    <w:rsid w:val="00202D15"/>
    <w:rsid w:val="00202DC8"/>
    <w:rsid w:val="00202E0B"/>
    <w:rsid w:val="00202E37"/>
    <w:rsid w:val="00202E49"/>
    <w:rsid w:val="00202E67"/>
    <w:rsid w:val="00202EC4"/>
    <w:rsid w:val="00202ECD"/>
    <w:rsid w:val="00202ED9"/>
    <w:rsid w:val="00202F39"/>
    <w:rsid w:val="00203036"/>
    <w:rsid w:val="00203052"/>
    <w:rsid w:val="0020307B"/>
    <w:rsid w:val="002030A1"/>
    <w:rsid w:val="002030AA"/>
    <w:rsid w:val="0020312D"/>
    <w:rsid w:val="00203138"/>
    <w:rsid w:val="00203156"/>
    <w:rsid w:val="00203212"/>
    <w:rsid w:val="002032DB"/>
    <w:rsid w:val="002032E7"/>
    <w:rsid w:val="002032FC"/>
    <w:rsid w:val="002033F8"/>
    <w:rsid w:val="0020341C"/>
    <w:rsid w:val="0020349E"/>
    <w:rsid w:val="00203506"/>
    <w:rsid w:val="0020356D"/>
    <w:rsid w:val="002035A6"/>
    <w:rsid w:val="002036B2"/>
    <w:rsid w:val="002036F3"/>
    <w:rsid w:val="00203751"/>
    <w:rsid w:val="00203762"/>
    <w:rsid w:val="00203790"/>
    <w:rsid w:val="002037D7"/>
    <w:rsid w:val="00203807"/>
    <w:rsid w:val="002039C5"/>
    <w:rsid w:val="002039C7"/>
    <w:rsid w:val="00203A15"/>
    <w:rsid w:val="00203A23"/>
    <w:rsid w:val="00203AB2"/>
    <w:rsid w:val="00203B4C"/>
    <w:rsid w:val="00203B61"/>
    <w:rsid w:val="00203CA5"/>
    <w:rsid w:val="00203CE2"/>
    <w:rsid w:val="00203CE6"/>
    <w:rsid w:val="00203E4C"/>
    <w:rsid w:val="00203E52"/>
    <w:rsid w:val="00203E87"/>
    <w:rsid w:val="00203F56"/>
    <w:rsid w:val="00203F6E"/>
    <w:rsid w:val="00203FB4"/>
    <w:rsid w:val="00204037"/>
    <w:rsid w:val="0020403A"/>
    <w:rsid w:val="002041F9"/>
    <w:rsid w:val="00204221"/>
    <w:rsid w:val="0020425B"/>
    <w:rsid w:val="0020426C"/>
    <w:rsid w:val="002042DC"/>
    <w:rsid w:val="002042E5"/>
    <w:rsid w:val="0020430D"/>
    <w:rsid w:val="00204448"/>
    <w:rsid w:val="00204460"/>
    <w:rsid w:val="002045D0"/>
    <w:rsid w:val="002046E8"/>
    <w:rsid w:val="00204891"/>
    <w:rsid w:val="002048B6"/>
    <w:rsid w:val="002048CA"/>
    <w:rsid w:val="00204994"/>
    <w:rsid w:val="00204A21"/>
    <w:rsid w:val="00204A23"/>
    <w:rsid w:val="00204B24"/>
    <w:rsid w:val="00204C18"/>
    <w:rsid w:val="00204E86"/>
    <w:rsid w:val="00204ED9"/>
    <w:rsid w:val="00204F5B"/>
    <w:rsid w:val="00204F9D"/>
    <w:rsid w:val="00204FAC"/>
    <w:rsid w:val="0020506C"/>
    <w:rsid w:val="00205080"/>
    <w:rsid w:val="00205140"/>
    <w:rsid w:val="002051D0"/>
    <w:rsid w:val="002051D3"/>
    <w:rsid w:val="0020527A"/>
    <w:rsid w:val="002052B2"/>
    <w:rsid w:val="00205330"/>
    <w:rsid w:val="002053A5"/>
    <w:rsid w:val="00205485"/>
    <w:rsid w:val="002054DC"/>
    <w:rsid w:val="002054F6"/>
    <w:rsid w:val="00205634"/>
    <w:rsid w:val="002056B8"/>
    <w:rsid w:val="002056D1"/>
    <w:rsid w:val="00205787"/>
    <w:rsid w:val="002058BC"/>
    <w:rsid w:val="002058BD"/>
    <w:rsid w:val="002058DD"/>
    <w:rsid w:val="00205956"/>
    <w:rsid w:val="00205B3A"/>
    <w:rsid w:val="00205B9A"/>
    <w:rsid w:val="00205BD8"/>
    <w:rsid w:val="00205C63"/>
    <w:rsid w:val="00205C85"/>
    <w:rsid w:val="00205C97"/>
    <w:rsid w:val="00205D93"/>
    <w:rsid w:val="00205DF2"/>
    <w:rsid w:val="00205E06"/>
    <w:rsid w:val="00205E45"/>
    <w:rsid w:val="00205EA5"/>
    <w:rsid w:val="00205F9C"/>
    <w:rsid w:val="00205FE6"/>
    <w:rsid w:val="00205FED"/>
    <w:rsid w:val="00206024"/>
    <w:rsid w:val="002061CE"/>
    <w:rsid w:val="00206393"/>
    <w:rsid w:val="00206490"/>
    <w:rsid w:val="002064ED"/>
    <w:rsid w:val="00206511"/>
    <w:rsid w:val="00206513"/>
    <w:rsid w:val="00206548"/>
    <w:rsid w:val="002065A3"/>
    <w:rsid w:val="00206657"/>
    <w:rsid w:val="002067C3"/>
    <w:rsid w:val="002068C8"/>
    <w:rsid w:val="0020698B"/>
    <w:rsid w:val="0020699F"/>
    <w:rsid w:val="00206A43"/>
    <w:rsid w:val="00206A88"/>
    <w:rsid w:val="00206AB7"/>
    <w:rsid w:val="00206ADA"/>
    <w:rsid w:val="00206C25"/>
    <w:rsid w:val="00206E34"/>
    <w:rsid w:val="00206E93"/>
    <w:rsid w:val="00206EDA"/>
    <w:rsid w:val="00206EF4"/>
    <w:rsid w:val="00206F62"/>
    <w:rsid w:val="00206FF7"/>
    <w:rsid w:val="002070D9"/>
    <w:rsid w:val="00207148"/>
    <w:rsid w:val="0020726B"/>
    <w:rsid w:val="002072EC"/>
    <w:rsid w:val="00207359"/>
    <w:rsid w:val="0020743B"/>
    <w:rsid w:val="00207550"/>
    <w:rsid w:val="002075A1"/>
    <w:rsid w:val="00207658"/>
    <w:rsid w:val="002076D4"/>
    <w:rsid w:val="002076F1"/>
    <w:rsid w:val="002076F4"/>
    <w:rsid w:val="002076FF"/>
    <w:rsid w:val="002077FB"/>
    <w:rsid w:val="00207A79"/>
    <w:rsid w:val="00207BE6"/>
    <w:rsid w:val="00207BF3"/>
    <w:rsid w:val="00207C22"/>
    <w:rsid w:val="00207C74"/>
    <w:rsid w:val="00207D14"/>
    <w:rsid w:val="00207D72"/>
    <w:rsid w:val="00207F5D"/>
    <w:rsid w:val="00207F64"/>
    <w:rsid w:val="00210062"/>
    <w:rsid w:val="002100BB"/>
    <w:rsid w:val="0021019C"/>
    <w:rsid w:val="002101AF"/>
    <w:rsid w:val="002101C3"/>
    <w:rsid w:val="0021022B"/>
    <w:rsid w:val="00210239"/>
    <w:rsid w:val="00210293"/>
    <w:rsid w:val="002102D1"/>
    <w:rsid w:val="002102EE"/>
    <w:rsid w:val="0021034A"/>
    <w:rsid w:val="0021044D"/>
    <w:rsid w:val="002104A0"/>
    <w:rsid w:val="00210534"/>
    <w:rsid w:val="0021067B"/>
    <w:rsid w:val="00210716"/>
    <w:rsid w:val="00210772"/>
    <w:rsid w:val="0021077D"/>
    <w:rsid w:val="00210826"/>
    <w:rsid w:val="0021083C"/>
    <w:rsid w:val="00210882"/>
    <w:rsid w:val="002108D4"/>
    <w:rsid w:val="0021091A"/>
    <w:rsid w:val="00210975"/>
    <w:rsid w:val="002109FA"/>
    <w:rsid w:val="00210A01"/>
    <w:rsid w:val="00210A43"/>
    <w:rsid w:val="00210AC6"/>
    <w:rsid w:val="00210B4B"/>
    <w:rsid w:val="00210C3E"/>
    <w:rsid w:val="00210CEA"/>
    <w:rsid w:val="00210D3B"/>
    <w:rsid w:val="00210DBB"/>
    <w:rsid w:val="00210DF2"/>
    <w:rsid w:val="00210EB0"/>
    <w:rsid w:val="00210EBA"/>
    <w:rsid w:val="00210EC5"/>
    <w:rsid w:val="00210EE4"/>
    <w:rsid w:val="00210F25"/>
    <w:rsid w:val="00210F3A"/>
    <w:rsid w:val="00210FF3"/>
    <w:rsid w:val="0021105D"/>
    <w:rsid w:val="00211068"/>
    <w:rsid w:val="002110CD"/>
    <w:rsid w:val="00211109"/>
    <w:rsid w:val="0021112C"/>
    <w:rsid w:val="00211132"/>
    <w:rsid w:val="0021125F"/>
    <w:rsid w:val="00211281"/>
    <w:rsid w:val="00211287"/>
    <w:rsid w:val="0021129D"/>
    <w:rsid w:val="0021136B"/>
    <w:rsid w:val="002113A6"/>
    <w:rsid w:val="0021140B"/>
    <w:rsid w:val="00211421"/>
    <w:rsid w:val="0021142E"/>
    <w:rsid w:val="002114FB"/>
    <w:rsid w:val="00211596"/>
    <w:rsid w:val="002115C2"/>
    <w:rsid w:val="0021166C"/>
    <w:rsid w:val="00211764"/>
    <w:rsid w:val="00211779"/>
    <w:rsid w:val="002117D1"/>
    <w:rsid w:val="00211834"/>
    <w:rsid w:val="002119BE"/>
    <w:rsid w:val="00211DF7"/>
    <w:rsid w:val="00211E0F"/>
    <w:rsid w:val="00211E7D"/>
    <w:rsid w:val="00211F61"/>
    <w:rsid w:val="0021206D"/>
    <w:rsid w:val="00212129"/>
    <w:rsid w:val="00212159"/>
    <w:rsid w:val="002121A0"/>
    <w:rsid w:val="002121AD"/>
    <w:rsid w:val="002121B5"/>
    <w:rsid w:val="00212203"/>
    <w:rsid w:val="00212304"/>
    <w:rsid w:val="00212375"/>
    <w:rsid w:val="002124C2"/>
    <w:rsid w:val="002124E1"/>
    <w:rsid w:val="0021252A"/>
    <w:rsid w:val="0021253D"/>
    <w:rsid w:val="002125E7"/>
    <w:rsid w:val="00212626"/>
    <w:rsid w:val="00212654"/>
    <w:rsid w:val="00212680"/>
    <w:rsid w:val="00212720"/>
    <w:rsid w:val="00212761"/>
    <w:rsid w:val="00212839"/>
    <w:rsid w:val="00212852"/>
    <w:rsid w:val="00212879"/>
    <w:rsid w:val="002128CD"/>
    <w:rsid w:val="00212963"/>
    <w:rsid w:val="002129E6"/>
    <w:rsid w:val="002129E9"/>
    <w:rsid w:val="00212AE8"/>
    <w:rsid w:val="00212BA8"/>
    <w:rsid w:val="00212CB0"/>
    <w:rsid w:val="00212CFE"/>
    <w:rsid w:val="00212D9E"/>
    <w:rsid w:val="00212DEF"/>
    <w:rsid w:val="00212E88"/>
    <w:rsid w:val="00212EE8"/>
    <w:rsid w:val="00212F23"/>
    <w:rsid w:val="00212F79"/>
    <w:rsid w:val="00212FBE"/>
    <w:rsid w:val="0021303F"/>
    <w:rsid w:val="002130A5"/>
    <w:rsid w:val="00213179"/>
    <w:rsid w:val="0021319C"/>
    <w:rsid w:val="002131FA"/>
    <w:rsid w:val="00213251"/>
    <w:rsid w:val="00213343"/>
    <w:rsid w:val="0021342F"/>
    <w:rsid w:val="0021350B"/>
    <w:rsid w:val="002135DB"/>
    <w:rsid w:val="00213747"/>
    <w:rsid w:val="00213767"/>
    <w:rsid w:val="00213785"/>
    <w:rsid w:val="002139D2"/>
    <w:rsid w:val="00213A8A"/>
    <w:rsid w:val="00213AA6"/>
    <w:rsid w:val="00213B59"/>
    <w:rsid w:val="00213C73"/>
    <w:rsid w:val="00213D55"/>
    <w:rsid w:val="00213DBD"/>
    <w:rsid w:val="00213E4A"/>
    <w:rsid w:val="00213E7E"/>
    <w:rsid w:val="00213EA9"/>
    <w:rsid w:val="00214014"/>
    <w:rsid w:val="002140C2"/>
    <w:rsid w:val="002140D7"/>
    <w:rsid w:val="0021418D"/>
    <w:rsid w:val="002141CF"/>
    <w:rsid w:val="00214228"/>
    <w:rsid w:val="002142A6"/>
    <w:rsid w:val="0021433B"/>
    <w:rsid w:val="002143BF"/>
    <w:rsid w:val="002143E0"/>
    <w:rsid w:val="002143FA"/>
    <w:rsid w:val="00214428"/>
    <w:rsid w:val="0021461A"/>
    <w:rsid w:val="002146F8"/>
    <w:rsid w:val="00214711"/>
    <w:rsid w:val="0021475B"/>
    <w:rsid w:val="00214798"/>
    <w:rsid w:val="00214844"/>
    <w:rsid w:val="00214905"/>
    <w:rsid w:val="0021496F"/>
    <w:rsid w:val="00214A78"/>
    <w:rsid w:val="00214BC0"/>
    <w:rsid w:val="00214BD9"/>
    <w:rsid w:val="00214C78"/>
    <w:rsid w:val="00214CC2"/>
    <w:rsid w:val="00214D38"/>
    <w:rsid w:val="00214DB7"/>
    <w:rsid w:val="00214DEC"/>
    <w:rsid w:val="00214E08"/>
    <w:rsid w:val="00214E66"/>
    <w:rsid w:val="00214E82"/>
    <w:rsid w:val="00214F8E"/>
    <w:rsid w:val="00214F8F"/>
    <w:rsid w:val="0021503A"/>
    <w:rsid w:val="00215075"/>
    <w:rsid w:val="00215111"/>
    <w:rsid w:val="002151BD"/>
    <w:rsid w:val="0021524B"/>
    <w:rsid w:val="0021538B"/>
    <w:rsid w:val="002153F5"/>
    <w:rsid w:val="00215406"/>
    <w:rsid w:val="0021550B"/>
    <w:rsid w:val="0021551E"/>
    <w:rsid w:val="00215664"/>
    <w:rsid w:val="002156EF"/>
    <w:rsid w:val="00215733"/>
    <w:rsid w:val="002157CA"/>
    <w:rsid w:val="00215841"/>
    <w:rsid w:val="002158D4"/>
    <w:rsid w:val="00215961"/>
    <w:rsid w:val="002159E5"/>
    <w:rsid w:val="00215A15"/>
    <w:rsid w:val="00215AFA"/>
    <w:rsid w:val="00215AFF"/>
    <w:rsid w:val="00215B08"/>
    <w:rsid w:val="00215B36"/>
    <w:rsid w:val="00215C45"/>
    <w:rsid w:val="00215C9D"/>
    <w:rsid w:val="00215D64"/>
    <w:rsid w:val="00215D69"/>
    <w:rsid w:val="00215D6C"/>
    <w:rsid w:val="00215DEE"/>
    <w:rsid w:val="002160FD"/>
    <w:rsid w:val="00216107"/>
    <w:rsid w:val="00216237"/>
    <w:rsid w:val="002162B6"/>
    <w:rsid w:val="0021632D"/>
    <w:rsid w:val="00216560"/>
    <w:rsid w:val="00216617"/>
    <w:rsid w:val="00216705"/>
    <w:rsid w:val="00216829"/>
    <w:rsid w:val="00216837"/>
    <w:rsid w:val="00216840"/>
    <w:rsid w:val="00216876"/>
    <w:rsid w:val="002168C4"/>
    <w:rsid w:val="00216988"/>
    <w:rsid w:val="002169C7"/>
    <w:rsid w:val="00216A04"/>
    <w:rsid w:val="00216B9B"/>
    <w:rsid w:val="00216CAF"/>
    <w:rsid w:val="00216CEC"/>
    <w:rsid w:val="00216D00"/>
    <w:rsid w:val="00216DDD"/>
    <w:rsid w:val="00216E9C"/>
    <w:rsid w:val="00216ED9"/>
    <w:rsid w:val="00216FB2"/>
    <w:rsid w:val="002170F7"/>
    <w:rsid w:val="00217129"/>
    <w:rsid w:val="00217146"/>
    <w:rsid w:val="00217231"/>
    <w:rsid w:val="0021728B"/>
    <w:rsid w:val="00217473"/>
    <w:rsid w:val="00217492"/>
    <w:rsid w:val="002174E9"/>
    <w:rsid w:val="0021752E"/>
    <w:rsid w:val="0021759C"/>
    <w:rsid w:val="002175A9"/>
    <w:rsid w:val="002175C6"/>
    <w:rsid w:val="00217652"/>
    <w:rsid w:val="0021773F"/>
    <w:rsid w:val="00217776"/>
    <w:rsid w:val="00217809"/>
    <w:rsid w:val="00217882"/>
    <w:rsid w:val="002178AC"/>
    <w:rsid w:val="0021790B"/>
    <w:rsid w:val="002179A5"/>
    <w:rsid w:val="002179B1"/>
    <w:rsid w:val="002179BA"/>
    <w:rsid w:val="002179DA"/>
    <w:rsid w:val="00217A03"/>
    <w:rsid w:val="00217BFF"/>
    <w:rsid w:val="00217CE6"/>
    <w:rsid w:val="00217E2B"/>
    <w:rsid w:val="00217E48"/>
    <w:rsid w:val="00217E95"/>
    <w:rsid w:val="00217F2D"/>
    <w:rsid w:val="00220036"/>
    <w:rsid w:val="0022009A"/>
    <w:rsid w:val="002200E5"/>
    <w:rsid w:val="00220143"/>
    <w:rsid w:val="00220177"/>
    <w:rsid w:val="002201AD"/>
    <w:rsid w:val="00220219"/>
    <w:rsid w:val="002202B7"/>
    <w:rsid w:val="00220391"/>
    <w:rsid w:val="0022046B"/>
    <w:rsid w:val="00220562"/>
    <w:rsid w:val="0022056B"/>
    <w:rsid w:val="002205B5"/>
    <w:rsid w:val="00220606"/>
    <w:rsid w:val="00220688"/>
    <w:rsid w:val="002206B3"/>
    <w:rsid w:val="00220760"/>
    <w:rsid w:val="0022089B"/>
    <w:rsid w:val="00220947"/>
    <w:rsid w:val="002209AF"/>
    <w:rsid w:val="00220A90"/>
    <w:rsid w:val="00220ADE"/>
    <w:rsid w:val="00220AF4"/>
    <w:rsid w:val="00220B89"/>
    <w:rsid w:val="00220C73"/>
    <w:rsid w:val="00220C7E"/>
    <w:rsid w:val="00220CF9"/>
    <w:rsid w:val="00220D3B"/>
    <w:rsid w:val="00220D6B"/>
    <w:rsid w:val="00220DCD"/>
    <w:rsid w:val="00220DD8"/>
    <w:rsid w:val="00220DE8"/>
    <w:rsid w:val="00220E82"/>
    <w:rsid w:val="00220F15"/>
    <w:rsid w:val="0022101D"/>
    <w:rsid w:val="0022109F"/>
    <w:rsid w:val="00221166"/>
    <w:rsid w:val="00221193"/>
    <w:rsid w:val="0022122B"/>
    <w:rsid w:val="0022125C"/>
    <w:rsid w:val="0022128F"/>
    <w:rsid w:val="00221295"/>
    <w:rsid w:val="002213A3"/>
    <w:rsid w:val="002213D4"/>
    <w:rsid w:val="002213F0"/>
    <w:rsid w:val="00221410"/>
    <w:rsid w:val="002214E2"/>
    <w:rsid w:val="00221530"/>
    <w:rsid w:val="002215CC"/>
    <w:rsid w:val="002216BE"/>
    <w:rsid w:val="002216D6"/>
    <w:rsid w:val="002217F4"/>
    <w:rsid w:val="0022183A"/>
    <w:rsid w:val="0022194C"/>
    <w:rsid w:val="00221999"/>
    <w:rsid w:val="0022199F"/>
    <w:rsid w:val="00221A37"/>
    <w:rsid w:val="00221A46"/>
    <w:rsid w:val="00221AE5"/>
    <w:rsid w:val="00221AF1"/>
    <w:rsid w:val="00221AF8"/>
    <w:rsid w:val="00221B38"/>
    <w:rsid w:val="00221B49"/>
    <w:rsid w:val="00221B5F"/>
    <w:rsid w:val="00221BD1"/>
    <w:rsid w:val="00221BFC"/>
    <w:rsid w:val="00221CDF"/>
    <w:rsid w:val="00221CE6"/>
    <w:rsid w:val="00221D39"/>
    <w:rsid w:val="00221D44"/>
    <w:rsid w:val="00221DA0"/>
    <w:rsid w:val="00221DA6"/>
    <w:rsid w:val="00221F42"/>
    <w:rsid w:val="00222028"/>
    <w:rsid w:val="0022205C"/>
    <w:rsid w:val="00222072"/>
    <w:rsid w:val="002221E2"/>
    <w:rsid w:val="00222214"/>
    <w:rsid w:val="00222256"/>
    <w:rsid w:val="002222D8"/>
    <w:rsid w:val="002222F3"/>
    <w:rsid w:val="00222315"/>
    <w:rsid w:val="0022233E"/>
    <w:rsid w:val="0022236F"/>
    <w:rsid w:val="0022237E"/>
    <w:rsid w:val="002223EB"/>
    <w:rsid w:val="00222462"/>
    <w:rsid w:val="0022262C"/>
    <w:rsid w:val="00222756"/>
    <w:rsid w:val="0022275F"/>
    <w:rsid w:val="00222873"/>
    <w:rsid w:val="0022298B"/>
    <w:rsid w:val="002229C5"/>
    <w:rsid w:val="002229E3"/>
    <w:rsid w:val="002229F1"/>
    <w:rsid w:val="00222ACB"/>
    <w:rsid w:val="00222AE2"/>
    <w:rsid w:val="00222B3E"/>
    <w:rsid w:val="00222B4B"/>
    <w:rsid w:val="00222C39"/>
    <w:rsid w:val="00222C51"/>
    <w:rsid w:val="00222C87"/>
    <w:rsid w:val="00222CD3"/>
    <w:rsid w:val="00222D27"/>
    <w:rsid w:val="00222D57"/>
    <w:rsid w:val="00222DC7"/>
    <w:rsid w:val="00222E81"/>
    <w:rsid w:val="00222ECF"/>
    <w:rsid w:val="002230C8"/>
    <w:rsid w:val="0022314D"/>
    <w:rsid w:val="002231DC"/>
    <w:rsid w:val="0022320A"/>
    <w:rsid w:val="00223236"/>
    <w:rsid w:val="002232FA"/>
    <w:rsid w:val="00223352"/>
    <w:rsid w:val="00223383"/>
    <w:rsid w:val="002233EB"/>
    <w:rsid w:val="00223408"/>
    <w:rsid w:val="00223465"/>
    <w:rsid w:val="00223498"/>
    <w:rsid w:val="002234ED"/>
    <w:rsid w:val="00223505"/>
    <w:rsid w:val="00223540"/>
    <w:rsid w:val="0022363B"/>
    <w:rsid w:val="002236ED"/>
    <w:rsid w:val="0022376E"/>
    <w:rsid w:val="00223884"/>
    <w:rsid w:val="002239A3"/>
    <w:rsid w:val="00223A49"/>
    <w:rsid w:val="00223A9D"/>
    <w:rsid w:val="00223B71"/>
    <w:rsid w:val="00223C93"/>
    <w:rsid w:val="00223CB0"/>
    <w:rsid w:val="00223E45"/>
    <w:rsid w:val="00223F22"/>
    <w:rsid w:val="00223F5B"/>
    <w:rsid w:val="00224019"/>
    <w:rsid w:val="00224086"/>
    <w:rsid w:val="00224101"/>
    <w:rsid w:val="002241A4"/>
    <w:rsid w:val="0022420E"/>
    <w:rsid w:val="002242E4"/>
    <w:rsid w:val="002243B5"/>
    <w:rsid w:val="002244C7"/>
    <w:rsid w:val="0022452E"/>
    <w:rsid w:val="00224574"/>
    <w:rsid w:val="00224592"/>
    <w:rsid w:val="00224753"/>
    <w:rsid w:val="0022481D"/>
    <w:rsid w:val="00224843"/>
    <w:rsid w:val="002248A7"/>
    <w:rsid w:val="002249F0"/>
    <w:rsid w:val="00224A07"/>
    <w:rsid w:val="00224A76"/>
    <w:rsid w:val="00224B08"/>
    <w:rsid w:val="00224B11"/>
    <w:rsid w:val="00224B24"/>
    <w:rsid w:val="00224B75"/>
    <w:rsid w:val="00224BDB"/>
    <w:rsid w:val="00224C83"/>
    <w:rsid w:val="00224CBD"/>
    <w:rsid w:val="00224EB9"/>
    <w:rsid w:val="00224F1D"/>
    <w:rsid w:val="00224FB9"/>
    <w:rsid w:val="00224FDA"/>
    <w:rsid w:val="0022502C"/>
    <w:rsid w:val="0022510D"/>
    <w:rsid w:val="00225171"/>
    <w:rsid w:val="002251EC"/>
    <w:rsid w:val="0022524B"/>
    <w:rsid w:val="002252FC"/>
    <w:rsid w:val="00225382"/>
    <w:rsid w:val="0022539A"/>
    <w:rsid w:val="00225427"/>
    <w:rsid w:val="002255CD"/>
    <w:rsid w:val="00225637"/>
    <w:rsid w:val="0022564C"/>
    <w:rsid w:val="00225683"/>
    <w:rsid w:val="00225720"/>
    <w:rsid w:val="0022575D"/>
    <w:rsid w:val="002257DE"/>
    <w:rsid w:val="00225914"/>
    <w:rsid w:val="00225934"/>
    <w:rsid w:val="002259E6"/>
    <w:rsid w:val="00225A52"/>
    <w:rsid w:val="00225AA2"/>
    <w:rsid w:val="00225CE8"/>
    <w:rsid w:val="00225DA4"/>
    <w:rsid w:val="00225E37"/>
    <w:rsid w:val="00225EE0"/>
    <w:rsid w:val="00225EFB"/>
    <w:rsid w:val="00225F65"/>
    <w:rsid w:val="00225FC1"/>
    <w:rsid w:val="00226054"/>
    <w:rsid w:val="002260D5"/>
    <w:rsid w:val="002260E4"/>
    <w:rsid w:val="002261B9"/>
    <w:rsid w:val="002261E0"/>
    <w:rsid w:val="0022624C"/>
    <w:rsid w:val="00226319"/>
    <w:rsid w:val="00226482"/>
    <w:rsid w:val="0022648B"/>
    <w:rsid w:val="002264B3"/>
    <w:rsid w:val="00226594"/>
    <w:rsid w:val="002265A0"/>
    <w:rsid w:val="00226677"/>
    <w:rsid w:val="00226734"/>
    <w:rsid w:val="002268EB"/>
    <w:rsid w:val="00226909"/>
    <w:rsid w:val="00226A6C"/>
    <w:rsid w:val="00226B38"/>
    <w:rsid w:val="00226B94"/>
    <w:rsid w:val="00226BED"/>
    <w:rsid w:val="00226C99"/>
    <w:rsid w:val="00226D19"/>
    <w:rsid w:val="00226D1C"/>
    <w:rsid w:val="00226D39"/>
    <w:rsid w:val="00226E18"/>
    <w:rsid w:val="00226E7D"/>
    <w:rsid w:val="00226E82"/>
    <w:rsid w:val="00226EDD"/>
    <w:rsid w:val="00226F22"/>
    <w:rsid w:val="00226F4A"/>
    <w:rsid w:val="00227022"/>
    <w:rsid w:val="00227028"/>
    <w:rsid w:val="00227062"/>
    <w:rsid w:val="00227105"/>
    <w:rsid w:val="002271E9"/>
    <w:rsid w:val="0022739D"/>
    <w:rsid w:val="0022742D"/>
    <w:rsid w:val="00227459"/>
    <w:rsid w:val="002274C4"/>
    <w:rsid w:val="002274EB"/>
    <w:rsid w:val="0022764A"/>
    <w:rsid w:val="0022775F"/>
    <w:rsid w:val="0022778E"/>
    <w:rsid w:val="002277EC"/>
    <w:rsid w:val="002277F3"/>
    <w:rsid w:val="002277FF"/>
    <w:rsid w:val="00227876"/>
    <w:rsid w:val="002278B2"/>
    <w:rsid w:val="002278C2"/>
    <w:rsid w:val="002279C3"/>
    <w:rsid w:val="00227ACB"/>
    <w:rsid w:val="00227B4F"/>
    <w:rsid w:val="00227D3D"/>
    <w:rsid w:val="00227E0F"/>
    <w:rsid w:val="00227E1C"/>
    <w:rsid w:val="00227E6C"/>
    <w:rsid w:val="00227EB0"/>
    <w:rsid w:val="00227F51"/>
    <w:rsid w:val="00227F68"/>
    <w:rsid w:val="0023005D"/>
    <w:rsid w:val="002300DD"/>
    <w:rsid w:val="00230111"/>
    <w:rsid w:val="0023017C"/>
    <w:rsid w:val="00230226"/>
    <w:rsid w:val="00230232"/>
    <w:rsid w:val="00230267"/>
    <w:rsid w:val="002302C4"/>
    <w:rsid w:val="002302D6"/>
    <w:rsid w:val="002302E6"/>
    <w:rsid w:val="00230305"/>
    <w:rsid w:val="00230380"/>
    <w:rsid w:val="00230397"/>
    <w:rsid w:val="002303EF"/>
    <w:rsid w:val="00230451"/>
    <w:rsid w:val="00230456"/>
    <w:rsid w:val="002304A2"/>
    <w:rsid w:val="002304D2"/>
    <w:rsid w:val="002305B4"/>
    <w:rsid w:val="002305BE"/>
    <w:rsid w:val="002305D9"/>
    <w:rsid w:val="002306EA"/>
    <w:rsid w:val="0023070A"/>
    <w:rsid w:val="0023070E"/>
    <w:rsid w:val="00230721"/>
    <w:rsid w:val="00230733"/>
    <w:rsid w:val="0023073D"/>
    <w:rsid w:val="0023081C"/>
    <w:rsid w:val="002308A0"/>
    <w:rsid w:val="002309A9"/>
    <w:rsid w:val="00230AA1"/>
    <w:rsid w:val="00230ABB"/>
    <w:rsid w:val="00230B1C"/>
    <w:rsid w:val="00230B64"/>
    <w:rsid w:val="00230BCB"/>
    <w:rsid w:val="00230C33"/>
    <w:rsid w:val="00230D2C"/>
    <w:rsid w:val="00230ECF"/>
    <w:rsid w:val="00230F18"/>
    <w:rsid w:val="00230F74"/>
    <w:rsid w:val="00230FB5"/>
    <w:rsid w:val="0023102C"/>
    <w:rsid w:val="002310F0"/>
    <w:rsid w:val="00231113"/>
    <w:rsid w:val="002311D3"/>
    <w:rsid w:val="002311EB"/>
    <w:rsid w:val="002312A7"/>
    <w:rsid w:val="00231310"/>
    <w:rsid w:val="00231359"/>
    <w:rsid w:val="00231374"/>
    <w:rsid w:val="002313B6"/>
    <w:rsid w:val="0023144C"/>
    <w:rsid w:val="00231477"/>
    <w:rsid w:val="00231516"/>
    <w:rsid w:val="002315B0"/>
    <w:rsid w:val="00231759"/>
    <w:rsid w:val="00231789"/>
    <w:rsid w:val="0023180E"/>
    <w:rsid w:val="00231825"/>
    <w:rsid w:val="00231868"/>
    <w:rsid w:val="0023186A"/>
    <w:rsid w:val="002318C1"/>
    <w:rsid w:val="00231A22"/>
    <w:rsid w:val="00231AD5"/>
    <w:rsid w:val="00231B98"/>
    <w:rsid w:val="00231CD2"/>
    <w:rsid w:val="00231CE4"/>
    <w:rsid w:val="00231DEB"/>
    <w:rsid w:val="00231EA9"/>
    <w:rsid w:val="00231F3B"/>
    <w:rsid w:val="00231FD5"/>
    <w:rsid w:val="00232058"/>
    <w:rsid w:val="00232064"/>
    <w:rsid w:val="00232125"/>
    <w:rsid w:val="00232129"/>
    <w:rsid w:val="00232223"/>
    <w:rsid w:val="002322C2"/>
    <w:rsid w:val="0023239C"/>
    <w:rsid w:val="002323BF"/>
    <w:rsid w:val="00232447"/>
    <w:rsid w:val="00232468"/>
    <w:rsid w:val="002324F2"/>
    <w:rsid w:val="00232583"/>
    <w:rsid w:val="00232659"/>
    <w:rsid w:val="002326E3"/>
    <w:rsid w:val="00232826"/>
    <w:rsid w:val="0023282F"/>
    <w:rsid w:val="002328D0"/>
    <w:rsid w:val="00232954"/>
    <w:rsid w:val="0023296B"/>
    <w:rsid w:val="00232AC4"/>
    <w:rsid w:val="00232B5A"/>
    <w:rsid w:val="00232C70"/>
    <w:rsid w:val="00232CFA"/>
    <w:rsid w:val="00232DB1"/>
    <w:rsid w:val="00232DB6"/>
    <w:rsid w:val="00232DBF"/>
    <w:rsid w:val="00232E37"/>
    <w:rsid w:val="00232EBD"/>
    <w:rsid w:val="00232FC1"/>
    <w:rsid w:val="00233081"/>
    <w:rsid w:val="00233130"/>
    <w:rsid w:val="00233315"/>
    <w:rsid w:val="002334DE"/>
    <w:rsid w:val="00233513"/>
    <w:rsid w:val="00233520"/>
    <w:rsid w:val="00233539"/>
    <w:rsid w:val="002335D4"/>
    <w:rsid w:val="00233609"/>
    <w:rsid w:val="002336B7"/>
    <w:rsid w:val="002336FC"/>
    <w:rsid w:val="00233710"/>
    <w:rsid w:val="002337A0"/>
    <w:rsid w:val="002337AC"/>
    <w:rsid w:val="002337E4"/>
    <w:rsid w:val="002338A9"/>
    <w:rsid w:val="00233936"/>
    <w:rsid w:val="00233C06"/>
    <w:rsid w:val="00233C0C"/>
    <w:rsid w:val="00233C55"/>
    <w:rsid w:val="00233CA1"/>
    <w:rsid w:val="00233D37"/>
    <w:rsid w:val="00233DE7"/>
    <w:rsid w:val="00233E59"/>
    <w:rsid w:val="00233E62"/>
    <w:rsid w:val="00233ED8"/>
    <w:rsid w:val="00233F07"/>
    <w:rsid w:val="00233F0F"/>
    <w:rsid w:val="00233F2D"/>
    <w:rsid w:val="00233F88"/>
    <w:rsid w:val="00233FAF"/>
    <w:rsid w:val="0023417E"/>
    <w:rsid w:val="002341D4"/>
    <w:rsid w:val="0023428E"/>
    <w:rsid w:val="00234445"/>
    <w:rsid w:val="0023452B"/>
    <w:rsid w:val="00234544"/>
    <w:rsid w:val="0023455A"/>
    <w:rsid w:val="0023466C"/>
    <w:rsid w:val="002346CF"/>
    <w:rsid w:val="00234761"/>
    <w:rsid w:val="00234769"/>
    <w:rsid w:val="002347DF"/>
    <w:rsid w:val="002347E7"/>
    <w:rsid w:val="00234815"/>
    <w:rsid w:val="00234860"/>
    <w:rsid w:val="002348A6"/>
    <w:rsid w:val="0023492B"/>
    <w:rsid w:val="00234941"/>
    <w:rsid w:val="002349A4"/>
    <w:rsid w:val="00234AFD"/>
    <w:rsid w:val="00234C82"/>
    <w:rsid w:val="00234D0E"/>
    <w:rsid w:val="00234D7B"/>
    <w:rsid w:val="00234D9F"/>
    <w:rsid w:val="00234DD6"/>
    <w:rsid w:val="00234DE2"/>
    <w:rsid w:val="00234E6D"/>
    <w:rsid w:val="00234E7D"/>
    <w:rsid w:val="00234F92"/>
    <w:rsid w:val="00234FB1"/>
    <w:rsid w:val="00234FFD"/>
    <w:rsid w:val="002350F4"/>
    <w:rsid w:val="00235148"/>
    <w:rsid w:val="002351A0"/>
    <w:rsid w:val="00235203"/>
    <w:rsid w:val="002352FB"/>
    <w:rsid w:val="00235302"/>
    <w:rsid w:val="00235314"/>
    <w:rsid w:val="0023534A"/>
    <w:rsid w:val="00235365"/>
    <w:rsid w:val="002353E5"/>
    <w:rsid w:val="0023540C"/>
    <w:rsid w:val="00235450"/>
    <w:rsid w:val="0023546A"/>
    <w:rsid w:val="00235479"/>
    <w:rsid w:val="00235517"/>
    <w:rsid w:val="00235616"/>
    <w:rsid w:val="0023564D"/>
    <w:rsid w:val="00235653"/>
    <w:rsid w:val="002356C9"/>
    <w:rsid w:val="00235730"/>
    <w:rsid w:val="00235795"/>
    <w:rsid w:val="002357A9"/>
    <w:rsid w:val="00235800"/>
    <w:rsid w:val="002358F8"/>
    <w:rsid w:val="002359A2"/>
    <w:rsid w:val="002359AC"/>
    <w:rsid w:val="002359BB"/>
    <w:rsid w:val="00235A15"/>
    <w:rsid w:val="00235A2A"/>
    <w:rsid w:val="00235A37"/>
    <w:rsid w:val="00235C2A"/>
    <w:rsid w:val="00235CA8"/>
    <w:rsid w:val="00235DDC"/>
    <w:rsid w:val="00235DF6"/>
    <w:rsid w:val="00235E7F"/>
    <w:rsid w:val="00235E84"/>
    <w:rsid w:val="00235E86"/>
    <w:rsid w:val="00235F88"/>
    <w:rsid w:val="00235FA7"/>
    <w:rsid w:val="00236056"/>
    <w:rsid w:val="00236103"/>
    <w:rsid w:val="002361FA"/>
    <w:rsid w:val="0023624C"/>
    <w:rsid w:val="00236291"/>
    <w:rsid w:val="002362E9"/>
    <w:rsid w:val="002363E3"/>
    <w:rsid w:val="00236505"/>
    <w:rsid w:val="00236568"/>
    <w:rsid w:val="002365E9"/>
    <w:rsid w:val="0023667B"/>
    <w:rsid w:val="00236759"/>
    <w:rsid w:val="00236804"/>
    <w:rsid w:val="0023680B"/>
    <w:rsid w:val="002368CF"/>
    <w:rsid w:val="00236A31"/>
    <w:rsid w:val="00236A5A"/>
    <w:rsid w:val="00236AC5"/>
    <w:rsid w:val="00236ADC"/>
    <w:rsid w:val="00236AF9"/>
    <w:rsid w:val="00236B4D"/>
    <w:rsid w:val="00236B77"/>
    <w:rsid w:val="00236B8C"/>
    <w:rsid w:val="00236C10"/>
    <w:rsid w:val="00236D59"/>
    <w:rsid w:val="00236D70"/>
    <w:rsid w:val="00236ECA"/>
    <w:rsid w:val="00236F7A"/>
    <w:rsid w:val="00236FAE"/>
    <w:rsid w:val="00237002"/>
    <w:rsid w:val="00237037"/>
    <w:rsid w:val="00237071"/>
    <w:rsid w:val="00237185"/>
    <w:rsid w:val="002371C8"/>
    <w:rsid w:val="00237273"/>
    <w:rsid w:val="00237274"/>
    <w:rsid w:val="00237285"/>
    <w:rsid w:val="00237394"/>
    <w:rsid w:val="0023749C"/>
    <w:rsid w:val="0023764E"/>
    <w:rsid w:val="002376C4"/>
    <w:rsid w:val="002376EC"/>
    <w:rsid w:val="00237700"/>
    <w:rsid w:val="002377A0"/>
    <w:rsid w:val="002378C0"/>
    <w:rsid w:val="00237947"/>
    <w:rsid w:val="0023795A"/>
    <w:rsid w:val="002379CB"/>
    <w:rsid w:val="00237A5F"/>
    <w:rsid w:val="00237A8F"/>
    <w:rsid w:val="00237AB5"/>
    <w:rsid w:val="00237C03"/>
    <w:rsid w:val="00237C16"/>
    <w:rsid w:val="00237D46"/>
    <w:rsid w:val="00237DE2"/>
    <w:rsid w:val="00237E39"/>
    <w:rsid w:val="00237E63"/>
    <w:rsid w:val="00237E7B"/>
    <w:rsid w:val="00237E89"/>
    <w:rsid w:val="00237FFE"/>
    <w:rsid w:val="00240054"/>
    <w:rsid w:val="00240060"/>
    <w:rsid w:val="0024021F"/>
    <w:rsid w:val="0024022E"/>
    <w:rsid w:val="0024027C"/>
    <w:rsid w:val="00240315"/>
    <w:rsid w:val="002403D3"/>
    <w:rsid w:val="00240410"/>
    <w:rsid w:val="002407A7"/>
    <w:rsid w:val="002407BE"/>
    <w:rsid w:val="002407DC"/>
    <w:rsid w:val="002408B1"/>
    <w:rsid w:val="002409AC"/>
    <w:rsid w:val="00240A5B"/>
    <w:rsid w:val="00240A60"/>
    <w:rsid w:val="00240A70"/>
    <w:rsid w:val="00240AA1"/>
    <w:rsid w:val="00240B43"/>
    <w:rsid w:val="00240C2C"/>
    <w:rsid w:val="00240C45"/>
    <w:rsid w:val="00240DAD"/>
    <w:rsid w:val="00240E04"/>
    <w:rsid w:val="00240E6F"/>
    <w:rsid w:val="00240EE9"/>
    <w:rsid w:val="0024105F"/>
    <w:rsid w:val="0024108E"/>
    <w:rsid w:val="002410ED"/>
    <w:rsid w:val="002411FC"/>
    <w:rsid w:val="00241287"/>
    <w:rsid w:val="00241316"/>
    <w:rsid w:val="00241378"/>
    <w:rsid w:val="00241424"/>
    <w:rsid w:val="00241465"/>
    <w:rsid w:val="002415D3"/>
    <w:rsid w:val="00241612"/>
    <w:rsid w:val="00241622"/>
    <w:rsid w:val="00241661"/>
    <w:rsid w:val="00241682"/>
    <w:rsid w:val="002416C3"/>
    <w:rsid w:val="0024175E"/>
    <w:rsid w:val="00241912"/>
    <w:rsid w:val="0024193F"/>
    <w:rsid w:val="0024197A"/>
    <w:rsid w:val="0024198C"/>
    <w:rsid w:val="0024199D"/>
    <w:rsid w:val="002419C1"/>
    <w:rsid w:val="00241B51"/>
    <w:rsid w:val="00241BD0"/>
    <w:rsid w:val="00241BEF"/>
    <w:rsid w:val="00241C34"/>
    <w:rsid w:val="00241C64"/>
    <w:rsid w:val="00241C6E"/>
    <w:rsid w:val="00241C96"/>
    <w:rsid w:val="00241D21"/>
    <w:rsid w:val="00241D2A"/>
    <w:rsid w:val="00241DD2"/>
    <w:rsid w:val="00241E9C"/>
    <w:rsid w:val="00241ECD"/>
    <w:rsid w:val="00241F15"/>
    <w:rsid w:val="00241F6F"/>
    <w:rsid w:val="00241FAC"/>
    <w:rsid w:val="00242026"/>
    <w:rsid w:val="0024207A"/>
    <w:rsid w:val="0024208B"/>
    <w:rsid w:val="0024209C"/>
    <w:rsid w:val="00242115"/>
    <w:rsid w:val="0024218E"/>
    <w:rsid w:val="002421BE"/>
    <w:rsid w:val="00242239"/>
    <w:rsid w:val="002422AC"/>
    <w:rsid w:val="002422BA"/>
    <w:rsid w:val="0024231F"/>
    <w:rsid w:val="002423B8"/>
    <w:rsid w:val="002423E6"/>
    <w:rsid w:val="002424E9"/>
    <w:rsid w:val="00242530"/>
    <w:rsid w:val="002426C6"/>
    <w:rsid w:val="002426D9"/>
    <w:rsid w:val="00242745"/>
    <w:rsid w:val="0024277C"/>
    <w:rsid w:val="0024282A"/>
    <w:rsid w:val="00242875"/>
    <w:rsid w:val="002429A1"/>
    <w:rsid w:val="002429C1"/>
    <w:rsid w:val="00242A55"/>
    <w:rsid w:val="00242AD7"/>
    <w:rsid w:val="00242B49"/>
    <w:rsid w:val="00242F8A"/>
    <w:rsid w:val="00243002"/>
    <w:rsid w:val="00243106"/>
    <w:rsid w:val="0024322A"/>
    <w:rsid w:val="00243244"/>
    <w:rsid w:val="0024328A"/>
    <w:rsid w:val="002433D1"/>
    <w:rsid w:val="002434B3"/>
    <w:rsid w:val="0024353F"/>
    <w:rsid w:val="0024355F"/>
    <w:rsid w:val="00243578"/>
    <w:rsid w:val="00243593"/>
    <w:rsid w:val="0024367C"/>
    <w:rsid w:val="002436CA"/>
    <w:rsid w:val="002436FA"/>
    <w:rsid w:val="00243725"/>
    <w:rsid w:val="00243793"/>
    <w:rsid w:val="002437D5"/>
    <w:rsid w:val="00243802"/>
    <w:rsid w:val="00243871"/>
    <w:rsid w:val="00243888"/>
    <w:rsid w:val="002438FA"/>
    <w:rsid w:val="00243A5D"/>
    <w:rsid w:val="00243AB8"/>
    <w:rsid w:val="00243B06"/>
    <w:rsid w:val="00243B1D"/>
    <w:rsid w:val="00243B39"/>
    <w:rsid w:val="00243B4C"/>
    <w:rsid w:val="00243B4D"/>
    <w:rsid w:val="00243BBC"/>
    <w:rsid w:val="00243BC2"/>
    <w:rsid w:val="00243C97"/>
    <w:rsid w:val="00243CAF"/>
    <w:rsid w:val="00243D21"/>
    <w:rsid w:val="00243D24"/>
    <w:rsid w:val="00243DCC"/>
    <w:rsid w:val="00243DEA"/>
    <w:rsid w:val="00243DFC"/>
    <w:rsid w:val="00243E2E"/>
    <w:rsid w:val="00243E6F"/>
    <w:rsid w:val="00243EA1"/>
    <w:rsid w:val="00243F00"/>
    <w:rsid w:val="002440CB"/>
    <w:rsid w:val="0024420F"/>
    <w:rsid w:val="00244213"/>
    <w:rsid w:val="00244219"/>
    <w:rsid w:val="00244253"/>
    <w:rsid w:val="002442A3"/>
    <w:rsid w:val="00244317"/>
    <w:rsid w:val="00244514"/>
    <w:rsid w:val="00244545"/>
    <w:rsid w:val="002445F7"/>
    <w:rsid w:val="00244864"/>
    <w:rsid w:val="002449AC"/>
    <w:rsid w:val="00244A17"/>
    <w:rsid w:val="00244AB4"/>
    <w:rsid w:val="00244AE0"/>
    <w:rsid w:val="00244AF5"/>
    <w:rsid w:val="00244B70"/>
    <w:rsid w:val="00244BBA"/>
    <w:rsid w:val="00244C3E"/>
    <w:rsid w:val="00244D51"/>
    <w:rsid w:val="00244D5C"/>
    <w:rsid w:val="00244E22"/>
    <w:rsid w:val="00244EB1"/>
    <w:rsid w:val="0024508F"/>
    <w:rsid w:val="00245178"/>
    <w:rsid w:val="002451AA"/>
    <w:rsid w:val="002451F7"/>
    <w:rsid w:val="00245225"/>
    <w:rsid w:val="00245256"/>
    <w:rsid w:val="00245300"/>
    <w:rsid w:val="00245370"/>
    <w:rsid w:val="002453FE"/>
    <w:rsid w:val="002454A2"/>
    <w:rsid w:val="002455A3"/>
    <w:rsid w:val="00245601"/>
    <w:rsid w:val="00245607"/>
    <w:rsid w:val="0024560F"/>
    <w:rsid w:val="00245641"/>
    <w:rsid w:val="00245775"/>
    <w:rsid w:val="002457E2"/>
    <w:rsid w:val="002457F1"/>
    <w:rsid w:val="002458B6"/>
    <w:rsid w:val="00245910"/>
    <w:rsid w:val="00245930"/>
    <w:rsid w:val="00245943"/>
    <w:rsid w:val="002459A1"/>
    <w:rsid w:val="00245A67"/>
    <w:rsid w:val="00245A9C"/>
    <w:rsid w:val="00245AA2"/>
    <w:rsid w:val="00245AFB"/>
    <w:rsid w:val="00245B2A"/>
    <w:rsid w:val="00245B2C"/>
    <w:rsid w:val="00245B4A"/>
    <w:rsid w:val="00245B5D"/>
    <w:rsid w:val="00245BBB"/>
    <w:rsid w:val="00245BEA"/>
    <w:rsid w:val="00245C51"/>
    <w:rsid w:val="00245C66"/>
    <w:rsid w:val="00245C70"/>
    <w:rsid w:val="00245E28"/>
    <w:rsid w:val="00245E3F"/>
    <w:rsid w:val="00245EB7"/>
    <w:rsid w:val="00245F15"/>
    <w:rsid w:val="00245FB5"/>
    <w:rsid w:val="0024609F"/>
    <w:rsid w:val="00246149"/>
    <w:rsid w:val="00246183"/>
    <w:rsid w:val="00246187"/>
    <w:rsid w:val="002461A3"/>
    <w:rsid w:val="002462FD"/>
    <w:rsid w:val="00246304"/>
    <w:rsid w:val="0024632E"/>
    <w:rsid w:val="00246348"/>
    <w:rsid w:val="002463A6"/>
    <w:rsid w:val="0024641D"/>
    <w:rsid w:val="002464E0"/>
    <w:rsid w:val="00246519"/>
    <w:rsid w:val="0024657D"/>
    <w:rsid w:val="002465D4"/>
    <w:rsid w:val="002466D0"/>
    <w:rsid w:val="00246987"/>
    <w:rsid w:val="002469A0"/>
    <w:rsid w:val="00246AF6"/>
    <w:rsid w:val="00246B1C"/>
    <w:rsid w:val="00246C16"/>
    <w:rsid w:val="00246D52"/>
    <w:rsid w:val="00246EB3"/>
    <w:rsid w:val="00246F15"/>
    <w:rsid w:val="00246F58"/>
    <w:rsid w:val="0024707B"/>
    <w:rsid w:val="0024710E"/>
    <w:rsid w:val="00247125"/>
    <w:rsid w:val="00247171"/>
    <w:rsid w:val="00247259"/>
    <w:rsid w:val="002473B6"/>
    <w:rsid w:val="00247506"/>
    <w:rsid w:val="0024755A"/>
    <w:rsid w:val="002475B2"/>
    <w:rsid w:val="002475B6"/>
    <w:rsid w:val="002475BD"/>
    <w:rsid w:val="002476D3"/>
    <w:rsid w:val="002477E4"/>
    <w:rsid w:val="00247808"/>
    <w:rsid w:val="00247859"/>
    <w:rsid w:val="002478DC"/>
    <w:rsid w:val="002478E9"/>
    <w:rsid w:val="002478F2"/>
    <w:rsid w:val="0024797C"/>
    <w:rsid w:val="002479B0"/>
    <w:rsid w:val="00247A1E"/>
    <w:rsid w:val="00247ACF"/>
    <w:rsid w:val="00247B72"/>
    <w:rsid w:val="00247B79"/>
    <w:rsid w:val="00247BB3"/>
    <w:rsid w:val="00247BC0"/>
    <w:rsid w:val="00247CB5"/>
    <w:rsid w:val="00247CF9"/>
    <w:rsid w:val="00247DC2"/>
    <w:rsid w:val="00247E06"/>
    <w:rsid w:val="00247E27"/>
    <w:rsid w:val="00247EC0"/>
    <w:rsid w:val="00250047"/>
    <w:rsid w:val="00250066"/>
    <w:rsid w:val="00250131"/>
    <w:rsid w:val="00250243"/>
    <w:rsid w:val="00250277"/>
    <w:rsid w:val="0025028E"/>
    <w:rsid w:val="0025029B"/>
    <w:rsid w:val="002502B9"/>
    <w:rsid w:val="002502E6"/>
    <w:rsid w:val="00250331"/>
    <w:rsid w:val="00250350"/>
    <w:rsid w:val="0025041D"/>
    <w:rsid w:val="00250420"/>
    <w:rsid w:val="00250452"/>
    <w:rsid w:val="002504EE"/>
    <w:rsid w:val="00250523"/>
    <w:rsid w:val="00250623"/>
    <w:rsid w:val="00250633"/>
    <w:rsid w:val="00250645"/>
    <w:rsid w:val="00250685"/>
    <w:rsid w:val="002506E2"/>
    <w:rsid w:val="00250732"/>
    <w:rsid w:val="00250748"/>
    <w:rsid w:val="0025089E"/>
    <w:rsid w:val="00250BE3"/>
    <w:rsid w:val="00250C75"/>
    <w:rsid w:val="00250C9E"/>
    <w:rsid w:val="00250CB0"/>
    <w:rsid w:val="00250CFF"/>
    <w:rsid w:val="00250D5C"/>
    <w:rsid w:val="00250D76"/>
    <w:rsid w:val="00250E07"/>
    <w:rsid w:val="00250EB9"/>
    <w:rsid w:val="00250F22"/>
    <w:rsid w:val="00251058"/>
    <w:rsid w:val="0025118F"/>
    <w:rsid w:val="002511D3"/>
    <w:rsid w:val="002511D6"/>
    <w:rsid w:val="002511DA"/>
    <w:rsid w:val="00251262"/>
    <w:rsid w:val="00251431"/>
    <w:rsid w:val="0025148B"/>
    <w:rsid w:val="002514DE"/>
    <w:rsid w:val="00251503"/>
    <w:rsid w:val="002515FE"/>
    <w:rsid w:val="0025167B"/>
    <w:rsid w:val="002518CA"/>
    <w:rsid w:val="0025192F"/>
    <w:rsid w:val="002519B3"/>
    <w:rsid w:val="00251B20"/>
    <w:rsid w:val="00251B3C"/>
    <w:rsid w:val="00251BCF"/>
    <w:rsid w:val="00251C53"/>
    <w:rsid w:val="00251CCD"/>
    <w:rsid w:val="00251CF3"/>
    <w:rsid w:val="00251D0D"/>
    <w:rsid w:val="00251D69"/>
    <w:rsid w:val="00251D92"/>
    <w:rsid w:val="00251DE6"/>
    <w:rsid w:val="00251F89"/>
    <w:rsid w:val="00251FA1"/>
    <w:rsid w:val="00252150"/>
    <w:rsid w:val="002521B6"/>
    <w:rsid w:val="002521BC"/>
    <w:rsid w:val="0025235D"/>
    <w:rsid w:val="002523AF"/>
    <w:rsid w:val="002523CF"/>
    <w:rsid w:val="00252488"/>
    <w:rsid w:val="00252692"/>
    <w:rsid w:val="002526AE"/>
    <w:rsid w:val="0025275C"/>
    <w:rsid w:val="00252766"/>
    <w:rsid w:val="00252872"/>
    <w:rsid w:val="00252925"/>
    <w:rsid w:val="00252A36"/>
    <w:rsid w:val="00252A3A"/>
    <w:rsid w:val="00252B1C"/>
    <w:rsid w:val="00252C16"/>
    <w:rsid w:val="00252C9C"/>
    <w:rsid w:val="00252D32"/>
    <w:rsid w:val="00252E3B"/>
    <w:rsid w:val="00252E41"/>
    <w:rsid w:val="00252E71"/>
    <w:rsid w:val="00252E8E"/>
    <w:rsid w:val="00252ED0"/>
    <w:rsid w:val="00252FDB"/>
    <w:rsid w:val="00252FF7"/>
    <w:rsid w:val="00253049"/>
    <w:rsid w:val="00253104"/>
    <w:rsid w:val="002531C5"/>
    <w:rsid w:val="0025323C"/>
    <w:rsid w:val="00253292"/>
    <w:rsid w:val="00253386"/>
    <w:rsid w:val="00253394"/>
    <w:rsid w:val="002533E9"/>
    <w:rsid w:val="0025350C"/>
    <w:rsid w:val="0025354C"/>
    <w:rsid w:val="00253577"/>
    <w:rsid w:val="002535E6"/>
    <w:rsid w:val="002536A7"/>
    <w:rsid w:val="0025370E"/>
    <w:rsid w:val="00253728"/>
    <w:rsid w:val="00253839"/>
    <w:rsid w:val="0025386D"/>
    <w:rsid w:val="002539F0"/>
    <w:rsid w:val="00253B22"/>
    <w:rsid w:val="00253B63"/>
    <w:rsid w:val="00253C83"/>
    <w:rsid w:val="00253D52"/>
    <w:rsid w:val="00253DFD"/>
    <w:rsid w:val="00253E2B"/>
    <w:rsid w:val="00253EE5"/>
    <w:rsid w:val="00253F3A"/>
    <w:rsid w:val="00253F50"/>
    <w:rsid w:val="00253F68"/>
    <w:rsid w:val="00253FE5"/>
    <w:rsid w:val="00253FFF"/>
    <w:rsid w:val="00254095"/>
    <w:rsid w:val="002540DD"/>
    <w:rsid w:val="002540F3"/>
    <w:rsid w:val="00254154"/>
    <w:rsid w:val="0025417B"/>
    <w:rsid w:val="0025420D"/>
    <w:rsid w:val="0025424B"/>
    <w:rsid w:val="0025430D"/>
    <w:rsid w:val="0025432D"/>
    <w:rsid w:val="0025452B"/>
    <w:rsid w:val="00254549"/>
    <w:rsid w:val="002545FE"/>
    <w:rsid w:val="00254629"/>
    <w:rsid w:val="0025469F"/>
    <w:rsid w:val="0025471E"/>
    <w:rsid w:val="002547BA"/>
    <w:rsid w:val="002547DC"/>
    <w:rsid w:val="00254803"/>
    <w:rsid w:val="00254850"/>
    <w:rsid w:val="002548F0"/>
    <w:rsid w:val="002548F8"/>
    <w:rsid w:val="00254959"/>
    <w:rsid w:val="00254AFF"/>
    <w:rsid w:val="00254B0A"/>
    <w:rsid w:val="00254B50"/>
    <w:rsid w:val="00254B61"/>
    <w:rsid w:val="00254BD8"/>
    <w:rsid w:val="00254C7A"/>
    <w:rsid w:val="00254D46"/>
    <w:rsid w:val="00254D5C"/>
    <w:rsid w:val="00254D8E"/>
    <w:rsid w:val="00254DE0"/>
    <w:rsid w:val="00254E09"/>
    <w:rsid w:val="00254E10"/>
    <w:rsid w:val="00254EFC"/>
    <w:rsid w:val="00254F5F"/>
    <w:rsid w:val="00254FEB"/>
    <w:rsid w:val="0025505D"/>
    <w:rsid w:val="002550A7"/>
    <w:rsid w:val="0025511F"/>
    <w:rsid w:val="00255122"/>
    <w:rsid w:val="002551B0"/>
    <w:rsid w:val="002551F6"/>
    <w:rsid w:val="0025527C"/>
    <w:rsid w:val="002552EA"/>
    <w:rsid w:val="00255363"/>
    <w:rsid w:val="002553CD"/>
    <w:rsid w:val="0025545C"/>
    <w:rsid w:val="00255587"/>
    <w:rsid w:val="002555F2"/>
    <w:rsid w:val="002556C5"/>
    <w:rsid w:val="0025578A"/>
    <w:rsid w:val="0025582E"/>
    <w:rsid w:val="00255839"/>
    <w:rsid w:val="00255899"/>
    <w:rsid w:val="00255A29"/>
    <w:rsid w:val="00255A6F"/>
    <w:rsid w:val="00255AD3"/>
    <w:rsid w:val="00255BC8"/>
    <w:rsid w:val="00255BFE"/>
    <w:rsid w:val="00255D1C"/>
    <w:rsid w:val="00255E17"/>
    <w:rsid w:val="00255ED8"/>
    <w:rsid w:val="00255EDC"/>
    <w:rsid w:val="00255EFB"/>
    <w:rsid w:val="00255F80"/>
    <w:rsid w:val="00255F99"/>
    <w:rsid w:val="00255FBC"/>
    <w:rsid w:val="00255FE9"/>
    <w:rsid w:val="00255FFD"/>
    <w:rsid w:val="0025603B"/>
    <w:rsid w:val="002560BD"/>
    <w:rsid w:val="002561BF"/>
    <w:rsid w:val="002561EB"/>
    <w:rsid w:val="0025624F"/>
    <w:rsid w:val="002562E1"/>
    <w:rsid w:val="002563D0"/>
    <w:rsid w:val="002563EA"/>
    <w:rsid w:val="002563F5"/>
    <w:rsid w:val="002564D5"/>
    <w:rsid w:val="00256535"/>
    <w:rsid w:val="002565CB"/>
    <w:rsid w:val="002565D7"/>
    <w:rsid w:val="00256627"/>
    <w:rsid w:val="00256719"/>
    <w:rsid w:val="00256734"/>
    <w:rsid w:val="002567E8"/>
    <w:rsid w:val="002567EA"/>
    <w:rsid w:val="002567F8"/>
    <w:rsid w:val="00256818"/>
    <w:rsid w:val="0025693A"/>
    <w:rsid w:val="00256A05"/>
    <w:rsid w:val="00256A3F"/>
    <w:rsid w:val="00256B4A"/>
    <w:rsid w:val="00256C22"/>
    <w:rsid w:val="00256C39"/>
    <w:rsid w:val="00256C51"/>
    <w:rsid w:val="00256C53"/>
    <w:rsid w:val="00256CF3"/>
    <w:rsid w:val="00256DDB"/>
    <w:rsid w:val="00256E70"/>
    <w:rsid w:val="00256E91"/>
    <w:rsid w:val="00256F0A"/>
    <w:rsid w:val="00256FE8"/>
    <w:rsid w:val="00256FF2"/>
    <w:rsid w:val="00257053"/>
    <w:rsid w:val="00257099"/>
    <w:rsid w:val="0025714D"/>
    <w:rsid w:val="00257182"/>
    <w:rsid w:val="002571E8"/>
    <w:rsid w:val="00257269"/>
    <w:rsid w:val="00257299"/>
    <w:rsid w:val="002572D8"/>
    <w:rsid w:val="0025737E"/>
    <w:rsid w:val="00257380"/>
    <w:rsid w:val="002574D9"/>
    <w:rsid w:val="002574E7"/>
    <w:rsid w:val="002574ED"/>
    <w:rsid w:val="00257560"/>
    <w:rsid w:val="00257672"/>
    <w:rsid w:val="00257731"/>
    <w:rsid w:val="002577E7"/>
    <w:rsid w:val="0025787E"/>
    <w:rsid w:val="002578BD"/>
    <w:rsid w:val="0025791A"/>
    <w:rsid w:val="0025794A"/>
    <w:rsid w:val="00257B1A"/>
    <w:rsid w:val="00257B1B"/>
    <w:rsid w:val="00257B84"/>
    <w:rsid w:val="00257B96"/>
    <w:rsid w:val="00257BC6"/>
    <w:rsid w:val="00257BF6"/>
    <w:rsid w:val="00257D85"/>
    <w:rsid w:val="00257DD5"/>
    <w:rsid w:val="00257E26"/>
    <w:rsid w:val="00257E3A"/>
    <w:rsid w:val="00260020"/>
    <w:rsid w:val="00260094"/>
    <w:rsid w:val="002600A8"/>
    <w:rsid w:val="002600B5"/>
    <w:rsid w:val="00260147"/>
    <w:rsid w:val="002601FE"/>
    <w:rsid w:val="00260221"/>
    <w:rsid w:val="00260250"/>
    <w:rsid w:val="0026025D"/>
    <w:rsid w:val="0026026E"/>
    <w:rsid w:val="00260288"/>
    <w:rsid w:val="00260380"/>
    <w:rsid w:val="00260427"/>
    <w:rsid w:val="00260479"/>
    <w:rsid w:val="00260548"/>
    <w:rsid w:val="002605FE"/>
    <w:rsid w:val="002606F5"/>
    <w:rsid w:val="00260734"/>
    <w:rsid w:val="00260874"/>
    <w:rsid w:val="002609BC"/>
    <w:rsid w:val="002609E9"/>
    <w:rsid w:val="00260A4C"/>
    <w:rsid w:val="00260A5C"/>
    <w:rsid w:val="00260A99"/>
    <w:rsid w:val="00260ADD"/>
    <w:rsid w:val="00260B7D"/>
    <w:rsid w:val="00260BB8"/>
    <w:rsid w:val="00260DBC"/>
    <w:rsid w:val="00260DCA"/>
    <w:rsid w:val="00260DCB"/>
    <w:rsid w:val="00260E32"/>
    <w:rsid w:val="00260F34"/>
    <w:rsid w:val="00260FCE"/>
    <w:rsid w:val="00260FD9"/>
    <w:rsid w:val="00261066"/>
    <w:rsid w:val="00261093"/>
    <w:rsid w:val="002611F4"/>
    <w:rsid w:val="00261229"/>
    <w:rsid w:val="00261549"/>
    <w:rsid w:val="00261588"/>
    <w:rsid w:val="002615E9"/>
    <w:rsid w:val="0026163F"/>
    <w:rsid w:val="0026168D"/>
    <w:rsid w:val="0026169C"/>
    <w:rsid w:val="002616B8"/>
    <w:rsid w:val="002616EF"/>
    <w:rsid w:val="0026174F"/>
    <w:rsid w:val="00261865"/>
    <w:rsid w:val="00261976"/>
    <w:rsid w:val="00261988"/>
    <w:rsid w:val="002619E7"/>
    <w:rsid w:val="00261A2D"/>
    <w:rsid w:val="00261B2F"/>
    <w:rsid w:val="00261C1A"/>
    <w:rsid w:val="00261CDA"/>
    <w:rsid w:val="00261CFE"/>
    <w:rsid w:val="00261DEC"/>
    <w:rsid w:val="00261DEE"/>
    <w:rsid w:val="00261DF7"/>
    <w:rsid w:val="00261E06"/>
    <w:rsid w:val="00261E29"/>
    <w:rsid w:val="00261FC2"/>
    <w:rsid w:val="00261FC9"/>
    <w:rsid w:val="00261FDF"/>
    <w:rsid w:val="002620FB"/>
    <w:rsid w:val="00262117"/>
    <w:rsid w:val="002621AF"/>
    <w:rsid w:val="002622B0"/>
    <w:rsid w:val="00262315"/>
    <w:rsid w:val="00262328"/>
    <w:rsid w:val="0026233A"/>
    <w:rsid w:val="0026233D"/>
    <w:rsid w:val="0026234D"/>
    <w:rsid w:val="0026237F"/>
    <w:rsid w:val="0026239F"/>
    <w:rsid w:val="002623A1"/>
    <w:rsid w:val="002623E4"/>
    <w:rsid w:val="0026241C"/>
    <w:rsid w:val="00262423"/>
    <w:rsid w:val="00262552"/>
    <w:rsid w:val="002625CE"/>
    <w:rsid w:val="002625E9"/>
    <w:rsid w:val="00262691"/>
    <w:rsid w:val="002626D3"/>
    <w:rsid w:val="00262766"/>
    <w:rsid w:val="0026277F"/>
    <w:rsid w:val="00262840"/>
    <w:rsid w:val="00262A23"/>
    <w:rsid w:val="00262ABA"/>
    <w:rsid w:val="00262AE5"/>
    <w:rsid w:val="00262BD5"/>
    <w:rsid w:val="00262CDF"/>
    <w:rsid w:val="00262CF2"/>
    <w:rsid w:val="00262E0F"/>
    <w:rsid w:val="00262FE9"/>
    <w:rsid w:val="00263098"/>
    <w:rsid w:val="002630D7"/>
    <w:rsid w:val="00263225"/>
    <w:rsid w:val="00263250"/>
    <w:rsid w:val="00263258"/>
    <w:rsid w:val="002632A6"/>
    <w:rsid w:val="002632D6"/>
    <w:rsid w:val="0026333B"/>
    <w:rsid w:val="00263376"/>
    <w:rsid w:val="0026338B"/>
    <w:rsid w:val="00263485"/>
    <w:rsid w:val="0026348E"/>
    <w:rsid w:val="002634A1"/>
    <w:rsid w:val="00263555"/>
    <w:rsid w:val="002635DE"/>
    <w:rsid w:val="00263750"/>
    <w:rsid w:val="002637C0"/>
    <w:rsid w:val="002639D1"/>
    <w:rsid w:val="00263B5C"/>
    <w:rsid w:val="00263BCB"/>
    <w:rsid w:val="00263C36"/>
    <w:rsid w:val="00263C80"/>
    <w:rsid w:val="00263D2F"/>
    <w:rsid w:val="00263D49"/>
    <w:rsid w:val="00263D54"/>
    <w:rsid w:val="00263D56"/>
    <w:rsid w:val="00263EDC"/>
    <w:rsid w:val="00263EFB"/>
    <w:rsid w:val="00264002"/>
    <w:rsid w:val="00264045"/>
    <w:rsid w:val="0026413C"/>
    <w:rsid w:val="00264459"/>
    <w:rsid w:val="00264512"/>
    <w:rsid w:val="002645A1"/>
    <w:rsid w:val="002645CF"/>
    <w:rsid w:val="0026466E"/>
    <w:rsid w:val="00264690"/>
    <w:rsid w:val="00264713"/>
    <w:rsid w:val="002648EC"/>
    <w:rsid w:val="0026492A"/>
    <w:rsid w:val="0026496C"/>
    <w:rsid w:val="002649E3"/>
    <w:rsid w:val="00264A7B"/>
    <w:rsid w:val="00264AC9"/>
    <w:rsid w:val="00264BE5"/>
    <w:rsid w:val="00264C66"/>
    <w:rsid w:val="00264C99"/>
    <w:rsid w:val="00264DF7"/>
    <w:rsid w:val="00264E13"/>
    <w:rsid w:val="00264E31"/>
    <w:rsid w:val="00264E83"/>
    <w:rsid w:val="0026515A"/>
    <w:rsid w:val="0026516A"/>
    <w:rsid w:val="00265192"/>
    <w:rsid w:val="002651E6"/>
    <w:rsid w:val="00265270"/>
    <w:rsid w:val="0026535C"/>
    <w:rsid w:val="00265378"/>
    <w:rsid w:val="0026540D"/>
    <w:rsid w:val="0026552B"/>
    <w:rsid w:val="00265530"/>
    <w:rsid w:val="0026556E"/>
    <w:rsid w:val="002655FC"/>
    <w:rsid w:val="0026561E"/>
    <w:rsid w:val="002656E3"/>
    <w:rsid w:val="002657D4"/>
    <w:rsid w:val="00265801"/>
    <w:rsid w:val="0026586B"/>
    <w:rsid w:val="002658D7"/>
    <w:rsid w:val="002658EC"/>
    <w:rsid w:val="00265937"/>
    <w:rsid w:val="00265A5E"/>
    <w:rsid w:val="00265B47"/>
    <w:rsid w:val="00265B88"/>
    <w:rsid w:val="00265D8B"/>
    <w:rsid w:val="00265DA0"/>
    <w:rsid w:val="00265E1B"/>
    <w:rsid w:val="00265E22"/>
    <w:rsid w:val="00265E5F"/>
    <w:rsid w:val="00265EC8"/>
    <w:rsid w:val="00265F84"/>
    <w:rsid w:val="00265F8F"/>
    <w:rsid w:val="00265FFA"/>
    <w:rsid w:val="00266033"/>
    <w:rsid w:val="00266195"/>
    <w:rsid w:val="002661AB"/>
    <w:rsid w:val="002661F5"/>
    <w:rsid w:val="0026620C"/>
    <w:rsid w:val="002662F0"/>
    <w:rsid w:val="0026637A"/>
    <w:rsid w:val="0026646B"/>
    <w:rsid w:val="00266474"/>
    <w:rsid w:val="002664E9"/>
    <w:rsid w:val="002665AD"/>
    <w:rsid w:val="002665B3"/>
    <w:rsid w:val="0026661A"/>
    <w:rsid w:val="0026662D"/>
    <w:rsid w:val="00266638"/>
    <w:rsid w:val="0026664F"/>
    <w:rsid w:val="0026684D"/>
    <w:rsid w:val="002669A9"/>
    <w:rsid w:val="002669B3"/>
    <w:rsid w:val="00266A32"/>
    <w:rsid w:val="00266B96"/>
    <w:rsid w:val="00266B98"/>
    <w:rsid w:val="00266BA6"/>
    <w:rsid w:val="00266BA7"/>
    <w:rsid w:val="00266C10"/>
    <w:rsid w:val="00266CA1"/>
    <w:rsid w:val="00266D99"/>
    <w:rsid w:val="00266E3F"/>
    <w:rsid w:val="00266EA9"/>
    <w:rsid w:val="00266F22"/>
    <w:rsid w:val="00266F94"/>
    <w:rsid w:val="00266FB2"/>
    <w:rsid w:val="0026711D"/>
    <w:rsid w:val="00267155"/>
    <w:rsid w:val="00267162"/>
    <w:rsid w:val="00267281"/>
    <w:rsid w:val="002672BE"/>
    <w:rsid w:val="00267319"/>
    <w:rsid w:val="00267377"/>
    <w:rsid w:val="002673E5"/>
    <w:rsid w:val="00267458"/>
    <w:rsid w:val="002674BD"/>
    <w:rsid w:val="002674D0"/>
    <w:rsid w:val="00267654"/>
    <w:rsid w:val="002676A3"/>
    <w:rsid w:val="002676DF"/>
    <w:rsid w:val="00267709"/>
    <w:rsid w:val="002678A4"/>
    <w:rsid w:val="00267997"/>
    <w:rsid w:val="00267B9B"/>
    <w:rsid w:val="00267DA2"/>
    <w:rsid w:val="00267E96"/>
    <w:rsid w:val="00267E9F"/>
    <w:rsid w:val="00267F56"/>
    <w:rsid w:val="00267FAA"/>
    <w:rsid w:val="0027002A"/>
    <w:rsid w:val="002700F4"/>
    <w:rsid w:val="0027017E"/>
    <w:rsid w:val="00270323"/>
    <w:rsid w:val="0027039A"/>
    <w:rsid w:val="0027055D"/>
    <w:rsid w:val="00270645"/>
    <w:rsid w:val="002706E3"/>
    <w:rsid w:val="00270891"/>
    <w:rsid w:val="0027089F"/>
    <w:rsid w:val="002708F8"/>
    <w:rsid w:val="00270966"/>
    <w:rsid w:val="002709C4"/>
    <w:rsid w:val="002709F6"/>
    <w:rsid w:val="00270AAB"/>
    <w:rsid w:val="00270B71"/>
    <w:rsid w:val="00270C3B"/>
    <w:rsid w:val="00270C72"/>
    <w:rsid w:val="00270CC6"/>
    <w:rsid w:val="00270E36"/>
    <w:rsid w:val="00270E5D"/>
    <w:rsid w:val="00270ECD"/>
    <w:rsid w:val="00271164"/>
    <w:rsid w:val="0027118D"/>
    <w:rsid w:val="002711C4"/>
    <w:rsid w:val="00271214"/>
    <w:rsid w:val="002712C4"/>
    <w:rsid w:val="00271394"/>
    <w:rsid w:val="002713B4"/>
    <w:rsid w:val="002713E7"/>
    <w:rsid w:val="0027153A"/>
    <w:rsid w:val="00271561"/>
    <w:rsid w:val="00271597"/>
    <w:rsid w:val="002715A1"/>
    <w:rsid w:val="002715F9"/>
    <w:rsid w:val="00271602"/>
    <w:rsid w:val="00271678"/>
    <w:rsid w:val="0027174F"/>
    <w:rsid w:val="002718E2"/>
    <w:rsid w:val="002719B4"/>
    <w:rsid w:val="002719CC"/>
    <w:rsid w:val="002719F5"/>
    <w:rsid w:val="00271A1B"/>
    <w:rsid w:val="00271B60"/>
    <w:rsid w:val="00271BDA"/>
    <w:rsid w:val="00271C08"/>
    <w:rsid w:val="00271C17"/>
    <w:rsid w:val="00271C2F"/>
    <w:rsid w:val="00271D40"/>
    <w:rsid w:val="00271DCE"/>
    <w:rsid w:val="00271DFF"/>
    <w:rsid w:val="00271F2B"/>
    <w:rsid w:val="00271F3F"/>
    <w:rsid w:val="00271F9B"/>
    <w:rsid w:val="00272027"/>
    <w:rsid w:val="002720D9"/>
    <w:rsid w:val="0027217A"/>
    <w:rsid w:val="00272190"/>
    <w:rsid w:val="002721A5"/>
    <w:rsid w:val="0027226A"/>
    <w:rsid w:val="0027227E"/>
    <w:rsid w:val="00272288"/>
    <w:rsid w:val="002722C3"/>
    <w:rsid w:val="002722C6"/>
    <w:rsid w:val="00272301"/>
    <w:rsid w:val="00272330"/>
    <w:rsid w:val="002723FE"/>
    <w:rsid w:val="0027243D"/>
    <w:rsid w:val="002724FA"/>
    <w:rsid w:val="002726BF"/>
    <w:rsid w:val="00272849"/>
    <w:rsid w:val="002728D4"/>
    <w:rsid w:val="00272904"/>
    <w:rsid w:val="0027292B"/>
    <w:rsid w:val="0027297B"/>
    <w:rsid w:val="00272980"/>
    <w:rsid w:val="002729BF"/>
    <w:rsid w:val="002729E4"/>
    <w:rsid w:val="002729F8"/>
    <w:rsid w:val="00272A0B"/>
    <w:rsid w:val="00272A14"/>
    <w:rsid w:val="00272BDF"/>
    <w:rsid w:val="00272C35"/>
    <w:rsid w:val="00272D0B"/>
    <w:rsid w:val="00272D0F"/>
    <w:rsid w:val="00272D79"/>
    <w:rsid w:val="00272DF2"/>
    <w:rsid w:val="00272E64"/>
    <w:rsid w:val="00272EDB"/>
    <w:rsid w:val="00272FCA"/>
    <w:rsid w:val="0027309E"/>
    <w:rsid w:val="00273153"/>
    <w:rsid w:val="002731B6"/>
    <w:rsid w:val="002731DC"/>
    <w:rsid w:val="00273228"/>
    <w:rsid w:val="00273286"/>
    <w:rsid w:val="0027334F"/>
    <w:rsid w:val="0027337C"/>
    <w:rsid w:val="002733FE"/>
    <w:rsid w:val="00273453"/>
    <w:rsid w:val="0027362A"/>
    <w:rsid w:val="0027362F"/>
    <w:rsid w:val="00273711"/>
    <w:rsid w:val="002737AD"/>
    <w:rsid w:val="00273838"/>
    <w:rsid w:val="002738FF"/>
    <w:rsid w:val="002739A5"/>
    <w:rsid w:val="00273A67"/>
    <w:rsid w:val="00273AC2"/>
    <w:rsid w:val="00273AF7"/>
    <w:rsid w:val="00273AFA"/>
    <w:rsid w:val="00273B95"/>
    <w:rsid w:val="00273BC8"/>
    <w:rsid w:val="00273C13"/>
    <w:rsid w:val="00273D6D"/>
    <w:rsid w:val="00273E3D"/>
    <w:rsid w:val="00273F34"/>
    <w:rsid w:val="00274018"/>
    <w:rsid w:val="0027411D"/>
    <w:rsid w:val="00274187"/>
    <w:rsid w:val="002741BC"/>
    <w:rsid w:val="002741F1"/>
    <w:rsid w:val="00274220"/>
    <w:rsid w:val="00274294"/>
    <w:rsid w:val="002743CB"/>
    <w:rsid w:val="0027453D"/>
    <w:rsid w:val="00274554"/>
    <w:rsid w:val="002746AC"/>
    <w:rsid w:val="00274739"/>
    <w:rsid w:val="00274745"/>
    <w:rsid w:val="00274799"/>
    <w:rsid w:val="0027481F"/>
    <w:rsid w:val="0027492B"/>
    <w:rsid w:val="0027492C"/>
    <w:rsid w:val="002749BB"/>
    <w:rsid w:val="002749FA"/>
    <w:rsid w:val="00274A47"/>
    <w:rsid w:val="00274A50"/>
    <w:rsid w:val="00274B4D"/>
    <w:rsid w:val="00274B79"/>
    <w:rsid w:val="00274BDD"/>
    <w:rsid w:val="00274BFE"/>
    <w:rsid w:val="00274CDC"/>
    <w:rsid w:val="00274DA8"/>
    <w:rsid w:val="00274E03"/>
    <w:rsid w:val="00274F4B"/>
    <w:rsid w:val="00274F51"/>
    <w:rsid w:val="00274F93"/>
    <w:rsid w:val="00275145"/>
    <w:rsid w:val="00275346"/>
    <w:rsid w:val="00275399"/>
    <w:rsid w:val="002753CF"/>
    <w:rsid w:val="002753E1"/>
    <w:rsid w:val="0027549A"/>
    <w:rsid w:val="0027550A"/>
    <w:rsid w:val="00275532"/>
    <w:rsid w:val="002755D7"/>
    <w:rsid w:val="0027570B"/>
    <w:rsid w:val="00275732"/>
    <w:rsid w:val="002757BA"/>
    <w:rsid w:val="002757BE"/>
    <w:rsid w:val="002758E3"/>
    <w:rsid w:val="002759FF"/>
    <w:rsid w:val="00275A05"/>
    <w:rsid w:val="00275A63"/>
    <w:rsid w:val="00275A9D"/>
    <w:rsid w:val="00275B2A"/>
    <w:rsid w:val="00275B49"/>
    <w:rsid w:val="00275B94"/>
    <w:rsid w:val="00275BC9"/>
    <w:rsid w:val="00275C09"/>
    <w:rsid w:val="00275C58"/>
    <w:rsid w:val="00275D5C"/>
    <w:rsid w:val="00275EBE"/>
    <w:rsid w:val="00275F3B"/>
    <w:rsid w:val="00275F3D"/>
    <w:rsid w:val="00275F90"/>
    <w:rsid w:val="0027606F"/>
    <w:rsid w:val="002760D8"/>
    <w:rsid w:val="00276351"/>
    <w:rsid w:val="002763AC"/>
    <w:rsid w:val="002763CF"/>
    <w:rsid w:val="002765E9"/>
    <w:rsid w:val="00276603"/>
    <w:rsid w:val="0027662F"/>
    <w:rsid w:val="0027666E"/>
    <w:rsid w:val="002766B5"/>
    <w:rsid w:val="002766CA"/>
    <w:rsid w:val="002766ED"/>
    <w:rsid w:val="0027674F"/>
    <w:rsid w:val="002768E4"/>
    <w:rsid w:val="00276901"/>
    <w:rsid w:val="00276941"/>
    <w:rsid w:val="002769C2"/>
    <w:rsid w:val="002769C3"/>
    <w:rsid w:val="00276A73"/>
    <w:rsid w:val="00276AF4"/>
    <w:rsid w:val="00276C17"/>
    <w:rsid w:val="00276C2E"/>
    <w:rsid w:val="00276C98"/>
    <w:rsid w:val="00276CFB"/>
    <w:rsid w:val="00276DAC"/>
    <w:rsid w:val="00276EB6"/>
    <w:rsid w:val="00276EEA"/>
    <w:rsid w:val="00276EFA"/>
    <w:rsid w:val="00276F61"/>
    <w:rsid w:val="00276F76"/>
    <w:rsid w:val="00277031"/>
    <w:rsid w:val="00277043"/>
    <w:rsid w:val="002771A6"/>
    <w:rsid w:val="0027725B"/>
    <w:rsid w:val="00277344"/>
    <w:rsid w:val="00277354"/>
    <w:rsid w:val="00277369"/>
    <w:rsid w:val="002773D9"/>
    <w:rsid w:val="00277419"/>
    <w:rsid w:val="0027752D"/>
    <w:rsid w:val="00277544"/>
    <w:rsid w:val="00277581"/>
    <w:rsid w:val="002775AA"/>
    <w:rsid w:val="002775E5"/>
    <w:rsid w:val="00277613"/>
    <w:rsid w:val="00277641"/>
    <w:rsid w:val="002776AF"/>
    <w:rsid w:val="00277705"/>
    <w:rsid w:val="00277719"/>
    <w:rsid w:val="0027772F"/>
    <w:rsid w:val="00277796"/>
    <w:rsid w:val="00277827"/>
    <w:rsid w:val="00277865"/>
    <w:rsid w:val="00277875"/>
    <w:rsid w:val="002778FF"/>
    <w:rsid w:val="00277934"/>
    <w:rsid w:val="0027798B"/>
    <w:rsid w:val="00277A00"/>
    <w:rsid w:val="00277A21"/>
    <w:rsid w:val="00277A77"/>
    <w:rsid w:val="00277B06"/>
    <w:rsid w:val="00277B4A"/>
    <w:rsid w:val="00277B4C"/>
    <w:rsid w:val="00277BD7"/>
    <w:rsid w:val="00277CC2"/>
    <w:rsid w:val="00277CCF"/>
    <w:rsid w:val="00277D2B"/>
    <w:rsid w:val="00277D45"/>
    <w:rsid w:val="00277D7D"/>
    <w:rsid w:val="00277E5D"/>
    <w:rsid w:val="00277F3A"/>
    <w:rsid w:val="002800F9"/>
    <w:rsid w:val="0028011D"/>
    <w:rsid w:val="002801F8"/>
    <w:rsid w:val="00280329"/>
    <w:rsid w:val="00280341"/>
    <w:rsid w:val="0028039D"/>
    <w:rsid w:val="00280486"/>
    <w:rsid w:val="002804D6"/>
    <w:rsid w:val="0028050D"/>
    <w:rsid w:val="0028050E"/>
    <w:rsid w:val="00280559"/>
    <w:rsid w:val="00280773"/>
    <w:rsid w:val="002807EF"/>
    <w:rsid w:val="00280949"/>
    <w:rsid w:val="002809D2"/>
    <w:rsid w:val="00280A03"/>
    <w:rsid w:val="00280CE4"/>
    <w:rsid w:val="00280D70"/>
    <w:rsid w:val="00280D94"/>
    <w:rsid w:val="00280E1B"/>
    <w:rsid w:val="00280EEC"/>
    <w:rsid w:val="00280FAE"/>
    <w:rsid w:val="0028105D"/>
    <w:rsid w:val="00281172"/>
    <w:rsid w:val="002811E7"/>
    <w:rsid w:val="0028123E"/>
    <w:rsid w:val="00281256"/>
    <w:rsid w:val="002812E3"/>
    <w:rsid w:val="00281381"/>
    <w:rsid w:val="00281421"/>
    <w:rsid w:val="00281473"/>
    <w:rsid w:val="00281475"/>
    <w:rsid w:val="0028166C"/>
    <w:rsid w:val="002816EB"/>
    <w:rsid w:val="002816FE"/>
    <w:rsid w:val="00281704"/>
    <w:rsid w:val="002817AC"/>
    <w:rsid w:val="002817E9"/>
    <w:rsid w:val="002818A0"/>
    <w:rsid w:val="00281957"/>
    <w:rsid w:val="00281975"/>
    <w:rsid w:val="00281983"/>
    <w:rsid w:val="00281ABA"/>
    <w:rsid w:val="00281AC1"/>
    <w:rsid w:val="00281AFA"/>
    <w:rsid w:val="00281B06"/>
    <w:rsid w:val="00281B6A"/>
    <w:rsid w:val="00281B79"/>
    <w:rsid w:val="00281C10"/>
    <w:rsid w:val="00281CDA"/>
    <w:rsid w:val="00281DED"/>
    <w:rsid w:val="00281E5A"/>
    <w:rsid w:val="00281E5C"/>
    <w:rsid w:val="00281EE0"/>
    <w:rsid w:val="00281F28"/>
    <w:rsid w:val="0028207E"/>
    <w:rsid w:val="00282119"/>
    <w:rsid w:val="0028215B"/>
    <w:rsid w:val="00282171"/>
    <w:rsid w:val="0028217E"/>
    <w:rsid w:val="002821BC"/>
    <w:rsid w:val="00282217"/>
    <w:rsid w:val="002822AE"/>
    <w:rsid w:val="002822B5"/>
    <w:rsid w:val="002822B8"/>
    <w:rsid w:val="002822C3"/>
    <w:rsid w:val="002822FF"/>
    <w:rsid w:val="002823F6"/>
    <w:rsid w:val="00282488"/>
    <w:rsid w:val="002824BD"/>
    <w:rsid w:val="00282526"/>
    <w:rsid w:val="00282549"/>
    <w:rsid w:val="002825E5"/>
    <w:rsid w:val="00282656"/>
    <w:rsid w:val="0028267A"/>
    <w:rsid w:val="002826B6"/>
    <w:rsid w:val="002826B9"/>
    <w:rsid w:val="0028278E"/>
    <w:rsid w:val="0028283C"/>
    <w:rsid w:val="00282870"/>
    <w:rsid w:val="002828B8"/>
    <w:rsid w:val="002828D5"/>
    <w:rsid w:val="002828EB"/>
    <w:rsid w:val="002828F8"/>
    <w:rsid w:val="00282934"/>
    <w:rsid w:val="0028294F"/>
    <w:rsid w:val="002829B7"/>
    <w:rsid w:val="00282A26"/>
    <w:rsid w:val="00282A45"/>
    <w:rsid w:val="00282AC1"/>
    <w:rsid w:val="00282BAD"/>
    <w:rsid w:val="00282BE7"/>
    <w:rsid w:val="00282CA2"/>
    <w:rsid w:val="00282E62"/>
    <w:rsid w:val="00282EA1"/>
    <w:rsid w:val="00282FB9"/>
    <w:rsid w:val="00282FFF"/>
    <w:rsid w:val="002830FF"/>
    <w:rsid w:val="002831EB"/>
    <w:rsid w:val="002833A5"/>
    <w:rsid w:val="0028342C"/>
    <w:rsid w:val="002834E1"/>
    <w:rsid w:val="00283595"/>
    <w:rsid w:val="002836AF"/>
    <w:rsid w:val="002836C3"/>
    <w:rsid w:val="002836F3"/>
    <w:rsid w:val="00283702"/>
    <w:rsid w:val="0028381C"/>
    <w:rsid w:val="002838A2"/>
    <w:rsid w:val="002838BF"/>
    <w:rsid w:val="00283995"/>
    <w:rsid w:val="00283A8C"/>
    <w:rsid w:val="00283ABA"/>
    <w:rsid w:val="00283BEF"/>
    <w:rsid w:val="00283D01"/>
    <w:rsid w:val="00283D46"/>
    <w:rsid w:val="00283D65"/>
    <w:rsid w:val="00283DD9"/>
    <w:rsid w:val="00283EB0"/>
    <w:rsid w:val="00283ED5"/>
    <w:rsid w:val="00283F2C"/>
    <w:rsid w:val="00284057"/>
    <w:rsid w:val="0028410F"/>
    <w:rsid w:val="0028421E"/>
    <w:rsid w:val="00284399"/>
    <w:rsid w:val="002843C7"/>
    <w:rsid w:val="00284403"/>
    <w:rsid w:val="00284470"/>
    <w:rsid w:val="002844B8"/>
    <w:rsid w:val="002844EE"/>
    <w:rsid w:val="00284527"/>
    <w:rsid w:val="00284640"/>
    <w:rsid w:val="00284681"/>
    <w:rsid w:val="00284722"/>
    <w:rsid w:val="00284737"/>
    <w:rsid w:val="002847CD"/>
    <w:rsid w:val="002847FB"/>
    <w:rsid w:val="0028485A"/>
    <w:rsid w:val="00284878"/>
    <w:rsid w:val="00284898"/>
    <w:rsid w:val="0028493E"/>
    <w:rsid w:val="00284963"/>
    <w:rsid w:val="00284A31"/>
    <w:rsid w:val="00284B3E"/>
    <w:rsid w:val="00284B40"/>
    <w:rsid w:val="00284C20"/>
    <w:rsid w:val="00284C77"/>
    <w:rsid w:val="00284C98"/>
    <w:rsid w:val="00284C99"/>
    <w:rsid w:val="00284CB9"/>
    <w:rsid w:val="00284DB2"/>
    <w:rsid w:val="00284DD9"/>
    <w:rsid w:val="00284E72"/>
    <w:rsid w:val="00284E84"/>
    <w:rsid w:val="00284F1A"/>
    <w:rsid w:val="00284F42"/>
    <w:rsid w:val="00284FFD"/>
    <w:rsid w:val="00285009"/>
    <w:rsid w:val="00285025"/>
    <w:rsid w:val="00285108"/>
    <w:rsid w:val="0028512C"/>
    <w:rsid w:val="0028513A"/>
    <w:rsid w:val="0028515C"/>
    <w:rsid w:val="002851D8"/>
    <w:rsid w:val="002851DF"/>
    <w:rsid w:val="0028523B"/>
    <w:rsid w:val="0028549E"/>
    <w:rsid w:val="002854DB"/>
    <w:rsid w:val="00285533"/>
    <w:rsid w:val="00285565"/>
    <w:rsid w:val="00285578"/>
    <w:rsid w:val="0028557C"/>
    <w:rsid w:val="002855FD"/>
    <w:rsid w:val="00285652"/>
    <w:rsid w:val="002856BA"/>
    <w:rsid w:val="002856F2"/>
    <w:rsid w:val="002857B1"/>
    <w:rsid w:val="002857B5"/>
    <w:rsid w:val="002857C7"/>
    <w:rsid w:val="002858A3"/>
    <w:rsid w:val="002858AF"/>
    <w:rsid w:val="002858C7"/>
    <w:rsid w:val="002858ED"/>
    <w:rsid w:val="0028594F"/>
    <w:rsid w:val="00285C59"/>
    <w:rsid w:val="00285C93"/>
    <w:rsid w:val="00285CBC"/>
    <w:rsid w:val="00285E79"/>
    <w:rsid w:val="00285ECB"/>
    <w:rsid w:val="00285F8A"/>
    <w:rsid w:val="00285FEB"/>
    <w:rsid w:val="00286014"/>
    <w:rsid w:val="0028606D"/>
    <w:rsid w:val="00286176"/>
    <w:rsid w:val="002861D7"/>
    <w:rsid w:val="0028625A"/>
    <w:rsid w:val="002862E0"/>
    <w:rsid w:val="00286301"/>
    <w:rsid w:val="00286319"/>
    <w:rsid w:val="002863E4"/>
    <w:rsid w:val="002863F6"/>
    <w:rsid w:val="0028649C"/>
    <w:rsid w:val="00286522"/>
    <w:rsid w:val="002867B8"/>
    <w:rsid w:val="0028684A"/>
    <w:rsid w:val="00286965"/>
    <w:rsid w:val="002869D9"/>
    <w:rsid w:val="00286A7C"/>
    <w:rsid w:val="00286B9D"/>
    <w:rsid w:val="00286BC1"/>
    <w:rsid w:val="00286C0F"/>
    <w:rsid w:val="00286C1B"/>
    <w:rsid w:val="00286CF3"/>
    <w:rsid w:val="00286D73"/>
    <w:rsid w:val="00286DE3"/>
    <w:rsid w:val="00286EA1"/>
    <w:rsid w:val="00286EE2"/>
    <w:rsid w:val="00286F00"/>
    <w:rsid w:val="002870C9"/>
    <w:rsid w:val="002870F1"/>
    <w:rsid w:val="0028722C"/>
    <w:rsid w:val="00287259"/>
    <w:rsid w:val="002872E3"/>
    <w:rsid w:val="002872E7"/>
    <w:rsid w:val="00287387"/>
    <w:rsid w:val="00287515"/>
    <w:rsid w:val="00287529"/>
    <w:rsid w:val="002876AC"/>
    <w:rsid w:val="002876CC"/>
    <w:rsid w:val="002876FE"/>
    <w:rsid w:val="00287764"/>
    <w:rsid w:val="002877D9"/>
    <w:rsid w:val="00287832"/>
    <w:rsid w:val="0028789E"/>
    <w:rsid w:val="002878CF"/>
    <w:rsid w:val="0028794D"/>
    <w:rsid w:val="0028795D"/>
    <w:rsid w:val="002879C6"/>
    <w:rsid w:val="00287AF3"/>
    <w:rsid w:val="00287AF7"/>
    <w:rsid w:val="00287AFC"/>
    <w:rsid w:val="00287B0A"/>
    <w:rsid w:val="00287B3C"/>
    <w:rsid w:val="00287BCB"/>
    <w:rsid w:val="00287C36"/>
    <w:rsid w:val="00287CC0"/>
    <w:rsid w:val="00287CCA"/>
    <w:rsid w:val="00287DC8"/>
    <w:rsid w:val="00287DF9"/>
    <w:rsid w:val="00287EF3"/>
    <w:rsid w:val="00287F25"/>
    <w:rsid w:val="00287F26"/>
    <w:rsid w:val="00287FC8"/>
    <w:rsid w:val="0029007D"/>
    <w:rsid w:val="002900FE"/>
    <w:rsid w:val="002901C8"/>
    <w:rsid w:val="0029028E"/>
    <w:rsid w:val="00290291"/>
    <w:rsid w:val="00290304"/>
    <w:rsid w:val="00290323"/>
    <w:rsid w:val="00290356"/>
    <w:rsid w:val="0029035F"/>
    <w:rsid w:val="00290433"/>
    <w:rsid w:val="00290455"/>
    <w:rsid w:val="00290491"/>
    <w:rsid w:val="0029049A"/>
    <w:rsid w:val="002904C4"/>
    <w:rsid w:val="0029056E"/>
    <w:rsid w:val="00290587"/>
    <w:rsid w:val="002905E3"/>
    <w:rsid w:val="002906C1"/>
    <w:rsid w:val="00290753"/>
    <w:rsid w:val="00290759"/>
    <w:rsid w:val="00290829"/>
    <w:rsid w:val="00290833"/>
    <w:rsid w:val="00290846"/>
    <w:rsid w:val="00290866"/>
    <w:rsid w:val="002908C7"/>
    <w:rsid w:val="00290906"/>
    <w:rsid w:val="00290949"/>
    <w:rsid w:val="002909E3"/>
    <w:rsid w:val="002909F7"/>
    <w:rsid w:val="00290AFB"/>
    <w:rsid w:val="00290B29"/>
    <w:rsid w:val="00290B50"/>
    <w:rsid w:val="00290B54"/>
    <w:rsid w:val="00290C7F"/>
    <w:rsid w:val="00290C88"/>
    <w:rsid w:val="00290D27"/>
    <w:rsid w:val="00290D82"/>
    <w:rsid w:val="00290DE4"/>
    <w:rsid w:val="00290E16"/>
    <w:rsid w:val="00290E7A"/>
    <w:rsid w:val="00290EC9"/>
    <w:rsid w:val="00290F01"/>
    <w:rsid w:val="00290F25"/>
    <w:rsid w:val="00290FC5"/>
    <w:rsid w:val="00291011"/>
    <w:rsid w:val="00291167"/>
    <w:rsid w:val="00291201"/>
    <w:rsid w:val="0029121B"/>
    <w:rsid w:val="0029122C"/>
    <w:rsid w:val="00291244"/>
    <w:rsid w:val="002912FA"/>
    <w:rsid w:val="0029131E"/>
    <w:rsid w:val="0029136A"/>
    <w:rsid w:val="002914E9"/>
    <w:rsid w:val="0029152F"/>
    <w:rsid w:val="0029155A"/>
    <w:rsid w:val="002915B5"/>
    <w:rsid w:val="002915E7"/>
    <w:rsid w:val="0029163B"/>
    <w:rsid w:val="00291641"/>
    <w:rsid w:val="0029164E"/>
    <w:rsid w:val="002916D5"/>
    <w:rsid w:val="002917DF"/>
    <w:rsid w:val="0029183D"/>
    <w:rsid w:val="00291972"/>
    <w:rsid w:val="00291A2F"/>
    <w:rsid w:val="00291AF0"/>
    <w:rsid w:val="00291B01"/>
    <w:rsid w:val="00291B2C"/>
    <w:rsid w:val="00291B39"/>
    <w:rsid w:val="00291B3E"/>
    <w:rsid w:val="00291C23"/>
    <w:rsid w:val="00291C31"/>
    <w:rsid w:val="00291C8D"/>
    <w:rsid w:val="00291D10"/>
    <w:rsid w:val="00291D8B"/>
    <w:rsid w:val="00291E2D"/>
    <w:rsid w:val="00291E77"/>
    <w:rsid w:val="00291EAD"/>
    <w:rsid w:val="00291EE3"/>
    <w:rsid w:val="00291F18"/>
    <w:rsid w:val="0029207E"/>
    <w:rsid w:val="00292106"/>
    <w:rsid w:val="00292129"/>
    <w:rsid w:val="0029213B"/>
    <w:rsid w:val="00292206"/>
    <w:rsid w:val="002922D0"/>
    <w:rsid w:val="0029234E"/>
    <w:rsid w:val="00292387"/>
    <w:rsid w:val="002923EB"/>
    <w:rsid w:val="002923FF"/>
    <w:rsid w:val="002925AC"/>
    <w:rsid w:val="002925B5"/>
    <w:rsid w:val="002925BB"/>
    <w:rsid w:val="0029260B"/>
    <w:rsid w:val="002926E0"/>
    <w:rsid w:val="002926F0"/>
    <w:rsid w:val="00292710"/>
    <w:rsid w:val="00292712"/>
    <w:rsid w:val="0029276D"/>
    <w:rsid w:val="00292794"/>
    <w:rsid w:val="00292797"/>
    <w:rsid w:val="00292872"/>
    <w:rsid w:val="00292886"/>
    <w:rsid w:val="00292892"/>
    <w:rsid w:val="00292899"/>
    <w:rsid w:val="002928C0"/>
    <w:rsid w:val="002928C1"/>
    <w:rsid w:val="00292920"/>
    <w:rsid w:val="00292A03"/>
    <w:rsid w:val="00292AFA"/>
    <w:rsid w:val="00292B66"/>
    <w:rsid w:val="00292B6F"/>
    <w:rsid w:val="00292B92"/>
    <w:rsid w:val="00292BF8"/>
    <w:rsid w:val="00292C83"/>
    <w:rsid w:val="00292C88"/>
    <w:rsid w:val="00292CA9"/>
    <w:rsid w:val="00292FA3"/>
    <w:rsid w:val="00292FF4"/>
    <w:rsid w:val="002930B9"/>
    <w:rsid w:val="00293117"/>
    <w:rsid w:val="0029325C"/>
    <w:rsid w:val="0029337B"/>
    <w:rsid w:val="0029340F"/>
    <w:rsid w:val="00293433"/>
    <w:rsid w:val="00293484"/>
    <w:rsid w:val="002935A5"/>
    <w:rsid w:val="002935BD"/>
    <w:rsid w:val="002935F9"/>
    <w:rsid w:val="00293685"/>
    <w:rsid w:val="002936AA"/>
    <w:rsid w:val="00293763"/>
    <w:rsid w:val="002937E9"/>
    <w:rsid w:val="0029380F"/>
    <w:rsid w:val="0029383E"/>
    <w:rsid w:val="002938B2"/>
    <w:rsid w:val="002938C9"/>
    <w:rsid w:val="00293908"/>
    <w:rsid w:val="00293930"/>
    <w:rsid w:val="00293A90"/>
    <w:rsid w:val="00293ACB"/>
    <w:rsid w:val="00293B1A"/>
    <w:rsid w:val="00293BC0"/>
    <w:rsid w:val="00293BF0"/>
    <w:rsid w:val="00293C00"/>
    <w:rsid w:val="00293C25"/>
    <w:rsid w:val="00293C46"/>
    <w:rsid w:val="00293C4D"/>
    <w:rsid w:val="00293C68"/>
    <w:rsid w:val="00293C7E"/>
    <w:rsid w:val="00293D3F"/>
    <w:rsid w:val="00293D84"/>
    <w:rsid w:val="00293DD2"/>
    <w:rsid w:val="00293DDD"/>
    <w:rsid w:val="00293E1F"/>
    <w:rsid w:val="00293E4E"/>
    <w:rsid w:val="00293F72"/>
    <w:rsid w:val="00294055"/>
    <w:rsid w:val="00294153"/>
    <w:rsid w:val="002942BF"/>
    <w:rsid w:val="002943CB"/>
    <w:rsid w:val="002943DF"/>
    <w:rsid w:val="002944C2"/>
    <w:rsid w:val="002944E3"/>
    <w:rsid w:val="002946FE"/>
    <w:rsid w:val="00294707"/>
    <w:rsid w:val="0029471B"/>
    <w:rsid w:val="00294768"/>
    <w:rsid w:val="002947F0"/>
    <w:rsid w:val="00294834"/>
    <w:rsid w:val="002948B0"/>
    <w:rsid w:val="002948C1"/>
    <w:rsid w:val="00294969"/>
    <w:rsid w:val="00294982"/>
    <w:rsid w:val="00294A18"/>
    <w:rsid w:val="00294A2D"/>
    <w:rsid w:val="00294A4A"/>
    <w:rsid w:val="00294A56"/>
    <w:rsid w:val="00294B5B"/>
    <w:rsid w:val="00294B8D"/>
    <w:rsid w:val="00294BC0"/>
    <w:rsid w:val="00294C75"/>
    <w:rsid w:val="00294D7E"/>
    <w:rsid w:val="00294DD4"/>
    <w:rsid w:val="00294DDB"/>
    <w:rsid w:val="00294E46"/>
    <w:rsid w:val="00294E7D"/>
    <w:rsid w:val="00294EB6"/>
    <w:rsid w:val="00294ECD"/>
    <w:rsid w:val="00294F3C"/>
    <w:rsid w:val="00294FA5"/>
    <w:rsid w:val="002950A6"/>
    <w:rsid w:val="002950FC"/>
    <w:rsid w:val="00295121"/>
    <w:rsid w:val="00295266"/>
    <w:rsid w:val="00295308"/>
    <w:rsid w:val="00295310"/>
    <w:rsid w:val="0029536C"/>
    <w:rsid w:val="002953C8"/>
    <w:rsid w:val="002954E7"/>
    <w:rsid w:val="002955FF"/>
    <w:rsid w:val="00295699"/>
    <w:rsid w:val="002956BD"/>
    <w:rsid w:val="00295786"/>
    <w:rsid w:val="002957CA"/>
    <w:rsid w:val="00295853"/>
    <w:rsid w:val="00295887"/>
    <w:rsid w:val="002958D0"/>
    <w:rsid w:val="002958FD"/>
    <w:rsid w:val="0029591D"/>
    <w:rsid w:val="0029593F"/>
    <w:rsid w:val="00295A95"/>
    <w:rsid w:val="00295B3E"/>
    <w:rsid w:val="00295B5F"/>
    <w:rsid w:val="00295C9C"/>
    <w:rsid w:val="00295E0C"/>
    <w:rsid w:val="00295E5C"/>
    <w:rsid w:val="00295E5E"/>
    <w:rsid w:val="00295EF6"/>
    <w:rsid w:val="0029600C"/>
    <w:rsid w:val="0029600F"/>
    <w:rsid w:val="00296011"/>
    <w:rsid w:val="002961F8"/>
    <w:rsid w:val="002961FB"/>
    <w:rsid w:val="00296248"/>
    <w:rsid w:val="002962E2"/>
    <w:rsid w:val="002962F5"/>
    <w:rsid w:val="0029635C"/>
    <w:rsid w:val="002963A8"/>
    <w:rsid w:val="00296490"/>
    <w:rsid w:val="00296509"/>
    <w:rsid w:val="0029653A"/>
    <w:rsid w:val="0029665C"/>
    <w:rsid w:val="00296694"/>
    <w:rsid w:val="002966E4"/>
    <w:rsid w:val="002966FD"/>
    <w:rsid w:val="00296709"/>
    <w:rsid w:val="00296784"/>
    <w:rsid w:val="002968DA"/>
    <w:rsid w:val="0029692B"/>
    <w:rsid w:val="0029699C"/>
    <w:rsid w:val="00296A7E"/>
    <w:rsid w:val="00296ABF"/>
    <w:rsid w:val="00296B16"/>
    <w:rsid w:val="00296B89"/>
    <w:rsid w:val="00296C5E"/>
    <w:rsid w:val="00296C82"/>
    <w:rsid w:val="00296C8B"/>
    <w:rsid w:val="00296D75"/>
    <w:rsid w:val="00296DB6"/>
    <w:rsid w:val="00296E4D"/>
    <w:rsid w:val="00296E50"/>
    <w:rsid w:val="00296F91"/>
    <w:rsid w:val="00296FAB"/>
    <w:rsid w:val="00297060"/>
    <w:rsid w:val="002970A9"/>
    <w:rsid w:val="002970F0"/>
    <w:rsid w:val="0029752E"/>
    <w:rsid w:val="0029753D"/>
    <w:rsid w:val="00297572"/>
    <w:rsid w:val="002976ED"/>
    <w:rsid w:val="00297825"/>
    <w:rsid w:val="002978D5"/>
    <w:rsid w:val="00297981"/>
    <w:rsid w:val="00297983"/>
    <w:rsid w:val="00297A3F"/>
    <w:rsid w:val="00297A60"/>
    <w:rsid w:val="00297A99"/>
    <w:rsid w:val="00297ABB"/>
    <w:rsid w:val="00297B5D"/>
    <w:rsid w:val="00297B7C"/>
    <w:rsid w:val="00297BE5"/>
    <w:rsid w:val="00297C0F"/>
    <w:rsid w:val="00297C5C"/>
    <w:rsid w:val="00297CFC"/>
    <w:rsid w:val="00297D45"/>
    <w:rsid w:val="00297DEA"/>
    <w:rsid w:val="00297E3C"/>
    <w:rsid w:val="00297E9E"/>
    <w:rsid w:val="00297FBC"/>
    <w:rsid w:val="002A002E"/>
    <w:rsid w:val="002A0191"/>
    <w:rsid w:val="002A01C3"/>
    <w:rsid w:val="002A028E"/>
    <w:rsid w:val="002A02A4"/>
    <w:rsid w:val="002A02D8"/>
    <w:rsid w:val="002A033B"/>
    <w:rsid w:val="002A0419"/>
    <w:rsid w:val="002A0462"/>
    <w:rsid w:val="002A06D6"/>
    <w:rsid w:val="002A06DC"/>
    <w:rsid w:val="002A0773"/>
    <w:rsid w:val="002A07AC"/>
    <w:rsid w:val="002A081B"/>
    <w:rsid w:val="002A098F"/>
    <w:rsid w:val="002A0A71"/>
    <w:rsid w:val="002A0A7F"/>
    <w:rsid w:val="002A0A96"/>
    <w:rsid w:val="002A0ACA"/>
    <w:rsid w:val="002A0B01"/>
    <w:rsid w:val="002A0B3D"/>
    <w:rsid w:val="002A0B72"/>
    <w:rsid w:val="002A0C8F"/>
    <w:rsid w:val="002A0C94"/>
    <w:rsid w:val="002A0E4E"/>
    <w:rsid w:val="002A0E68"/>
    <w:rsid w:val="002A0EF9"/>
    <w:rsid w:val="002A0F5E"/>
    <w:rsid w:val="002A0FB7"/>
    <w:rsid w:val="002A1017"/>
    <w:rsid w:val="002A10DB"/>
    <w:rsid w:val="002A1120"/>
    <w:rsid w:val="002A1178"/>
    <w:rsid w:val="002A11BE"/>
    <w:rsid w:val="002A11C2"/>
    <w:rsid w:val="002A12D4"/>
    <w:rsid w:val="002A1344"/>
    <w:rsid w:val="002A1370"/>
    <w:rsid w:val="002A1490"/>
    <w:rsid w:val="002A163D"/>
    <w:rsid w:val="002A1657"/>
    <w:rsid w:val="002A16AC"/>
    <w:rsid w:val="002A16FB"/>
    <w:rsid w:val="002A194F"/>
    <w:rsid w:val="002A1A65"/>
    <w:rsid w:val="002A1AFB"/>
    <w:rsid w:val="002A1BC8"/>
    <w:rsid w:val="002A1D1C"/>
    <w:rsid w:val="002A1D35"/>
    <w:rsid w:val="002A1D76"/>
    <w:rsid w:val="002A1E49"/>
    <w:rsid w:val="002A1FD2"/>
    <w:rsid w:val="002A20BC"/>
    <w:rsid w:val="002A20D6"/>
    <w:rsid w:val="002A20F6"/>
    <w:rsid w:val="002A214C"/>
    <w:rsid w:val="002A24EE"/>
    <w:rsid w:val="002A2523"/>
    <w:rsid w:val="002A259A"/>
    <w:rsid w:val="002A262A"/>
    <w:rsid w:val="002A26DF"/>
    <w:rsid w:val="002A2785"/>
    <w:rsid w:val="002A2792"/>
    <w:rsid w:val="002A27DA"/>
    <w:rsid w:val="002A28B3"/>
    <w:rsid w:val="002A28DA"/>
    <w:rsid w:val="002A2924"/>
    <w:rsid w:val="002A2983"/>
    <w:rsid w:val="002A2AEA"/>
    <w:rsid w:val="002A2BD0"/>
    <w:rsid w:val="002A2C4F"/>
    <w:rsid w:val="002A2D97"/>
    <w:rsid w:val="002A30B5"/>
    <w:rsid w:val="002A30C7"/>
    <w:rsid w:val="002A3112"/>
    <w:rsid w:val="002A318E"/>
    <w:rsid w:val="002A3307"/>
    <w:rsid w:val="002A33C4"/>
    <w:rsid w:val="002A3438"/>
    <w:rsid w:val="002A34FE"/>
    <w:rsid w:val="002A3597"/>
    <w:rsid w:val="002A3618"/>
    <w:rsid w:val="002A3641"/>
    <w:rsid w:val="002A364C"/>
    <w:rsid w:val="002A36A5"/>
    <w:rsid w:val="002A36C4"/>
    <w:rsid w:val="002A378E"/>
    <w:rsid w:val="002A3853"/>
    <w:rsid w:val="002A38FC"/>
    <w:rsid w:val="002A39F9"/>
    <w:rsid w:val="002A3A11"/>
    <w:rsid w:val="002A3B2C"/>
    <w:rsid w:val="002A3C0D"/>
    <w:rsid w:val="002A3C6D"/>
    <w:rsid w:val="002A3CBF"/>
    <w:rsid w:val="002A3E33"/>
    <w:rsid w:val="002A3E95"/>
    <w:rsid w:val="002A3ED0"/>
    <w:rsid w:val="002A3F0F"/>
    <w:rsid w:val="002A40BB"/>
    <w:rsid w:val="002A4135"/>
    <w:rsid w:val="002A414F"/>
    <w:rsid w:val="002A4262"/>
    <w:rsid w:val="002A42A4"/>
    <w:rsid w:val="002A42F9"/>
    <w:rsid w:val="002A4364"/>
    <w:rsid w:val="002A439A"/>
    <w:rsid w:val="002A458E"/>
    <w:rsid w:val="002A45AA"/>
    <w:rsid w:val="002A45AE"/>
    <w:rsid w:val="002A45C0"/>
    <w:rsid w:val="002A45D2"/>
    <w:rsid w:val="002A45F3"/>
    <w:rsid w:val="002A466B"/>
    <w:rsid w:val="002A46DC"/>
    <w:rsid w:val="002A46E3"/>
    <w:rsid w:val="002A4761"/>
    <w:rsid w:val="002A4796"/>
    <w:rsid w:val="002A4829"/>
    <w:rsid w:val="002A48DD"/>
    <w:rsid w:val="002A499D"/>
    <w:rsid w:val="002A4A3A"/>
    <w:rsid w:val="002A4A5F"/>
    <w:rsid w:val="002A4B10"/>
    <w:rsid w:val="002A4B81"/>
    <w:rsid w:val="002A4BEC"/>
    <w:rsid w:val="002A4C13"/>
    <w:rsid w:val="002A4D37"/>
    <w:rsid w:val="002A4D4B"/>
    <w:rsid w:val="002A4DDB"/>
    <w:rsid w:val="002A4EFF"/>
    <w:rsid w:val="002A4F4F"/>
    <w:rsid w:val="002A4FC0"/>
    <w:rsid w:val="002A501F"/>
    <w:rsid w:val="002A504C"/>
    <w:rsid w:val="002A5081"/>
    <w:rsid w:val="002A5089"/>
    <w:rsid w:val="002A50B4"/>
    <w:rsid w:val="002A50C2"/>
    <w:rsid w:val="002A5133"/>
    <w:rsid w:val="002A52BB"/>
    <w:rsid w:val="002A538F"/>
    <w:rsid w:val="002A54D7"/>
    <w:rsid w:val="002A5594"/>
    <w:rsid w:val="002A56D8"/>
    <w:rsid w:val="002A578C"/>
    <w:rsid w:val="002A57ED"/>
    <w:rsid w:val="002A589B"/>
    <w:rsid w:val="002A595F"/>
    <w:rsid w:val="002A5970"/>
    <w:rsid w:val="002A5977"/>
    <w:rsid w:val="002A59F4"/>
    <w:rsid w:val="002A5A68"/>
    <w:rsid w:val="002A5B1E"/>
    <w:rsid w:val="002A5B66"/>
    <w:rsid w:val="002A5B9C"/>
    <w:rsid w:val="002A5BDE"/>
    <w:rsid w:val="002A5BE2"/>
    <w:rsid w:val="002A5D05"/>
    <w:rsid w:val="002A5DAD"/>
    <w:rsid w:val="002A5E5D"/>
    <w:rsid w:val="002A5E9B"/>
    <w:rsid w:val="002A5F1C"/>
    <w:rsid w:val="002A5F87"/>
    <w:rsid w:val="002A5FC7"/>
    <w:rsid w:val="002A6054"/>
    <w:rsid w:val="002A6085"/>
    <w:rsid w:val="002A60C4"/>
    <w:rsid w:val="002A61AA"/>
    <w:rsid w:val="002A61D2"/>
    <w:rsid w:val="002A6210"/>
    <w:rsid w:val="002A625F"/>
    <w:rsid w:val="002A626F"/>
    <w:rsid w:val="002A62A5"/>
    <w:rsid w:val="002A6348"/>
    <w:rsid w:val="002A634D"/>
    <w:rsid w:val="002A63F1"/>
    <w:rsid w:val="002A6408"/>
    <w:rsid w:val="002A640A"/>
    <w:rsid w:val="002A6459"/>
    <w:rsid w:val="002A651E"/>
    <w:rsid w:val="002A6663"/>
    <w:rsid w:val="002A696A"/>
    <w:rsid w:val="002A6971"/>
    <w:rsid w:val="002A69C3"/>
    <w:rsid w:val="002A69F7"/>
    <w:rsid w:val="002A6A32"/>
    <w:rsid w:val="002A6A94"/>
    <w:rsid w:val="002A6C7C"/>
    <w:rsid w:val="002A6CE3"/>
    <w:rsid w:val="002A6CF2"/>
    <w:rsid w:val="002A6DD9"/>
    <w:rsid w:val="002A6E01"/>
    <w:rsid w:val="002A6E6A"/>
    <w:rsid w:val="002A6EB2"/>
    <w:rsid w:val="002A6EFD"/>
    <w:rsid w:val="002A6FB1"/>
    <w:rsid w:val="002A701A"/>
    <w:rsid w:val="002A711E"/>
    <w:rsid w:val="002A7156"/>
    <w:rsid w:val="002A71D4"/>
    <w:rsid w:val="002A723E"/>
    <w:rsid w:val="002A725B"/>
    <w:rsid w:val="002A72AE"/>
    <w:rsid w:val="002A72CC"/>
    <w:rsid w:val="002A72F2"/>
    <w:rsid w:val="002A7336"/>
    <w:rsid w:val="002A73A9"/>
    <w:rsid w:val="002A73E6"/>
    <w:rsid w:val="002A7437"/>
    <w:rsid w:val="002A7452"/>
    <w:rsid w:val="002A756A"/>
    <w:rsid w:val="002A75AA"/>
    <w:rsid w:val="002A75B1"/>
    <w:rsid w:val="002A75E5"/>
    <w:rsid w:val="002A762E"/>
    <w:rsid w:val="002A7645"/>
    <w:rsid w:val="002A76FC"/>
    <w:rsid w:val="002A7712"/>
    <w:rsid w:val="002A773A"/>
    <w:rsid w:val="002A773D"/>
    <w:rsid w:val="002A7772"/>
    <w:rsid w:val="002A7842"/>
    <w:rsid w:val="002A7869"/>
    <w:rsid w:val="002A787C"/>
    <w:rsid w:val="002A7897"/>
    <w:rsid w:val="002A78F2"/>
    <w:rsid w:val="002A799D"/>
    <w:rsid w:val="002A7ADF"/>
    <w:rsid w:val="002A7D65"/>
    <w:rsid w:val="002A7DC0"/>
    <w:rsid w:val="002A7DF5"/>
    <w:rsid w:val="002A7E25"/>
    <w:rsid w:val="002A7E65"/>
    <w:rsid w:val="002A7F0F"/>
    <w:rsid w:val="002A7F9A"/>
    <w:rsid w:val="002A7FB4"/>
    <w:rsid w:val="002B0089"/>
    <w:rsid w:val="002B00A1"/>
    <w:rsid w:val="002B00C2"/>
    <w:rsid w:val="002B0108"/>
    <w:rsid w:val="002B011D"/>
    <w:rsid w:val="002B01EF"/>
    <w:rsid w:val="002B0265"/>
    <w:rsid w:val="002B0290"/>
    <w:rsid w:val="002B0389"/>
    <w:rsid w:val="002B059A"/>
    <w:rsid w:val="002B063D"/>
    <w:rsid w:val="002B072B"/>
    <w:rsid w:val="002B0733"/>
    <w:rsid w:val="002B07AE"/>
    <w:rsid w:val="002B098F"/>
    <w:rsid w:val="002B0C58"/>
    <w:rsid w:val="002B0C7A"/>
    <w:rsid w:val="002B0D44"/>
    <w:rsid w:val="002B0ECA"/>
    <w:rsid w:val="002B0F31"/>
    <w:rsid w:val="002B0F84"/>
    <w:rsid w:val="002B1119"/>
    <w:rsid w:val="002B11D2"/>
    <w:rsid w:val="002B11D4"/>
    <w:rsid w:val="002B1276"/>
    <w:rsid w:val="002B13A0"/>
    <w:rsid w:val="002B13E5"/>
    <w:rsid w:val="002B145A"/>
    <w:rsid w:val="002B1502"/>
    <w:rsid w:val="002B1541"/>
    <w:rsid w:val="002B160E"/>
    <w:rsid w:val="002B1613"/>
    <w:rsid w:val="002B161D"/>
    <w:rsid w:val="002B163D"/>
    <w:rsid w:val="002B1713"/>
    <w:rsid w:val="002B1731"/>
    <w:rsid w:val="002B1799"/>
    <w:rsid w:val="002B17A4"/>
    <w:rsid w:val="002B1850"/>
    <w:rsid w:val="002B18B1"/>
    <w:rsid w:val="002B197C"/>
    <w:rsid w:val="002B199C"/>
    <w:rsid w:val="002B1A10"/>
    <w:rsid w:val="002B1A23"/>
    <w:rsid w:val="002B1A95"/>
    <w:rsid w:val="002B1ADC"/>
    <w:rsid w:val="002B1B0D"/>
    <w:rsid w:val="002B1BC9"/>
    <w:rsid w:val="002B1C03"/>
    <w:rsid w:val="002B1CF9"/>
    <w:rsid w:val="002B1D56"/>
    <w:rsid w:val="002B1D60"/>
    <w:rsid w:val="002B1EAA"/>
    <w:rsid w:val="002B1F38"/>
    <w:rsid w:val="002B1FD2"/>
    <w:rsid w:val="002B1FDD"/>
    <w:rsid w:val="002B2029"/>
    <w:rsid w:val="002B2069"/>
    <w:rsid w:val="002B2072"/>
    <w:rsid w:val="002B20D7"/>
    <w:rsid w:val="002B2164"/>
    <w:rsid w:val="002B21CF"/>
    <w:rsid w:val="002B21F3"/>
    <w:rsid w:val="002B227C"/>
    <w:rsid w:val="002B23DC"/>
    <w:rsid w:val="002B25A4"/>
    <w:rsid w:val="002B2638"/>
    <w:rsid w:val="002B26FD"/>
    <w:rsid w:val="002B27A3"/>
    <w:rsid w:val="002B2820"/>
    <w:rsid w:val="002B2981"/>
    <w:rsid w:val="002B2A2A"/>
    <w:rsid w:val="002B2A4A"/>
    <w:rsid w:val="002B2A98"/>
    <w:rsid w:val="002B2B1F"/>
    <w:rsid w:val="002B2B7B"/>
    <w:rsid w:val="002B2BDE"/>
    <w:rsid w:val="002B2C9F"/>
    <w:rsid w:val="002B2E51"/>
    <w:rsid w:val="002B2EDC"/>
    <w:rsid w:val="002B2F7F"/>
    <w:rsid w:val="002B2FB7"/>
    <w:rsid w:val="002B302A"/>
    <w:rsid w:val="002B3062"/>
    <w:rsid w:val="002B31BD"/>
    <w:rsid w:val="002B32C4"/>
    <w:rsid w:val="002B330B"/>
    <w:rsid w:val="002B339B"/>
    <w:rsid w:val="002B3434"/>
    <w:rsid w:val="002B3436"/>
    <w:rsid w:val="002B34A6"/>
    <w:rsid w:val="002B3628"/>
    <w:rsid w:val="002B3634"/>
    <w:rsid w:val="002B372B"/>
    <w:rsid w:val="002B384F"/>
    <w:rsid w:val="002B38EC"/>
    <w:rsid w:val="002B397D"/>
    <w:rsid w:val="002B397F"/>
    <w:rsid w:val="002B3985"/>
    <w:rsid w:val="002B39CE"/>
    <w:rsid w:val="002B3A0A"/>
    <w:rsid w:val="002B3B7D"/>
    <w:rsid w:val="002B3B7E"/>
    <w:rsid w:val="002B3B9D"/>
    <w:rsid w:val="002B3DB1"/>
    <w:rsid w:val="002B3DB4"/>
    <w:rsid w:val="002B3E04"/>
    <w:rsid w:val="002B3E77"/>
    <w:rsid w:val="002B3E80"/>
    <w:rsid w:val="002B3E8A"/>
    <w:rsid w:val="002B4058"/>
    <w:rsid w:val="002B406F"/>
    <w:rsid w:val="002B4089"/>
    <w:rsid w:val="002B408F"/>
    <w:rsid w:val="002B40B0"/>
    <w:rsid w:val="002B4119"/>
    <w:rsid w:val="002B4210"/>
    <w:rsid w:val="002B4261"/>
    <w:rsid w:val="002B42E9"/>
    <w:rsid w:val="002B436D"/>
    <w:rsid w:val="002B43D4"/>
    <w:rsid w:val="002B45F7"/>
    <w:rsid w:val="002B46A1"/>
    <w:rsid w:val="002B48B4"/>
    <w:rsid w:val="002B48BF"/>
    <w:rsid w:val="002B4978"/>
    <w:rsid w:val="002B4998"/>
    <w:rsid w:val="002B4A57"/>
    <w:rsid w:val="002B4A66"/>
    <w:rsid w:val="002B4AE6"/>
    <w:rsid w:val="002B4B97"/>
    <w:rsid w:val="002B4BDE"/>
    <w:rsid w:val="002B4D3A"/>
    <w:rsid w:val="002B4E94"/>
    <w:rsid w:val="002B4F0E"/>
    <w:rsid w:val="002B4F1E"/>
    <w:rsid w:val="002B4F27"/>
    <w:rsid w:val="002B4F38"/>
    <w:rsid w:val="002B5042"/>
    <w:rsid w:val="002B5084"/>
    <w:rsid w:val="002B5086"/>
    <w:rsid w:val="002B50D8"/>
    <w:rsid w:val="002B529A"/>
    <w:rsid w:val="002B52B3"/>
    <w:rsid w:val="002B52C1"/>
    <w:rsid w:val="002B543E"/>
    <w:rsid w:val="002B54C0"/>
    <w:rsid w:val="002B5547"/>
    <w:rsid w:val="002B5585"/>
    <w:rsid w:val="002B5595"/>
    <w:rsid w:val="002B5692"/>
    <w:rsid w:val="002B5718"/>
    <w:rsid w:val="002B5778"/>
    <w:rsid w:val="002B5857"/>
    <w:rsid w:val="002B58C2"/>
    <w:rsid w:val="002B596A"/>
    <w:rsid w:val="002B59B1"/>
    <w:rsid w:val="002B59CA"/>
    <w:rsid w:val="002B59F4"/>
    <w:rsid w:val="002B5BAE"/>
    <w:rsid w:val="002B5C43"/>
    <w:rsid w:val="002B5C8E"/>
    <w:rsid w:val="002B5C90"/>
    <w:rsid w:val="002B5D17"/>
    <w:rsid w:val="002B5D68"/>
    <w:rsid w:val="002B5D6E"/>
    <w:rsid w:val="002B5E21"/>
    <w:rsid w:val="002B5EE7"/>
    <w:rsid w:val="002B5EF8"/>
    <w:rsid w:val="002B5F23"/>
    <w:rsid w:val="002B5FC6"/>
    <w:rsid w:val="002B6012"/>
    <w:rsid w:val="002B6052"/>
    <w:rsid w:val="002B6059"/>
    <w:rsid w:val="002B60DB"/>
    <w:rsid w:val="002B6109"/>
    <w:rsid w:val="002B6157"/>
    <w:rsid w:val="002B6216"/>
    <w:rsid w:val="002B6365"/>
    <w:rsid w:val="002B6433"/>
    <w:rsid w:val="002B6498"/>
    <w:rsid w:val="002B6571"/>
    <w:rsid w:val="002B6587"/>
    <w:rsid w:val="002B6602"/>
    <w:rsid w:val="002B6666"/>
    <w:rsid w:val="002B667E"/>
    <w:rsid w:val="002B6759"/>
    <w:rsid w:val="002B6859"/>
    <w:rsid w:val="002B68F4"/>
    <w:rsid w:val="002B691C"/>
    <w:rsid w:val="002B6922"/>
    <w:rsid w:val="002B6926"/>
    <w:rsid w:val="002B6996"/>
    <w:rsid w:val="002B69BF"/>
    <w:rsid w:val="002B6A53"/>
    <w:rsid w:val="002B6A77"/>
    <w:rsid w:val="002B6ABF"/>
    <w:rsid w:val="002B6B21"/>
    <w:rsid w:val="002B6B2F"/>
    <w:rsid w:val="002B6C68"/>
    <w:rsid w:val="002B6DB7"/>
    <w:rsid w:val="002B6DD8"/>
    <w:rsid w:val="002B6E4D"/>
    <w:rsid w:val="002B6E52"/>
    <w:rsid w:val="002B6E79"/>
    <w:rsid w:val="002B6F68"/>
    <w:rsid w:val="002B6FC5"/>
    <w:rsid w:val="002B6FED"/>
    <w:rsid w:val="002B7137"/>
    <w:rsid w:val="002B7182"/>
    <w:rsid w:val="002B71B6"/>
    <w:rsid w:val="002B7296"/>
    <w:rsid w:val="002B7317"/>
    <w:rsid w:val="002B7370"/>
    <w:rsid w:val="002B740E"/>
    <w:rsid w:val="002B742F"/>
    <w:rsid w:val="002B747F"/>
    <w:rsid w:val="002B7492"/>
    <w:rsid w:val="002B74D7"/>
    <w:rsid w:val="002B750F"/>
    <w:rsid w:val="002B7549"/>
    <w:rsid w:val="002B764E"/>
    <w:rsid w:val="002B7735"/>
    <w:rsid w:val="002B77DE"/>
    <w:rsid w:val="002B782F"/>
    <w:rsid w:val="002B789D"/>
    <w:rsid w:val="002B791F"/>
    <w:rsid w:val="002B79DC"/>
    <w:rsid w:val="002B7A29"/>
    <w:rsid w:val="002B7A56"/>
    <w:rsid w:val="002B7B18"/>
    <w:rsid w:val="002B7BE8"/>
    <w:rsid w:val="002B7C55"/>
    <w:rsid w:val="002B7D87"/>
    <w:rsid w:val="002B7E25"/>
    <w:rsid w:val="002B7E2B"/>
    <w:rsid w:val="002B7E5D"/>
    <w:rsid w:val="002B7EB4"/>
    <w:rsid w:val="002B7F24"/>
    <w:rsid w:val="002B7F2A"/>
    <w:rsid w:val="002B7F66"/>
    <w:rsid w:val="002B7FB6"/>
    <w:rsid w:val="002C0156"/>
    <w:rsid w:val="002C026B"/>
    <w:rsid w:val="002C027B"/>
    <w:rsid w:val="002C0289"/>
    <w:rsid w:val="002C028B"/>
    <w:rsid w:val="002C02A2"/>
    <w:rsid w:val="002C02F7"/>
    <w:rsid w:val="002C0340"/>
    <w:rsid w:val="002C0499"/>
    <w:rsid w:val="002C04A0"/>
    <w:rsid w:val="002C0524"/>
    <w:rsid w:val="002C05E8"/>
    <w:rsid w:val="002C05FB"/>
    <w:rsid w:val="002C070E"/>
    <w:rsid w:val="002C076B"/>
    <w:rsid w:val="002C0773"/>
    <w:rsid w:val="002C0868"/>
    <w:rsid w:val="002C0A1B"/>
    <w:rsid w:val="002C0A33"/>
    <w:rsid w:val="002C0A51"/>
    <w:rsid w:val="002C0A6A"/>
    <w:rsid w:val="002C0D42"/>
    <w:rsid w:val="002C0E63"/>
    <w:rsid w:val="002C0E6B"/>
    <w:rsid w:val="002C0F3B"/>
    <w:rsid w:val="002C0FB9"/>
    <w:rsid w:val="002C122A"/>
    <w:rsid w:val="002C1250"/>
    <w:rsid w:val="002C1278"/>
    <w:rsid w:val="002C1297"/>
    <w:rsid w:val="002C12B1"/>
    <w:rsid w:val="002C12CD"/>
    <w:rsid w:val="002C130D"/>
    <w:rsid w:val="002C1365"/>
    <w:rsid w:val="002C13FD"/>
    <w:rsid w:val="002C14A8"/>
    <w:rsid w:val="002C14E2"/>
    <w:rsid w:val="002C14F6"/>
    <w:rsid w:val="002C151C"/>
    <w:rsid w:val="002C15B1"/>
    <w:rsid w:val="002C1605"/>
    <w:rsid w:val="002C164F"/>
    <w:rsid w:val="002C1884"/>
    <w:rsid w:val="002C18F5"/>
    <w:rsid w:val="002C191C"/>
    <w:rsid w:val="002C196D"/>
    <w:rsid w:val="002C19D3"/>
    <w:rsid w:val="002C1A22"/>
    <w:rsid w:val="002C1B07"/>
    <w:rsid w:val="002C1B2D"/>
    <w:rsid w:val="002C1B9A"/>
    <w:rsid w:val="002C1C19"/>
    <w:rsid w:val="002C1C1C"/>
    <w:rsid w:val="002C1C8C"/>
    <w:rsid w:val="002C1D39"/>
    <w:rsid w:val="002C1E70"/>
    <w:rsid w:val="002C1EAA"/>
    <w:rsid w:val="002C1EB9"/>
    <w:rsid w:val="002C1FD6"/>
    <w:rsid w:val="002C1FE1"/>
    <w:rsid w:val="002C2024"/>
    <w:rsid w:val="002C2041"/>
    <w:rsid w:val="002C2102"/>
    <w:rsid w:val="002C21A3"/>
    <w:rsid w:val="002C21D8"/>
    <w:rsid w:val="002C2244"/>
    <w:rsid w:val="002C2437"/>
    <w:rsid w:val="002C2501"/>
    <w:rsid w:val="002C255E"/>
    <w:rsid w:val="002C256A"/>
    <w:rsid w:val="002C25ED"/>
    <w:rsid w:val="002C277E"/>
    <w:rsid w:val="002C27AF"/>
    <w:rsid w:val="002C27D1"/>
    <w:rsid w:val="002C28E8"/>
    <w:rsid w:val="002C2929"/>
    <w:rsid w:val="002C29C8"/>
    <w:rsid w:val="002C2A9E"/>
    <w:rsid w:val="002C2AB8"/>
    <w:rsid w:val="002C2AD4"/>
    <w:rsid w:val="002C2AE8"/>
    <w:rsid w:val="002C2B73"/>
    <w:rsid w:val="002C2C3E"/>
    <w:rsid w:val="002C2D07"/>
    <w:rsid w:val="002C2D54"/>
    <w:rsid w:val="002C2D8E"/>
    <w:rsid w:val="002C2E19"/>
    <w:rsid w:val="002C2E3B"/>
    <w:rsid w:val="002C2E54"/>
    <w:rsid w:val="002C2E56"/>
    <w:rsid w:val="002C2E7A"/>
    <w:rsid w:val="002C2F92"/>
    <w:rsid w:val="002C2FB1"/>
    <w:rsid w:val="002C3011"/>
    <w:rsid w:val="002C305E"/>
    <w:rsid w:val="002C307E"/>
    <w:rsid w:val="002C3111"/>
    <w:rsid w:val="002C3184"/>
    <w:rsid w:val="002C319D"/>
    <w:rsid w:val="002C3261"/>
    <w:rsid w:val="002C326A"/>
    <w:rsid w:val="002C32ED"/>
    <w:rsid w:val="002C32F1"/>
    <w:rsid w:val="002C340E"/>
    <w:rsid w:val="002C34EF"/>
    <w:rsid w:val="002C352E"/>
    <w:rsid w:val="002C3586"/>
    <w:rsid w:val="002C367A"/>
    <w:rsid w:val="002C3717"/>
    <w:rsid w:val="002C375B"/>
    <w:rsid w:val="002C38BA"/>
    <w:rsid w:val="002C38E4"/>
    <w:rsid w:val="002C3930"/>
    <w:rsid w:val="002C3981"/>
    <w:rsid w:val="002C398F"/>
    <w:rsid w:val="002C399C"/>
    <w:rsid w:val="002C3ABC"/>
    <w:rsid w:val="002C3AF9"/>
    <w:rsid w:val="002C3B51"/>
    <w:rsid w:val="002C3BD6"/>
    <w:rsid w:val="002C3CA6"/>
    <w:rsid w:val="002C3D19"/>
    <w:rsid w:val="002C3D70"/>
    <w:rsid w:val="002C3D7A"/>
    <w:rsid w:val="002C3D80"/>
    <w:rsid w:val="002C3E1B"/>
    <w:rsid w:val="002C3E4E"/>
    <w:rsid w:val="002C3E86"/>
    <w:rsid w:val="002C3F24"/>
    <w:rsid w:val="002C3FD1"/>
    <w:rsid w:val="002C3FD5"/>
    <w:rsid w:val="002C4087"/>
    <w:rsid w:val="002C4090"/>
    <w:rsid w:val="002C40CC"/>
    <w:rsid w:val="002C4114"/>
    <w:rsid w:val="002C413E"/>
    <w:rsid w:val="002C4195"/>
    <w:rsid w:val="002C4243"/>
    <w:rsid w:val="002C42E8"/>
    <w:rsid w:val="002C4310"/>
    <w:rsid w:val="002C43C3"/>
    <w:rsid w:val="002C43F5"/>
    <w:rsid w:val="002C4446"/>
    <w:rsid w:val="002C4469"/>
    <w:rsid w:val="002C4477"/>
    <w:rsid w:val="002C4528"/>
    <w:rsid w:val="002C4565"/>
    <w:rsid w:val="002C468F"/>
    <w:rsid w:val="002C4698"/>
    <w:rsid w:val="002C46ED"/>
    <w:rsid w:val="002C46F8"/>
    <w:rsid w:val="002C4723"/>
    <w:rsid w:val="002C4768"/>
    <w:rsid w:val="002C47A3"/>
    <w:rsid w:val="002C47EB"/>
    <w:rsid w:val="002C48A3"/>
    <w:rsid w:val="002C48A7"/>
    <w:rsid w:val="002C48DA"/>
    <w:rsid w:val="002C496B"/>
    <w:rsid w:val="002C4A96"/>
    <w:rsid w:val="002C4C19"/>
    <w:rsid w:val="002C4CFE"/>
    <w:rsid w:val="002C4D4D"/>
    <w:rsid w:val="002C4D52"/>
    <w:rsid w:val="002C4D66"/>
    <w:rsid w:val="002C4DDD"/>
    <w:rsid w:val="002C4DE5"/>
    <w:rsid w:val="002C4E69"/>
    <w:rsid w:val="002C506E"/>
    <w:rsid w:val="002C510D"/>
    <w:rsid w:val="002C51CC"/>
    <w:rsid w:val="002C51F8"/>
    <w:rsid w:val="002C5230"/>
    <w:rsid w:val="002C5263"/>
    <w:rsid w:val="002C5282"/>
    <w:rsid w:val="002C5330"/>
    <w:rsid w:val="002C53AC"/>
    <w:rsid w:val="002C53E9"/>
    <w:rsid w:val="002C5436"/>
    <w:rsid w:val="002C543C"/>
    <w:rsid w:val="002C54C4"/>
    <w:rsid w:val="002C55F3"/>
    <w:rsid w:val="002C56D1"/>
    <w:rsid w:val="002C577C"/>
    <w:rsid w:val="002C581A"/>
    <w:rsid w:val="002C58F8"/>
    <w:rsid w:val="002C5953"/>
    <w:rsid w:val="002C5BAC"/>
    <w:rsid w:val="002C5C2F"/>
    <w:rsid w:val="002C5C77"/>
    <w:rsid w:val="002C5D4D"/>
    <w:rsid w:val="002C5D92"/>
    <w:rsid w:val="002C5D9B"/>
    <w:rsid w:val="002C5DE1"/>
    <w:rsid w:val="002C5EB1"/>
    <w:rsid w:val="002C5EEA"/>
    <w:rsid w:val="002C5EFA"/>
    <w:rsid w:val="002C6018"/>
    <w:rsid w:val="002C6038"/>
    <w:rsid w:val="002C6167"/>
    <w:rsid w:val="002C624F"/>
    <w:rsid w:val="002C626B"/>
    <w:rsid w:val="002C6281"/>
    <w:rsid w:val="002C631D"/>
    <w:rsid w:val="002C6330"/>
    <w:rsid w:val="002C636D"/>
    <w:rsid w:val="002C6408"/>
    <w:rsid w:val="002C649F"/>
    <w:rsid w:val="002C64B1"/>
    <w:rsid w:val="002C64EC"/>
    <w:rsid w:val="002C65A2"/>
    <w:rsid w:val="002C6628"/>
    <w:rsid w:val="002C665D"/>
    <w:rsid w:val="002C68D6"/>
    <w:rsid w:val="002C68E0"/>
    <w:rsid w:val="002C6903"/>
    <w:rsid w:val="002C690F"/>
    <w:rsid w:val="002C6934"/>
    <w:rsid w:val="002C698E"/>
    <w:rsid w:val="002C6A0E"/>
    <w:rsid w:val="002C6A53"/>
    <w:rsid w:val="002C6A63"/>
    <w:rsid w:val="002C6B8B"/>
    <w:rsid w:val="002C6BAD"/>
    <w:rsid w:val="002C6BE1"/>
    <w:rsid w:val="002C6CB5"/>
    <w:rsid w:val="002C6D87"/>
    <w:rsid w:val="002C6E4B"/>
    <w:rsid w:val="002C6EEF"/>
    <w:rsid w:val="002C6F5D"/>
    <w:rsid w:val="002C6FE4"/>
    <w:rsid w:val="002C706F"/>
    <w:rsid w:val="002C70FC"/>
    <w:rsid w:val="002C7309"/>
    <w:rsid w:val="002C7356"/>
    <w:rsid w:val="002C7366"/>
    <w:rsid w:val="002C7376"/>
    <w:rsid w:val="002C73E4"/>
    <w:rsid w:val="002C73EB"/>
    <w:rsid w:val="002C742D"/>
    <w:rsid w:val="002C7496"/>
    <w:rsid w:val="002C74B1"/>
    <w:rsid w:val="002C74EF"/>
    <w:rsid w:val="002C750C"/>
    <w:rsid w:val="002C75B5"/>
    <w:rsid w:val="002C75B9"/>
    <w:rsid w:val="002C75F5"/>
    <w:rsid w:val="002C7649"/>
    <w:rsid w:val="002C76DA"/>
    <w:rsid w:val="002C774C"/>
    <w:rsid w:val="002C7807"/>
    <w:rsid w:val="002C7826"/>
    <w:rsid w:val="002C782E"/>
    <w:rsid w:val="002C786B"/>
    <w:rsid w:val="002C78B8"/>
    <w:rsid w:val="002C78B9"/>
    <w:rsid w:val="002C78F4"/>
    <w:rsid w:val="002C7948"/>
    <w:rsid w:val="002C7995"/>
    <w:rsid w:val="002C7A9E"/>
    <w:rsid w:val="002C7B2B"/>
    <w:rsid w:val="002C7BCF"/>
    <w:rsid w:val="002C7DA6"/>
    <w:rsid w:val="002C7E2E"/>
    <w:rsid w:val="002C7E85"/>
    <w:rsid w:val="002C7F1F"/>
    <w:rsid w:val="002C7F86"/>
    <w:rsid w:val="002C7FC8"/>
    <w:rsid w:val="002C8A9C"/>
    <w:rsid w:val="002D0034"/>
    <w:rsid w:val="002D003B"/>
    <w:rsid w:val="002D0045"/>
    <w:rsid w:val="002D00A0"/>
    <w:rsid w:val="002D01D7"/>
    <w:rsid w:val="002D020F"/>
    <w:rsid w:val="002D0479"/>
    <w:rsid w:val="002D05CA"/>
    <w:rsid w:val="002D05ED"/>
    <w:rsid w:val="002D062B"/>
    <w:rsid w:val="002D06A0"/>
    <w:rsid w:val="002D0750"/>
    <w:rsid w:val="002D0893"/>
    <w:rsid w:val="002D0908"/>
    <w:rsid w:val="002D0911"/>
    <w:rsid w:val="002D0936"/>
    <w:rsid w:val="002D09D1"/>
    <w:rsid w:val="002D0A52"/>
    <w:rsid w:val="002D0A58"/>
    <w:rsid w:val="002D0AA9"/>
    <w:rsid w:val="002D0C50"/>
    <w:rsid w:val="002D0C8F"/>
    <w:rsid w:val="002D0C96"/>
    <w:rsid w:val="002D0CC5"/>
    <w:rsid w:val="002D0CDD"/>
    <w:rsid w:val="002D0DD1"/>
    <w:rsid w:val="002D0E05"/>
    <w:rsid w:val="002D0F57"/>
    <w:rsid w:val="002D0FED"/>
    <w:rsid w:val="002D1059"/>
    <w:rsid w:val="002D10CD"/>
    <w:rsid w:val="002D1180"/>
    <w:rsid w:val="002D11A3"/>
    <w:rsid w:val="002D1223"/>
    <w:rsid w:val="002D137D"/>
    <w:rsid w:val="002D138D"/>
    <w:rsid w:val="002D150A"/>
    <w:rsid w:val="002D150C"/>
    <w:rsid w:val="002D1525"/>
    <w:rsid w:val="002D164D"/>
    <w:rsid w:val="002D165C"/>
    <w:rsid w:val="002D16FC"/>
    <w:rsid w:val="002D17FE"/>
    <w:rsid w:val="002D182B"/>
    <w:rsid w:val="002D1917"/>
    <w:rsid w:val="002D194D"/>
    <w:rsid w:val="002D19A3"/>
    <w:rsid w:val="002D1B6A"/>
    <w:rsid w:val="002D1C29"/>
    <w:rsid w:val="002D1C3D"/>
    <w:rsid w:val="002D1C45"/>
    <w:rsid w:val="002D1D8D"/>
    <w:rsid w:val="002D1E25"/>
    <w:rsid w:val="002D200A"/>
    <w:rsid w:val="002D21B3"/>
    <w:rsid w:val="002D247C"/>
    <w:rsid w:val="002D2486"/>
    <w:rsid w:val="002D24B0"/>
    <w:rsid w:val="002D24B9"/>
    <w:rsid w:val="002D254C"/>
    <w:rsid w:val="002D2701"/>
    <w:rsid w:val="002D2890"/>
    <w:rsid w:val="002D29D5"/>
    <w:rsid w:val="002D29EB"/>
    <w:rsid w:val="002D2ACC"/>
    <w:rsid w:val="002D2B52"/>
    <w:rsid w:val="002D2BA5"/>
    <w:rsid w:val="002D2D81"/>
    <w:rsid w:val="002D2D9D"/>
    <w:rsid w:val="002D2E27"/>
    <w:rsid w:val="002D2E9F"/>
    <w:rsid w:val="002D2F91"/>
    <w:rsid w:val="002D30C8"/>
    <w:rsid w:val="002D328D"/>
    <w:rsid w:val="002D329A"/>
    <w:rsid w:val="002D331C"/>
    <w:rsid w:val="002D3327"/>
    <w:rsid w:val="002D3340"/>
    <w:rsid w:val="002D33CF"/>
    <w:rsid w:val="002D33E4"/>
    <w:rsid w:val="002D3408"/>
    <w:rsid w:val="002D340C"/>
    <w:rsid w:val="002D35F9"/>
    <w:rsid w:val="002D3727"/>
    <w:rsid w:val="002D3875"/>
    <w:rsid w:val="002D38F7"/>
    <w:rsid w:val="002D3987"/>
    <w:rsid w:val="002D39D2"/>
    <w:rsid w:val="002D3AC6"/>
    <w:rsid w:val="002D3C21"/>
    <w:rsid w:val="002D3C3D"/>
    <w:rsid w:val="002D3D08"/>
    <w:rsid w:val="002D3D6E"/>
    <w:rsid w:val="002D3D92"/>
    <w:rsid w:val="002D3E08"/>
    <w:rsid w:val="002D3F06"/>
    <w:rsid w:val="002D3F24"/>
    <w:rsid w:val="002D3F60"/>
    <w:rsid w:val="002D4048"/>
    <w:rsid w:val="002D4067"/>
    <w:rsid w:val="002D42B2"/>
    <w:rsid w:val="002D43E9"/>
    <w:rsid w:val="002D44CE"/>
    <w:rsid w:val="002D4523"/>
    <w:rsid w:val="002D4667"/>
    <w:rsid w:val="002D4682"/>
    <w:rsid w:val="002D46A1"/>
    <w:rsid w:val="002D46FB"/>
    <w:rsid w:val="002D4719"/>
    <w:rsid w:val="002D472B"/>
    <w:rsid w:val="002D4832"/>
    <w:rsid w:val="002D489A"/>
    <w:rsid w:val="002D49B3"/>
    <w:rsid w:val="002D49F7"/>
    <w:rsid w:val="002D4A01"/>
    <w:rsid w:val="002D4AF5"/>
    <w:rsid w:val="002D4B1B"/>
    <w:rsid w:val="002D4B76"/>
    <w:rsid w:val="002D4BD3"/>
    <w:rsid w:val="002D4C68"/>
    <w:rsid w:val="002D4CAD"/>
    <w:rsid w:val="002D4CCD"/>
    <w:rsid w:val="002D4D29"/>
    <w:rsid w:val="002D4D63"/>
    <w:rsid w:val="002D4D67"/>
    <w:rsid w:val="002D4E35"/>
    <w:rsid w:val="002D4EFA"/>
    <w:rsid w:val="002D4F52"/>
    <w:rsid w:val="002D4FB1"/>
    <w:rsid w:val="002D502E"/>
    <w:rsid w:val="002D506C"/>
    <w:rsid w:val="002D5129"/>
    <w:rsid w:val="002D527C"/>
    <w:rsid w:val="002D5430"/>
    <w:rsid w:val="002D54BF"/>
    <w:rsid w:val="002D54EE"/>
    <w:rsid w:val="002D5533"/>
    <w:rsid w:val="002D554D"/>
    <w:rsid w:val="002D5640"/>
    <w:rsid w:val="002D56BF"/>
    <w:rsid w:val="002D5823"/>
    <w:rsid w:val="002D5839"/>
    <w:rsid w:val="002D5846"/>
    <w:rsid w:val="002D586B"/>
    <w:rsid w:val="002D5904"/>
    <w:rsid w:val="002D590E"/>
    <w:rsid w:val="002D593A"/>
    <w:rsid w:val="002D59A9"/>
    <w:rsid w:val="002D59C9"/>
    <w:rsid w:val="002D5A09"/>
    <w:rsid w:val="002D5A64"/>
    <w:rsid w:val="002D5B04"/>
    <w:rsid w:val="002D5B39"/>
    <w:rsid w:val="002D5BD2"/>
    <w:rsid w:val="002D5C31"/>
    <w:rsid w:val="002D5D5E"/>
    <w:rsid w:val="002D5D83"/>
    <w:rsid w:val="002D5D96"/>
    <w:rsid w:val="002D5DA3"/>
    <w:rsid w:val="002D5DB5"/>
    <w:rsid w:val="002D5E1C"/>
    <w:rsid w:val="002D5E3A"/>
    <w:rsid w:val="002D5E48"/>
    <w:rsid w:val="002D5EC4"/>
    <w:rsid w:val="002D5EE3"/>
    <w:rsid w:val="002D5EEE"/>
    <w:rsid w:val="002D5EFA"/>
    <w:rsid w:val="002D5F07"/>
    <w:rsid w:val="002D5F1E"/>
    <w:rsid w:val="002D5FC2"/>
    <w:rsid w:val="002D5FD5"/>
    <w:rsid w:val="002D60A6"/>
    <w:rsid w:val="002D60EF"/>
    <w:rsid w:val="002D6182"/>
    <w:rsid w:val="002D61F0"/>
    <w:rsid w:val="002D6365"/>
    <w:rsid w:val="002D64A7"/>
    <w:rsid w:val="002D64B0"/>
    <w:rsid w:val="002D6582"/>
    <w:rsid w:val="002D6607"/>
    <w:rsid w:val="002D67BA"/>
    <w:rsid w:val="002D67DE"/>
    <w:rsid w:val="002D6808"/>
    <w:rsid w:val="002D683B"/>
    <w:rsid w:val="002D68FF"/>
    <w:rsid w:val="002D698B"/>
    <w:rsid w:val="002D699D"/>
    <w:rsid w:val="002D6A0B"/>
    <w:rsid w:val="002D6A62"/>
    <w:rsid w:val="002D6B31"/>
    <w:rsid w:val="002D6BB6"/>
    <w:rsid w:val="002D6BE0"/>
    <w:rsid w:val="002D6BEE"/>
    <w:rsid w:val="002D6C48"/>
    <w:rsid w:val="002D6C50"/>
    <w:rsid w:val="002D6E60"/>
    <w:rsid w:val="002D6F4B"/>
    <w:rsid w:val="002D70CE"/>
    <w:rsid w:val="002D7122"/>
    <w:rsid w:val="002D7128"/>
    <w:rsid w:val="002D72FA"/>
    <w:rsid w:val="002D7379"/>
    <w:rsid w:val="002D7466"/>
    <w:rsid w:val="002D752F"/>
    <w:rsid w:val="002D767C"/>
    <w:rsid w:val="002D76DA"/>
    <w:rsid w:val="002D76E5"/>
    <w:rsid w:val="002D76EF"/>
    <w:rsid w:val="002D7762"/>
    <w:rsid w:val="002D7788"/>
    <w:rsid w:val="002D78BF"/>
    <w:rsid w:val="002D7921"/>
    <w:rsid w:val="002D79A3"/>
    <w:rsid w:val="002D79B5"/>
    <w:rsid w:val="002D79E5"/>
    <w:rsid w:val="002D7A08"/>
    <w:rsid w:val="002D7B81"/>
    <w:rsid w:val="002D7BB2"/>
    <w:rsid w:val="002D7BBC"/>
    <w:rsid w:val="002D7C06"/>
    <w:rsid w:val="002D7CFE"/>
    <w:rsid w:val="002D7D9F"/>
    <w:rsid w:val="002D7DF0"/>
    <w:rsid w:val="002D7E03"/>
    <w:rsid w:val="002D7E59"/>
    <w:rsid w:val="002D7F30"/>
    <w:rsid w:val="002D7FB2"/>
    <w:rsid w:val="002E0032"/>
    <w:rsid w:val="002E010F"/>
    <w:rsid w:val="002E0162"/>
    <w:rsid w:val="002E021F"/>
    <w:rsid w:val="002E025E"/>
    <w:rsid w:val="002E02AB"/>
    <w:rsid w:val="002E02B1"/>
    <w:rsid w:val="002E02EC"/>
    <w:rsid w:val="002E036F"/>
    <w:rsid w:val="002E03CA"/>
    <w:rsid w:val="002E0443"/>
    <w:rsid w:val="002E049F"/>
    <w:rsid w:val="002E04AB"/>
    <w:rsid w:val="002E04B3"/>
    <w:rsid w:val="002E04EC"/>
    <w:rsid w:val="002E0503"/>
    <w:rsid w:val="002E05A8"/>
    <w:rsid w:val="002E0637"/>
    <w:rsid w:val="002E0661"/>
    <w:rsid w:val="002E07B7"/>
    <w:rsid w:val="002E098D"/>
    <w:rsid w:val="002E0A00"/>
    <w:rsid w:val="002E0A6A"/>
    <w:rsid w:val="002E0A6E"/>
    <w:rsid w:val="002E0B76"/>
    <w:rsid w:val="002E0B98"/>
    <w:rsid w:val="002E0BE3"/>
    <w:rsid w:val="002E0C9F"/>
    <w:rsid w:val="002E0CD6"/>
    <w:rsid w:val="002E0E83"/>
    <w:rsid w:val="002E0EE8"/>
    <w:rsid w:val="002E0F55"/>
    <w:rsid w:val="002E0FE1"/>
    <w:rsid w:val="002E1042"/>
    <w:rsid w:val="002E10BE"/>
    <w:rsid w:val="002E119A"/>
    <w:rsid w:val="002E11C6"/>
    <w:rsid w:val="002E120E"/>
    <w:rsid w:val="002E123B"/>
    <w:rsid w:val="002E127E"/>
    <w:rsid w:val="002E1336"/>
    <w:rsid w:val="002E139F"/>
    <w:rsid w:val="002E148C"/>
    <w:rsid w:val="002E14D6"/>
    <w:rsid w:val="002E14E5"/>
    <w:rsid w:val="002E1519"/>
    <w:rsid w:val="002E15D9"/>
    <w:rsid w:val="002E15E3"/>
    <w:rsid w:val="002E161E"/>
    <w:rsid w:val="002E1654"/>
    <w:rsid w:val="002E1677"/>
    <w:rsid w:val="002E16B5"/>
    <w:rsid w:val="002E1800"/>
    <w:rsid w:val="002E185D"/>
    <w:rsid w:val="002E187C"/>
    <w:rsid w:val="002E18C0"/>
    <w:rsid w:val="002E19C2"/>
    <w:rsid w:val="002E1AF9"/>
    <w:rsid w:val="002E1C20"/>
    <w:rsid w:val="002E1C54"/>
    <w:rsid w:val="002E1C61"/>
    <w:rsid w:val="002E1DB2"/>
    <w:rsid w:val="002E1DE2"/>
    <w:rsid w:val="002E1E5A"/>
    <w:rsid w:val="002E2005"/>
    <w:rsid w:val="002E2027"/>
    <w:rsid w:val="002E203F"/>
    <w:rsid w:val="002E2043"/>
    <w:rsid w:val="002E20CF"/>
    <w:rsid w:val="002E21E0"/>
    <w:rsid w:val="002E2325"/>
    <w:rsid w:val="002E2336"/>
    <w:rsid w:val="002E233A"/>
    <w:rsid w:val="002E2341"/>
    <w:rsid w:val="002E237B"/>
    <w:rsid w:val="002E243C"/>
    <w:rsid w:val="002E2454"/>
    <w:rsid w:val="002E247E"/>
    <w:rsid w:val="002E24E3"/>
    <w:rsid w:val="002E2599"/>
    <w:rsid w:val="002E2603"/>
    <w:rsid w:val="002E265F"/>
    <w:rsid w:val="002E26FF"/>
    <w:rsid w:val="002E2711"/>
    <w:rsid w:val="002E2729"/>
    <w:rsid w:val="002E277D"/>
    <w:rsid w:val="002E2850"/>
    <w:rsid w:val="002E2865"/>
    <w:rsid w:val="002E2866"/>
    <w:rsid w:val="002E2874"/>
    <w:rsid w:val="002E28CC"/>
    <w:rsid w:val="002E2936"/>
    <w:rsid w:val="002E29C2"/>
    <w:rsid w:val="002E2AC2"/>
    <w:rsid w:val="002E2B10"/>
    <w:rsid w:val="002E2BDA"/>
    <w:rsid w:val="002E2C9B"/>
    <w:rsid w:val="002E2D10"/>
    <w:rsid w:val="002E2DC9"/>
    <w:rsid w:val="002E2E6F"/>
    <w:rsid w:val="002E2F4C"/>
    <w:rsid w:val="002E2F7C"/>
    <w:rsid w:val="002E2FA4"/>
    <w:rsid w:val="002E30AA"/>
    <w:rsid w:val="002E30C8"/>
    <w:rsid w:val="002E30CE"/>
    <w:rsid w:val="002E3121"/>
    <w:rsid w:val="002E31D1"/>
    <w:rsid w:val="002E31D8"/>
    <w:rsid w:val="002E320C"/>
    <w:rsid w:val="002E3336"/>
    <w:rsid w:val="002E349E"/>
    <w:rsid w:val="002E34DB"/>
    <w:rsid w:val="002E365E"/>
    <w:rsid w:val="002E3820"/>
    <w:rsid w:val="002E384F"/>
    <w:rsid w:val="002E387C"/>
    <w:rsid w:val="002E3894"/>
    <w:rsid w:val="002E3910"/>
    <w:rsid w:val="002E3921"/>
    <w:rsid w:val="002E3A25"/>
    <w:rsid w:val="002E3A28"/>
    <w:rsid w:val="002E3A44"/>
    <w:rsid w:val="002E3ADF"/>
    <w:rsid w:val="002E3B44"/>
    <w:rsid w:val="002E3B49"/>
    <w:rsid w:val="002E3B8D"/>
    <w:rsid w:val="002E3C7F"/>
    <w:rsid w:val="002E3CAB"/>
    <w:rsid w:val="002E3E51"/>
    <w:rsid w:val="002E3F1E"/>
    <w:rsid w:val="002E3FCD"/>
    <w:rsid w:val="002E401C"/>
    <w:rsid w:val="002E40FA"/>
    <w:rsid w:val="002E4104"/>
    <w:rsid w:val="002E4109"/>
    <w:rsid w:val="002E4163"/>
    <w:rsid w:val="002E4197"/>
    <w:rsid w:val="002E419C"/>
    <w:rsid w:val="002E41BF"/>
    <w:rsid w:val="002E4256"/>
    <w:rsid w:val="002E430B"/>
    <w:rsid w:val="002E4363"/>
    <w:rsid w:val="002E45EE"/>
    <w:rsid w:val="002E4745"/>
    <w:rsid w:val="002E4759"/>
    <w:rsid w:val="002E4850"/>
    <w:rsid w:val="002E4853"/>
    <w:rsid w:val="002E48D0"/>
    <w:rsid w:val="002E4919"/>
    <w:rsid w:val="002E4AA3"/>
    <w:rsid w:val="002E4C23"/>
    <w:rsid w:val="002E4C39"/>
    <w:rsid w:val="002E4C7E"/>
    <w:rsid w:val="002E4D1E"/>
    <w:rsid w:val="002E4D23"/>
    <w:rsid w:val="002E4D24"/>
    <w:rsid w:val="002E4D30"/>
    <w:rsid w:val="002E4D35"/>
    <w:rsid w:val="002E4D79"/>
    <w:rsid w:val="002E4F46"/>
    <w:rsid w:val="002E4F56"/>
    <w:rsid w:val="002E4FD3"/>
    <w:rsid w:val="002E5042"/>
    <w:rsid w:val="002E506C"/>
    <w:rsid w:val="002E50E1"/>
    <w:rsid w:val="002E5106"/>
    <w:rsid w:val="002E51C1"/>
    <w:rsid w:val="002E51E1"/>
    <w:rsid w:val="002E526B"/>
    <w:rsid w:val="002E527D"/>
    <w:rsid w:val="002E5298"/>
    <w:rsid w:val="002E5325"/>
    <w:rsid w:val="002E5373"/>
    <w:rsid w:val="002E54A8"/>
    <w:rsid w:val="002E54B8"/>
    <w:rsid w:val="002E54F6"/>
    <w:rsid w:val="002E55AF"/>
    <w:rsid w:val="002E5603"/>
    <w:rsid w:val="002E5683"/>
    <w:rsid w:val="002E571D"/>
    <w:rsid w:val="002E575B"/>
    <w:rsid w:val="002E5926"/>
    <w:rsid w:val="002E59E5"/>
    <w:rsid w:val="002E59F2"/>
    <w:rsid w:val="002E5B68"/>
    <w:rsid w:val="002E5BBC"/>
    <w:rsid w:val="002E5CBB"/>
    <w:rsid w:val="002E5D09"/>
    <w:rsid w:val="002E5D16"/>
    <w:rsid w:val="002E5D94"/>
    <w:rsid w:val="002E5E1D"/>
    <w:rsid w:val="002E5E3E"/>
    <w:rsid w:val="002E5E77"/>
    <w:rsid w:val="002E5E92"/>
    <w:rsid w:val="002E6134"/>
    <w:rsid w:val="002E6242"/>
    <w:rsid w:val="002E6396"/>
    <w:rsid w:val="002E6427"/>
    <w:rsid w:val="002E64B7"/>
    <w:rsid w:val="002E64CC"/>
    <w:rsid w:val="002E65BE"/>
    <w:rsid w:val="002E666F"/>
    <w:rsid w:val="002E66A4"/>
    <w:rsid w:val="002E671E"/>
    <w:rsid w:val="002E67F9"/>
    <w:rsid w:val="002E6849"/>
    <w:rsid w:val="002E68A3"/>
    <w:rsid w:val="002E68DF"/>
    <w:rsid w:val="002E695E"/>
    <w:rsid w:val="002E6A2D"/>
    <w:rsid w:val="002E6AD2"/>
    <w:rsid w:val="002E6B03"/>
    <w:rsid w:val="002E6B04"/>
    <w:rsid w:val="002E6B51"/>
    <w:rsid w:val="002E6BC4"/>
    <w:rsid w:val="002E6C86"/>
    <w:rsid w:val="002E6C87"/>
    <w:rsid w:val="002E6C9A"/>
    <w:rsid w:val="002E6CBF"/>
    <w:rsid w:val="002E6D27"/>
    <w:rsid w:val="002E6E07"/>
    <w:rsid w:val="002E6E9D"/>
    <w:rsid w:val="002E7121"/>
    <w:rsid w:val="002E713A"/>
    <w:rsid w:val="002E7248"/>
    <w:rsid w:val="002E728F"/>
    <w:rsid w:val="002E72DA"/>
    <w:rsid w:val="002E735C"/>
    <w:rsid w:val="002E7391"/>
    <w:rsid w:val="002E73B9"/>
    <w:rsid w:val="002E74A2"/>
    <w:rsid w:val="002E74E0"/>
    <w:rsid w:val="002E7525"/>
    <w:rsid w:val="002E7532"/>
    <w:rsid w:val="002E7549"/>
    <w:rsid w:val="002E75EB"/>
    <w:rsid w:val="002E7602"/>
    <w:rsid w:val="002E761F"/>
    <w:rsid w:val="002E773D"/>
    <w:rsid w:val="002E779C"/>
    <w:rsid w:val="002E781F"/>
    <w:rsid w:val="002E789B"/>
    <w:rsid w:val="002E7935"/>
    <w:rsid w:val="002E7A2C"/>
    <w:rsid w:val="002E7A2F"/>
    <w:rsid w:val="002E7A6F"/>
    <w:rsid w:val="002E7A7F"/>
    <w:rsid w:val="002E7AB4"/>
    <w:rsid w:val="002E7AFE"/>
    <w:rsid w:val="002E7B2B"/>
    <w:rsid w:val="002E7B85"/>
    <w:rsid w:val="002E7C18"/>
    <w:rsid w:val="002E7C6B"/>
    <w:rsid w:val="002E7CB3"/>
    <w:rsid w:val="002E7CD1"/>
    <w:rsid w:val="002E7D42"/>
    <w:rsid w:val="002E7D48"/>
    <w:rsid w:val="002E7D5B"/>
    <w:rsid w:val="002E7E1F"/>
    <w:rsid w:val="002E7E87"/>
    <w:rsid w:val="002F050C"/>
    <w:rsid w:val="002F060D"/>
    <w:rsid w:val="002F0627"/>
    <w:rsid w:val="002F0641"/>
    <w:rsid w:val="002F06F4"/>
    <w:rsid w:val="002F0711"/>
    <w:rsid w:val="002F0742"/>
    <w:rsid w:val="002F076C"/>
    <w:rsid w:val="002F07BD"/>
    <w:rsid w:val="002F09F3"/>
    <w:rsid w:val="002F0A02"/>
    <w:rsid w:val="002F0A58"/>
    <w:rsid w:val="002F0A5A"/>
    <w:rsid w:val="002F0B37"/>
    <w:rsid w:val="002F0B6E"/>
    <w:rsid w:val="002F0B88"/>
    <w:rsid w:val="002F0C4D"/>
    <w:rsid w:val="002F0C6C"/>
    <w:rsid w:val="002F0D01"/>
    <w:rsid w:val="002F0E29"/>
    <w:rsid w:val="002F0E41"/>
    <w:rsid w:val="002F0EF3"/>
    <w:rsid w:val="002F0EFA"/>
    <w:rsid w:val="002F0F41"/>
    <w:rsid w:val="002F0F46"/>
    <w:rsid w:val="002F0F99"/>
    <w:rsid w:val="002F0F9E"/>
    <w:rsid w:val="002F0FA7"/>
    <w:rsid w:val="002F1014"/>
    <w:rsid w:val="002F10C7"/>
    <w:rsid w:val="002F1121"/>
    <w:rsid w:val="002F121C"/>
    <w:rsid w:val="002F1240"/>
    <w:rsid w:val="002F1246"/>
    <w:rsid w:val="002F1278"/>
    <w:rsid w:val="002F127F"/>
    <w:rsid w:val="002F1283"/>
    <w:rsid w:val="002F12AC"/>
    <w:rsid w:val="002F1302"/>
    <w:rsid w:val="002F135D"/>
    <w:rsid w:val="002F144B"/>
    <w:rsid w:val="002F15C9"/>
    <w:rsid w:val="002F171C"/>
    <w:rsid w:val="002F1755"/>
    <w:rsid w:val="002F17E4"/>
    <w:rsid w:val="002F1837"/>
    <w:rsid w:val="002F1879"/>
    <w:rsid w:val="002F188E"/>
    <w:rsid w:val="002F194C"/>
    <w:rsid w:val="002F195A"/>
    <w:rsid w:val="002F19B2"/>
    <w:rsid w:val="002F1AA3"/>
    <w:rsid w:val="002F1AB2"/>
    <w:rsid w:val="002F1B9C"/>
    <w:rsid w:val="002F1BF5"/>
    <w:rsid w:val="002F1C7C"/>
    <w:rsid w:val="002F1C9B"/>
    <w:rsid w:val="002F1CED"/>
    <w:rsid w:val="002F1D29"/>
    <w:rsid w:val="002F1D9E"/>
    <w:rsid w:val="002F1E0A"/>
    <w:rsid w:val="002F1EDA"/>
    <w:rsid w:val="002F1FCB"/>
    <w:rsid w:val="002F2024"/>
    <w:rsid w:val="002F20D9"/>
    <w:rsid w:val="002F2159"/>
    <w:rsid w:val="002F217D"/>
    <w:rsid w:val="002F2191"/>
    <w:rsid w:val="002F21B9"/>
    <w:rsid w:val="002F2221"/>
    <w:rsid w:val="002F22B6"/>
    <w:rsid w:val="002F2391"/>
    <w:rsid w:val="002F249F"/>
    <w:rsid w:val="002F24C1"/>
    <w:rsid w:val="002F2581"/>
    <w:rsid w:val="002F25C2"/>
    <w:rsid w:val="002F260D"/>
    <w:rsid w:val="002F262A"/>
    <w:rsid w:val="002F2714"/>
    <w:rsid w:val="002F2775"/>
    <w:rsid w:val="002F27AB"/>
    <w:rsid w:val="002F27BA"/>
    <w:rsid w:val="002F28BF"/>
    <w:rsid w:val="002F2918"/>
    <w:rsid w:val="002F29D7"/>
    <w:rsid w:val="002F2A45"/>
    <w:rsid w:val="002F2B28"/>
    <w:rsid w:val="002F2B67"/>
    <w:rsid w:val="002F2C39"/>
    <w:rsid w:val="002F2CA4"/>
    <w:rsid w:val="002F2CDC"/>
    <w:rsid w:val="002F2DB2"/>
    <w:rsid w:val="002F2DEA"/>
    <w:rsid w:val="002F2E05"/>
    <w:rsid w:val="002F2F26"/>
    <w:rsid w:val="002F3094"/>
    <w:rsid w:val="002F30E9"/>
    <w:rsid w:val="002F3111"/>
    <w:rsid w:val="002F3135"/>
    <w:rsid w:val="002F314D"/>
    <w:rsid w:val="002F315D"/>
    <w:rsid w:val="002F316C"/>
    <w:rsid w:val="002F3189"/>
    <w:rsid w:val="002F3243"/>
    <w:rsid w:val="002F329E"/>
    <w:rsid w:val="002F333D"/>
    <w:rsid w:val="002F337B"/>
    <w:rsid w:val="002F33AC"/>
    <w:rsid w:val="002F347F"/>
    <w:rsid w:val="002F3597"/>
    <w:rsid w:val="002F35A6"/>
    <w:rsid w:val="002F3614"/>
    <w:rsid w:val="002F361E"/>
    <w:rsid w:val="002F36D4"/>
    <w:rsid w:val="002F37A2"/>
    <w:rsid w:val="002F37C2"/>
    <w:rsid w:val="002F37EA"/>
    <w:rsid w:val="002F3809"/>
    <w:rsid w:val="002F3896"/>
    <w:rsid w:val="002F38F4"/>
    <w:rsid w:val="002F394C"/>
    <w:rsid w:val="002F39A0"/>
    <w:rsid w:val="002F3AE5"/>
    <w:rsid w:val="002F3C46"/>
    <w:rsid w:val="002F3C98"/>
    <w:rsid w:val="002F3CCC"/>
    <w:rsid w:val="002F3D2F"/>
    <w:rsid w:val="002F3D85"/>
    <w:rsid w:val="002F3DFD"/>
    <w:rsid w:val="002F3E9F"/>
    <w:rsid w:val="002F3F67"/>
    <w:rsid w:val="002F3FFA"/>
    <w:rsid w:val="002F4260"/>
    <w:rsid w:val="002F42E7"/>
    <w:rsid w:val="002F430A"/>
    <w:rsid w:val="002F43DF"/>
    <w:rsid w:val="002F44AA"/>
    <w:rsid w:val="002F4514"/>
    <w:rsid w:val="002F455F"/>
    <w:rsid w:val="002F4577"/>
    <w:rsid w:val="002F4587"/>
    <w:rsid w:val="002F4593"/>
    <w:rsid w:val="002F45DC"/>
    <w:rsid w:val="002F4611"/>
    <w:rsid w:val="002F464D"/>
    <w:rsid w:val="002F4651"/>
    <w:rsid w:val="002F465F"/>
    <w:rsid w:val="002F467E"/>
    <w:rsid w:val="002F4730"/>
    <w:rsid w:val="002F4738"/>
    <w:rsid w:val="002F479E"/>
    <w:rsid w:val="002F4A08"/>
    <w:rsid w:val="002F4A60"/>
    <w:rsid w:val="002F4ACA"/>
    <w:rsid w:val="002F4C2D"/>
    <w:rsid w:val="002F4C47"/>
    <w:rsid w:val="002F4CD7"/>
    <w:rsid w:val="002F4D17"/>
    <w:rsid w:val="002F4D6E"/>
    <w:rsid w:val="002F4DC2"/>
    <w:rsid w:val="002F4E1B"/>
    <w:rsid w:val="002F4E73"/>
    <w:rsid w:val="002F4EA0"/>
    <w:rsid w:val="002F4EAA"/>
    <w:rsid w:val="002F4EB7"/>
    <w:rsid w:val="002F4EBE"/>
    <w:rsid w:val="002F4F0D"/>
    <w:rsid w:val="002F4FBA"/>
    <w:rsid w:val="002F4FF5"/>
    <w:rsid w:val="002F5096"/>
    <w:rsid w:val="002F509A"/>
    <w:rsid w:val="002F50BF"/>
    <w:rsid w:val="002F514E"/>
    <w:rsid w:val="002F52D5"/>
    <w:rsid w:val="002F52DF"/>
    <w:rsid w:val="002F5363"/>
    <w:rsid w:val="002F5447"/>
    <w:rsid w:val="002F551D"/>
    <w:rsid w:val="002F561D"/>
    <w:rsid w:val="002F5695"/>
    <w:rsid w:val="002F571F"/>
    <w:rsid w:val="002F5770"/>
    <w:rsid w:val="002F5787"/>
    <w:rsid w:val="002F5816"/>
    <w:rsid w:val="002F58C0"/>
    <w:rsid w:val="002F5983"/>
    <w:rsid w:val="002F5A98"/>
    <w:rsid w:val="002F5B3B"/>
    <w:rsid w:val="002F5C21"/>
    <w:rsid w:val="002F5C47"/>
    <w:rsid w:val="002F5CDE"/>
    <w:rsid w:val="002F5D47"/>
    <w:rsid w:val="002F5DFC"/>
    <w:rsid w:val="002F5F5E"/>
    <w:rsid w:val="002F5FC8"/>
    <w:rsid w:val="002F601F"/>
    <w:rsid w:val="002F6054"/>
    <w:rsid w:val="002F60F3"/>
    <w:rsid w:val="002F612B"/>
    <w:rsid w:val="002F621B"/>
    <w:rsid w:val="002F62B7"/>
    <w:rsid w:val="002F62E8"/>
    <w:rsid w:val="002F6305"/>
    <w:rsid w:val="002F632F"/>
    <w:rsid w:val="002F6341"/>
    <w:rsid w:val="002F6394"/>
    <w:rsid w:val="002F6412"/>
    <w:rsid w:val="002F6461"/>
    <w:rsid w:val="002F64D5"/>
    <w:rsid w:val="002F652F"/>
    <w:rsid w:val="002F67C7"/>
    <w:rsid w:val="002F67CF"/>
    <w:rsid w:val="002F6810"/>
    <w:rsid w:val="002F688D"/>
    <w:rsid w:val="002F68F7"/>
    <w:rsid w:val="002F6936"/>
    <w:rsid w:val="002F696D"/>
    <w:rsid w:val="002F69C3"/>
    <w:rsid w:val="002F6A96"/>
    <w:rsid w:val="002F6C80"/>
    <w:rsid w:val="002F6C91"/>
    <w:rsid w:val="002F6E1F"/>
    <w:rsid w:val="002F6E59"/>
    <w:rsid w:val="002F6ED2"/>
    <w:rsid w:val="002F6F2B"/>
    <w:rsid w:val="002F6F8C"/>
    <w:rsid w:val="002F7003"/>
    <w:rsid w:val="002F7016"/>
    <w:rsid w:val="002F70B5"/>
    <w:rsid w:val="002F7101"/>
    <w:rsid w:val="002F72EA"/>
    <w:rsid w:val="002F72FF"/>
    <w:rsid w:val="002F732B"/>
    <w:rsid w:val="002F739C"/>
    <w:rsid w:val="002F75D8"/>
    <w:rsid w:val="002F75ED"/>
    <w:rsid w:val="002F76A4"/>
    <w:rsid w:val="002F783C"/>
    <w:rsid w:val="002F78B4"/>
    <w:rsid w:val="002F7A34"/>
    <w:rsid w:val="002F7A3D"/>
    <w:rsid w:val="002F7A8B"/>
    <w:rsid w:val="002F7A98"/>
    <w:rsid w:val="002F7B03"/>
    <w:rsid w:val="002F7B1C"/>
    <w:rsid w:val="002F7B93"/>
    <w:rsid w:val="002F7BAE"/>
    <w:rsid w:val="002F7BCF"/>
    <w:rsid w:val="002F7C31"/>
    <w:rsid w:val="002F7CEE"/>
    <w:rsid w:val="002F7D2A"/>
    <w:rsid w:val="002F7D4B"/>
    <w:rsid w:val="002F7DBF"/>
    <w:rsid w:val="002F7DE4"/>
    <w:rsid w:val="002F7FA2"/>
    <w:rsid w:val="00300153"/>
    <w:rsid w:val="00300218"/>
    <w:rsid w:val="003002F5"/>
    <w:rsid w:val="003003A2"/>
    <w:rsid w:val="003003F4"/>
    <w:rsid w:val="0030050E"/>
    <w:rsid w:val="003005ED"/>
    <w:rsid w:val="00300741"/>
    <w:rsid w:val="0030075E"/>
    <w:rsid w:val="00300785"/>
    <w:rsid w:val="00300865"/>
    <w:rsid w:val="00300915"/>
    <w:rsid w:val="0030095A"/>
    <w:rsid w:val="00300B05"/>
    <w:rsid w:val="00300B0D"/>
    <w:rsid w:val="00300B56"/>
    <w:rsid w:val="00300C94"/>
    <w:rsid w:val="00300CFC"/>
    <w:rsid w:val="00300D10"/>
    <w:rsid w:val="00300D12"/>
    <w:rsid w:val="00300DB5"/>
    <w:rsid w:val="00300DD3"/>
    <w:rsid w:val="00300EBA"/>
    <w:rsid w:val="00300F33"/>
    <w:rsid w:val="00300FD1"/>
    <w:rsid w:val="00300FEC"/>
    <w:rsid w:val="00301007"/>
    <w:rsid w:val="00301009"/>
    <w:rsid w:val="0030100C"/>
    <w:rsid w:val="0030106D"/>
    <w:rsid w:val="00301184"/>
    <w:rsid w:val="00301231"/>
    <w:rsid w:val="003012B3"/>
    <w:rsid w:val="00301332"/>
    <w:rsid w:val="0030140C"/>
    <w:rsid w:val="00301434"/>
    <w:rsid w:val="00301647"/>
    <w:rsid w:val="00301650"/>
    <w:rsid w:val="00301670"/>
    <w:rsid w:val="003016F4"/>
    <w:rsid w:val="0030170C"/>
    <w:rsid w:val="0030172D"/>
    <w:rsid w:val="00301733"/>
    <w:rsid w:val="003017F6"/>
    <w:rsid w:val="003017F8"/>
    <w:rsid w:val="00301825"/>
    <w:rsid w:val="003018FF"/>
    <w:rsid w:val="00301A4F"/>
    <w:rsid w:val="00301B31"/>
    <w:rsid w:val="00301BB5"/>
    <w:rsid w:val="00301C66"/>
    <w:rsid w:val="00301CD8"/>
    <w:rsid w:val="00301CF9"/>
    <w:rsid w:val="00301D3A"/>
    <w:rsid w:val="00301D5E"/>
    <w:rsid w:val="00301D74"/>
    <w:rsid w:val="00301DA9"/>
    <w:rsid w:val="00301DD7"/>
    <w:rsid w:val="00301DE3"/>
    <w:rsid w:val="00301E32"/>
    <w:rsid w:val="00301E71"/>
    <w:rsid w:val="00301F05"/>
    <w:rsid w:val="00301F63"/>
    <w:rsid w:val="00302108"/>
    <w:rsid w:val="0030212E"/>
    <w:rsid w:val="003021B2"/>
    <w:rsid w:val="003021D8"/>
    <w:rsid w:val="00302311"/>
    <w:rsid w:val="003024ED"/>
    <w:rsid w:val="003025E5"/>
    <w:rsid w:val="00302621"/>
    <w:rsid w:val="0030267B"/>
    <w:rsid w:val="00302758"/>
    <w:rsid w:val="00302800"/>
    <w:rsid w:val="00302804"/>
    <w:rsid w:val="0030284C"/>
    <w:rsid w:val="003028B3"/>
    <w:rsid w:val="00302A7F"/>
    <w:rsid w:val="00302B76"/>
    <w:rsid w:val="00302B80"/>
    <w:rsid w:val="00302BD2"/>
    <w:rsid w:val="00302BE3"/>
    <w:rsid w:val="00302D43"/>
    <w:rsid w:val="00302DAF"/>
    <w:rsid w:val="00302E3A"/>
    <w:rsid w:val="00302E8F"/>
    <w:rsid w:val="00302EDA"/>
    <w:rsid w:val="00302FC1"/>
    <w:rsid w:val="00302FE4"/>
    <w:rsid w:val="00303050"/>
    <w:rsid w:val="003030A9"/>
    <w:rsid w:val="003031DA"/>
    <w:rsid w:val="0030323D"/>
    <w:rsid w:val="003032E3"/>
    <w:rsid w:val="0030335C"/>
    <w:rsid w:val="003033AE"/>
    <w:rsid w:val="003033BD"/>
    <w:rsid w:val="00303482"/>
    <w:rsid w:val="003034DE"/>
    <w:rsid w:val="00303548"/>
    <w:rsid w:val="0030356F"/>
    <w:rsid w:val="003035AD"/>
    <w:rsid w:val="003035B6"/>
    <w:rsid w:val="003035FE"/>
    <w:rsid w:val="0030365B"/>
    <w:rsid w:val="003036DC"/>
    <w:rsid w:val="003036E0"/>
    <w:rsid w:val="0030377F"/>
    <w:rsid w:val="00303787"/>
    <w:rsid w:val="003037DF"/>
    <w:rsid w:val="0030380E"/>
    <w:rsid w:val="003038B6"/>
    <w:rsid w:val="00303973"/>
    <w:rsid w:val="003039B3"/>
    <w:rsid w:val="003039D7"/>
    <w:rsid w:val="00303A03"/>
    <w:rsid w:val="00303AA2"/>
    <w:rsid w:val="00303B1A"/>
    <w:rsid w:val="00303BA6"/>
    <w:rsid w:val="00303BF8"/>
    <w:rsid w:val="00303C36"/>
    <w:rsid w:val="00303D45"/>
    <w:rsid w:val="00303E2E"/>
    <w:rsid w:val="00303F2E"/>
    <w:rsid w:val="003041A1"/>
    <w:rsid w:val="0030425E"/>
    <w:rsid w:val="00304297"/>
    <w:rsid w:val="003042C0"/>
    <w:rsid w:val="00304320"/>
    <w:rsid w:val="00304345"/>
    <w:rsid w:val="003043A0"/>
    <w:rsid w:val="0030443D"/>
    <w:rsid w:val="0030454D"/>
    <w:rsid w:val="0030463C"/>
    <w:rsid w:val="003046CD"/>
    <w:rsid w:val="003047DB"/>
    <w:rsid w:val="003047EC"/>
    <w:rsid w:val="00304986"/>
    <w:rsid w:val="00304A39"/>
    <w:rsid w:val="00304A47"/>
    <w:rsid w:val="00304A52"/>
    <w:rsid w:val="00304AC6"/>
    <w:rsid w:val="00304B8D"/>
    <w:rsid w:val="00304D3B"/>
    <w:rsid w:val="00304D6D"/>
    <w:rsid w:val="00304DAF"/>
    <w:rsid w:val="00304DE6"/>
    <w:rsid w:val="00304E5C"/>
    <w:rsid w:val="00304E87"/>
    <w:rsid w:val="00304ED4"/>
    <w:rsid w:val="00304EED"/>
    <w:rsid w:val="00304F56"/>
    <w:rsid w:val="00304F59"/>
    <w:rsid w:val="00304F9A"/>
    <w:rsid w:val="003050FE"/>
    <w:rsid w:val="00305128"/>
    <w:rsid w:val="00305134"/>
    <w:rsid w:val="003051DA"/>
    <w:rsid w:val="003051E5"/>
    <w:rsid w:val="003051F2"/>
    <w:rsid w:val="00305215"/>
    <w:rsid w:val="00305221"/>
    <w:rsid w:val="00305271"/>
    <w:rsid w:val="003052F2"/>
    <w:rsid w:val="003053BD"/>
    <w:rsid w:val="0030543E"/>
    <w:rsid w:val="0030554A"/>
    <w:rsid w:val="00305597"/>
    <w:rsid w:val="003056C8"/>
    <w:rsid w:val="003056CB"/>
    <w:rsid w:val="003056EC"/>
    <w:rsid w:val="00305721"/>
    <w:rsid w:val="0030573A"/>
    <w:rsid w:val="003057FA"/>
    <w:rsid w:val="003058B5"/>
    <w:rsid w:val="003058E8"/>
    <w:rsid w:val="003059A2"/>
    <w:rsid w:val="00305A30"/>
    <w:rsid w:val="00305A50"/>
    <w:rsid w:val="00305A8C"/>
    <w:rsid w:val="00305B54"/>
    <w:rsid w:val="00305BB8"/>
    <w:rsid w:val="00305CB6"/>
    <w:rsid w:val="00305D1F"/>
    <w:rsid w:val="00305E34"/>
    <w:rsid w:val="00305E54"/>
    <w:rsid w:val="00305E6A"/>
    <w:rsid w:val="00305E8A"/>
    <w:rsid w:val="00305EDF"/>
    <w:rsid w:val="00305F28"/>
    <w:rsid w:val="00305FD1"/>
    <w:rsid w:val="003060A7"/>
    <w:rsid w:val="0030617B"/>
    <w:rsid w:val="003061C3"/>
    <w:rsid w:val="003062DE"/>
    <w:rsid w:val="0030659B"/>
    <w:rsid w:val="00306626"/>
    <w:rsid w:val="003066E5"/>
    <w:rsid w:val="00306760"/>
    <w:rsid w:val="00306785"/>
    <w:rsid w:val="00306788"/>
    <w:rsid w:val="003067D7"/>
    <w:rsid w:val="0030685B"/>
    <w:rsid w:val="003068E6"/>
    <w:rsid w:val="00306977"/>
    <w:rsid w:val="003069D6"/>
    <w:rsid w:val="00306A5F"/>
    <w:rsid w:val="00306B1E"/>
    <w:rsid w:val="00306C2C"/>
    <w:rsid w:val="00306C3A"/>
    <w:rsid w:val="00306C6A"/>
    <w:rsid w:val="00306C73"/>
    <w:rsid w:val="00306D04"/>
    <w:rsid w:val="00306DBF"/>
    <w:rsid w:val="00306E0F"/>
    <w:rsid w:val="00306E13"/>
    <w:rsid w:val="00306E1B"/>
    <w:rsid w:val="00306E4A"/>
    <w:rsid w:val="00306EC1"/>
    <w:rsid w:val="00306F5D"/>
    <w:rsid w:val="00306F6E"/>
    <w:rsid w:val="00306FFD"/>
    <w:rsid w:val="00307028"/>
    <w:rsid w:val="003070B1"/>
    <w:rsid w:val="0030713B"/>
    <w:rsid w:val="003071A4"/>
    <w:rsid w:val="003071B5"/>
    <w:rsid w:val="003071D7"/>
    <w:rsid w:val="00307218"/>
    <w:rsid w:val="003073A2"/>
    <w:rsid w:val="003074D3"/>
    <w:rsid w:val="00307513"/>
    <w:rsid w:val="0030779B"/>
    <w:rsid w:val="003078EB"/>
    <w:rsid w:val="003079A4"/>
    <w:rsid w:val="003079E3"/>
    <w:rsid w:val="00307BDD"/>
    <w:rsid w:val="00307CC2"/>
    <w:rsid w:val="00307CC9"/>
    <w:rsid w:val="00307D97"/>
    <w:rsid w:val="00307E0C"/>
    <w:rsid w:val="00307F21"/>
    <w:rsid w:val="00307F65"/>
    <w:rsid w:val="00307F83"/>
    <w:rsid w:val="0030DCFF"/>
    <w:rsid w:val="003100B4"/>
    <w:rsid w:val="00310137"/>
    <w:rsid w:val="0031019F"/>
    <w:rsid w:val="0031020C"/>
    <w:rsid w:val="00310297"/>
    <w:rsid w:val="003102B5"/>
    <w:rsid w:val="003102F9"/>
    <w:rsid w:val="00310327"/>
    <w:rsid w:val="003104C8"/>
    <w:rsid w:val="003104CE"/>
    <w:rsid w:val="0031066C"/>
    <w:rsid w:val="00310790"/>
    <w:rsid w:val="003107C0"/>
    <w:rsid w:val="003107CD"/>
    <w:rsid w:val="003107EE"/>
    <w:rsid w:val="003108B8"/>
    <w:rsid w:val="003108C9"/>
    <w:rsid w:val="0031098E"/>
    <w:rsid w:val="00310AAB"/>
    <w:rsid w:val="00310AE2"/>
    <w:rsid w:val="00310B7D"/>
    <w:rsid w:val="00310B96"/>
    <w:rsid w:val="00310BBA"/>
    <w:rsid w:val="00310BC0"/>
    <w:rsid w:val="00310BFB"/>
    <w:rsid w:val="00310C42"/>
    <w:rsid w:val="00310CDA"/>
    <w:rsid w:val="00310D04"/>
    <w:rsid w:val="00310D0C"/>
    <w:rsid w:val="00310DA0"/>
    <w:rsid w:val="00310E59"/>
    <w:rsid w:val="00310EDA"/>
    <w:rsid w:val="00311034"/>
    <w:rsid w:val="003111FD"/>
    <w:rsid w:val="00311441"/>
    <w:rsid w:val="00311472"/>
    <w:rsid w:val="00311520"/>
    <w:rsid w:val="003116A8"/>
    <w:rsid w:val="003116D4"/>
    <w:rsid w:val="0031172B"/>
    <w:rsid w:val="00311748"/>
    <w:rsid w:val="00311764"/>
    <w:rsid w:val="0031181B"/>
    <w:rsid w:val="00311858"/>
    <w:rsid w:val="003118F0"/>
    <w:rsid w:val="00311966"/>
    <w:rsid w:val="003119CD"/>
    <w:rsid w:val="003119EB"/>
    <w:rsid w:val="00311A7A"/>
    <w:rsid w:val="00311AF8"/>
    <w:rsid w:val="00311B78"/>
    <w:rsid w:val="00311C21"/>
    <w:rsid w:val="00311C36"/>
    <w:rsid w:val="00311D88"/>
    <w:rsid w:val="00311E0D"/>
    <w:rsid w:val="00311E9D"/>
    <w:rsid w:val="00311EAD"/>
    <w:rsid w:val="00311F6F"/>
    <w:rsid w:val="00311FC2"/>
    <w:rsid w:val="0031209E"/>
    <w:rsid w:val="00312195"/>
    <w:rsid w:val="003121A7"/>
    <w:rsid w:val="00312201"/>
    <w:rsid w:val="0031220A"/>
    <w:rsid w:val="00312314"/>
    <w:rsid w:val="003123C4"/>
    <w:rsid w:val="00312447"/>
    <w:rsid w:val="00312487"/>
    <w:rsid w:val="00312505"/>
    <w:rsid w:val="00312571"/>
    <w:rsid w:val="003125AE"/>
    <w:rsid w:val="00312687"/>
    <w:rsid w:val="0031268E"/>
    <w:rsid w:val="00312779"/>
    <w:rsid w:val="00312781"/>
    <w:rsid w:val="003128C5"/>
    <w:rsid w:val="003128D3"/>
    <w:rsid w:val="003129CD"/>
    <w:rsid w:val="00312A13"/>
    <w:rsid w:val="00312C87"/>
    <w:rsid w:val="00312CF5"/>
    <w:rsid w:val="00312E0E"/>
    <w:rsid w:val="00312F03"/>
    <w:rsid w:val="00312F42"/>
    <w:rsid w:val="00312F85"/>
    <w:rsid w:val="00312FAF"/>
    <w:rsid w:val="00313015"/>
    <w:rsid w:val="00313275"/>
    <w:rsid w:val="003132BA"/>
    <w:rsid w:val="003133EF"/>
    <w:rsid w:val="00313441"/>
    <w:rsid w:val="00313481"/>
    <w:rsid w:val="003135B4"/>
    <w:rsid w:val="003135D1"/>
    <w:rsid w:val="0031386E"/>
    <w:rsid w:val="0031393D"/>
    <w:rsid w:val="003139E7"/>
    <w:rsid w:val="00313A24"/>
    <w:rsid w:val="00313C71"/>
    <w:rsid w:val="00313C86"/>
    <w:rsid w:val="00313CE7"/>
    <w:rsid w:val="00313CF7"/>
    <w:rsid w:val="00313D27"/>
    <w:rsid w:val="00313D55"/>
    <w:rsid w:val="00313D63"/>
    <w:rsid w:val="00313E89"/>
    <w:rsid w:val="00313ED8"/>
    <w:rsid w:val="00313EEA"/>
    <w:rsid w:val="00313F3B"/>
    <w:rsid w:val="00313F47"/>
    <w:rsid w:val="00313FA5"/>
    <w:rsid w:val="00314059"/>
    <w:rsid w:val="003140C6"/>
    <w:rsid w:val="0031410D"/>
    <w:rsid w:val="0031423E"/>
    <w:rsid w:val="0031426B"/>
    <w:rsid w:val="003143AC"/>
    <w:rsid w:val="003143DE"/>
    <w:rsid w:val="003144A1"/>
    <w:rsid w:val="003144EC"/>
    <w:rsid w:val="003144FB"/>
    <w:rsid w:val="0031453E"/>
    <w:rsid w:val="00314671"/>
    <w:rsid w:val="0031468F"/>
    <w:rsid w:val="003146EB"/>
    <w:rsid w:val="00314875"/>
    <w:rsid w:val="0031487C"/>
    <w:rsid w:val="00314A98"/>
    <w:rsid w:val="00314B07"/>
    <w:rsid w:val="00314B21"/>
    <w:rsid w:val="00314D1F"/>
    <w:rsid w:val="00314D4B"/>
    <w:rsid w:val="00314E2A"/>
    <w:rsid w:val="00315108"/>
    <w:rsid w:val="00315181"/>
    <w:rsid w:val="0031519F"/>
    <w:rsid w:val="003151D3"/>
    <w:rsid w:val="003151F2"/>
    <w:rsid w:val="0031531D"/>
    <w:rsid w:val="00315585"/>
    <w:rsid w:val="003155E1"/>
    <w:rsid w:val="0031562B"/>
    <w:rsid w:val="00315680"/>
    <w:rsid w:val="0031568A"/>
    <w:rsid w:val="00315743"/>
    <w:rsid w:val="00315759"/>
    <w:rsid w:val="00315826"/>
    <w:rsid w:val="003158AD"/>
    <w:rsid w:val="003158F2"/>
    <w:rsid w:val="00315955"/>
    <w:rsid w:val="00315970"/>
    <w:rsid w:val="00315B00"/>
    <w:rsid w:val="00315B36"/>
    <w:rsid w:val="00315B3B"/>
    <w:rsid w:val="00315BAF"/>
    <w:rsid w:val="00315C1F"/>
    <w:rsid w:val="00315C4E"/>
    <w:rsid w:val="00315C4F"/>
    <w:rsid w:val="00315D0E"/>
    <w:rsid w:val="00315DAD"/>
    <w:rsid w:val="00315E3A"/>
    <w:rsid w:val="00315E6C"/>
    <w:rsid w:val="00315E7D"/>
    <w:rsid w:val="00315E9C"/>
    <w:rsid w:val="00315E9F"/>
    <w:rsid w:val="00315EE1"/>
    <w:rsid w:val="00315F31"/>
    <w:rsid w:val="00315F93"/>
    <w:rsid w:val="00315F9D"/>
    <w:rsid w:val="00315FA8"/>
    <w:rsid w:val="003160A8"/>
    <w:rsid w:val="0031613B"/>
    <w:rsid w:val="00316174"/>
    <w:rsid w:val="003161C5"/>
    <w:rsid w:val="00316243"/>
    <w:rsid w:val="003162F4"/>
    <w:rsid w:val="003165FB"/>
    <w:rsid w:val="00316628"/>
    <w:rsid w:val="00316639"/>
    <w:rsid w:val="003166C0"/>
    <w:rsid w:val="003166E6"/>
    <w:rsid w:val="00316769"/>
    <w:rsid w:val="003167A0"/>
    <w:rsid w:val="003167C2"/>
    <w:rsid w:val="003168E0"/>
    <w:rsid w:val="0031693F"/>
    <w:rsid w:val="00316949"/>
    <w:rsid w:val="00316999"/>
    <w:rsid w:val="003169A7"/>
    <w:rsid w:val="003169EF"/>
    <w:rsid w:val="00316A3E"/>
    <w:rsid w:val="00316B3A"/>
    <w:rsid w:val="00316B41"/>
    <w:rsid w:val="00316B8B"/>
    <w:rsid w:val="00316BAC"/>
    <w:rsid w:val="00316BD1"/>
    <w:rsid w:val="00316DCB"/>
    <w:rsid w:val="00316E65"/>
    <w:rsid w:val="00316ECB"/>
    <w:rsid w:val="00316FE9"/>
    <w:rsid w:val="00317023"/>
    <w:rsid w:val="00317052"/>
    <w:rsid w:val="003170A1"/>
    <w:rsid w:val="003171FF"/>
    <w:rsid w:val="003172E6"/>
    <w:rsid w:val="00317349"/>
    <w:rsid w:val="00317494"/>
    <w:rsid w:val="003175B8"/>
    <w:rsid w:val="003176AE"/>
    <w:rsid w:val="003176DF"/>
    <w:rsid w:val="00317723"/>
    <w:rsid w:val="003178E4"/>
    <w:rsid w:val="003178F0"/>
    <w:rsid w:val="00317A34"/>
    <w:rsid w:val="00317AC5"/>
    <w:rsid w:val="00317B15"/>
    <w:rsid w:val="00317B73"/>
    <w:rsid w:val="00317C26"/>
    <w:rsid w:val="00317D8C"/>
    <w:rsid w:val="00317E11"/>
    <w:rsid w:val="00317E6C"/>
    <w:rsid w:val="00317F04"/>
    <w:rsid w:val="00317F59"/>
    <w:rsid w:val="00317F7A"/>
    <w:rsid w:val="00317F8A"/>
    <w:rsid w:val="0032002B"/>
    <w:rsid w:val="00320039"/>
    <w:rsid w:val="0032005A"/>
    <w:rsid w:val="00320068"/>
    <w:rsid w:val="003200B1"/>
    <w:rsid w:val="003200BE"/>
    <w:rsid w:val="003200DC"/>
    <w:rsid w:val="0032010B"/>
    <w:rsid w:val="00320154"/>
    <w:rsid w:val="00320174"/>
    <w:rsid w:val="00320235"/>
    <w:rsid w:val="003202A4"/>
    <w:rsid w:val="003203B5"/>
    <w:rsid w:val="003204F7"/>
    <w:rsid w:val="003205A3"/>
    <w:rsid w:val="00320614"/>
    <w:rsid w:val="0032062E"/>
    <w:rsid w:val="00320670"/>
    <w:rsid w:val="00320736"/>
    <w:rsid w:val="00320795"/>
    <w:rsid w:val="003207AD"/>
    <w:rsid w:val="003207AE"/>
    <w:rsid w:val="003207DE"/>
    <w:rsid w:val="003207E0"/>
    <w:rsid w:val="0032089A"/>
    <w:rsid w:val="003208AB"/>
    <w:rsid w:val="00320A6C"/>
    <w:rsid w:val="00320A81"/>
    <w:rsid w:val="00320B0F"/>
    <w:rsid w:val="00320BDE"/>
    <w:rsid w:val="00320C33"/>
    <w:rsid w:val="00320CC1"/>
    <w:rsid w:val="00320DB7"/>
    <w:rsid w:val="00320DFA"/>
    <w:rsid w:val="00320E74"/>
    <w:rsid w:val="00320F19"/>
    <w:rsid w:val="00320FC4"/>
    <w:rsid w:val="00320FE5"/>
    <w:rsid w:val="0032100D"/>
    <w:rsid w:val="0032105E"/>
    <w:rsid w:val="00321103"/>
    <w:rsid w:val="00321165"/>
    <w:rsid w:val="003211A1"/>
    <w:rsid w:val="003211B9"/>
    <w:rsid w:val="003211D6"/>
    <w:rsid w:val="003211E5"/>
    <w:rsid w:val="0032121F"/>
    <w:rsid w:val="00321237"/>
    <w:rsid w:val="00321260"/>
    <w:rsid w:val="00321268"/>
    <w:rsid w:val="0032126B"/>
    <w:rsid w:val="00321345"/>
    <w:rsid w:val="00321379"/>
    <w:rsid w:val="003213B2"/>
    <w:rsid w:val="003213C1"/>
    <w:rsid w:val="003213D8"/>
    <w:rsid w:val="00321419"/>
    <w:rsid w:val="00321476"/>
    <w:rsid w:val="0032148B"/>
    <w:rsid w:val="003214AE"/>
    <w:rsid w:val="00321561"/>
    <w:rsid w:val="00321562"/>
    <w:rsid w:val="0032164F"/>
    <w:rsid w:val="0032185C"/>
    <w:rsid w:val="0032186B"/>
    <w:rsid w:val="00321870"/>
    <w:rsid w:val="00321909"/>
    <w:rsid w:val="0032193E"/>
    <w:rsid w:val="0032197B"/>
    <w:rsid w:val="00321A8F"/>
    <w:rsid w:val="00321AFF"/>
    <w:rsid w:val="00321B46"/>
    <w:rsid w:val="00321B85"/>
    <w:rsid w:val="00321BBF"/>
    <w:rsid w:val="00321C47"/>
    <w:rsid w:val="00321CD1"/>
    <w:rsid w:val="00321E19"/>
    <w:rsid w:val="00321EB5"/>
    <w:rsid w:val="00321F01"/>
    <w:rsid w:val="00321F29"/>
    <w:rsid w:val="003220F7"/>
    <w:rsid w:val="00322103"/>
    <w:rsid w:val="0032221C"/>
    <w:rsid w:val="0032224E"/>
    <w:rsid w:val="00322298"/>
    <w:rsid w:val="003222DA"/>
    <w:rsid w:val="0032237C"/>
    <w:rsid w:val="00322547"/>
    <w:rsid w:val="00322653"/>
    <w:rsid w:val="003226D2"/>
    <w:rsid w:val="003227B0"/>
    <w:rsid w:val="00322843"/>
    <w:rsid w:val="0032287C"/>
    <w:rsid w:val="0032299B"/>
    <w:rsid w:val="003229BB"/>
    <w:rsid w:val="00322A01"/>
    <w:rsid w:val="00322A41"/>
    <w:rsid w:val="00322B3F"/>
    <w:rsid w:val="00322BBE"/>
    <w:rsid w:val="00322BC4"/>
    <w:rsid w:val="00322CD0"/>
    <w:rsid w:val="00322D45"/>
    <w:rsid w:val="00322E29"/>
    <w:rsid w:val="00322EDC"/>
    <w:rsid w:val="003230A7"/>
    <w:rsid w:val="003230E1"/>
    <w:rsid w:val="00323143"/>
    <w:rsid w:val="00323249"/>
    <w:rsid w:val="0032331C"/>
    <w:rsid w:val="003233C8"/>
    <w:rsid w:val="0032345E"/>
    <w:rsid w:val="00323568"/>
    <w:rsid w:val="003235BE"/>
    <w:rsid w:val="0032360C"/>
    <w:rsid w:val="00323641"/>
    <w:rsid w:val="003236B8"/>
    <w:rsid w:val="003236CC"/>
    <w:rsid w:val="00323734"/>
    <w:rsid w:val="003237A6"/>
    <w:rsid w:val="003238EB"/>
    <w:rsid w:val="00323916"/>
    <w:rsid w:val="003239B2"/>
    <w:rsid w:val="003239B9"/>
    <w:rsid w:val="003239D1"/>
    <w:rsid w:val="00323A1F"/>
    <w:rsid w:val="00323A82"/>
    <w:rsid w:val="00323A9E"/>
    <w:rsid w:val="00323B36"/>
    <w:rsid w:val="00323B3E"/>
    <w:rsid w:val="00323B65"/>
    <w:rsid w:val="00323BDE"/>
    <w:rsid w:val="00323C5E"/>
    <w:rsid w:val="00323D12"/>
    <w:rsid w:val="00323D22"/>
    <w:rsid w:val="00323D5D"/>
    <w:rsid w:val="00323D5F"/>
    <w:rsid w:val="00323DC9"/>
    <w:rsid w:val="00323DCB"/>
    <w:rsid w:val="00323E06"/>
    <w:rsid w:val="00323E72"/>
    <w:rsid w:val="00323FC1"/>
    <w:rsid w:val="00324032"/>
    <w:rsid w:val="003240A0"/>
    <w:rsid w:val="00324114"/>
    <w:rsid w:val="0032415C"/>
    <w:rsid w:val="003241A9"/>
    <w:rsid w:val="003241E4"/>
    <w:rsid w:val="00324288"/>
    <w:rsid w:val="0032436E"/>
    <w:rsid w:val="003244B7"/>
    <w:rsid w:val="00324520"/>
    <w:rsid w:val="00324524"/>
    <w:rsid w:val="00324540"/>
    <w:rsid w:val="00324597"/>
    <w:rsid w:val="003245EA"/>
    <w:rsid w:val="00324669"/>
    <w:rsid w:val="003246E2"/>
    <w:rsid w:val="00324713"/>
    <w:rsid w:val="00324872"/>
    <w:rsid w:val="00324A2E"/>
    <w:rsid w:val="00324B07"/>
    <w:rsid w:val="00324B10"/>
    <w:rsid w:val="00324B93"/>
    <w:rsid w:val="00324B9C"/>
    <w:rsid w:val="00324BB5"/>
    <w:rsid w:val="00324C0C"/>
    <w:rsid w:val="00324C34"/>
    <w:rsid w:val="00324C5E"/>
    <w:rsid w:val="00324C75"/>
    <w:rsid w:val="00324CC3"/>
    <w:rsid w:val="00324CD3"/>
    <w:rsid w:val="00324CFC"/>
    <w:rsid w:val="00324D6B"/>
    <w:rsid w:val="00324DA2"/>
    <w:rsid w:val="00324E00"/>
    <w:rsid w:val="00324E22"/>
    <w:rsid w:val="00324F53"/>
    <w:rsid w:val="00324FF8"/>
    <w:rsid w:val="00325021"/>
    <w:rsid w:val="0032529A"/>
    <w:rsid w:val="00325314"/>
    <w:rsid w:val="003253D3"/>
    <w:rsid w:val="0032541C"/>
    <w:rsid w:val="0032544E"/>
    <w:rsid w:val="0032546C"/>
    <w:rsid w:val="003254A9"/>
    <w:rsid w:val="00325508"/>
    <w:rsid w:val="00325536"/>
    <w:rsid w:val="003255A7"/>
    <w:rsid w:val="003255AE"/>
    <w:rsid w:val="00325617"/>
    <w:rsid w:val="00325702"/>
    <w:rsid w:val="00325711"/>
    <w:rsid w:val="003257B8"/>
    <w:rsid w:val="00325861"/>
    <w:rsid w:val="003258E2"/>
    <w:rsid w:val="0032590F"/>
    <w:rsid w:val="0032593B"/>
    <w:rsid w:val="003259C0"/>
    <w:rsid w:val="003259C9"/>
    <w:rsid w:val="00325B0B"/>
    <w:rsid w:val="00325B40"/>
    <w:rsid w:val="00325BC7"/>
    <w:rsid w:val="00325C4C"/>
    <w:rsid w:val="00325C54"/>
    <w:rsid w:val="00325D19"/>
    <w:rsid w:val="00325D2F"/>
    <w:rsid w:val="00325E04"/>
    <w:rsid w:val="00325E89"/>
    <w:rsid w:val="00325E94"/>
    <w:rsid w:val="00325F46"/>
    <w:rsid w:val="00325FC8"/>
    <w:rsid w:val="00325FD6"/>
    <w:rsid w:val="00326076"/>
    <w:rsid w:val="00326079"/>
    <w:rsid w:val="00326123"/>
    <w:rsid w:val="003261B0"/>
    <w:rsid w:val="00326246"/>
    <w:rsid w:val="00326299"/>
    <w:rsid w:val="003262E8"/>
    <w:rsid w:val="00326370"/>
    <w:rsid w:val="00326375"/>
    <w:rsid w:val="003263A8"/>
    <w:rsid w:val="0032640F"/>
    <w:rsid w:val="0032641B"/>
    <w:rsid w:val="003264A8"/>
    <w:rsid w:val="00326517"/>
    <w:rsid w:val="003265F2"/>
    <w:rsid w:val="00326609"/>
    <w:rsid w:val="00326692"/>
    <w:rsid w:val="003266A2"/>
    <w:rsid w:val="0032670E"/>
    <w:rsid w:val="00326979"/>
    <w:rsid w:val="003269BA"/>
    <w:rsid w:val="003269DD"/>
    <w:rsid w:val="003269FB"/>
    <w:rsid w:val="00326A1D"/>
    <w:rsid w:val="00326A51"/>
    <w:rsid w:val="00326A88"/>
    <w:rsid w:val="00326AAD"/>
    <w:rsid w:val="00326B4D"/>
    <w:rsid w:val="00326B50"/>
    <w:rsid w:val="00326BDC"/>
    <w:rsid w:val="00326BDF"/>
    <w:rsid w:val="00326C4B"/>
    <w:rsid w:val="00326D3B"/>
    <w:rsid w:val="00326D46"/>
    <w:rsid w:val="00326D9F"/>
    <w:rsid w:val="00326EC1"/>
    <w:rsid w:val="00326F68"/>
    <w:rsid w:val="0032703C"/>
    <w:rsid w:val="00327128"/>
    <w:rsid w:val="00327299"/>
    <w:rsid w:val="003272FA"/>
    <w:rsid w:val="0032737D"/>
    <w:rsid w:val="003273B0"/>
    <w:rsid w:val="00327402"/>
    <w:rsid w:val="00327419"/>
    <w:rsid w:val="00327471"/>
    <w:rsid w:val="003274CA"/>
    <w:rsid w:val="00327573"/>
    <w:rsid w:val="003276B2"/>
    <w:rsid w:val="003277AF"/>
    <w:rsid w:val="003277ED"/>
    <w:rsid w:val="00327841"/>
    <w:rsid w:val="00327932"/>
    <w:rsid w:val="0032796A"/>
    <w:rsid w:val="00327ACE"/>
    <w:rsid w:val="00327B27"/>
    <w:rsid w:val="00327CD1"/>
    <w:rsid w:val="00327D07"/>
    <w:rsid w:val="00327DDB"/>
    <w:rsid w:val="00327EBB"/>
    <w:rsid w:val="00327FC3"/>
    <w:rsid w:val="00327FFC"/>
    <w:rsid w:val="0033009B"/>
    <w:rsid w:val="0033013D"/>
    <w:rsid w:val="00330198"/>
    <w:rsid w:val="003301C4"/>
    <w:rsid w:val="003301F1"/>
    <w:rsid w:val="00330260"/>
    <w:rsid w:val="00330292"/>
    <w:rsid w:val="003302D1"/>
    <w:rsid w:val="00330386"/>
    <w:rsid w:val="0033047D"/>
    <w:rsid w:val="00330631"/>
    <w:rsid w:val="0033063C"/>
    <w:rsid w:val="00330680"/>
    <w:rsid w:val="00330786"/>
    <w:rsid w:val="00330864"/>
    <w:rsid w:val="003308E2"/>
    <w:rsid w:val="003308EF"/>
    <w:rsid w:val="00330970"/>
    <w:rsid w:val="003309D9"/>
    <w:rsid w:val="00330A69"/>
    <w:rsid w:val="00330A76"/>
    <w:rsid w:val="00330B77"/>
    <w:rsid w:val="00330B95"/>
    <w:rsid w:val="00330CBA"/>
    <w:rsid w:val="00330D0A"/>
    <w:rsid w:val="00330D70"/>
    <w:rsid w:val="00330D75"/>
    <w:rsid w:val="00330D94"/>
    <w:rsid w:val="00330E8A"/>
    <w:rsid w:val="00330EEC"/>
    <w:rsid w:val="00330FAB"/>
    <w:rsid w:val="00330FBD"/>
    <w:rsid w:val="00331044"/>
    <w:rsid w:val="00331088"/>
    <w:rsid w:val="0033111E"/>
    <w:rsid w:val="0033112D"/>
    <w:rsid w:val="00331154"/>
    <w:rsid w:val="0033122B"/>
    <w:rsid w:val="00331236"/>
    <w:rsid w:val="00331314"/>
    <w:rsid w:val="0033132E"/>
    <w:rsid w:val="00331436"/>
    <w:rsid w:val="00331455"/>
    <w:rsid w:val="003314E4"/>
    <w:rsid w:val="00331556"/>
    <w:rsid w:val="00331569"/>
    <w:rsid w:val="00331660"/>
    <w:rsid w:val="003316AC"/>
    <w:rsid w:val="003317AA"/>
    <w:rsid w:val="0033180D"/>
    <w:rsid w:val="0033184B"/>
    <w:rsid w:val="0033190A"/>
    <w:rsid w:val="00331962"/>
    <w:rsid w:val="003319E0"/>
    <w:rsid w:val="00331A0E"/>
    <w:rsid w:val="00331A73"/>
    <w:rsid w:val="00331A76"/>
    <w:rsid w:val="00331B97"/>
    <w:rsid w:val="00331BAD"/>
    <w:rsid w:val="00331BD8"/>
    <w:rsid w:val="00331BFD"/>
    <w:rsid w:val="00331C4C"/>
    <w:rsid w:val="00331C9B"/>
    <w:rsid w:val="00331CC1"/>
    <w:rsid w:val="00331D6E"/>
    <w:rsid w:val="00331E3D"/>
    <w:rsid w:val="00331E7B"/>
    <w:rsid w:val="00331EBE"/>
    <w:rsid w:val="00331ECC"/>
    <w:rsid w:val="00331F9B"/>
    <w:rsid w:val="00331FB0"/>
    <w:rsid w:val="00331FD8"/>
    <w:rsid w:val="00332018"/>
    <w:rsid w:val="0033218A"/>
    <w:rsid w:val="003321E7"/>
    <w:rsid w:val="0033225A"/>
    <w:rsid w:val="00332287"/>
    <w:rsid w:val="0033230F"/>
    <w:rsid w:val="00332343"/>
    <w:rsid w:val="0033238E"/>
    <w:rsid w:val="003324A1"/>
    <w:rsid w:val="0033251D"/>
    <w:rsid w:val="00332569"/>
    <w:rsid w:val="0033262F"/>
    <w:rsid w:val="00332694"/>
    <w:rsid w:val="0033270C"/>
    <w:rsid w:val="0033271A"/>
    <w:rsid w:val="00332755"/>
    <w:rsid w:val="00332777"/>
    <w:rsid w:val="003327C0"/>
    <w:rsid w:val="003328F4"/>
    <w:rsid w:val="00332916"/>
    <w:rsid w:val="00332978"/>
    <w:rsid w:val="00332A9A"/>
    <w:rsid w:val="00332AC3"/>
    <w:rsid w:val="00332B37"/>
    <w:rsid w:val="00332BC3"/>
    <w:rsid w:val="00332D76"/>
    <w:rsid w:val="00332D9A"/>
    <w:rsid w:val="00332DA5"/>
    <w:rsid w:val="00332DCE"/>
    <w:rsid w:val="00332DD2"/>
    <w:rsid w:val="00332E5F"/>
    <w:rsid w:val="00332F10"/>
    <w:rsid w:val="00332F69"/>
    <w:rsid w:val="00332FB6"/>
    <w:rsid w:val="00333001"/>
    <w:rsid w:val="00333067"/>
    <w:rsid w:val="003330E2"/>
    <w:rsid w:val="003330FC"/>
    <w:rsid w:val="003331D9"/>
    <w:rsid w:val="003332A6"/>
    <w:rsid w:val="00333580"/>
    <w:rsid w:val="003335D1"/>
    <w:rsid w:val="00333607"/>
    <w:rsid w:val="00333739"/>
    <w:rsid w:val="00333756"/>
    <w:rsid w:val="00333778"/>
    <w:rsid w:val="003337D9"/>
    <w:rsid w:val="003337F8"/>
    <w:rsid w:val="00333840"/>
    <w:rsid w:val="00333868"/>
    <w:rsid w:val="0033387E"/>
    <w:rsid w:val="003339B4"/>
    <w:rsid w:val="00333A13"/>
    <w:rsid w:val="00333A3B"/>
    <w:rsid w:val="00333AE3"/>
    <w:rsid w:val="00333BD9"/>
    <w:rsid w:val="00333BFD"/>
    <w:rsid w:val="00333C3A"/>
    <w:rsid w:val="00333CB6"/>
    <w:rsid w:val="00333CEF"/>
    <w:rsid w:val="00333D3F"/>
    <w:rsid w:val="00333D98"/>
    <w:rsid w:val="00333E71"/>
    <w:rsid w:val="00333F17"/>
    <w:rsid w:val="00334019"/>
    <w:rsid w:val="003340C3"/>
    <w:rsid w:val="003340DF"/>
    <w:rsid w:val="003340EC"/>
    <w:rsid w:val="0033413E"/>
    <w:rsid w:val="003341CD"/>
    <w:rsid w:val="00334214"/>
    <w:rsid w:val="00334244"/>
    <w:rsid w:val="00334280"/>
    <w:rsid w:val="0033429E"/>
    <w:rsid w:val="003342E2"/>
    <w:rsid w:val="00334341"/>
    <w:rsid w:val="00334366"/>
    <w:rsid w:val="00334434"/>
    <w:rsid w:val="003344FB"/>
    <w:rsid w:val="00334536"/>
    <w:rsid w:val="0033455F"/>
    <w:rsid w:val="00334619"/>
    <w:rsid w:val="0033465C"/>
    <w:rsid w:val="0033477F"/>
    <w:rsid w:val="0033499C"/>
    <w:rsid w:val="003349BE"/>
    <w:rsid w:val="00334A5C"/>
    <w:rsid w:val="00334AFB"/>
    <w:rsid w:val="00334BEA"/>
    <w:rsid w:val="00334C27"/>
    <w:rsid w:val="00334D7B"/>
    <w:rsid w:val="00334E26"/>
    <w:rsid w:val="00334FE0"/>
    <w:rsid w:val="00335061"/>
    <w:rsid w:val="003350A4"/>
    <w:rsid w:val="003350CF"/>
    <w:rsid w:val="0033519E"/>
    <w:rsid w:val="003351A5"/>
    <w:rsid w:val="00335201"/>
    <w:rsid w:val="00335246"/>
    <w:rsid w:val="00335349"/>
    <w:rsid w:val="00335361"/>
    <w:rsid w:val="00335421"/>
    <w:rsid w:val="0033547B"/>
    <w:rsid w:val="003354FE"/>
    <w:rsid w:val="00335681"/>
    <w:rsid w:val="003356FB"/>
    <w:rsid w:val="00335747"/>
    <w:rsid w:val="00335783"/>
    <w:rsid w:val="0033578D"/>
    <w:rsid w:val="00335859"/>
    <w:rsid w:val="0033586F"/>
    <w:rsid w:val="003358EA"/>
    <w:rsid w:val="00335911"/>
    <w:rsid w:val="0033593F"/>
    <w:rsid w:val="00335AE6"/>
    <w:rsid w:val="00335B10"/>
    <w:rsid w:val="00335B83"/>
    <w:rsid w:val="00335BCA"/>
    <w:rsid w:val="00335CBB"/>
    <w:rsid w:val="00335E33"/>
    <w:rsid w:val="00335E38"/>
    <w:rsid w:val="00335F32"/>
    <w:rsid w:val="00335F7D"/>
    <w:rsid w:val="00335FCF"/>
    <w:rsid w:val="003360D3"/>
    <w:rsid w:val="003362A6"/>
    <w:rsid w:val="0033634C"/>
    <w:rsid w:val="0033634E"/>
    <w:rsid w:val="003363DC"/>
    <w:rsid w:val="00336428"/>
    <w:rsid w:val="0033655C"/>
    <w:rsid w:val="003365C7"/>
    <w:rsid w:val="003365E5"/>
    <w:rsid w:val="0033660B"/>
    <w:rsid w:val="00336618"/>
    <w:rsid w:val="00336663"/>
    <w:rsid w:val="00336682"/>
    <w:rsid w:val="00336704"/>
    <w:rsid w:val="00336717"/>
    <w:rsid w:val="00336766"/>
    <w:rsid w:val="00336810"/>
    <w:rsid w:val="003368E6"/>
    <w:rsid w:val="003369BE"/>
    <w:rsid w:val="003369C9"/>
    <w:rsid w:val="00336A0D"/>
    <w:rsid w:val="00336AA5"/>
    <w:rsid w:val="00336B1A"/>
    <w:rsid w:val="00336B7E"/>
    <w:rsid w:val="00336B94"/>
    <w:rsid w:val="00336BBB"/>
    <w:rsid w:val="00336C97"/>
    <w:rsid w:val="00336CF7"/>
    <w:rsid w:val="00336DC3"/>
    <w:rsid w:val="00336E20"/>
    <w:rsid w:val="00336EB3"/>
    <w:rsid w:val="00336F84"/>
    <w:rsid w:val="00336FB0"/>
    <w:rsid w:val="00336FBF"/>
    <w:rsid w:val="003370F0"/>
    <w:rsid w:val="003371D6"/>
    <w:rsid w:val="00337200"/>
    <w:rsid w:val="003372DF"/>
    <w:rsid w:val="00337333"/>
    <w:rsid w:val="00337347"/>
    <w:rsid w:val="00337374"/>
    <w:rsid w:val="003373AC"/>
    <w:rsid w:val="003373E7"/>
    <w:rsid w:val="003373FC"/>
    <w:rsid w:val="0033743D"/>
    <w:rsid w:val="00337475"/>
    <w:rsid w:val="00337493"/>
    <w:rsid w:val="003374DF"/>
    <w:rsid w:val="003374FF"/>
    <w:rsid w:val="00337511"/>
    <w:rsid w:val="00337513"/>
    <w:rsid w:val="003376BC"/>
    <w:rsid w:val="003376DF"/>
    <w:rsid w:val="003377AD"/>
    <w:rsid w:val="003377BE"/>
    <w:rsid w:val="00337849"/>
    <w:rsid w:val="00337888"/>
    <w:rsid w:val="003378E6"/>
    <w:rsid w:val="00337A55"/>
    <w:rsid w:val="00337B14"/>
    <w:rsid w:val="00337B55"/>
    <w:rsid w:val="00337BAD"/>
    <w:rsid w:val="00337C6A"/>
    <w:rsid w:val="00337C6E"/>
    <w:rsid w:val="00337E08"/>
    <w:rsid w:val="00337F37"/>
    <w:rsid w:val="00337F75"/>
    <w:rsid w:val="00337F7E"/>
    <w:rsid w:val="0034016A"/>
    <w:rsid w:val="003401F0"/>
    <w:rsid w:val="003403B2"/>
    <w:rsid w:val="00340501"/>
    <w:rsid w:val="00340600"/>
    <w:rsid w:val="0034075A"/>
    <w:rsid w:val="00340775"/>
    <w:rsid w:val="003407DA"/>
    <w:rsid w:val="00340814"/>
    <w:rsid w:val="00340845"/>
    <w:rsid w:val="00340847"/>
    <w:rsid w:val="00340895"/>
    <w:rsid w:val="003408D0"/>
    <w:rsid w:val="003408D9"/>
    <w:rsid w:val="00340A11"/>
    <w:rsid w:val="00340A28"/>
    <w:rsid w:val="00340A86"/>
    <w:rsid w:val="00340AA5"/>
    <w:rsid w:val="00340CDF"/>
    <w:rsid w:val="00340D4F"/>
    <w:rsid w:val="00340DCD"/>
    <w:rsid w:val="00340E74"/>
    <w:rsid w:val="0034102C"/>
    <w:rsid w:val="0034108C"/>
    <w:rsid w:val="003410C5"/>
    <w:rsid w:val="003410EE"/>
    <w:rsid w:val="0034114A"/>
    <w:rsid w:val="003411FB"/>
    <w:rsid w:val="003412B9"/>
    <w:rsid w:val="003412F2"/>
    <w:rsid w:val="0034131A"/>
    <w:rsid w:val="003413E7"/>
    <w:rsid w:val="0034142C"/>
    <w:rsid w:val="00341565"/>
    <w:rsid w:val="0034156A"/>
    <w:rsid w:val="0034174C"/>
    <w:rsid w:val="00341759"/>
    <w:rsid w:val="00341797"/>
    <w:rsid w:val="003417CB"/>
    <w:rsid w:val="0034180B"/>
    <w:rsid w:val="00341850"/>
    <w:rsid w:val="003418CC"/>
    <w:rsid w:val="00341938"/>
    <w:rsid w:val="003419A5"/>
    <w:rsid w:val="003419BB"/>
    <w:rsid w:val="00341CE6"/>
    <w:rsid w:val="00341D95"/>
    <w:rsid w:val="00341E04"/>
    <w:rsid w:val="00341E34"/>
    <w:rsid w:val="00341E78"/>
    <w:rsid w:val="00341FD8"/>
    <w:rsid w:val="003420B3"/>
    <w:rsid w:val="00342149"/>
    <w:rsid w:val="00342177"/>
    <w:rsid w:val="00342224"/>
    <w:rsid w:val="003422BE"/>
    <w:rsid w:val="0034239C"/>
    <w:rsid w:val="00342517"/>
    <w:rsid w:val="00342653"/>
    <w:rsid w:val="00342799"/>
    <w:rsid w:val="0034281C"/>
    <w:rsid w:val="0034282D"/>
    <w:rsid w:val="00342906"/>
    <w:rsid w:val="003429A8"/>
    <w:rsid w:val="00342AD3"/>
    <w:rsid w:val="00342C32"/>
    <w:rsid w:val="00342C5D"/>
    <w:rsid w:val="00342C71"/>
    <w:rsid w:val="00342D46"/>
    <w:rsid w:val="00342E29"/>
    <w:rsid w:val="00342E40"/>
    <w:rsid w:val="00342F6F"/>
    <w:rsid w:val="00343034"/>
    <w:rsid w:val="0034308F"/>
    <w:rsid w:val="00343194"/>
    <w:rsid w:val="003432A9"/>
    <w:rsid w:val="00343324"/>
    <w:rsid w:val="003434AB"/>
    <w:rsid w:val="00343593"/>
    <w:rsid w:val="003435B1"/>
    <w:rsid w:val="003435C1"/>
    <w:rsid w:val="00343659"/>
    <w:rsid w:val="003436DC"/>
    <w:rsid w:val="003437B1"/>
    <w:rsid w:val="00343954"/>
    <w:rsid w:val="003439AE"/>
    <w:rsid w:val="003439E9"/>
    <w:rsid w:val="003439FD"/>
    <w:rsid w:val="00343ABE"/>
    <w:rsid w:val="00343B42"/>
    <w:rsid w:val="00343B66"/>
    <w:rsid w:val="00343C4E"/>
    <w:rsid w:val="00343D39"/>
    <w:rsid w:val="00343DF6"/>
    <w:rsid w:val="00343E55"/>
    <w:rsid w:val="00343E95"/>
    <w:rsid w:val="00343EB5"/>
    <w:rsid w:val="00343FA2"/>
    <w:rsid w:val="00343FC2"/>
    <w:rsid w:val="0034423B"/>
    <w:rsid w:val="00344277"/>
    <w:rsid w:val="00344281"/>
    <w:rsid w:val="003442C5"/>
    <w:rsid w:val="0034431E"/>
    <w:rsid w:val="003443CE"/>
    <w:rsid w:val="003444A5"/>
    <w:rsid w:val="00344554"/>
    <w:rsid w:val="0034479B"/>
    <w:rsid w:val="003447A3"/>
    <w:rsid w:val="003447F0"/>
    <w:rsid w:val="00344858"/>
    <w:rsid w:val="0034486F"/>
    <w:rsid w:val="00344998"/>
    <w:rsid w:val="00344A2D"/>
    <w:rsid w:val="00344BAF"/>
    <w:rsid w:val="00344DC0"/>
    <w:rsid w:val="00344E87"/>
    <w:rsid w:val="00344F15"/>
    <w:rsid w:val="00344F2E"/>
    <w:rsid w:val="00345007"/>
    <w:rsid w:val="0034526D"/>
    <w:rsid w:val="003452BD"/>
    <w:rsid w:val="003452E8"/>
    <w:rsid w:val="0034536E"/>
    <w:rsid w:val="00345427"/>
    <w:rsid w:val="00345435"/>
    <w:rsid w:val="00345453"/>
    <w:rsid w:val="0034550C"/>
    <w:rsid w:val="0034553B"/>
    <w:rsid w:val="0034556C"/>
    <w:rsid w:val="003455AC"/>
    <w:rsid w:val="003455EF"/>
    <w:rsid w:val="003456FB"/>
    <w:rsid w:val="00345723"/>
    <w:rsid w:val="0034573A"/>
    <w:rsid w:val="00345755"/>
    <w:rsid w:val="003457A3"/>
    <w:rsid w:val="003457F8"/>
    <w:rsid w:val="00345819"/>
    <w:rsid w:val="0034588C"/>
    <w:rsid w:val="003459FB"/>
    <w:rsid w:val="00345A66"/>
    <w:rsid w:val="00345AF2"/>
    <w:rsid w:val="00345C06"/>
    <w:rsid w:val="00345C2A"/>
    <w:rsid w:val="00345D37"/>
    <w:rsid w:val="00345D9C"/>
    <w:rsid w:val="00345DCB"/>
    <w:rsid w:val="00345DDD"/>
    <w:rsid w:val="00345E4E"/>
    <w:rsid w:val="00345E70"/>
    <w:rsid w:val="00345FF2"/>
    <w:rsid w:val="00346012"/>
    <w:rsid w:val="003460CA"/>
    <w:rsid w:val="003460D4"/>
    <w:rsid w:val="003460E2"/>
    <w:rsid w:val="003462F2"/>
    <w:rsid w:val="00346335"/>
    <w:rsid w:val="003463C4"/>
    <w:rsid w:val="003463CF"/>
    <w:rsid w:val="003463DE"/>
    <w:rsid w:val="003463FF"/>
    <w:rsid w:val="00346445"/>
    <w:rsid w:val="00346474"/>
    <w:rsid w:val="003464F8"/>
    <w:rsid w:val="0034654A"/>
    <w:rsid w:val="00346594"/>
    <w:rsid w:val="003465A6"/>
    <w:rsid w:val="003465B3"/>
    <w:rsid w:val="00346661"/>
    <w:rsid w:val="003466B9"/>
    <w:rsid w:val="003467BC"/>
    <w:rsid w:val="003467C6"/>
    <w:rsid w:val="0034685E"/>
    <w:rsid w:val="00346928"/>
    <w:rsid w:val="00346A24"/>
    <w:rsid w:val="00346A7E"/>
    <w:rsid w:val="00346B2A"/>
    <w:rsid w:val="00346C55"/>
    <w:rsid w:val="00346CC7"/>
    <w:rsid w:val="00346CD5"/>
    <w:rsid w:val="00346D0C"/>
    <w:rsid w:val="00346E35"/>
    <w:rsid w:val="00346E38"/>
    <w:rsid w:val="00346E7A"/>
    <w:rsid w:val="00346F55"/>
    <w:rsid w:val="00346F6A"/>
    <w:rsid w:val="00346F7B"/>
    <w:rsid w:val="00347021"/>
    <w:rsid w:val="003470B7"/>
    <w:rsid w:val="003470CD"/>
    <w:rsid w:val="0034715F"/>
    <w:rsid w:val="00347190"/>
    <w:rsid w:val="003471CA"/>
    <w:rsid w:val="0034730C"/>
    <w:rsid w:val="0034734D"/>
    <w:rsid w:val="0034736D"/>
    <w:rsid w:val="003473AF"/>
    <w:rsid w:val="003473B9"/>
    <w:rsid w:val="003474BC"/>
    <w:rsid w:val="0034756F"/>
    <w:rsid w:val="00347648"/>
    <w:rsid w:val="003476BC"/>
    <w:rsid w:val="003476E4"/>
    <w:rsid w:val="00347817"/>
    <w:rsid w:val="003478C2"/>
    <w:rsid w:val="003478FF"/>
    <w:rsid w:val="00347A13"/>
    <w:rsid w:val="00347A5D"/>
    <w:rsid w:val="00347AA1"/>
    <w:rsid w:val="00347B46"/>
    <w:rsid w:val="00347C29"/>
    <w:rsid w:val="00347D15"/>
    <w:rsid w:val="00347D32"/>
    <w:rsid w:val="00347D74"/>
    <w:rsid w:val="00347E48"/>
    <w:rsid w:val="00347E72"/>
    <w:rsid w:val="00350048"/>
    <w:rsid w:val="00350114"/>
    <w:rsid w:val="00350150"/>
    <w:rsid w:val="003501B1"/>
    <w:rsid w:val="003501D0"/>
    <w:rsid w:val="0035022A"/>
    <w:rsid w:val="003503A3"/>
    <w:rsid w:val="003503CF"/>
    <w:rsid w:val="0035041B"/>
    <w:rsid w:val="003504CE"/>
    <w:rsid w:val="003504D6"/>
    <w:rsid w:val="00350512"/>
    <w:rsid w:val="003505C7"/>
    <w:rsid w:val="00350665"/>
    <w:rsid w:val="0035067C"/>
    <w:rsid w:val="003506A6"/>
    <w:rsid w:val="00350723"/>
    <w:rsid w:val="0035072D"/>
    <w:rsid w:val="00350775"/>
    <w:rsid w:val="0035077D"/>
    <w:rsid w:val="003507E2"/>
    <w:rsid w:val="00350883"/>
    <w:rsid w:val="003508EA"/>
    <w:rsid w:val="0035094D"/>
    <w:rsid w:val="003509CD"/>
    <w:rsid w:val="003509F9"/>
    <w:rsid w:val="00350A6D"/>
    <w:rsid w:val="00350B5F"/>
    <w:rsid w:val="00350B89"/>
    <w:rsid w:val="00350BB2"/>
    <w:rsid w:val="00350C1E"/>
    <w:rsid w:val="00350C3A"/>
    <w:rsid w:val="00350CCD"/>
    <w:rsid w:val="00350D08"/>
    <w:rsid w:val="00350DD6"/>
    <w:rsid w:val="00350E36"/>
    <w:rsid w:val="00350ED7"/>
    <w:rsid w:val="00350F07"/>
    <w:rsid w:val="00350F9E"/>
    <w:rsid w:val="0035110C"/>
    <w:rsid w:val="003511A9"/>
    <w:rsid w:val="0035132C"/>
    <w:rsid w:val="003513A3"/>
    <w:rsid w:val="003513AD"/>
    <w:rsid w:val="003513B2"/>
    <w:rsid w:val="003514FB"/>
    <w:rsid w:val="0035159F"/>
    <w:rsid w:val="003515C5"/>
    <w:rsid w:val="003516AC"/>
    <w:rsid w:val="003516B8"/>
    <w:rsid w:val="00351703"/>
    <w:rsid w:val="00351705"/>
    <w:rsid w:val="00351856"/>
    <w:rsid w:val="003519E6"/>
    <w:rsid w:val="00351A44"/>
    <w:rsid w:val="00351A70"/>
    <w:rsid w:val="00351AC4"/>
    <w:rsid w:val="00351AD2"/>
    <w:rsid w:val="00351B4E"/>
    <w:rsid w:val="00351B81"/>
    <w:rsid w:val="00351BAD"/>
    <w:rsid w:val="00351BCE"/>
    <w:rsid w:val="00351BD8"/>
    <w:rsid w:val="00351C62"/>
    <w:rsid w:val="00351C80"/>
    <w:rsid w:val="00351D34"/>
    <w:rsid w:val="00352067"/>
    <w:rsid w:val="00352112"/>
    <w:rsid w:val="00352128"/>
    <w:rsid w:val="003521E2"/>
    <w:rsid w:val="003521E9"/>
    <w:rsid w:val="0035224B"/>
    <w:rsid w:val="003522B0"/>
    <w:rsid w:val="003523DA"/>
    <w:rsid w:val="003523ED"/>
    <w:rsid w:val="00352402"/>
    <w:rsid w:val="0035246F"/>
    <w:rsid w:val="003524C5"/>
    <w:rsid w:val="00352560"/>
    <w:rsid w:val="0035256F"/>
    <w:rsid w:val="00352599"/>
    <w:rsid w:val="003525D5"/>
    <w:rsid w:val="003527E9"/>
    <w:rsid w:val="00352982"/>
    <w:rsid w:val="003529DB"/>
    <w:rsid w:val="00352A18"/>
    <w:rsid w:val="00352AA3"/>
    <w:rsid w:val="00352B6A"/>
    <w:rsid w:val="00352B8F"/>
    <w:rsid w:val="00352C0C"/>
    <w:rsid w:val="00352D0F"/>
    <w:rsid w:val="00352D2D"/>
    <w:rsid w:val="00352E35"/>
    <w:rsid w:val="00352E39"/>
    <w:rsid w:val="00352E5F"/>
    <w:rsid w:val="00352F71"/>
    <w:rsid w:val="00352FDD"/>
    <w:rsid w:val="00352FF4"/>
    <w:rsid w:val="003530A1"/>
    <w:rsid w:val="003530CF"/>
    <w:rsid w:val="0035316B"/>
    <w:rsid w:val="00353187"/>
    <w:rsid w:val="003531A6"/>
    <w:rsid w:val="00353285"/>
    <w:rsid w:val="003532EC"/>
    <w:rsid w:val="0035330C"/>
    <w:rsid w:val="0035331F"/>
    <w:rsid w:val="00353398"/>
    <w:rsid w:val="003533D8"/>
    <w:rsid w:val="0035342F"/>
    <w:rsid w:val="00353439"/>
    <w:rsid w:val="00353496"/>
    <w:rsid w:val="0035353D"/>
    <w:rsid w:val="0035357C"/>
    <w:rsid w:val="00353585"/>
    <w:rsid w:val="003536CC"/>
    <w:rsid w:val="00353744"/>
    <w:rsid w:val="003537BA"/>
    <w:rsid w:val="003537E1"/>
    <w:rsid w:val="00353860"/>
    <w:rsid w:val="00353891"/>
    <w:rsid w:val="00353A60"/>
    <w:rsid w:val="00353A95"/>
    <w:rsid w:val="00353F1F"/>
    <w:rsid w:val="00353F62"/>
    <w:rsid w:val="00353F7D"/>
    <w:rsid w:val="00353F97"/>
    <w:rsid w:val="00354089"/>
    <w:rsid w:val="003540C3"/>
    <w:rsid w:val="00354108"/>
    <w:rsid w:val="003541F5"/>
    <w:rsid w:val="0035432A"/>
    <w:rsid w:val="00354375"/>
    <w:rsid w:val="003543A7"/>
    <w:rsid w:val="00354440"/>
    <w:rsid w:val="003544CD"/>
    <w:rsid w:val="003544EF"/>
    <w:rsid w:val="0035452B"/>
    <w:rsid w:val="00354565"/>
    <w:rsid w:val="003545DD"/>
    <w:rsid w:val="003546CB"/>
    <w:rsid w:val="0035473B"/>
    <w:rsid w:val="003547C1"/>
    <w:rsid w:val="003547CF"/>
    <w:rsid w:val="003547E0"/>
    <w:rsid w:val="00354853"/>
    <w:rsid w:val="00354860"/>
    <w:rsid w:val="00354903"/>
    <w:rsid w:val="00354A00"/>
    <w:rsid w:val="00354A4D"/>
    <w:rsid w:val="00354A7E"/>
    <w:rsid w:val="00354CBD"/>
    <w:rsid w:val="00354D21"/>
    <w:rsid w:val="00354E02"/>
    <w:rsid w:val="00354E51"/>
    <w:rsid w:val="00354E6B"/>
    <w:rsid w:val="00354EDD"/>
    <w:rsid w:val="00354F05"/>
    <w:rsid w:val="00354FB2"/>
    <w:rsid w:val="00354FDF"/>
    <w:rsid w:val="00355068"/>
    <w:rsid w:val="003550FB"/>
    <w:rsid w:val="0035522D"/>
    <w:rsid w:val="0035527C"/>
    <w:rsid w:val="003552AA"/>
    <w:rsid w:val="003552FF"/>
    <w:rsid w:val="00355375"/>
    <w:rsid w:val="0035558C"/>
    <w:rsid w:val="003555F7"/>
    <w:rsid w:val="00355629"/>
    <w:rsid w:val="00355687"/>
    <w:rsid w:val="003556BC"/>
    <w:rsid w:val="003556E5"/>
    <w:rsid w:val="00355733"/>
    <w:rsid w:val="003557C6"/>
    <w:rsid w:val="00355824"/>
    <w:rsid w:val="00355877"/>
    <w:rsid w:val="00355993"/>
    <w:rsid w:val="00355A8F"/>
    <w:rsid w:val="00355AC8"/>
    <w:rsid w:val="00355B38"/>
    <w:rsid w:val="00355B73"/>
    <w:rsid w:val="00355B97"/>
    <w:rsid w:val="00355CBE"/>
    <w:rsid w:val="00355D19"/>
    <w:rsid w:val="00355D20"/>
    <w:rsid w:val="00355D40"/>
    <w:rsid w:val="00355DC7"/>
    <w:rsid w:val="00355E5F"/>
    <w:rsid w:val="00355EC8"/>
    <w:rsid w:val="00355EF1"/>
    <w:rsid w:val="00355EF7"/>
    <w:rsid w:val="00355F69"/>
    <w:rsid w:val="00356067"/>
    <w:rsid w:val="00356071"/>
    <w:rsid w:val="00356096"/>
    <w:rsid w:val="00356217"/>
    <w:rsid w:val="00356286"/>
    <w:rsid w:val="00356343"/>
    <w:rsid w:val="003563AC"/>
    <w:rsid w:val="003563CB"/>
    <w:rsid w:val="00356416"/>
    <w:rsid w:val="0035647A"/>
    <w:rsid w:val="00356515"/>
    <w:rsid w:val="0035651B"/>
    <w:rsid w:val="00356566"/>
    <w:rsid w:val="0035657F"/>
    <w:rsid w:val="00356586"/>
    <w:rsid w:val="003565E4"/>
    <w:rsid w:val="00356691"/>
    <w:rsid w:val="003566A1"/>
    <w:rsid w:val="003566DA"/>
    <w:rsid w:val="0035674B"/>
    <w:rsid w:val="003567BF"/>
    <w:rsid w:val="003568AA"/>
    <w:rsid w:val="003568ED"/>
    <w:rsid w:val="003568EF"/>
    <w:rsid w:val="003569E7"/>
    <w:rsid w:val="003569ED"/>
    <w:rsid w:val="003569FD"/>
    <w:rsid w:val="00356ADA"/>
    <w:rsid w:val="00356AFD"/>
    <w:rsid w:val="00356BBC"/>
    <w:rsid w:val="00356C65"/>
    <w:rsid w:val="00356C94"/>
    <w:rsid w:val="00356DBD"/>
    <w:rsid w:val="00356DE3"/>
    <w:rsid w:val="00356E75"/>
    <w:rsid w:val="00357090"/>
    <w:rsid w:val="003570E1"/>
    <w:rsid w:val="003570FF"/>
    <w:rsid w:val="00357172"/>
    <w:rsid w:val="00357213"/>
    <w:rsid w:val="00357238"/>
    <w:rsid w:val="00357276"/>
    <w:rsid w:val="00357277"/>
    <w:rsid w:val="0035729A"/>
    <w:rsid w:val="003572A9"/>
    <w:rsid w:val="003572D5"/>
    <w:rsid w:val="0035733D"/>
    <w:rsid w:val="003573E2"/>
    <w:rsid w:val="00357470"/>
    <w:rsid w:val="003574B2"/>
    <w:rsid w:val="003574E6"/>
    <w:rsid w:val="00357681"/>
    <w:rsid w:val="00357695"/>
    <w:rsid w:val="003576FD"/>
    <w:rsid w:val="0035782E"/>
    <w:rsid w:val="00357866"/>
    <w:rsid w:val="0035794E"/>
    <w:rsid w:val="0035796A"/>
    <w:rsid w:val="003579D6"/>
    <w:rsid w:val="00357A09"/>
    <w:rsid w:val="00357B06"/>
    <w:rsid w:val="00357BB6"/>
    <w:rsid w:val="00357C1F"/>
    <w:rsid w:val="00357C33"/>
    <w:rsid w:val="00357DAA"/>
    <w:rsid w:val="00357E41"/>
    <w:rsid w:val="00357E53"/>
    <w:rsid w:val="00357FCE"/>
    <w:rsid w:val="0036003B"/>
    <w:rsid w:val="003600A0"/>
    <w:rsid w:val="00360183"/>
    <w:rsid w:val="003601B6"/>
    <w:rsid w:val="00360324"/>
    <w:rsid w:val="0036032A"/>
    <w:rsid w:val="00360451"/>
    <w:rsid w:val="0036046E"/>
    <w:rsid w:val="0036070A"/>
    <w:rsid w:val="0036070E"/>
    <w:rsid w:val="00360711"/>
    <w:rsid w:val="003607F8"/>
    <w:rsid w:val="00360840"/>
    <w:rsid w:val="00360918"/>
    <w:rsid w:val="0036099E"/>
    <w:rsid w:val="00360A29"/>
    <w:rsid w:val="00360A9A"/>
    <w:rsid w:val="00360BD5"/>
    <w:rsid w:val="00360CA4"/>
    <w:rsid w:val="00360D04"/>
    <w:rsid w:val="00360D25"/>
    <w:rsid w:val="00360E53"/>
    <w:rsid w:val="00360E78"/>
    <w:rsid w:val="00360ED0"/>
    <w:rsid w:val="00360EDA"/>
    <w:rsid w:val="00360F82"/>
    <w:rsid w:val="0036112E"/>
    <w:rsid w:val="0036117A"/>
    <w:rsid w:val="0036120B"/>
    <w:rsid w:val="003612C7"/>
    <w:rsid w:val="0036139A"/>
    <w:rsid w:val="003613AE"/>
    <w:rsid w:val="00361400"/>
    <w:rsid w:val="003615B9"/>
    <w:rsid w:val="00361611"/>
    <w:rsid w:val="003616A2"/>
    <w:rsid w:val="00361727"/>
    <w:rsid w:val="00361891"/>
    <w:rsid w:val="0036192F"/>
    <w:rsid w:val="00361939"/>
    <w:rsid w:val="00361AD9"/>
    <w:rsid w:val="00361B41"/>
    <w:rsid w:val="00361B4B"/>
    <w:rsid w:val="00361B93"/>
    <w:rsid w:val="00361BA0"/>
    <w:rsid w:val="00361CB0"/>
    <w:rsid w:val="00361D7F"/>
    <w:rsid w:val="00361D86"/>
    <w:rsid w:val="00361E07"/>
    <w:rsid w:val="00361F97"/>
    <w:rsid w:val="00362061"/>
    <w:rsid w:val="003620BE"/>
    <w:rsid w:val="00362107"/>
    <w:rsid w:val="0036211A"/>
    <w:rsid w:val="00362144"/>
    <w:rsid w:val="003621CF"/>
    <w:rsid w:val="0036226E"/>
    <w:rsid w:val="003622D5"/>
    <w:rsid w:val="00362300"/>
    <w:rsid w:val="0036236B"/>
    <w:rsid w:val="00362380"/>
    <w:rsid w:val="003624D0"/>
    <w:rsid w:val="0036255F"/>
    <w:rsid w:val="00362658"/>
    <w:rsid w:val="0036266A"/>
    <w:rsid w:val="0036272D"/>
    <w:rsid w:val="003627C5"/>
    <w:rsid w:val="003628F6"/>
    <w:rsid w:val="00362910"/>
    <w:rsid w:val="00362986"/>
    <w:rsid w:val="00362B49"/>
    <w:rsid w:val="00362BDC"/>
    <w:rsid w:val="00362CCF"/>
    <w:rsid w:val="00362CFA"/>
    <w:rsid w:val="00362DFD"/>
    <w:rsid w:val="00362ECC"/>
    <w:rsid w:val="00362FCA"/>
    <w:rsid w:val="00363062"/>
    <w:rsid w:val="00363110"/>
    <w:rsid w:val="0036317C"/>
    <w:rsid w:val="00363227"/>
    <w:rsid w:val="0036336F"/>
    <w:rsid w:val="00363375"/>
    <w:rsid w:val="003633B9"/>
    <w:rsid w:val="003634E9"/>
    <w:rsid w:val="00363562"/>
    <w:rsid w:val="0036357D"/>
    <w:rsid w:val="003637CD"/>
    <w:rsid w:val="00363801"/>
    <w:rsid w:val="0036382B"/>
    <w:rsid w:val="003638E2"/>
    <w:rsid w:val="0036390C"/>
    <w:rsid w:val="0036396E"/>
    <w:rsid w:val="003639E1"/>
    <w:rsid w:val="00363A2B"/>
    <w:rsid w:val="00363A36"/>
    <w:rsid w:val="00363B4D"/>
    <w:rsid w:val="00363C5A"/>
    <w:rsid w:val="00363E1D"/>
    <w:rsid w:val="00363E7B"/>
    <w:rsid w:val="00363EB3"/>
    <w:rsid w:val="00363EBC"/>
    <w:rsid w:val="00363F04"/>
    <w:rsid w:val="00363F8A"/>
    <w:rsid w:val="00363FF2"/>
    <w:rsid w:val="00364038"/>
    <w:rsid w:val="003640A6"/>
    <w:rsid w:val="0036425A"/>
    <w:rsid w:val="003642CC"/>
    <w:rsid w:val="003643A5"/>
    <w:rsid w:val="003643F5"/>
    <w:rsid w:val="003644CF"/>
    <w:rsid w:val="0036451B"/>
    <w:rsid w:val="00364543"/>
    <w:rsid w:val="00364583"/>
    <w:rsid w:val="003645A9"/>
    <w:rsid w:val="00364615"/>
    <w:rsid w:val="00364616"/>
    <w:rsid w:val="00364627"/>
    <w:rsid w:val="003646BB"/>
    <w:rsid w:val="00364801"/>
    <w:rsid w:val="003648C8"/>
    <w:rsid w:val="003648E5"/>
    <w:rsid w:val="00364979"/>
    <w:rsid w:val="0036498B"/>
    <w:rsid w:val="0036498D"/>
    <w:rsid w:val="003649A8"/>
    <w:rsid w:val="00364A42"/>
    <w:rsid w:val="00364A80"/>
    <w:rsid w:val="00364AA9"/>
    <w:rsid w:val="00364B5D"/>
    <w:rsid w:val="00364B64"/>
    <w:rsid w:val="00364C44"/>
    <w:rsid w:val="00364C8E"/>
    <w:rsid w:val="00364CDA"/>
    <w:rsid w:val="00364DC0"/>
    <w:rsid w:val="00364DD8"/>
    <w:rsid w:val="00364DDA"/>
    <w:rsid w:val="00364F14"/>
    <w:rsid w:val="00364F89"/>
    <w:rsid w:val="00364FAF"/>
    <w:rsid w:val="00364FF5"/>
    <w:rsid w:val="00365036"/>
    <w:rsid w:val="0036503A"/>
    <w:rsid w:val="00365049"/>
    <w:rsid w:val="00365176"/>
    <w:rsid w:val="003651C8"/>
    <w:rsid w:val="003652CB"/>
    <w:rsid w:val="0036531D"/>
    <w:rsid w:val="00365424"/>
    <w:rsid w:val="00365564"/>
    <w:rsid w:val="0036558D"/>
    <w:rsid w:val="003655B6"/>
    <w:rsid w:val="00365631"/>
    <w:rsid w:val="00365640"/>
    <w:rsid w:val="003656E2"/>
    <w:rsid w:val="00365806"/>
    <w:rsid w:val="00365831"/>
    <w:rsid w:val="003658A0"/>
    <w:rsid w:val="00365911"/>
    <w:rsid w:val="00365938"/>
    <w:rsid w:val="00365942"/>
    <w:rsid w:val="003659CD"/>
    <w:rsid w:val="00365A0D"/>
    <w:rsid w:val="00365A14"/>
    <w:rsid w:val="00365A33"/>
    <w:rsid w:val="00365ABC"/>
    <w:rsid w:val="00365B9A"/>
    <w:rsid w:val="00365B9B"/>
    <w:rsid w:val="00365CC4"/>
    <w:rsid w:val="00365D34"/>
    <w:rsid w:val="00365D36"/>
    <w:rsid w:val="00365D66"/>
    <w:rsid w:val="00365EE8"/>
    <w:rsid w:val="00365F0B"/>
    <w:rsid w:val="00365F34"/>
    <w:rsid w:val="00365F41"/>
    <w:rsid w:val="00365F66"/>
    <w:rsid w:val="00365F68"/>
    <w:rsid w:val="00366038"/>
    <w:rsid w:val="003660AD"/>
    <w:rsid w:val="00366145"/>
    <w:rsid w:val="0036615B"/>
    <w:rsid w:val="00366244"/>
    <w:rsid w:val="00366269"/>
    <w:rsid w:val="0036628B"/>
    <w:rsid w:val="00366359"/>
    <w:rsid w:val="0036638A"/>
    <w:rsid w:val="003663B5"/>
    <w:rsid w:val="003663D1"/>
    <w:rsid w:val="003663F1"/>
    <w:rsid w:val="003663F3"/>
    <w:rsid w:val="0036641A"/>
    <w:rsid w:val="00366460"/>
    <w:rsid w:val="003664AF"/>
    <w:rsid w:val="003664D0"/>
    <w:rsid w:val="003664FD"/>
    <w:rsid w:val="003665A7"/>
    <w:rsid w:val="00366699"/>
    <w:rsid w:val="003666DB"/>
    <w:rsid w:val="003666E2"/>
    <w:rsid w:val="0036670D"/>
    <w:rsid w:val="003667A6"/>
    <w:rsid w:val="0036686B"/>
    <w:rsid w:val="003668C0"/>
    <w:rsid w:val="003669DF"/>
    <w:rsid w:val="00366A5B"/>
    <w:rsid w:val="00366A93"/>
    <w:rsid w:val="00366BEB"/>
    <w:rsid w:val="00366C0B"/>
    <w:rsid w:val="00366C44"/>
    <w:rsid w:val="00366C9E"/>
    <w:rsid w:val="00366DCB"/>
    <w:rsid w:val="00366E7B"/>
    <w:rsid w:val="00366E99"/>
    <w:rsid w:val="00366FEF"/>
    <w:rsid w:val="0036700A"/>
    <w:rsid w:val="00367079"/>
    <w:rsid w:val="003670FE"/>
    <w:rsid w:val="0036713C"/>
    <w:rsid w:val="00367156"/>
    <w:rsid w:val="003671D1"/>
    <w:rsid w:val="003671D9"/>
    <w:rsid w:val="0036721F"/>
    <w:rsid w:val="00367350"/>
    <w:rsid w:val="003673DF"/>
    <w:rsid w:val="00367494"/>
    <w:rsid w:val="00367758"/>
    <w:rsid w:val="0036775D"/>
    <w:rsid w:val="00367813"/>
    <w:rsid w:val="00367AB6"/>
    <w:rsid w:val="00367B91"/>
    <w:rsid w:val="00367CAE"/>
    <w:rsid w:val="00367CB1"/>
    <w:rsid w:val="00367CD9"/>
    <w:rsid w:val="00367E04"/>
    <w:rsid w:val="00367E29"/>
    <w:rsid w:val="00367E56"/>
    <w:rsid w:val="00367EAA"/>
    <w:rsid w:val="00370074"/>
    <w:rsid w:val="003700A0"/>
    <w:rsid w:val="0037010B"/>
    <w:rsid w:val="00370150"/>
    <w:rsid w:val="0037021C"/>
    <w:rsid w:val="003702DB"/>
    <w:rsid w:val="00370386"/>
    <w:rsid w:val="003703D5"/>
    <w:rsid w:val="0037049F"/>
    <w:rsid w:val="00370595"/>
    <w:rsid w:val="003705B6"/>
    <w:rsid w:val="00370656"/>
    <w:rsid w:val="0037066E"/>
    <w:rsid w:val="0037069B"/>
    <w:rsid w:val="003708B2"/>
    <w:rsid w:val="00370917"/>
    <w:rsid w:val="0037093A"/>
    <w:rsid w:val="003709B8"/>
    <w:rsid w:val="00370A02"/>
    <w:rsid w:val="00370A33"/>
    <w:rsid w:val="00370A85"/>
    <w:rsid w:val="00370A96"/>
    <w:rsid w:val="00370C55"/>
    <w:rsid w:val="00370C7F"/>
    <w:rsid w:val="00370DBF"/>
    <w:rsid w:val="00370F40"/>
    <w:rsid w:val="00370F53"/>
    <w:rsid w:val="00370F64"/>
    <w:rsid w:val="00370F86"/>
    <w:rsid w:val="00370FE0"/>
    <w:rsid w:val="003710AA"/>
    <w:rsid w:val="0037123F"/>
    <w:rsid w:val="00371265"/>
    <w:rsid w:val="00371296"/>
    <w:rsid w:val="003712B7"/>
    <w:rsid w:val="003712E0"/>
    <w:rsid w:val="003713CA"/>
    <w:rsid w:val="00371452"/>
    <w:rsid w:val="00371485"/>
    <w:rsid w:val="003714A9"/>
    <w:rsid w:val="0037154B"/>
    <w:rsid w:val="00371575"/>
    <w:rsid w:val="00371577"/>
    <w:rsid w:val="0037158A"/>
    <w:rsid w:val="003715C0"/>
    <w:rsid w:val="003715DD"/>
    <w:rsid w:val="00371668"/>
    <w:rsid w:val="00371669"/>
    <w:rsid w:val="0037169D"/>
    <w:rsid w:val="003716CC"/>
    <w:rsid w:val="003716D2"/>
    <w:rsid w:val="00371731"/>
    <w:rsid w:val="0037179E"/>
    <w:rsid w:val="003717B7"/>
    <w:rsid w:val="003717DB"/>
    <w:rsid w:val="003717EB"/>
    <w:rsid w:val="0037187B"/>
    <w:rsid w:val="003719B7"/>
    <w:rsid w:val="003719D1"/>
    <w:rsid w:val="00371A2D"/>
    <w:rsid w:val="00371A36"/>
    <w:rsid w:val="00371A86"/>
    <w:rsid w:val="00371A95"/>
    <w:rsid w:val="00371ADB"/>
    <w:rsid w:val="00371B6E"/>
    <w:rsid w:val="00371BE9"/>
    <w:rsid w:val="00371C29"/>
    <w:rsid w:val="00371CC7"/>
    <w:rsid w:val="00371CD0"/>
    <w:rsid w:val="00371E22"/>
    <w:rsid w:val="00371F33"/>
    <w:rsid w:val="00371FCE"/>
    <w:rsid w:val="0037207B"/>
    <w:rsid w:val="00372156"/>
    <w:rsid w:val="003721CF"/>
    <w:rsid w:val="003721EA"/>
    <w:rsid w:val="00372206"/>
    <w:rsid w:val="003722E6"/>
    <w:rsid w:val="00372474"/>
    <w:rsid w:val="00372477"/>
    <w:rsid w:val="0037247F"/>
    <w:rsid w:val="003724CA"/>
    <w:rsid w:val="00372518"/>
    <w:rsid w:val="003725A9"/>
    <w:rsid w:val="003725C4"/>
    <w:rsid w:val="00372609"/>
    <w:rsid w:val="003726AD"/>
    <w:rsid w:val="003726F0"/>
    <w:rsid w:val="0037270A"/>
    <w:rsid w:val="003727A9"/>
    <w:rsid w:val="003729D4"/>
    <w:rsid w:val="003729E7"/>
    <w:rsid w:val="00372C1E"/>
    <w:rsid w:val="00372C25"/>
    <w:rsid w:val="00372C59"/>
    <w:rsid w:val="00372C90"/>
    <w:rsid w:val="00372CB3"/>
    <w:rsid w:val="00372EB4"/>
    <w:rsid w:val="00372F0F"/>
    <w:rsid w:val="00372FE9"/>
    <w:rsid w:val="00373044"/>
    <w:rsid w:val="00373106"/>
    <w:rsid w:val="0037318E"/>
    <w:rsid w:val="00373192"/>
    <w:rsid w:val="003731AD"/>
    <w:rsid w:val="003731E1"/>
    <w:rsid w:val="003731F1"/>
    <w:rsid w:val="003732BC"/>
    <w:rsid w:val="003732E0"/>
    <w:rsid w:val="00373325"/>
    <w:rsid w:val="003733AE"/>
    <w:rsid w:val="003733F9"/>
    <w:rsid w:val="00373412"/>
    <w:rsid w:val="00373426"/>
    <w:rsid w:val="00373458"/>
    <w:rsid w:val="003734B3"/>
    <w:rsid w:val="003734BF"/>
    <w:rsid w:val="0037358A"/>
    <w:rsid w:val="0037358E"/>
    <w:rsid w:val="003735AA"/>
    <w:rsid w:val="0037360D"/>
    <w:rsid w:val="00373676"/>
    <w:rsid w:val="0037368A"/>
    <w:rsid w:val="003736D1"/>
    <w:rsid w:val="003736FB"/>
    <w:rsid w:val="0037371A"/>
    <w:rsid w:val="00373736"/>
    <w:rsid w:val="0037379E"/>
    <w:rsid w:val="003737CD"/>
    <w:rsid w:val="003739AB"/>
    <w:rsid w:val="003739B0"/>
    <w:rsid w:val="00373AC2"/>
    <w:rsid w:val="00373AC8"/>
    <w:rsid w:val="00373B20"/>
    <w:rsid w:val="00373B38"/>
    <w:rsid w:val="00373B8A"/>
    <w:rsid w:val="00373C17"/>
    <w:rsid w:val="00373C94"/>
    <w:rsid w:val="00373D29"/>
    <w:rsid w:val="00373D60"/>
    <w:rsid w:val="00373DE4"/>
    <w:rsid w:val="00373E1C"/>
    <w:rsid w:val="00373E36"/>
    <w:rsid w:val="00373E59"/>
    <w:rsid w:val="00373ED7"/>
    <w:rsid w:val="00373F73"/>
    <w:rsid w:val="00373FEF"/>
    <w:rsid w:val="003740D4"/>
    <w:rsid w:val="00374100"/>
    <w:rsid w:val="0037411D"/>
    <w:rsid w:val="00374134"/>
    <w:rsid w:val="0037413E"/>
    <w:rsid w:val="003741D6"/>
    <w:rsid w:val="00374352"/>
    <w:rsid w:val="003743BC"/>
    <w:rsid w:val="00374418"/>
    <w:rsid w:val="00374437"/>
    <w:rsid w:val="0037458B"/>
    <w:rsid w:val="003745DE"/>
    <w:rsid w:val="00374868"/>
    <w:rsid w:val="003748B5"/>
    <w:rsid w:val="003748C6"/>
    <w:rsid w:val="0037490F"/>
    <w:rsid w:val="00374966"/>
    <w:rsid w:val="003749AC"/>
    <w:rsid w:val="003749B3"/>
    <w:rsid w:val="00374A0A"/>
    <w:rsid w:val="00374AD2"/>
    <w:rsid w:val="00374B80"/>
    <w:rsid w:val="00374BF8"/>
    <w:rsid w:val="00374C9B"/>
    <w:rsid w:val="00374CA3"/>
    <w:rsid w:val="00374CB5"/>
    <w:rsid w:val="00374DA1"/>
    <w:rsid w:val="00374DCA"/>
    <w:rsid w:val="00374E4A"/>
    <w:rsid w:val="00374E51"/>
    <w:rsid w:val="00374FE8"/>
    <w:rsid w:val="0037504A"/>
    <w:rsid w:val="00375150"/>
    <w:rsid w:val="00375159"/>
    <w:rsid w:val="00375202"/>
    <w:rsid w:val="00375235"/>
    <w:rsid w:val="003752D1"/>
    <w:rsid w:val="0037532A"/>
    <w:rsid w:val="00375474"/>
    <w:rsid w:val="00375503"/>
    <w:rsid w:val="0037552C"/>
    <w:rsid w:val="003756EF"/>
    <w:rsid w:val="003756FE"/>
    <w:rsid w:val="0037575C"/>
    <w:rsid w:val="00375801"/>
    <w:rsid w:val="00375829"/>
    <w:rsid w:val="0037589C"/>
    <w:rsid w:val="003759B3"/>
    <w:rsid w:val="00375A32"/>
    <w:rsid w:val="00375A4A"/>
    <w:rsid w:val="00375A4D"/>
    <w:rsid w:val="00375A66"/>
    <w:rsid w:val="00375B46"/>
    <w:rsid w:val="00375B6C"/>
    <w:rsid w:val="00375B9E"/>
    <w:rsid w:val="00375BAF"/>
    <w:rsid w:val="00375BCF"/>
    <w:rsid w:val="00375BEE"/>
    <w:rsid w:val="00375C13"/>
    <w:rsid w:val="00375CB8"/>
    <w:rsid w:val="00375D3B"/>
    <w:rsid w:val="00375D46"/>
    <w:rsid w:val="00375D7A"/>
    <w:rsid w:val="00375DD3"/>
    <w:rsid w:val="00375DFE"/>
    <w:rsid w:val="00375E5D"/>
    <w:rsid w:val="00375EA5"/>
    <w:rsid w:val="00375FE6"/>
    <w:rsid w:val="0037604A"/>
    <w:rsid w:val="0037612D"/>
    <w:rsid w:val="0037614D"/>
    <w:rsid w:val="0037618C"/>
    <w:rsid w:val="00376232"/>
    <w:rsid w:val="0037636B"/>
    <w:rsid w:val="00376484"/>
    <w:rsid w:val="0037648F"/>
    <w:rsid w:val="003764BB"/>
    <w:rsid w:val="0037656C"/>
    <w:rsid w:val="00376743"/>
    <w:rsid w:val="003767E6"/>
    <w:rsid w:val="0037686C"/>
    <w:rsid w:val="00376923"/>
    <w:rsid w:val="003769D2"/>
    <w:rsid w:val="00376A6E"/>
    <w:rsid w:val="00376A77"/>
    <w:rsid w:val="00376A84"/>
    <w:rsid w:val="00376AD5"/>
    <w:rsid w:val="00376AF3"/>
    <w:rsid w:val="00376AF4"/>
    <w:rsid w:val="00376AFF"/>
    <w:rsid w:val="00376B00"/>
    <w:rsid w:val="00376B54"/>
    <w:rsid w:val="00376C3F"/>
    <w:rsid w:val="00376C98"/>
    <w:rsid w:val="00376D22"/>
    <w:rsid w:val="00376DEF"/>
    <w:rsid w:val="00376E16"/>
    <w:rsid w:val="00376E81"/>
    <w:rsid w:val="00376E84"/>
    <w:rsid w:val="00376F1B"/>
    <w:rsid w:val="00376F1D"/>
    <w:rsid w:val="00376FBA"/>
    <w:rsid w:val="00376FD5"/>
    <w:rsid w:val="00376FD8"/>
    <w:rsid w:val="0037705B"/>
    <w:rsid w:val="0037707D"/>
    <w:rsid w:val="003770D4"/>
    <w:rsid w:val="00377121"/>
    <w:rsid w:val="0037722A"/>
    <w:rsid w:val="00377273"/>
    <w:rsid w:val="003772A0"/>
    <w:rsid w:val="00377333"/>
    <w:rsid w:val="003773A4"/>
    <w:rsid w:val="003773AF"/>
    <w:rsid w:val="0037742D"/>
    <w:rsid w:val="0037743A"/>
    <w:rsid w:val="003774CA"/>
    <w:rsid w:val="00377550"/>
    <w:rsid w:val="0037770D"/>
    <w:rsid w:val="0037776E"/>
    <w:rsid w:val="003777A2"/>
    <w:rsid w:val="003777FA"/>
    <w:rsid w:val="0037794D"/>
    <w:rsid w:val="003779C2"/>
    <w:rsid w:val="003779E5"/>
    <w:rsid w:val="00377A3B"/>
    <w:rsid w:val="00377A42"/>
    <w:rsid w:val="00377A63"/>
    <w:rsid w:val="00377ADA"/>
    <w:rsid w:val="00377B1C"/>
    <w:rsid w:val="00377B97"/>
    <w:rsid w:val="00377BDD"/>
    <w:rsid w:val="00377BFC"/>
    <w:rsid w:val="00377C3D"/>
    <w:rsid w:val="00377C80"/>
    <w:rsid w:val="00377CCF"/>
    <w:rsid w:val="00377D35"/>
    <w:rsid w:val="00377D38"/>
    <w:rsid w:val="00377EF5"/>
    <w:rsid w:val="00377FBF"/>
    <w:rsid w:val="00380059"/>
    <w:rsid w:val="003800A8"/>
    <w:rsid w:val="003800AA"/>
    <w:rsid w:val="003800B3"/>
    <w:rsid w:val="003800B5"/>
    <w:rsid w:val="003801A8"/>
    <w:rsid w:val="003801DD"/>
    <w:rsid w:val="003801E9"/>
    <w:rsid w:val="00380232"/>
    <w:rsid w:val="003804A9"/>
    <w:rsid w:val="003804B7"/>
    <w:rsid w:val="00380576"/>
    <w:rsid w:val="003805BB"/>
    <w:rsid w:val="003805E1"/>
    <w:rsid w:val="00380774"/>
    <w:rsid w:val="003807D8"/>
    <w:rsid w:val="003807DD"/>
    <w:rsid w:val="0038083D"/>
    <w:rsid w:val="003808B6"/>
    <w:rsid w:val="00380957"/>
    <w:rsid w:val="003809A1"/>
    <w:rsid w:val="003809B4"/>
    <w:rsid w:val="00380A02"/>
    <w:rsid w:val="00380A09"/>
    <w:rsid w:val="00380A5C"/>
    <w:rsid w:val="00380B23"/>
    <w:rsid w:val="00380B24"/>
    <w:rsid w:val="00380C33"/>
    <w:rsid w:val="00380D79"/>
    <w:rsid w:val="00380E7B"/>
    <w:rsid w:val="00380EBB"/>
    <w:rsid w:val="003810E3"/>
    <w:rsid w:val="0038111F"/>
    <w:rsid w:val="0038114B"/>
    <w:rsid w:val="0038124C"/>
    <w:rsid w:val="00381284"/>
    <w:rsid w:val="0038133C"/>
    <w:rsid w:val="0038134B"/>
    <w:rsid w:val="003813F6"/>
    <w:rsid w:val="0038141F"/>
    <w:rsid w:val="00381481"/>
    <w:rsid w:val="00381600"/>
    <w:rsid w:val="00381694"/>
    <w:rsid w:val="00381730"/>
    <w:rsid w:val="003817C4"/>
    <w:rsid w:val="00381890"/>
    <w:rsid w:val="003819CA"/>
    <w:rsid w:val="00381AA3"/>
    <w:rsid w:val="00381AF0"/>
    <w:rsid w:val="00381B2D"/>
    <w:rsid w:val="00381B5E"/>
    <w:rsid w:val="00381B5F"/>
    <w:rsid w:val="00381C5C"/>
    <w:rsid w:val="00381CA7"/>
    <w:rsid w:val="00381D15"/>
    <w:rsid w:val="00381D2D"/>
    <w:rsid w:val="00381D9D"/>
    <w:rsid w:val="00381E74"/>
    <w:rsid w:val="00381F5C"/>
    <w:rsid w:val="00382046"/>
    <w:rsid w:val="0038207B"/>
    <w:rsid w:val="00382111"/>
    <w:rsid w:val="003821EC"/>
    <w:rsid w:val="003822BE"/>
    <w:rsid w:val="003822D6"/>
    <w:rsid w:val="00382438"/>
    <w:rsid w:val="00382442"/>
    <w:rsid w:val="003824B2"/>
    <w:rsid w:val="003825CC"/>
    <w:rsid w:val="003826A9"/>
    <w:rsid w:val="0038270D"/>
    <w:rsid w:val="00382784"/>
    <w:rsid w:val="003827F2"/>
    <w:rsid w:val="003827F7"/>
    <w:rsid w:val="00382804"/>
    <w:rsid w:val="00382924"/>
    <w:rsid w:val="00382A7E"/>
    <w:rsid w:val="00382B94"/>
    <w:rsid w:val="00382BD1"/>
    <w:rsid w:val="00382DA9"/>
    <w:rsid w:val="00382DAD"/>
    <w:rsid w:val="00382E47"/>
    <w:rsid w:val="00382ECC"/>
    <w:rsid w:val="00383083"/>
    <w:rsid w:val="003831E2"/>
    <w:rsid w:val="003831E8"/>
    <w:rsid w:val="003831EB"/>
    <w:rsid w:val="00383260"/>
    <w:rsid w:val="003832B5"/>
    <w:rsid w:val="003832C7"/>
    <w:rsid w:val="003832E2"/>
    <w:rsid w:val="00383346"/>
    <w:rsid w:val="003833A4"/>
    <w:rsid w:val="00383469"/>
    <w:rsid w:val="003834E3"/>
    <w:rsid w:val="00383552"/>
    <w:rsid w:val="00383656"/>
    <w:rsid w:val="00383712"/>
    <w:rsid w:val="0038391E"/>
    <w:rsid w:val="003839BD"/>
    <w:rsid w:val="00383A92"/>
    <w:rsid w:val="00383B3E"/>
    <w:rsid w:val="00383B59"/>
    <w:rsid w:val="00383DC3"/>
    <w:rsid w:val="00383E3F"/>
    <w:rsid w:val="00383EB2"/>
    <w:rsid w:val="0038407C"/>
    <w:rsid w:val="00384170"/>
    <w:rsid w:val="00384250"/>
    <w:rsid w:val="00384443"/>
    <w:rsid w:val="00384477"/>
    <w:rsid w:val="003844A4"/>
    <w:rsid w:val="00384586"/>
    <w:rsid w:val="0038458B"/>
    <w:rsid w:val="00384603"/>
    <w:rsid w:val="00384647"/>
    <w:rsid w:val="00384685"/>
    <w:rsid w:val="00384774"/>
    <w:rsid w:val="003847B3"/>
    <w:rsid w:val="003847D2"/>
    <w:rsid w:val="00384812"/>
    <w:rsid w:val="003848DC"/>
    <w:rsid w:val="00384AE0"/>
    <w:rsid w:val="00384AEF"/>
    <w:rsid w:val="00384B71"/>
    <w:rsid w:val="00384C45"/>
    <w:rsid w:val="00384CC5"/>
    <w:rsid w:val="00384CDB"/>
    <w:rsid w:val="00384D10"/>
    <w:rsid w:val="00384D77"/>
    <w:rsid w:val="00384D81"/>
    <w:rsid w:val="00384DC7"/>
    <w:rsid w:val="00384E04"/>
    <w:rsid w:val="00384E72"/>
    <w:rsid w:val="00384EB0"/>
    <w:rsid w:val="00384ECC"/>
    <w:rsid w:val="00384FAA"/>
    <w:rsid w:val="0038509D"/>
    <w:rsid w:val="003852F1"/>
    <w:rsid w:val="00385343"/>
    <w:rsid w:val="003853B9"/>
    <w:rsid w:val="00385606"/>
    <w:rsid w:val="0038564A"/>
    <w:rsid w:val="00385719"/>
    <w:rsid w:val="00385720"/>
    <w:rsid w:val="003858CB"/>
    <w:rsid w:val="00385971"/>
    <w:rsid w:val="00385972"/>
    <w:rsid w:val="00385A9E"/>
    <w:rsid w:val="00385BE8"/>
    <w:rsid w:val="00385BFB"/>
    <w:rsid w:val="00385C34"/>
    <w:rsid w:val="00385D46"/>
    <w:rsid w:val="00385EA0"/>
    <w:rsid w:val="00386109"/>
    <w:rsid w:val="00386203"/>
    <w:rsid w:val="00386309"/>
    <w:rsid w:val="0038635F"/>
    <w:rsid w:val="0038639C"/>
    <w:rsid w:val="003863C1"/>
    <w:rsid w:val="003863C4"/>
    <w:rsid w:val="0038643A"/>
    <w:rsid w:val="00386480"/>
    <w:rsid w:val="003864C4"/>
    <w:rsid w:val="00386562"/>
    <w:rsid w:val="00386628"/>
    <w:rsid w:val="00386775"/>
    <w:rsid w:val="003867C1"/>
    <w:rsid w:val="003868A2"/>
    <w:rsid w:val="0038693B"/>
    <w:rsid w:val="00386997"/>
    <w:rsid w:val="003869F3"/>
    <w:rsid w:val="00386A13"/>
    <w:rsid w:val="00386A16"/>
    <w:rsid w:val="00386AAE"/>
    <w:rsid w:val="00386B02"/>
    <w:rsid w:val="00386B6D"/>
    <w:rsid w:val="00386B8E"/>
    <w:rsid w:val="00386BDB"/>
    <w:rsid w:val="00386D5D"/>
    <w:rsid w:val="00386D79"/>
    <w:rsid w:val="00386DB1"/>
    <w:rsid w:val="00386DBE"/>
    <w:rsid w:val="00386E2F"/>
    <w:rsid w:val="00386E53"/>
    <w:rsid w:val="00386EBE"/>
    <w:rsid w:val="00386F62"/>
    <w:rsid w:val="003870BE"/>
    <w:rsid w:val="003870CB"/>
    <w:rsid w:val="00387185"/>
    <w:rsid w:val="0038722B"/>
    <w:rsid w:val="00387346"/>
    <w:rsid w:val="0038744D"/>
    <w:rsid w:val="0038746B"/>
    <w:rsid w:val="00387478"/>
    <w:rsid w:val="00387556"/>
    <w:rsid w:val="00387590"/>
    <w:rsid w:val="00387677"/>
    <w:rsid w:val="0038767F"/>
    <w:rsid w:val="003877D9"/>
    <w:rsid w:val="003877E7"/>
    <w:rsid w:val="00387871"/>
    <w:rsid w:val="00387908"/>
    <w:rsid w:val="00387946"/>
    <w:rsid w:val="0038798D"/>
    <w:rsid w:val="00387A8C"/>
    <w:rsid w:val="00387B9C"/>
    <w:rsid w:val="00387C62"/>
    <w:rsid w:val="00387C85"/>
    <w:rsid w:val="00387FAA"/>
    <w:rsid w:val="0039000C"/>
    <w:rsid w:val="0039005E"/>
    <w:rsid w:val="003900B1"/>
    <w:rsid w:val="00390163"/>
    <w:rsid w:val="003901E6"/>
    <w:rsid w:val="00390250"/>
    <w:rsid w:val="00390267"/>
    <w:rsid w:val="0039038D"/>
    <w:rsid w:val="003903B8"/>
    <w:rsid w:val="003903D7"/>
    <w:rsid w:val="003903ED"/>
    <w:rsid w:val="003904B0"/>
    <w:rsid w:val="00390607"/>
    <w:rsid w:val="0039074D"/>
    <w:rsid w:val="00390765"/>
    <w:rsid w:val="003907BA"/>
    <w:rsid w:val="003907E1"/>
    <w:rsid w:val="00390852"/>
    <w:rsid w:val="00390885"/>
    <w:rsid w:val="003908B5"/>
    <w:rsid w:val="00390BF3"/>
    <w:rsid w:val="00390C15"/>
    <w:rsid w:val="00390C2E"/>
    <w:rsid w:val="00390C86"/>
    <w:rsid w:val="00390D7A"/>
    <w:rsid w:val="00390E00"/>
    <w:rsid w:val="00390E18"/>
    <w:rsid w:val="00390EC7"/>
    <w:rsid w:val="00390F27"/>
    <w:rsid w:val="00390F48"/>
    <w:rsid w:val="00390F65"/>
    <w:rsid w:val="00391012"/>
    <w:rsid w:val="00391153"/>
    <w:rsid w:val="003911AC"/>
    <w:rsid w:val="003911E6"/>
    <w:rsid w:val="003912D8"/>
    <w:rsid w:val="0039133D"/>
    <w:rsid w:val="0039134D"/>
    <w:rsid w:val="0039135B"/>
    <w:rsid w:val="00391380"/>
    <w:rsid w:val="003914A6"/>
    <w:rsid w:val="00391540"/>
    <w:rsid w:val="00391566"/>
    <w:rsid w:val="003915CC"/>
    <w:rsid w:val="00391602"/>
    <w:rsid w:val="00391614"/>
    <w:rsid w:val="003916C9"/>
    <w:rsid w:val="003916F8"/>
    <w:rsid w:val="00391744"/>
    <w:rsid w:val="00391766"/>
    <w:rsid w:val="0039179C"/>
    <w:rsid w:val="003917B6"/>
    <w:rsid w:val="003917DF"/>
    <w:rsid w:val="0039181B"/>
    <w:rsid w:val="0039183B"/>
    <w:rsid w:val="00391897"/>
    <w:rsid w:val="003918AB"/>
    <w:rsid w:val="003918CA"/>
    <w:rsid w:val="00391928"/>
    <w:rsid w:val="00391962"/>
    <w:rsid w:val="00391981"/>
    <w:rsid w:val="00391AB0"/>
    <w:rsid w:val="00391CE3"/>
    <w:rsid w:val="00391CEF"/>
    <w:rsid w:val="00391D13"/>
    <w:rsid w:val="00391D7E"/>
    <w:rsid w:val="00391DC7"/>
    <w:rsid w:val="00391E3B"/>
    <w:rsid w:val="00391F08"/>
    <w:rsid w:val="00391F62"/>
    <w:rsid w:val="00391F6A"/>
    <w:rsid w:val="00391FCE"/>
    <w:rsid w:val="003921F9"/>
    <w:rsid w:val="0039224D"/>
    <w:rsid w:val="0039225E"/>
    <w:rsid w:val="0039233C"/>
    <w:rsid w:val="0039243C"/>
    <w:rsid w:val="003925B2"/>
    <w:rsid w:val="00392646"/>
    <w:rsid w:val="0039264A"/>
    <w:rsid w:val="003926E3"/>
    <w:rsid w:val="00392734"/>
    <w:rsid w:val="00392759"/>
    <w:rsid w:val="003927F7"/>
    <w:rsid w:val="00392812"/>
    <w:rsid w:val="00392854"/>
    <w:rsid w:val="00392912"/>
    <w:rsid w:val="00392962"/>
    <w:rsid w:val="0039298E"/>
    <w:rsid w:val="003929E8"/>
    <w:rsid w:val="00392A9F"/>
    <w:rsid w:val="00392AD6"/>
    <w:rsid w:val="00392B40"/>
    <w:rsid w:val="00392B48"/>
    <w:rsid w:val="00392B6A"/>
    <w:rsid w:val="00392B96"/>
    <w:rsid w:val="00392BF1"/>
    <w:rsid w:val="00392CB1"/>
    <w:rsid w:val="00392E0B"/>
    <w:rsid w:val="00392E0C"/>
    <w:rsid w:val="00392E10"/>
    <w:rsid w:val="00392E6F"/>
    <w:rsid w:val="00392E87"/>
    <w:rsid w:val="00392FE5"/>
    <w:rsid w:val="0039302A"/>
    <w:rsid w:val="00393032"/>
    <w:rsid w:val="00393087"/>
    <w:rsid w:val="003931D0"/>
    <w:rsid w:val="0039320B"/>
    <w:rsid w:val="003932BD"/>
    <w:rsid w:val="003933D7"/>
    <w:rsid w:val="0039344F"/>
    <w:rsid w:val="0039347D"/>
    <w:rsid w:val="00393579"/>
    <w:rsid w:val="00393589"/>
    <w:rsid w:val="003935A5"/>
    <w:rsid w:val="003935CD"/>
    <w:rsid w:val="00393607"/>
    <w:rsid w:val="00393664"/>
    <w:rsid w:val="00393711"/>
    <w:rsid w:val="003937DF"/>
    <w:rsid w:val="0039387B"/>
    <w:rsid w:val="00393893"/>
    <w:rsid w:val="0039393C"/>
    <w:rsid w:val="003939F9"/>
    <w:rsid w:val="00393A8A"/>
    <w:rsid w:val="00393AA5"/>
    <w:rsid w:val="00393AF9"/>
    <w:rsid w:val="00393BE9"/>
    <w:rsid w:val="00393BFC"/>
    <w:rsid w:val="00393C3E"/>
    <w:rsid w:val="00393CCB"/>
    <w:rsid w:val="00393D36"/>
    <w:rsid w:val="00393E7D"/>
    <w:rsid w:val="00393FA8"/>
    <w:rsid w:val="00394200"/>
    <w:rsid w:val="0039428B"/>
    <w:rsid w:val="0039442D"/>
    <w:rsid w:val="003944C0"/>
    <w:rsid w:val="003944F1"/>
    <w:rsid w:val="00394584"/>
    <w:rsid w:val="003945AF"/>
    <w:rsid w:val="003945E1"/>
    <w:rsid w:val="00394633"/>
    <w:rsid w:val="0039471B"/>
    <w:rsid w:val="0039473E"/>
    <w:rsid w:val="003947B8"/>
    <w:rsid w:val="0039486C"/>
    <w:rsid w:val="003949A6"/>
    <w:rsid w:val="00394A8B"/>
    <w:rsid w:val="00394A9F"/>
    <w:rsid w:val="00394AFA"/>
    <w:rsid w:val="00394AFF"/>
    <w:rsid w:val="00394B0B"/>
    <w:rsid w:val="00394B3C"/>
    <w:rsid w:val="00394B63"/>
    <w:rsid w:val="00394B9C"/>
    <w:rsid w:val="00394BBA"/>
    <w:rsid w:val="00394BFD"/>
    <w:rsid w:val="00394C1B"/>
    <w:rsid w:val="00394C40"/>
    <w:rsid w:val="00394DC6"/>
    <w:rsid w:val="00394EF0"/>
    <w:rsid w:val="00394F4E"/>
    <w:rsid w:val="00394FA2"/>
    <w:rsid w:val="0039500C"/>
    <w:rsid w:val="00395017"/>
    <w:rsid w:val="00395023"/>
    <w:rsid w:val="00395037"/>
    <w:rsid w:val="003950F2"/>
    <w:rsid w:val="003950F5"/>
    <w:rsid w:val="0039512B"/>
    <w:rsid w:val="00395167"/>
    <w:rsid w:val="00395282"/>
    <w:rsid w:val="00395288"/>
    <w:rsid w:val="003952A7"/>
    <w:rsid w:val="003952A9"/>
    <w:rsid w:val="003952D5"/>
    <w:rsid w:val="00395303"/>
    <w:rsid w:val="00395413"/>
    <w:rsid w:val="003954CF"/>
    <w:rsid w:val="00395542"/>
    <w:rsid w:val="00395671"/>
    <w:rsid w:val="003956D6"/>
    <w:rsid w:val="003956F9"/>
    <w:rsid w:val="0039577F"/>
    <w:rsid w:val="003957AE"/>
    <w:rsid w:val="003957DD"/>
    <w:rsid w:val="00395836"/>
    <w:rsid w:val="00395876"/>
    <w:rsid w:val="003958A7"/>
    <w:rsid w:val="00395925"/>
    <w:rsid w:val="0039593C"/>
    <w:rsid w:val="003959D7"/>
    <w:rsid w:val="00395A63"/>
    <w:rsid w:val="00395B25"/>
    <w:rsid w:val="00395B3F"/>
    <w:rsid w:val="00395C06"/>
    <w:rsid w:val="00395CE9"/>
    <w:rsid w:val="00395D67"/>
    <w:rsid w:val="00395E18"/>
    <w:rsid w:val="00395F7F"/>
    <w:rsid w:val="00395FE7"/>
    <w:rsid w:val="00396020"/>
    <w:rsid w:val="00396098"/>
    <w:rsid w:val="003960BF"/>
    <w:rsid w:val="0039611E"/>
    <w:rsid w:val="003961C3"/>
    <w:rsid w:val="0039622C"/>
    <w:rsid w:val="00396270"/>
    <w:rsid w:val="003962FD"/>
    <w:rsid w:val="00396375"/>
    <w:rsid w:val="003963D3"/>
    <w:rsid w:val="003964D9"/>
    <w:rsid w:val="003964E8"/>
    <w:rsid w:val="003964EC"/>
    <w:rsid w:val="00396512"/>
    <w:rsid w:val="0039658C"/>
    <w:rsid w:val="0039659A"/>
    <w:rsid w:val="003965ED"/>
    <w:rsid w:val="0039664B"/>
    <w:rsid w:val="00396669"/>
    <w:rsid w:val="0039666C"/>
    <w:rsid w:val="0039669E"/>
    <w:rsid w:val="00396702"/>
    <w:rsid w:val="00396836"/>
    <w:rsid w:val="00396850"/>
    <w:rsid w:val="00396855"/>
    <w:rsid w:val="00396866"/>
    <w:rsid w:val="003968BB"/>
    <w:rsid w:val="0039692B"/>
    <w:rsid w:val="00396948"/>
    <w:rsid w:val="00396957"/>
    <w:rsid w:val="00396B88"/>
    <w:rsid w:val="00396C8D"/>
    <w:rsid w:val="00396CA9"/>
    <w:rsid w:val="00396CF6"/>
    <w:rsid w:val="00396E30"/>
    <w:rsid w:val="00396E73"/>
    <w:rsid w:val="00396E94"/>
    <w:rsid w:val="00396EB6"/>
    <w:rsid w:val="003970BF"/>
    <w:rsid w:val="003970E7"/>
    <w:rsid w:val="003970F0"/>
    <w:rsid w:val="00397128"/>
    <w:rsid w:val="00397184"/>
    <w:rsid w:val="003971C8"/>
    <w:rsid w:val="003971DA"/>
    <w:rsid w:val="003971E4"/>
    <w:rsid w:val="003971ED"/>
    <w:rsid w:val="0039721B"/>
    <w:rsid w:val="00397257"/>
    <w:rsid w:val="003972B8"/>
    <w:rsid w:val="003972C9"/>
    <w:rsid w:val="00397343"/>
    <w:rsid w:val="003973A8"/>
    <w:rsid w:val="003973E5"/>
    <w:rsid w:val="00397661"/>
    <w:rsid w:val="003976E0"/>
    <w:rsid w:val="0039778F"/>
    <w:rsid w:val="003978B0"/>
    <w:rsid w:val="003978F5"/>
    <w:rsid w:val="003978FF"/>
    <w:rsid w:val="00397961"/>
    <w:rsid w:val="00397AB0"/>
    <w:rsid w:val="00397BC5"/>
    <w:rsid w:val="00397C92"/>
    <w:rsid w:val="00397C9B"/>
    <w:rsid w:val="00397CD1"/>
    <w:rsid w:val="00397E38"/>
    <w:rsid w:val="00397E52"/>
    <w:rsid w:val="00397F4E"/>
    <w:rsid w:val="00397F6F"/>
    <w:rsid w:val="00397F87"/>
    <w:rsid w:val="003A00CB"/>
    <w:rsid w:val="003A0279"/>
    <w:rsid w:val="003A04B1"/>
    <w:rsid w:val="003A04FD"/>
    <w:rsid w:val="003A0522"/>
    <w:rsid w:val="003A0525"/>
    <w:rsid w:val="003A05FA"/>
    <w:rsid w:val="003A062A"/>
    <w:rsid w:val="003A0666"/>
    <w:rsid w:val="003A06CD"/>
    <w:rsid w:val="003A0720"/>
    <w:rsid w:val="003A0747"/>
    <w:rsid w:val="003A07A9"/>
    <w:rsid w:val="003A07D6"/>
    <w:rsid w:val="003A07F0"/>
    <w:rsid w:val="003A0834"/>
    <w:rsid w:val="003A0843"/>
    <w:rsid w:val="003A0988"/>
    <w:rsid w:val="003A0992"/>
    <w:rsid w:val="003A0AE4"/>
    <w:rsid w:val="003A0C34"/>
    <w:rsid w:val="003A0D54"/>
    <w:rsid w:val="003A0D9A"/>
    <w:rsid w:val="003A0DC0"/>
    <w:rsid w:val="003A0DEE"/>
    <w:rsid w:val="003A0E93"/>
    <w:rsid w:val="003A1141"/>
    <w:rsid w:val="003A11AC"/>
    <w:rsid w:val="003A1310"/>
    <w:rsid w:val="003A13A4"/>
    <w:rsid w:val="003A1466"/>
    <w:rsid w:val="003A154C"/>
    <w:rsid w:val="003A1562"/>
    <w:rsid w:val="003A1577"/>
    <w:rsid w:val="003A1588"/>
    <w:rsid w:val="003A15FC"/>
    <w:rsid w:val="003A16D4"/>
    <w:rsid w:val="003A1741"/>
    <w:rsid w:val="003A1761"/>
    <w:rsid w:val="003A178B"/>
    <w:rsid w:val="003A17EA"/>
    <w:rsid w:val="003A1808"/>
    <w:rsid w:val="003A1930"/>
    <w:rsid w:val="003A1970"/>
    <w:rsid w:val="003A19B6"/>
    <w:rsid w:val="003A19C3"/>
    <w:rsid w:val="003A1A71"/>
    <w:rsid w:val="003A1B1F"/>
    <w:rsid w:val="003A1D31"/>
    <w:rsid w:val="003A1E05"/>
    <w:rsid w:val="003A1E2F"/>
    <w:rsid w:val="003A1E37"/>
    <w:rsid w:val="003A1EAB"/>
    <w:rsid w:val="003A1F54"/>
    <w:rsid w:val="003A20AD"/>
    <w:rsid w:val="003A2121"/>
    <w:rsid w:val="003A21D7"/>
    <w:rsid w:val="003A21E6"/>
    <w:rsid w:val="003A2243"/>
    <w:rsid w:val="003A2300"/>
    <w:rsid w:val="003A2321"/>
    <w:rsid w:val="003A233D"/>
    <w:rsid w:val="003A23BC"/>
    <w:rsid w:val="003A242A"/>
    <w:rsid w:val="003A2445"/>
    <w:rsid w:val="003A2470"/>
    <w:rsid w:val="003A24CA"/>
    <w:rsid w:val="003A250B"/>
    <w:rsid w:val="003A2620"/>
    <w:rsid w:val="003A2697"/>
    <w:rsid w:val="003A26F5"/>
    <w:rsid w:val="003A2763"/>
    <w:rsid w:val="003A2845"/>
    <w:rsid w:val="003A28E5"/>
    <w:rsid w:val="003A28EA"/>
    <w:rsid w:val="003A28FD"/>
    <w:rsid w:val="003A29AB"/>
    <w:rsid w:val="003A29E9"/>
    <w:rsid w:val="003A2B5C"/>
    <w:rsid w:val="003A2DA7"/>
    <w:rsid w:val="003A2DBF"/>
    <w:rsid w:val="003A2F19"/>
    <w:rsid w:val="003A2F1C"/>
    <w:rsid w:val="003A2F7B"/>
    <w:rsid w:val="003A2F7C"/>
    <w:rsid w:val="003A2FC2"/>
    <w:rsid w:val="003A2FE0"/>
    <w:rsid w:val="003A3020"/>
    <w:rsid w:val="003A30B6"/>
    <w:rsid w:val="003A30EC"/>
    <w:rsid w:val="003A3115"/>
    <w:rsid w:val="003A3144"/>
    <w:rsid w:val="003A3206"/>
    <w:rsid w:val="003A320B"/>
    <w:rsid w:val="003A323E"/>
    <w:rsid w:val="003A327E"/>
    <w:rsid w:val="003A3285"/>
    <w:rsid w:val="003A32C3"/>
    <w:rsid w:val="003A336C"/>
    <w:rsid w:val="003A3381"/>
    <w:rsid w:val="003A33BE"/>
    <w:rsid w:val="003A3430"/>
    <w:rsid w:val="003A344E"/>
    <w:rsid w:val="003A34A3"/>
    <w:rsid w:val="003A350F"/>
    <w:rsid w:val="003A3607"/>
    <w:rsid w:val="003A3652"/>
    <w:rsid w:val="003A37BB"/>
    <w:rsid w:val="003A37CE"/>
    <w:rsid w:val="003A38E7"/>
    <w:rsid w:val="003A39C1"/>
    <w:rsid w:val="003A3A18"/>
    <w:rsid w:val="003A3A22"/>
    <w:rsid w:val="003A3A40"/>
    <w:rsid w:val="003A3A83"/>
    <w:rsid w:val="003A3A8A"/>
    <w:rsid w:val="003A3AF1"/>
    <w:rsid w:val="003A3BAD"/>
    <w:rsid w:val="003A3D7C"/>
    <w:rsid w:val="003A3D80"/>
    <w:rsid w:val="003A3DB1"/>
    <w:rsid w:val="003A3DB8"/>
    <w:rsid w:val="003A3DDC"/>
    <w:rsid w:val="003A3DF1"/>
    <w:rsid w:val="003A3E04"/>
    <w:rsid w:val="003A3EA0"/>
    <w:rsid w:val="003A3F6C"/>
    <w:rsid w:val="003A403E"/>
    <w:rsid w:val="003A405A"/>
    <w:rsid w:val="003A4096"/>
    <w:rsid w:val="003A40F0"/>
    <w:rsid w:val="003A410A"/>
    <w:rsid w:val="003A4144"/>
    <w:rsid w:val="003A4192"/>
    <w:rsid w:val="003A42C4"/>
    <w:rsid w:val="003A42F2"/>
    <w:rsid w:val="003A4367"/>
    <w:rsid w:val="003A444C"/>
    <w:rsid w:val="003A44C2"/>
    <w:rsid w:val="003A44DF"/>
    <w:rsid w:val="003A44F8"/>
    <w:rsid w:val="003A4511"/>
    <w:rsid w:val="003A4570"/>
    <w:rsid w:val="003A468E"/>
    <w:rsid w:val="003A4776"/>
    <w:rsid w:val="003A4836"/>
    <w:rsid w:val="003A48A4"/>
    <w:rsid w:val="003A48AA"/>
    <w:rsid w:val="003A4913"/>
    <w:rsid w:val="003A4962"/>
    <w:rsid w:val="003A4969"/>
    <w:rsid w:val="003A4B44"/>
    <w:rsid w:val="003A4D75"/>
    <w:rsid w:val="003A4E94"/>
    <w:rsid w:val="003A4E9C"/>
    <w:rsid w:val="003A4EBD"/>
    <w:rsid w:val="003A4F3E"/>
    <w:rsid w:val="003A4F90"/>
    <w:rsid w:val="003A4F9E"/>
    <w:rsid w:val="003A50E5"/>
    <w:rsid w:val="003A5152"/>
    <w:rsid w:val="003A515C"/>
    <w:rsid w:val="003A5181"/>
    <w:rsid w:val="003A5266"/>
    <w:rsid w:val="003A530B"/>
    <w:rsid w:val="003A531E"/>
    <w:rsid w:val="003A5334"/>
    <w:rsid w:val="003A53F6"/>
    <w:rsid w:val="003A5441"/>
    <w:rsid w:val="003A5548"/>
    <w:rsid w:val="003A5567"/>
    <w:rsid w:val="003A55A3"/>
    <w:rsid w:val="003A55D1"/>
    <w:rsid w:val="003A5676"/>
    <w:rsid w:val="003A5683"/>
    <w:rsid w:val="003A56E7"/>
    <w:rsid w:val="003A5785"/>
    <w:rsid w:val="003A581A"/>
    <w:rsid w:val="003A582E"/>
    <w:rsid w:val="003A586E"/>
    <w:rsid w:val="003A588D"/>
    <w:rsid w:val="003A589C"/>
    <w:rsid w:val="003A58A3"/>
    <w:rsid w:val="003A5915"/>
    <w:rsid w:val="003A59D1"/>
    <w:rsid w:val="003A5AE4"/>
    <w:rsid w:val="003A5B25"/>
    <w:rsid w:val="003A5B78"/>
    <w:rsid w:val="003A5B93"/>
    <w:rsid w:val="003A5C9C"/>
    <w:rsid w:val="003A5CAB"/>
    <w:rsid w:val="003A5CDF"/>
    <w:rsid w:val="003A5DF7"/>
    <w:rsid w:val="003A5E51"/>
    <w:rsid w:val="003A5E60"/>
    <w:rsid w:val="003A5ECD"/>
    <w:rsid w:val="003A5EE4"/>
    <w:rsid w:val="003A5F19"/>
    <w:rsid w:val="003A5F2D"/>
    <w:rsid w:val="003A6025"/>
    <w:rsid w:val="003A6085"/>
    <w:rsid w:val="003A60AD"/>
    <w:rsid w:val="003A60B2"/>
    <w:rsid w:val="003A6181"/>
    <w:rsid w:val="003A61B3"/>
    <w:rsid w:val="003A624D"/>
    <w:rsid w:val="003A6291"/>
    <w:rsid w:val="003A62A7"/>
    <w:rsid w:val="003A62D2"/>
    <w:rsid w:val="003A637B"/>
    <w:rsid w:val="003A639D"/>
    <w:rsid w:val="003A63E7"/>
    <w:rsid w:val="003A64BC"/>
    <w:rsid w:val="003A6527"/>
    <w:rsid w:val="003A658A"/>
    <w:rsid w:val="003A663E"/>
    <w:rsid w:val="003A6666"/>
    <w:rsid w:val="003A66B3"/>
    <w:rsid w:val="003A66BD"/>
    <w:rsid w:val="003A66BE"/>
    <w:rsid w:val="003A66C9"/>
    <w:rsid w:val="003A68CB"/>
    <w:rsid w:val="003A692A"/>
    <w:rsid w:val="003A6985"/>
    <w:rsid w:val="003A6A20"/>
    <w:rsid w:val="003A6A2E"/>
    <w:rsid w:val="003A6AB0"/>
    <w:rsid w:val="003A6AB6"/>
    <w:rsid w:val="003A6B24"/>
    <w:rsid w:val="003A6B5F"/>
    <w:rsid w:val="003A6B84"/>
    <w:rsid w:val="003A6B8F"/>
    <w:rsid w:val="003A6C31"/>
    <w:rsid w:val="003A6C33"/>
    <w:rsid w:val="003A6C6C"/>
    <w:rsid w:val="003A6D76"/>
    <w:rsid w:val="003A6D97"/>
    <w:rsid w:val="003A6FF8"/>
    <w:rsid w:val="003A705A"/>
    <w:rsid w:val="003A7069"/>
    <w:rsid w:val="003A709F"/>
    <w:rsid w:val="003A70D7"/>
    <w:rsid w:val="003A70DB"/>
    <w:rsid w:val="003A7138"/>
    <w:rsid w:val="003A723C"/>
    <w:rsid w:val="003A72A4"/>
    <w:rsid w:val="003A734C"/>
    <w:rsid w:val="003A7454"/>
    <w:rsid w:val="003A7506"/>
    <w:rsid w:val="003A75AC"/>
    <w:rsid w:val="003A783B"/>
    <w:rsid w:val="003A7891"/>
    <w:rsid w:val="003A78A1"/>
    <w:rsid w:val="003A78EC"/>
    <w:rsid w:val="003A7946"/>
    <w:rsid w:val="003A7971"/>
    <w:rsid w:val="003A79BF"/>
    <w:rsid w:val="003A7A4E"/>
    <w:rsid w:val="003A7AE3"/>
    <w:rsid w:val="003A7AF1"/>
    <w:rsid w:val="003A7AF7"/>
    <w:rsid w:val="003A7B36"/>
    <w:rsid w:val="003A7BC4"/>
    <w:rsid w:val="003A7C09"/>
    <w:rsid w:val="003A7C55"/>
    <w:rsid w:val="003A7C88"/>
    <w:rsid w:val="003A7D1D"/>
    <w:rsid w:val="003A7E3E"/>
    <w:rsid w:val="003A7EE6"/>
    <w:rsid w:val="003A7F23"/>
    <w:rsid w:val="003A7F73"/>
    <w:rsid w:val="003A7FE6"/>
    <w:rsid w:val="003B007E"/>
    <w:rsid w:val="003B0085"/>
    <w:rsid w:val="003B0104"/>
    <w:rsid w:val="003B01D4"/>
    <w:rsid w:val="003B02B8"/>
    <w:rsid w:val="003B02D4"/>
    <w:rsid w:val="003B02E4"/>
    <w:rsid w:val="003B04AF"/>
    <w:rsid w:val="003B054C"/>
    <w:rsid w:val="003B05FD"/>
    <w:rsid w:val="003B0696"/>
    <w:rsid w:val="003B072E"/>
    <w:rsid w:val="003B0740"/>
    <w:rsid w:val="003B076B"/>
    <w:rsid w:val="003B0840"/>
    <w:rsid w:val="003B0844"/>
    <w:rsid w:val="003B08AF"/>
    <w:rsid w:val="003B08D8"/>
    <w:rsid w:val="003B09CB"/>
    <w:rsid w:val="003B09E3"/>
    <w:rsid w:val="003B0AD1"/>
    <w:rsid w:val="003B0ADD"/>
    <w:rsid w:val="003B0C43"/>
    <w:rsid w:val="003B0C9D"/>
    <w:rsid w:val="003B0D87"/>
    <w:rsid w:val="003B0DCD"/>
    <w:rsid w:val="003B0EEA"/>
    <w:rsid w:val="003B0EEB"/>
    <w:rsid w:val="003B0F6B"/>
    <w:rsid w:val="003B0F71"/>
    <w:rsid w:val="003B0F9A"/>
    <w:rsid w:val="003B0FD4"/>
    <w:rsid w:val="003B0FF8"/>
    <w:rsid w:val="003B1043"/>
    <w:rsid w:val="003B1061"/>
    <w:rsid w:val="003B1112"/>
    <w:rsid w:val="003B113A"/>
    <w:rsid w:val="003B11A0"/>
    <w:rsid w:val="003B11A3"/>
    <w:rsid w:val="003B11C8"/>
    <w:rsid w:val="003B13D5"/>
    <w:rsid w:val="003B1489"/>
    <w:rsid w:val="003B154F"/>
    <w:rsid w:val="003B163A"/>
    <w:rsid w:val="003B1672"/>
    <w:rsid w:val="003B172F"/>
    <w:rsid w:val="003B1770"/>
    <w:rsid w:val="003B17C6"/>
    <w:rsid w:val="003B1A4F"/>
    <w:rsid w:val="003B1A87"/>
    <w:rsid w:val="003B1AEB"/>
    <w:rsid w:val="003B1B64"/>
    <w:rsid w:val="003B1C0E"/>
    <w:rsid w:val="003B1C66"/>
    <w:rsid w:val="003B1C84"/>
    <w:rsid w:val="003B1D3C"/>
    <w:rsid w:val="003B1ED0"/>
    <w:rsid w:val="003B1F24"/>
    <w:rsid w:val="003B1F54"/>
    <w:rsid w:val="003B1FD9"/>
    <w:rsid w:val="003B2028"/>
    <w:rsid w:val="003B20E3"/>
    <w:rsid w:val="003B210B"/>
    <w:rsid w:val="003B223D"/>
    <w:rsid w:val="003B2400"/>
    <w:rsid w:val="003B2419"/>
    <w:rsid w:val="003B256E"/>
    <w:rsid w:val="003B25F1"/>
    <w:rsid w:val="003B25FF"/>
    <w:rsid w:val="003B2671"/>
    <w:rsid w:val="003B26B1"/>
    <w:rsid w:val="003B271C"/>
    <w:rsid w:val="003B2772"/>
    <w:rsid w:val="003B27D2"/>
    <w:rsid w:val="003B2822"/>
    <w:rsid w:val="003B285E"/>
    <w:rsid w:val="003B2887"/>
    <w:rsid w:val="003B2904"/>
    <w:rsid w:val="003B2945"/>
    <w:rsid w:val="003B2ADD"/>
    <w:rsid w:val="003B2AE4"/>
    <w:rsid w:val="003B2B2B"/>
    <w:rsid w:val="003B2B60"/>
    <w:rsid w:val="003B2D08"/>
    <w:rsid w:val="003B2F57"/>
    <w:rsid w:val="003B2FCF"/>
    <w:rsid w:val="003B2FFF"/>
    <w:rsid w:val="003B3074"/>
    <w:rsid w:val="003B308C"/>
    <w:rsid w:val="003B3122"/>
    <w:rsid w:val="003B3175"/>
    <w:rsid w:val="003B3282"/>
    <w:rsid w:val="003B32AE"/>
    <w:rsid w:val="003B335C"/>
    <w:rsid w:val="003B33C7"/>
    <w:rsid w:val="003B33EE"/>
    <w:rsid w:val="003B34B9"/>
    <w:rsid w:val="003B3541"/>
    <w:rsid w:val="003B35B4"/>
    <w:rsid w:val="003B3624"/>
    <w:rsid w:val="003B36B8"/>
    <w:rsid w:val="003B36CC"/>
    <w:rsid w:val="003B36D5"/>
    <w:rsid w:val="003B3764"/>
    <w:rsid w:val="003B3828"/>
    <w:rsid w:val="003B38B2"/>
    <w:rsid w:val="003B38CF"/>
    <w:rsid w:val="003B38F5"/>
    <w:rsid w:val="003B3964"/>
    <w:rsid w:val="003B39B8"/>
    <w:rsid w:val="003B3A24"/>
    <w:rsid w:val="003B3A3B"/>
    <w:rsid w:val="003B3A61"/>
    <w:rsid w:val="003B3A8E"/>
    <w:rsid w:val="003B3AED"/>
    <w:rsid w:val="003B3BA9"/>
    <w:rsid w:val="003B3CD9"/>
    <w:rsid w:val="003B3CF4"/>
    <w:rsid w:val="003B3D66"/>
    <w:rsid w:val="003B3E06"/>
    <w:rsid w:val="003B3E0A"/>
    <w:rsid w:val="003B3F2A"/>
    <w:rsid w:val="003B3F39"/>
    <w:rsid w:val="003B3FB1"/>
    <w:rsid w:val="003B409B"/>
    <w:rsid w:val="003B40FA"/>
    <w:rsid w:val="003B4113"/>
    <w:rsid w:val="003B416D"/>
    <w:rsid w:val="003B4188"/>
    <w:rsid w:val="003B41A5"/>
    <w:rsid w:val="003B41B9"/>
    <w:rsid w:val="003B4220"/>
    <w:rsid w:val="003B4267"/>
    <w:rsid w:val="003B4312"/>
    <w:rsid w:val="003B43AF"/>
    <w:rsid w:val="003B43C0"/>
    <w:rsid w:val="003B44BC"/>
    <w:rsid w:val="003B4611"/>
    <w:rsid w:val="003B463B"/>
    <w:rsid w:val="003B46AE"/>
    <w:rsid w:val="003B46BA"/>
    <w:rsid w:val="003B472B"/>
    <w:rsid w:val="003B4754"/>
    <w:rsid w:val="003B477F"/>
    <w:rsid w:val="003B47D2"/>
    <w:rsid w:val="003B4929"/>
    <w:rsid w:val="003B492B"/>
    <w:rsid w:val="003B4B05"/>
    <w:rsid w:val="003B4E77"/>
    <w:rsid w:val="003B4EA0"/>
    <w:rsid w:val="003B4EBF"/>
    <w:rsid w:val="003B4EF6"/>
    <w:rsid w:val="003B4F67"/>
    <w:rsid w:val="003B4FBE"/>
    <w:rsid w:val="003B4FC3"/>
    <w:rsid w:val="003B4FE5"/>
    <w:rsid w:val="003B4FF3"/>
    <w:rsid w:val="003B5087"/>
    <w:rsid w:val="003B50A4"/>
    <w:rsid w:val="003B50BA"/>
    <w:rsid w:val="003B50D0"/>
    <w:rsid w:val="003B5137"/>
    <w:rsid w:val="003B51EA"/>
    <w:rsid w:val="003B529F"/>
    <w:rsid w:val="003B5382"/>
    <w:rsid w:val="003B545C"/>
    <w:rsid w:val="003B5521"/>
    <w:rsid w:val="003B56A3"/>
    <w:rsid w:val="003B573D"/>
    <w:rsid w:val="003B5846"/>
    <w:rsid w:val="003B5854"/>
    <w:rsid w:val="003B5981"/>
    <w:rsid w:val="003B59C5"/>
    <w:rsid w:val="003B59CA"/>
    <w:rsid w:val="003B59DD"/>
    <w:rsid w:val="003B5AB0"/>
    <w:rsid w:val="003B5B36"/>
    <w:rsid w:val="003B5D3E"/>
    <w:rsid w:val="003B5D4C"/>
    <w:rsid w:val="003B5E49"/>
    <w:rsid w:val="003B5EB3"/>
    <w:rsid w:val="003B5F1D"/>
    <w:rsid w:val="003B5F27"/>
    <w:rsid w:val="003B5FB0"/>
    <w:rsid w:val="003B5FE0"/>
    <w:rsid w:val="003B603A"/>
    <w:rsid w:val="003B61B8"/>
    <w:rsid w:val="003B6294"/>
    <w:rsid w:val="003B62AE"/>
    <w:rsid w:val="003B62F3"/>
    <w:rsid w:val="003B63FB"/>
    <w:rsid w:val="003B649B"/>
    <w:rsid w:val="003B6501"/>
    <w:rsid w:val="003B6515"/>
    <w:rsid w:val="003B65AD"/>
    <w:rsid w:val="003B6689"/>
    <w:rsid w:val="003B66F8"/>
    <w:rsid w:val="003B6707"/>
    <w:rsid w:val="003B6760"/>
    <w:rsid w:val="003B6846"/>
    <w:rsid w:val="003B6A31"/>
    <w:rsid w:val="003B6AD3"/>
    <w:rsid w:val="003B6AD4"/>
    <w:rsid w:val="003B6B81"/>
    <w:rsid w:val="003B6B90"/>
    <w:rsid w:val="003B6C94"/>
    <w:rsid w:val="003B6CB7"/>
    <w:rsid w:val="003B6DF4"/>
    <w:rsid w:val="003B6E18"/>
    <w:rsid w:val="003B6E9B"/>
    <w:rsid w:val="003B6F14"/>
    <w:rsid w:val="003B6F42"/>
    <w:rsid w:val="003B70A0"/>
    <w:rsid w:val="003B70E5"/>
    <w:rsid w:val="003B71D3"/>
    <w:rsid w:val="003B71E6"/>
    <w:rsid w:val="003B71EB"/>
    <w:rsid w:val="003B72C9"/>
    <w:rsid w:val="003B72CE"/>
    <w:rsid w:val="003B7343"/>
    <w:rsid w:val="003B746D"/>
    <w:rsid w:val="003B74F4"/>
    <w:rsid w:val="003B7531"/>
    <w:rsid w:val="003B7629"/>
    <w:rsid w:val="003B7679"/>
    <w:rsid w:val="003B7707"/>
    <w:rsid w:val="003B77CF"/>
    <w:rsid w:val="003B77D1"/>
    <w:rsid w:val="003B77E4"/>
    <w:rsid w:val="003B78E2"/>
    <w:rsid w:val="003B7922"/>
    <w:rsid w:val="003B7C80"/>
    <w:rsid w:val="003B7C87"/>
    <w:rsid w:val="003B7DD3"/>
    <w:rsid w:val="003B7E01"/>
    <w:rsid w:val="003B7ED3"/>
    <w:rsid w:val="003B7F17"/>
    <w:rsid w:val="003B7F46"/>
    <w:rsid w:val="003B7FAF"/>
    <w:rsid w:val="003BC33D"/>
    <w:rsid w:val="003C003F"/>
    <w:rsid w:val="003C00F2"/>
    <w:rsid w:val="003C01B7"/>
    <w:rsid w:val="003C0252"/>
    <w:rsid w:val="003C033C"/>
    <w:rsid w:val="003C03C6"/>
    <w:rsid w:val="003C03D9"/>
    <w:rsid w:val="003C0433"/>
    <w:rsid w:val="003C0517"/>
    <w:rsid w:val="003C0565"/>
    <w:rsid w:val="003C05F4"/>
    <w:rsid w:val="003C06CA"/>
    <w:rsid w:val="003C06CB"/>
    <w:rsid w:val="003C0771"/>
    <w:rsid w:val="003C078D"/>
    <w:rsid w:val="003C0848"/>
    <w:rsid w:val="003C08C6"/>
    <w:rsid w:val="003C091A"/>
    <w:rsid w:val="003C091C"/>
    <w:rsid w:val="003C0965"/>
    <w:rsid w:val="003C09CC"/>
    <w:rsid w:val="003C0AE3"/>
    <w:rsid w:val="003C0AFD"/>
    <w:rsid w:val="003C0B8C"/>
    <w:rsid w:val="003C0BDF"/>
    <w:rsid w:val="003C0D30"/>
    <w:rsid w:val="003C0D3F"/>
    <w:rsid w:val="003C0D8D"/>
    <w:rsid w:val="003C0DCD"/>
    <w:rsid w:val="003C0E30"/>
    <w:rsid w:val="003C0E8F"/>
    <w:rsid w:val="003C0EEC"/>
    <w:rsid w:val="003C0EFF"/>
    <w:rsid w:val="003C0F3A"/>
    <w:rsid w:val="003C0F73"/>
    <w:rsid w:val="003C0F74"/>
    <w:rsid w:val="003C0FA9"/>
    <w:rsid w:val="003C0FBE"/>
    <w:rsid w:val="003C1064"/>
    <w:rsid w:val="003C13F6"/>
    <w:rsid w:val="003C1454"/>
    <w:rsid w:val="003C1827"/>
    <w:rsid w:val="003C1836"/>
    <w:rsid w:val="003C18E5"/>
    <w:rsid w:val="003C19DD"/>
    <w:rsid w:val="003C1A07"/>
    <w:rsid w:val="003C1AFD"/>
    <w:rsid w:val="003C1BE5"/>
    <w:rsid w:val="003C1CC8"/>
    <w:rsid w:val="003C1CFA"/>
    <w:rsid w:val="003C1DC7"/>
    <w:rsid w:val="003C1E28"/>
    <w:rsid w:val="003C1E36"/>
    <w:rsid w:val="003C1F4D"/>
    <w:rsid w:val="003C1F93"/>
    <w:rsid w:val="003C2033"/>
    <w:rsid w:val="003C2054"/>
    <w:rsid w:val="003C218D"/>
    <w:rsid w:val="003C2292"/>
    <w:rsid w:val="003C2297"/>
    <w:rsid w:val="003C2313"/>
    <w:rsid w:val="003C24C8"/>
    <w:rsid w:val="003C25B6"/>
    <w:rsid w:val="003C28F3"/>
    <w:rsid w:val="003C290A"/>
    <w:rsid w:val="003C293C"/>
    <w:rsid w:val="003C29F2"/>
    <w:rsid w:val="003C2B2D"/>
    <w:rsid w:val="003C2B4B"/>
    <w:rsid w:val="003C2B61"/>
    <w:rsid w:val="003C2BDC"/>
    <w:rsid w:val="003C2BF0"/>
    <w:rsid w:val="003C2E3D"/>
    <w:rsid w:val="003C2E85"/>
    <w:rsid w:val="003C2F54"/>
    <w:rsid w:val="003C2F8B"/>
    <w:rsid w:val="003C2FAB"/>
    <w:rsid w:val="003C302A"/>
    <w:rsid w:val="003C30CC"/>
    <w:rsid w:val="003C3171"/>
    <w:rsid w:val="003C3180"/>
    <w:rsid w:val="003C32F5"/>
    <w:rsid w:val="003C333C"/>
    <w:rsid w:val="003C334F"/>
    <w:rsid w:val="003C33DC"/>
    <w:rsid w:val="003C33EC"/>
    <w:rsid w:val="003C3401"/>
    <w:rsid w:val="003C3462"/>
    <w:rsid w:val="003C3526"/>
    <w:rsid w:val="003C3580"/>
    <w:rsid w:val="003C360D"/>
    <w:rsid w:val="003C366A"/>
    <w:rsid w:val="003C3693"/>
    <w:rsid w:val="003C36E5"/>
    <w:rsid w:val="003C372E"/>
    <w:rsid w:val="003C380E"/>
    <w:rsid w:val="003C3822"/>
    <w:rsid w:val="003C3856"/>
    <w:rsid w:val="003C38FD"/>
    <w:rsid w:val="003C391D"/>
    <w:rsid w:val="003C392C"/>
    <w:rsid w:val="003C3B38"/>
    <w:rsid w:val="003C3BB8"/>
    <w:rsid w:val="003C3BF5"/>
    <w:rsid w:val="003C3CDF"/>
    <w:rsid w:val="003C3EA0"/>
    <w:rsid w:val="003C3F22"/>
    <w:rsid w:val="003C4082"/>
    <w:rsid w:val="003C40C0"/>
    <w:rsid w:val="003C4152"/>
    <w:rsid w:val="003C41A9"/>
    <w:rsid w:val="003C42F9"/>
    <w:rsid w:val="003C4307"/>
    <w:rsid w:val="003C439F"/>
    <w:rsid w:val="003C44DA"/>
    <w:rsid w:val="003C45A6"/>
    <w:rsid w:val="003C4609"/>
    <w:rsid w:val="003C4620"/>
    <w:rsid w:val="003C4675"/>
    <w:rsid w:val="003C471B"/>
    <w:rsid w:val="003C474B"/>
    <w:rsid w:val="003C477B"/>
    <w:rsid w:val="003C47BB"/>
    <w:rsid w:val="003C48F6"/>
    <w:rsid w:val="003C4A3D"/>
    <w:rsid w:val="003C4B1F"/>
    <w:rsid w:val="003C4B72"/>
    <w:rsid w:val="003C4BB8"/>
    <w:rsid w:val="003C4BE4"/>
    <w:rsid w:val="003C4C29"/>
    <w:rsid w:val="003C4CF9"/>
    <w:rsid w:val="003C4D41"/>
    <w:rsid w:val="003C4D65"/>
    <w:rsid w:val="003C4E3F"/>
    <w:rsid w:val="003C4E71"/>
    <w:rsid w:val="003C4EAA"/>
    <w:rsid w:val="003C4F21"/>
    <w:rsid w:val="003C4F5E"/>
    <w:rsid w:val="003C505B"/>
    <w:rsid w:val="003C5340"/>
    <w:rsid w:val="003C53D5"/>
    <w:rsid w:val="003C545E"/>
    <w:rsid w:val="003C5485"/>
    <w:rsid w:val="003C54A4"/>
    <w:rsid w:val="003C54BD"/>
    <w:rsid w:val="003C54DB"/>
    <w:rsid w:val="003C554E"/>
    <w:rsid w:val="003C555F"/>
    <w:rsid w:val="003C5567"/>
    <w:rsid w:val="003C565E"/>
    <w:rsid w:val="003C5699"/>
    <w:rsid w:val="003C573A"/>
    <w:rsid w:val="003C575E"/>
    <w:rsid w:val="003C5839"/>
    <w:rsid w:val="003C5920"/>
    <w:rsid w:val="003C5A3D"/>
    <w:rsid w:val="003C5B94"/>
    <w:rsid w:val="003C5BA9"/>
    <w:rsid w:val="003C5BD9"/>
    <w:rsid w:val="003C5C23"/>
    <w:rsid w:val="003C5CA0"/>
    <w:rsid w:val="003C5CBB"/>
    <w:rsid w:val="003C5CBE"/>
    <w:rsid w:val="003C5D27"/>
    <w:rsid w:val="003C5F71"/>
    <w:rsid w:val="003C5FCF"/>
    <w:rsid w:val="003C5FE2"/>
    <w:rsid w:val="003C602A"/>
    <w:rsid w:val="003C6051"/>
    <w:rsid w:val="003C6165"/>
    <w:rsid w:val="003C61B8"/>
    <w:rsid w:val="003C629B"/>
    <w:rsid w:val="003C630A"/>
    <w:rsid w:val="003C652B"/>
    <w:rsid w:val="003C6545"/>
    <w:rsid w:val="003C662E"/>
    <w:rsid w:val="003C66C6"/>
    <w:rsid w:val="003C674A"/>
    <w:rsid w:val="003C6751"/>
    <w:rsid w:val="003C678D"/>
    <w:rsid w:val="003C6795"/>
    <w:rsid w:val="003C6845"/>
    <w:rsid w:val="003C686A"/>
    <w:rsid w:val="003C6917"/>
    <w:rsid w:val="003C695B"/>
    <w:rsid w:val="003C699B"/>
    <w:rsid w:val="003C6A07"/>
    <w:rsid w:val="003C6A63"/>
    <w:rsid w:val="003C6BEB"/>
    <w:rsid w:val="003C6C9B"/>
    <w:rsid w:val="003C6CF9"/>
    <w:rsid w:val="003C6D40"/>
    <w:rsid w:val="003C6D56"/>
    <w:rsid w:val="003C6E48"/>
    <w:rsid w:val="003C6F4D"/>
    <w:rsid w:val="003C7020"/>
    <w:rsid w:val="003C70AD"/>
    <w:rsid w:val="003C70EE"/>
    <w:rsid w:val="003C7143"/>
    <w:rsid w:val="003C718E"/>
    <w:rsid w:val="003C71B8"/>
    <w:rsid w:val="003C7245"/>
    <w:rsid w:val="003C7338"/>
    <w:rsid w:val="003C734B"/>
    <w:rsid w:val="003C7389"/>
    <w:rsid w:val="003C73DA"/>
    <w:rsid w:val="003C741F"/>
    <w:rsid w:val="003C748C"/>
    <w:rsid w:val="003C75B0"/>
    <w:rsid w:val="003C7689"/>
    <w:rsid w:val="003C76EB"/>
    <w:rsid w:val="003C773D"/>
    <w:rsid w:val="003C783D"/>
    <w:rsid w:val="003C78EB"/>
    <w:rsid w:val="003C7988"/>
    <w:rsid w:val="003C7A29"/>
    <w:rsid w:val="003C7AD3"/>
    <w:rsid w:val="003C7C07"/>
    <w:rsid w:val="003C7D6D"/>
    <w:rsid w:val="003C7D6F"/>
    <w:rsid w:val="003C7D71"/>
    <w:rsid w:val="003C7D72"/>
    <w:rsid w:val="003C7D8C"/>
    <w:rsid w:val="003C7DA0"/>
    <w:rsid w:val="003C7DB3"/>
    <w:rsid w:val="003C7DBD"/>
    <w:rsid w:val="003C7E59"/>
    <w:rsid w:val="003C7F25"/>
    <w:rsid w:val="003C7F58"/>
    <w:rsid w:val="003D004D"/>
    <w:rsid w:val="003D012D"/>
    <w:rsid w:val="003D019C"/>
    <w:rsid w:val="003D0211"/>
    <w:rsid w:val="003D0235"/>
    <w:rsid w:val="003D024C"/>
    <w:rsid w:val="003D0268"/>
    <w:rsid w:val="003D02BB"/>
    <w:rsid w:val="003D02D9"/>
    <w:rsid w:val="003D03D7"/>
    <w:rsid w:val="003D03D9"/>
    <w:rsid w:val="003D0425"/>
    <w:rsid w:val="003D0430"/>
    <w:rsid w:val="003D0563"/>
    <w:rsid w:val="003D066E"/>
    <w:rsid w:val="003D079D"/>
    <w:rsid w:val="003D0831"/>
    <w:rsid w:val="003D0934"/>
    <w:rsid w:val="003D098E"/>
    <w:rsid w:val="003D09D8"/>
    <w:rsid w:val="003D0BE6"/>
    <w:rsid w:val="003D0C3C"/>
    <w:rsid w:val="003D0C52"/>
    <w:rsid w:val="003D0CFE"/>
    <w:rsid w:val="003D0D2A"/>
    <w:rsid w:val="003D0D98"/>
    <w:rsid w:val="003D0EAC"/>
    <w:rsid w:val="003D0F81"/>
    <w:rsid w:val="003D0FAE"/>
    <w:rsid w:val="003D0FFB"/>
    <w:rsid w:val="003D1195"/>
    <w:rsid w:val="003D11AC"/>
    <w:rsid w:val="003D11E6"/>
    <w:rsid w:val="003D122E"/>
    <w:rsid w:val="003D12A5"/>
    <w:rsid w:val="003D1309"/>
    <w:rsid w:val="003D13A4"/>
    <w:rsid w:val="003D1475"/>
    <w:rsid w:val="003D14A7"/>
    <w:rsid w:val="003D151F"/>
    <w:rsid w:val="003D15CF"/>
    <w:rsid w:val="003D168C"/>
    <w:rsid w:val="003D16BF"/>
    <w:rsid w:val="003D1726"/>
    <w:rsid w:val="003D172C"/>
    <w:rsid w:val="003D1815"/>
    <w:rsid w:val="003D1826"/>
    <w:rsid w:val="003D183C"/>
    <w:rsid w:val="003D185B"/>
    <w:rsid w:val="003D1871"/>
    <w:rsid w:val="003D1896"/>
    <w:rsid w:val="003D199F"/>
    <w:rsid w:val="003D19C5"/>
    <w:rsid w:val="003D19E8"/>
    <w:rsid w:val="003D19F9"/>
    <w:rsid w:val="003D1A57"/>
    <w:rsid w:val="003D1C11"/>
    <w:rsid w:val="003D1C3A"/>
    <w:rsid w:val="003D1D69"/>
    <w:rsid w:val="003D1DBB"/>
    <w:rsid w:val="003D1DC1"/>
    <w:rsid w:val="003D1E1D"/>
    <w:rsid w:val="003D1E3E"/>
    <w:rsid w:val="003D1E6A"/>
    <w:rsid w:val="003D1FE4"/>
    <w:rsid w:val="003D1FF4"/>
    <w:rsid w:val="003D205D"/>
    <w:rsid w:val="003D218B"/>
    <w:rsid w:val="003D2207"/>
    <w:rsid w:val="003D225C"/>
    <w:rsid w:val="003D237A"/>
    <w:rsid w:val="003D23E5"/>
    <w:rsid w:val="003D2443"/>
    <w:rsid w:val="003D2463"/>
    <w:rsid w:val="003D24B1"/>
    <w:rsid w:val="003D24CA"/>
    <w:rsid w:val="003D26D2"/>
    <w:rsid w:val="003D2773"/>
    <w:rsid w:val="003D27DC"/>
    <w:rsid w:val="003D2827"/>
    <w:rsid w:val="003D2886"/>
    <w:rsid w:val="003D28F5"/>
    <w:rsid w:val="003D2969"/>
    <w:rsid w:val="003D29AC"/>
    <w:rsid w:val="003D29DF"/>
    <w:rsid w:val="003D29FF"/>
    <w:rsid w:val="003D2A3B"/>
    <w:rsid w:val="003D2A81"/>
    <w:rsid w:val="003D2AEC"/>
    <w:rsid w:val="003D2BC2"/>
    <w:rsid w:val="003D2BF6"/>
    <w:rsid w:val="003D2C69"/>
    <w:rsid w:val="003D2D90"/>
    <w:rsid w:val="003D2DAE"/>
    <w:rsid w:val="003D2DFB"/>
    <w:rsid w:val="003D2E29"/>
    <w:rsid w:val="003D2E55"/>
    <w:rsid w:val="003D2F00"/>
    <w:rsid w:val="003D2F1B"/>
    <w:rsid w:val="003D2F6D"/>
    <w:rsid w:val="003D2F95"/>
    <w:rsid w:val="003D2F9C"/>
    <w:rsid w:val="003D2FF3"/>
    <w:rsid w:val="003D30AE"/>
    <w:rsid w:val="003D30DB"/>
    <w:rsid w:val="003D313D"/>
    <w:rsid w:val="003D32FF"/>
    <w:rsid w:val="003D3311"/>
    <w:rsid w:val="003D332F"/>
    <w:rsid w:val="003D3331"/>
    <w:rsid w:val="003D333A"/>
    <w:rsid w:val="003D3369"/>
    <w:rsid w:val="003D3618"/>
    <w:rsid w:val="003D3651"/>
    <w:rsid w:val="003D368B"/>
    <w:rsid w:val="003D3788"/>
    <w:rsid w:val="003D379E"/>
    <w:rsid w:val="003D3922"/>
    <w:rsid w:val="003D3A88"/>
    <w:rsid w:val="003D3A9D"/>
    <w:rsid w:val="003D3CD9"/>
    <w:rsid w:val="003D3D5A"/>
    <w:rsid w:val="003D3DA3"/>
    <w:rsid w:val="003D3EA1"/>
    <w:rsid w:val="003D3ECD"/>
    <w:rsid w:val="003D3FA2"/>
    <w:rsid w:val="003D3FC6"/>
    <w:rsid w:val="003D4057"/>
    <w:rsid w:val="003D408D"/>
    <w:rsid w:val="003D40FB"/>
    <w:rsid w:val="003D412A"/>
    <w:rsid w:val="003D4138"/>
    <w:rsid w:val="003D4154"/>
    <w:rsid w:val="003D4210"/>
    <w:rsid w:val="003D4277"/>
    <w:rsid w:val="003D4287"/>
    <w:rsid w:val="003D42AE"/>
    <w:rsid w:val="003D42E0"/>
    <w:rsid w:val="003D430C"/>
    <w:rsid w:val="003D4331"/>
    <w:rsid w:val="003D43E4"/>
    <w:rsid w:val="003D4440"/>
    <w:rsid w:val="003D450C"/>
    <w:rsid w:val="003D45BB"/>
    <w:rsid w:val="003D45F4"/>
    <w:rsid w:val="003D461B"/>
    <w:rsid w:val="003D4630"/>
    <w:rsid w:val="003D4693"/>
    <w:rsid w:val="003D4759"/>
    <w:rsid w:val="003D486F"/>
    <w:rsid w:val="003D4894"/>
    <w:rsid w:val="003D48DA"/>
    <w:rsid w:val="003D4958"/>
    <w:rsid w:val="003D4959"/>
    <w:rsid w:val="003D49A7"/>
    <w:rsid w:val="003D49B3"/>
    <w:rsid w:val="003D49CB"/>
    <w:rsid w:val="003D4A3B"/>
    <w:rsid w:val="003D4A81"/>
    <w:rsid w:val="003D4B8F"/>
    <w:rsid w:val="003D4C9B"/>
    <w:rsid w:val="003D4D11"/>
    <w:rsid w:val="003D4DF8"/>
    <w:rsid w:val="003D4FAA"/>
    <w:rsid w:val="003D5066"/>
    <w:rsid w:val="003D520D"/>
    <w:rsid w:val="003D52EE"/>
    <w:rsid w:val="003D53DB"/>
    <w:rsid w:val="003D5420"/>
    <w:rsid w:val="003D5458"/>
    <w:rsid w:val="003D5528"/>
    <w:rsid w:val="003D557C"/>
    <w:rsid w:val="003D5596"/>
    <w:rsid w:val="003D5629"/>
    <w:rsid w:val="003D5646"/>
    <w:rsid w:val="003D56AE"/>
    <w:rsid w:val="003D56BF"/>
    <w:rsid w:val="003D56EA"/>
    <w:rsid w:val="003D57E5"/>
    <w:rsid w:val="003D5897"/>
    <w:rsid w:val="003D58E4"/>
    <w:rsid w:val="003D59EA"/>
    <w:rsid w:val="003D5A21"/>
    <w:rsid w:val="003D5A68"/>
    <w:rsid w:val="003D5A8E"/>
    <w:rsid w:val="003D5ADE"/>
    <w:rsid w:val="003D5C74"/>
    <w:rsid w:val="003D5C88"/>
    <w:rsid w:val="003D5CCA"/>
    <w:rsid w:val="003D5D10"/>
    <w:rsid w:val="003D5D43"/>
    <w:rsid w:val="003D5D72"/>
    <w:rsid w:val="003D5E52"/>
    <w:rsid w:val="003D5FD1"/>
    <w:rsid w:val="003D604C"/>
    <w:rsid w:val="003D6092"/>
    <w:rsid w:val="003D60F6"/>
    <w:rsid w:val="003D6135"/>
    <w:rsid w:val="003D61A3"/>
    <w:rsid w:val="003D6379"/>
    <w:rsid w:val="003D637C"/>
    <w:rsid w:val="003D6427"/>
    <w:rsid w:val="003D6431"/>
    <w:rsid w:val="003D64DF"/>
    <w:rsid w:val="003D64E0"/>
    <w:rsid w:val="003D6568"/>
    <w:rsid w:val="003D65A7"/>
    <w:rsid w:val="003D65C4"/>
    <w:rsid w:val="003D65EA"/>
    <w:rsid w:val="003D662F"/>
    <w:rsid w:val="003D67B6"/>
    <w:rsid w:val="003D67D3"/>
    <w:rsid w:val="003D6944"/>
    <w:rsid w:val="003D69EB"/>
    <w:rsid w:val="003D6A66"/>
    <w:rsid w:val="003D6ABF"/>
    <w:rsid w:val="003D6AD4"/>
    <w:rsid w:val="003D6B15"/>
    <w:rsid w:val="003D6B27"/>
    <w:rsid w:val="003D6BCD"/>
    <w:rsid w:val="003D6DB7"/>
    <w:rsid w:val="003D6EB9"/>
    <w:rsid w:val="003D7012"/>
    <w:rsid w:val="003D7030"/>
    <w:rsid w:val="003D70DF"/>
    <w:rsid w:val="003D7254"/>
    <w:rsid w:val="003D7284"/>
    <w:rsid w:val="003D729C"/>
    <w:rsid w:val="003D72AB"/>
    <w:rsid w:val="003D72E6"/>
    <w:rsid w:val="003D738A"/>
    <w:rsid w:val="003D74B4"/>
    <w:rsid w:val="003D7502"/>
    <w:rsid w:val="003D7568"/>
    <w:rsid w:val="003D7585"/>
    <w:rsid w:val="003D7696"/>
    <w:rsid w:val="003D7740"/>
    <w:rsid w:val="003D7836"/>
    <w:rsid w:val="003D7842"/>
    <w:rsid w:val="003D7869"/>
    <w:rsid w:val="003D78BA"/>
    <w:rsid w:val="003D78C2"/>
    <w:rsid w:val="003D7991"/>
    <w:rsid w:val="003D7A5D"/>
    <w:rsid w:val="003D7A62"/>
    <w:rsid w:val="003D7AA0"/>
    <w:rsid w:val="003D7B77"/>
    <w:rsid w:val="003D7B7A"/>
    <w:rsid w:val="003D7B83"/>
    <w:rsid w:val="003D7B84"/>
    <w:rsid w:val="003D7BE9"/>
    <w:rsid w:val="003D7C4A"/>
    <w:rsid w:val="003D7CD2"/>
    <w:rsid w:val="003D7CE2"/>
    <w:rsid w:val="003D7CF7"/>
    <w:rsid w:val="003D7D25"/>
    <w:rsid w:val="003D7DF2"/>
    <w:rsid w:val="003D7E64"/>
    <w:rsid w:val="003D7EAA"/>
    <w:rsid w:val="003D7ED9"/>
    <w:rsid w:val="003D7F4B"/>
    <w:rsid w:val="003D7F7F"/>
    <w:rsid w:val="003E0006"/>
    <w:rsid w:val="003E0021"/>
    <w:rsid w:val="003E00C0"/>
    <w:rsid w:val="003E01AF"/>
    <w:rsid w:val="003E027F"/>
    <w:rsid w:val="003E032E"/>
    <w:rsid w:val="003E038A"/>
    <w:rsid w:val="003E039B"/>
    <w:rsid w:val="003E039E"/>
    <w:rsid w:val="003E0450"/>
    <w:rsid w:val="003E05BF"/>
    <w:rsid w:val="003E05CD"/>
    <w:rsid w:val="003E064F"/>
    <w:rsid w:val="003E0684"/>
    <w:rsid w:val="003E068F"/>
    <w:rsid w:val="003E06B8"/>
    <w:rsid w:val="003E06D6"/>
    <w:rsid w:val="003E0870"/>
    <w:rsid w:val="003E087B"/>
    <w:rsid w:val="003E089E"/>
    <w:rsid w:val="003E090D"/>
    <w:rsid w:val="003E0944"/>
    <w:rsid w:val="003E0A3A"/>
    <w:rsid w:val="003E0B41"/>
    <w:rsid w:val="003E0B45"/>
    <w:rsid w:val="003E0B85"/>
    <w:rsid w:val="003E0C02"/>
    <w:rsid w:val="003E0D8E"/>
    <w:rsid w:val="003E0DAA"/>
    <w:rsid w:val="003E0DB3"/>
    <w:rsid w:val="003E0FCF"/>
    <w:rsid w:val="003E0FFC"/>
    <w:rsid w:val="003E1003"/>
    <w:rsid w:val="003E10BF"/>
    <w:rsid w:val="003E1250"/>
    <w:rsid w:val="003E127F"/>
    <w:rsid w:val="003E12CD"/>
    <w:rsid w:val="003E12EB"/>
    <w:rsid w:val="003E1353"/>
    <w:rsid w:val="003E14E6"/>
    <w:rsid w:val="003E1555"/>
    <w:rsid w:val="003E1644"/>
    <w:rsid w:val="003E1693"/>
    <w:rsid w:val="003E1711"/>
    <w:rsid w:val="003E172B"/>
    <w:rsid w:val="003E1756"/>
    <w:rsid w:val="003E177F"/>
    <w:rsid w:val="003E1883"/>
    <w:rsid w:val="003E19A0"/>
    <w:rsid w:val="003E19AB"/>
    <w:rsid w:val="003E1B0E"/>
    <w:rsid w:val="003E1B10"/>
    <w:rsid w:val="003E1BE9"/>
    <w:rsid w:val="003E1E08"/>
    <w:rsid w:val="003E1F8F"/>
    <w:rsid w:val="003E1F98"/>
    <w:rsid w:val="003E2066"/>
    <w:rsid w:val="003E20F2"/>
    <w:rsid w:val="003E21E7"/>
    <w:rsid w:val="003E227A"/>
    <w:rsid w:val="003E23C5"/>
    <w:rsid w:val="003E2426"/>
    <w:rsid w:val="003E2454"/>
    <w:rsid w:val="003E24DE"/>
    <w:rsid w:val="003E252C"/>
    <w:rsid w:val="003E2561"/>
    <w:rsid w:val="003E2610"/>
    <w:rsid w:val="003E265C"/>
    <w:rsid w:val="003E2676"/>
    <w:rsid w:val="003E275F"/>
    <w:rsid w:val="003E2769"/>
    <w:rsid w:val="003E2803"/>
    <w:rsid w:val="003E283C"/>
    <w:rsid w:val="003E29E8"/>
    <w:rsid w:val="003E2A2C"/>
    <w:rsid w:val="003E2A86"/>
    <w:rsid w:val="003E2B79"/>
    <w:rsid w:val="003E2CA6"/>
    <w:rsid w:val="003E2DAC"/>
    <w:rsid w:val="003E2E3E"/>
    <w:rsid w:val="003E2E58"/>
    <w:rsid w:val="003E3026"/>
    <w:rsid w:val="003E3267"/>
    <w:rsid w:val="003E34CC"/>
    <w:rsid w:val="003E34D7"/>
    <w:rsid w:val="003E35B3"/>
    <w:rsid w:val="003E35E1"/>
    <w:rsid w:val="003E3613"/>
    <w:rsid w:val="003E36BA"/>
    <w:rsid w:val="003E3728"/>
    <w:rsid w:val="003E379E"/>
    <w:rsid w:val="003E37F2"/>
    <w:rsid w:val="003E3850"/>
    <w:rsid w:val="003E38D9"/>
    <w:rsid w:val="003E3938"/>
    <w:rsid w:val="003E39E2"/>
    <w:rsid w:val="003E3A87"/>
    <w:rsid w:val="003E3B1E"/>
    <w:rsid w:val="003E3BEF"/>
    <w:rsid w:val="003E3C13"/>
    <w:rsid w:val="003E3C1F"/>
    <w:rsid w:val="003E3C78"/>
    <w:rsid w:val="003E3CAA"/>
    <w:rsid w:val="003E3DF8"/>
    <w:rsid w:val="003E3EC4"/>
    <w:rsid w:val="003E408B"/>
    <w:rsid w:val="003E4097"/>
    <w:rsid w:val="003E40A6"/>
    <w:rsid w:val="003E40C3"/>
    <w:rsid w:val="003E40D4"/>
    <w:rsid w:val="003E410B"/>
    <w:rsid w:val="003E4203"/>
    <w:rsid w:val="003E42DA"/>
    <w:rsid w:val="003E437D"/>
    <w:rsid w:val="003E43F3"/>
    <w:rsid w:val="003E4427"/>
    <w:rsid w:val="003E4434"/>
    <w:rsid w:val="003E4474"/>
    <w:rsid w:val="003E4577"/>
    <w:rsid w:val="003E45DB"/>
    <w:rsid w:val="003E45F3"/>
    <w:rsid w:val="003E45F8"/>
    <w:rsid w:val="003E461B"/>
    <w:rsid w:val="003E4654"/>
    <w:rsid w:val="003E46C9"/>
    <w:rsid w:val="003E46E5"/>
    <w:rsid w:val="003E47E3"/>
    <w:rsid w:val="003E4854"/>
    <w:rsid w:val="003E49AE"/>
    <w:rsid w:val="003E4A3B"/>
    <w:rsid w:val="003E4A68"/>
    <w:rsid w:val="003E4AA3"/>
    <w:rsid w:val="003E4AEC"/>
    <w:rsid w:val="003E4B11"/>
    <w:rsid w:val="003E4B54"/>
    <w:rsid w:val="003E4CC3"/>
    <w:rsid w:val="003E4D0D"/>
    <w:rsid w:val="003E4D86"/>
    <w:rsid w:val="003E4DB8"/>
    <w:rsid w:val="003E4DFF"/>
    <w:rsid w:val="003E4F0C"/>
    <w:rsid w:val="003E4F4C"/>
    <w:rsid w:val="003E4FA3"/>
    <w:rsid w:val="003E50E7"/>
    <w:rsid w:val="003E5107"/>
    <w:rsid w:val="003E5113"/>
    <w:rsid w:val="003E51D0"/>
    <w:rsid w:val="003E51F5"/>
    <w:rsid w:val="003E52E4"/>
    <w:rsid w:val="003E52ED"/>
    <w:rsid w:val="003E53D1"/>
    <w:rsid w:val="003E53DC"/>
    <w:rsid w:val="003E5575"/>
    <w:rsid w:val="003E5613"/>
    <w:rsid w:val="003E56C5"/>
    <w:rsid w:val="003E574E"/>
    <w:rsid w:val="003E5829"/>
    <w:rsid w:val="003E5881"/>
    <w:rsid w:val="003E5A2F"/>
    <w:rsid w:val="003E5AEF"/>
    <w:rsid w:val="003E5B48"/>
    <w:rsid w:val="003E5BB9"/>
    <w:rsid w:val="003E5DEA"/>
    <w:rsid w:val="003E5E45"/>
    <w:rsid w:val="003E5EDF"/>
    <w:rsid w:val="003E60AD"/>
    <w:rsid w:val="003E610A"/>
    <w:rsid w:val="003E618B"/>
    <w:rsid w:val="003E61AD"/>
    <w:rsid w:val="003E6205"/>
    <w:rsid w:val="003E6265"/>
    <w:rsid w:val="003E62C3"/>
    <w:rsid w:val="003E6405"/>
    <w:rsid w:val="003E6440"/>
    <w:rsid w:val="003E64D9"/>
    <w:rsid w:val="003E64E5"/>
    <w:rsid w:val="003E64ED"/>
    <w:rsid w:val="003E651B"/>
    <w:rsid w:val="003E652A"/>
    <w:rsid w:val="003E6548"/>
    <w:rsid w:val="003E6609"/>
    <w:rsid w:val="003E66A9"/>
    <w:rsid w:val="003E678F"/>
    <w:rsid w:val="003E67D2"/>
    <w:rsid w:val="003E6895"/>
    <w:rsid w:val="003E68AF"/>
    <w:rsid w:val="003E68B2"/>
    <w:rsid w:val="003E6901"/>
    <w:rsid w:val="003E6AFB"/>
    <w:rsid w:val="003E6B02"/>
    <w:rsid w:val="003E6B73"/>
    <w:rsid w:val="003E6BBA"/>
    <w:rsid w:val="003E6BD3"/>
    <w:rsid w:val="003E6BF6"/>
    <w:rsid w:val="003E6D07"/>
    <w:rsid w:val="003E6E6D"/>
    <w:rsid w:val="003E6F44"/>
    <w:rsid w:val="003E6F55"/>
    <w:rsid w:val="003E6FB5"/>
    <w:rsid w:val="003E7029"/>
    <w:rsid w:val="003E70EF"/>
    <w:rsid w:val="003E717B"/>
    <w:rsid w:val="003E718E"/>
    <w:rsid w:val="003E7261"/>
    <w:rsid w:val="003E7365"/>
    <w:rsid w:val="003E7410"/>
    <w:rsid w:val="003E7420"/>
    <w:rsid w:val="003E76DB"/>
    <w:rsid w:val="003E7745"/>
    <w:rsid w:val="003E7875"/>
    <w:rsid w:val="003E7913"/>
    <w:rsid w:val="003E7935"/>
    <w:rsid w:val="003E7962"/>
    <w:rsid w:val="003E7A7C"/>
    <w:rsid w:val="003E7A85"/>
    <w:rsid w:val="003E7BC1"/>
    <w:rsid w:val="003E7BF7"/>
    <w:rsid w:val="003E7C00"/>
    <w:rsid w:val="003E7C73"/>
    <w:rsid w:val="003E7C7D"/>
    <w:rsid w:val="003E7CD7"/>
    <w:rsid w:val="003E7D03"/>
    <w:rsid w:val="003E7DB9"/>
    <w:rsid w:val="003E7E53"/>
    <w:rsid w:val="003E7F33"/>
    <w:rsid w:val="003E7F62"/>
    <w:rsid w:val="003E7F69"/>
    <w:rsid w:val="003E7F83"/>
    <w:rsid w:val="003E7F86"/>
    <w:rsid w:val="003F0078"/>
    <w:rsid w:val="003F0085"/>
    <w:rsid w:val="003F00A2"/>
    <w:rsid w:val="003F0116"/>
    <w:rsid w:val="003F0136"/>
    <w:rsid w:val="003F01DE"/>
    <w:rsid w:val="003F023C"/>
    <w:rsid w:val="003F0280"/>
    <w:rsid w:val="003F0399"/>
    <w:rsid w:val="003F0436"/>
    <w:rsid w:val="003F0526"/>
    <w:rsid w:val="003F06A4"/>
    <w:rsid w:val="003F0713"/>
    <w:rsid w:val="003F0815"/>
    <w:rsid w:val="003F08E3"/>
    <w:rsid w:val="003F095C"/>
    <w:rsid w:val="003F0A29"/>
    <w:rsid w:val="003F0AC5"/>
    <w:rsid w:val="003F0B01"/>
    <w:rsid w:val="003F0B75"/>
    <w:rsid w:val="003F0B98"/>
    <w:rsid w:val="003F0BDE"/>
    <w:rsid w:val="003F0CBD"/>
    <w:rsid w:val="003F0D30"/>
    <w:rsid w:val="003F0DA7"/>
    <w:rsid w:val="003F0DF3"/>
    <w:rsid w:val="003F0E0F"/>
    <w:rsid w:val="003F0E54"/>
    <w:rsid w:val="003F0F37"/>
    <w:rsid w:val="003F0F4B"/>
    <w:rsid w:val="003F0F83"/>
    <w:rsid w:val="003F103C"/>
    <w:rsid w:val="003F108D"/>
    <w:rsid w:val="003F10EB"/>
    <w:rsid w:val="003F113A"/>
    <w:rsid w:val="003F1211"/>
    <w:rsid w:val="003F12A3"/>
    <w:rsid w:val="003F12FB"/>
    <w:rsid w:val="003F12FD"/>
    <w:rsid w:val="003F13FC"/>
    <w:rsid w:val="003F13FE"/>
    <w:rsid w:val="003F1401"/>
    <w:rsid w:val="003F1456"/>
    <w:rsid w:val="003F1471"/>
    <w:rsid w:val="003F166C"/>
    <w:rsid w:val="003F1686"/>
    <w:rsid w:val="003F171F"/>
    <w:rsid w:val="003F17AA"/>
    <w:rsid w:val="003F1834"/>
    <w:rsid w:val="003F188F"/>
    <w:rsid w:val="003F19A1"/>
    <w:rsid w:val="003F19EC"/>
    <w:rsid w:val="003F1A47"/>
    <w:rsid w:val="003F1A4B"/>
    <w:rsid w:val="003F1C01"/>
    <w:rsid w:val="003F1C3D"/>
    <w:rsid w:val="003F1CD3"/>
    <w:rsid w:val="003F1D10"/>
    <w:rsid w:val="003F1DC8"/>
    <w:rsid w:val="003F1DEE"/>
    <w:rsid w:val="003F1DFF"/>
    <w:rsid w:val="003F1E3D"/>
    <w:rsid w:val="003F1F66"/>
    <w:rsid w:val="003F20BE"/>
    <w:rsid w:val="003F210C"/>
    <w:rsid w:val="003F2124"/>
    <w:rsid w:val="003F2151"/>
    <w:rsid w:val="003F2162"/>
    <w:rsid w:val="003F21A7"/>
    <w:rsid w:val="003F21C1"/>
    <w:rsid w:val="003F21CC"/>
    <w:rsid w:val="003F21EA"/>
    <w:rsid w:val="003F2207"/>
    <w:rsid w:val="003F2376"/>
    <w:rsid w:val="003F23CD"/>
    <w:rsid w:val="003F23E4"/>
    <w:rsid w:val="003F24F0"/>
    <w:rsid w:val="003F2504"/>
    <w:rsid w:val="003F251C"/>
    <w:rsid w:val="003F25B2"/>
    <w:rsid w:val="003F266B"/>
    <w:rsid w:val="003F2681"/>
    <w:rsid w:val="003F2686"/>
    <w:rsid w:val="003F2700"/>
    <w:rsid w:val="003F27AB"/>
    <w:rsid w:val="003F28ED"/>
    <w:rsid w:val="003F28F1"/>
    <w:rsid w:val="003F2907"/>
    <w:rsid w:val="003F2988"/>
    <w:rsid w:val="003F29D5"/>
    <w:rsid w:val="003F2A96"/>
    <w:rsid w:val="003F2BBA"/>
    <w:rsid w:val="003F2C2B"/>
    <w:rsid w:val="003F2C5F"/>
    <w:rsid w:val="003F2C86"/>
    <w:rsid w:val="003F2C9C"/>
    <w:rsid w:val="003F2DD6"/>
    <w:rsid w:val="003F2DF9"/>
    <w:rsid w:val="003F2F3C"/>
    <w:rsid w:val="003F30D4"/>
    <w:rsid w:val="003F31F7"/>
    <w:rsid w:val="003F3217"/>
    <w:rsid w:val="003F3292"/>
    <w:rsid w:val="003F32BF"/>
    <w:rsid w:val="003F3344"/>
    <w:rsid w:val="003F3376"/>
    <w:rsid w:val="003F339C"/>
    <w:rsid w:val="003F346E"/>
    <w:rsid w:val="003F3629"/>
    <w:rsid w:val="003F3639"/>
    <w:rsid w:val="003F3645"/>
    <w:rsid w:val="003F36A5"/>
    <w:rsid w:val="003F36EC"/>
    <w:rsid w:val="003F3753"/>
    <w:rsid w:val="003F3801"/>
    <w:rsid w:val="003F3814"/>
    <w:rsid w:val="003F38A0"/>
    <w:rsid w:val="003F38D0"/>
    <w:rsid w:val="003F3920"/>
    <w:rsid w:val="003F3947"/>
    <w:rsid w:val="003F3953"/>
    <w:rsid w:val="003F39B9"/>
    <w:rsid w:val="003F3A36"/>
    <w:rsid w:val="003F3AA8"/>
    <w:rsid w:val="003F3B4C"/>
    <w:rsid w:val="003F3C42"/>
    <w:rsid w:val="003F3C6D"/>
    <w:rsid w:val="003F3C75"/>
    <w:rsid w:val="003F3C80"/>
    <w:rsid w:val="003F3CF2"/>
    <w:rsid w:val="003F3D1B"/>
    <w:rsid w:val="003F3D30"/>
    <w:rsid w:val="003F3D91"/>
    <w:rsid w:val="003F3E07"/>
    <w:rsid w:val="003F3E84"/>
    <w:rsid w:val="003F3F0B"/>
    <w:rsid w:val="003F3F17"/>
    <w:rsid w:val="003F3F5D"/>
    <w:rsid w:val="003F3F6A"/>
    <w:rsid w:val="003F40C7"/>
    <w:rsid w:val="003F4155"/>
    <w:rsid w:val="003F4210"/>
    <w:rsid w:val="003F42C3"/>
    <w:rsid w:val="003F4331"/>
    <w:rsid w:val="003F4346"/>
    <w:rsid w:val="003F4381"/>
    <w:rsid w:val="003F439B"/>
    <w:rsid w:val="003F441E"/>
    <w:rsid w:val="003F4446"/>
    <w:rsid w:val="003F4497"/>
    <w:rsid w:val="003F44C1"/>
    <w:rsid w:val="003F4517"/>
    <w:rsid w:val="003F45B9"/>
    <w:rsid w:val="003F47F1"/>
    <w:rsid w:val="003F4A0F"/>
    <w:rsid w:val="003F4A6D"/>
    <w:rsid w:val="003F4B2B"/>
    <w:rsid w:val="003F4BB8"/>
    <w:rsid w:val="003F4BDF"/>
    <w:rsid w:val="003F4C4E"/>
    <w:rsid w:val="003F4E11"/>
    <w:rsid w:val="003F4FF9"/>
    <w:rsid w:val="003F505D"/>
    <w:rsid w:val="003F50F9"/>
    <w:rsid w:val="003F50FC"/>
    <w:rsid w:val="003F514E"/>
    <w:rsid w:val="003F5291"/>
    <w:rsid w:val="003F52F3"/>
    <w:rsid w:val="003F535E"/>
    <w:rsid w:val="003F53E2"/>
    <w:rsid w:val="003F5512"/>
    <w:rsid w:val="003F5514"/>
    <w:rsid w:val="003F5531"/>
    <w:rsid w:val="003F55D7"/>
    <w:rsid w:val="003F567B"/>
    <w:rsid w:val="003F5754"/>
    <w:rsid w:val="003F57E9"/>
    <w:rsid w:val="003F57FF"/>
    <w:rsid w:val="003F58AA"/>
    <w:rsid w:val="003F5968"/>
    <w:rsid w:val="003F597C"/>
    <w:rsid w:val="003F59DD"/>
    <w:rsid w:val="003F5AD0"/>
    <w:rsid w:val="003F5AE5"/>
    <w:rsid w:val="003F5B35"/>
    <w:rsid w:val="003F5B45"/>
    <w:rsid w:val="003F5BD5"/>
    <w:rsid w:val="003F5C4F"/>
    <w:rsid w:val="003F5C6E"/>
    <w:rsid w:val="003F5C90"/>
    <w:rsid w:val="003F5CC4"/>
    <w:rsid w:val="003F5CE4"/>
    <w:rsid w:val="003F5CE5"/>
    <w:rsid w:val="003F5CEB"/>
    <w:rsid w:val="003F5D0D"/>
    <w:rsid w:val="003F5E41"/>
    <w:rsid w:val="003F5ECA"/>
    <w:rsid w:val="003F5F11"/>
    <w:rsid w:val="003F5F54"/>
    <w:rsid w:val="003F5F6A"/>
    <w:rsid w:val="003F5F78"/>
    <w:rsid w:val="003F5F9E"/>
    <w:rsid w:val="003F5FD2"/>
    <w:rsid w:val="003F5FED"/>
    <w:rsid w:val="003F601B"/>
    <w:rsid w:val="003F6129"/>
    <w:rsid w:val="003F613B"/>
    <w:rsid w:val="003F61A0"/>
    <w:rsid w:val="003F6203"/>
    <w:rsid w:val="003F627B"/>
    <w:rsid w:val="003F628B"/>
    <w:rsid w:val="003F63CA"/>
    <w:rsid w:val="003F64CC"/>
    <w:rsid w:val="003F6571"/>
    <w:rsid w:val="003F658A"/>
    <w:rsid w:val="003F65A9"/>
    <w:rsid w:val="003F660E"/>
    <w:rsid w:val="003F66A8"/>
    <w:rsid w:val="003F6A10"/>
    <w:rsid w:val="003F6A3A"/>
    <w:rsid w:val="003F6ADE"/>
    <w:rsid w:val="003F6B08"/>
    <w:rsid w:val="003F6B82"/>
    <w:rsid w:val="003F6D96"/>
    <w:rsid w:val="003F6E29"/>
    <w:rsid w:val="003F6E7E"/>
    <w:rsid w:val="003F6F17"/>
    <w:rsid w:val="003F7048"/>
    <w:rsid w:val="003F70E9"/>
    <w:rsid w:val="003F70F7"/>
    <w:rsid w:val="003F721C"/>
    <w:rsid w:val="003F72B6"/>
    <w:rsid w:val="003F7302"/>
    <w:rsid w:val="003F7378"/>
    <w:rsid w:val="003F739D"/>
    <w:rsid w:val="003F7486"/>
    <w:rsid w:val="003F75A3"/>
    <w:rsid w:val="003F75E4"/>
    <w:rsid w:val="003F760B"/>
    <w:rsid w:val="003F760D"/>
    <w:rsid w:val="003F7677"/>
    <w:rsid w:val="003F76E2"/>
    <w:rsid w:val="003F777B"/>
    <w:rsid w:val="003F7794"/>
    <w:rsid w:val="003F791E"/>
    <w:rsid w:val="003F79CE"/>
    <w:rsid w:val="003F79EA"/>
    <w:rsid w:val="003F7A54"/>
    <w:rsid w:val="003F7A72"/>
    <w:rsid w:val="003F7CB6"/>
    <w:rsid w:val="003F7D04"/>
    <w:rsid w:val="003F7DD1"/>
    <w:rsid w:val="003F7E44"/>
    <w:rsid w:val="003F7EC0"/>
    <w:rsid w:val="003F7FF4"/>
    <w:rsid w:val="004000FC"/>
    <w:rsid w:val="004001AC"/>
    <w:rsid w:val="0040026E"/>
    <w:rsid w:val="00400297"/>
    <w:rsid w:val="004002CF"/>
    <w:rsid w:val="004002E8"/>
    <w:rsid w:val="0040034B"/>
    <w:rsid w:val="004003A4"/>
    <w:rsid w:val="00400493"/>
    <w:rsid w:val="004004B7"/>
    <w:rsid w:val="00400537"/>
    <w:rsid w:val="00400609"/>
    <w:rsid w:val="00400668"/>
    <w:rsid w:val="004006D9"/>
    <w:rsid w:val="00400781"/>
    <w:rsid w:val="004007A9"/>
    <w:rsid w:val="004007AD"/>
    <w:rsid w:val="004007BF"/>
    <w:rsid w:val="0040088F"/>
    <w:rsid w:val="004008B1"/>
    <w:rsid w:val="004008BD"/>
    <w:rsid w:val="004008C8"/>
    <w:rsid w:val="00400988"/>
    <w:rsid w:val="00400996"/>
    <w:rsid w:val="00400A26"/>
    <w:rsid w:val="00400A64"/>
    <w:rsid w:val="00400AC0"/>
    <w:rsid w:val="00400BEF"/>
    <w:rsid w:val="00400C34"/>
    <w:rsid w:val="00400D91"/>
    <w:rsid w:val="00400DD1"/>
    <w:rsid w:val="00400EDC"/>
    <w:rsid w:val="00400F36"/>
    <w:rsid w:val="004010F0"/>
    <w:rsid w:val="004011B5"/>
    <w:rsid w:val="00401258"/>
    <w:rsid w:val="004012C7"/>
    <w:rsid w:val="0040136C"/>
    <w:rsid w:val="0040137A"/>
    <w:rsid w:val="004013CC"/>
    <w:rsid w:val="0040142C"/>
    <w:rsid w:val="0040145D"/>
    <w:rsid w:val="00401588"/>
    <w:rsid w:val="00401836"/>
    <w:rsid w:val="0040189E"/>
    <w:rsid w:val="004018D9"/>
    <w:rsid w:val="004018EB"/>
    <w:rsid w:val="00401A4C"/>
    <w:rsid w:val="00401B09"/>
    <w:rsid w:val="00401B1E"/>
    <w:rsid w:val="00401B51"/>
    <w:rsid w:val="00401C48"/>
    <w:rsid w:val="00401C7E"/>
    <w:rsid w:val="00401D95"/>
    <w:rsid w:val="00401DB2"/>
    <w:rsid w:val="00401DBF"/>
    <w:rsid w:val="00401DE2"/>
    <w:rsid w:val="00401E73"/>
    <w:rsid w:val="00401F1A"/>
    <w:rsid w:val="00402027"/>
    <w:rsid w:val="00402160"/>
    <w:rsid w:val="0040226E"/>
    <w:rsid w:val="00402281"/>
    <w:rsid w:val="00402299"/>
    <w:rsid w:val="004022A6"/>
    <w:rsid w:val="004022E3"/>
    <w:rsid w:val="004022FA"/>
    <w:rsid w:val="0040230F"/>
    <w:rsid w:val="0040233D"/>
    <w:rsid w:val="00402364"/>
    <w:rsid w:val="00402443"/>
    <w:rsid w:val="00402533"/>
    <w:rsid w:val="00402649"/>
    <w:rsid w:val="00402714"/>
    <w:rsid w:val="0040274E"/>
    <w:rsid w:val="0040277F"/>
    <w:rsid w:val="00402A34"/>
    <w:rsid w:val="00402A6C"/>
    <w:rsid w:val="00402AB8"/>
    <w:rsid w:val="00402BBF"/>
    <w:rsid w:val="00402BD3"/>
    <w:rsid w:val="00402D1F"/>
    <w:rsid w:val="00402D66"/>
    <w:rsid w:val="00402D78"/>
    <w:rsid w:val="00402D93"/>
    <w:rsid w:val="00402DE2"/>
    <w:rsid w:val="00402E36"/>
    <w:rsid w:val="00402E7B"/>
    <w:rsid w:val="00402FD2"/>
    <w:rsid w:val="00403045"/>
    <w:rsid w:val="0040306F"/>
    <w:rsid w:val="0040307C"/>
    <w:rsid w:val="004030E9"/>
    <w:rsid w:val="00403277"/>
    <w:rsid w:val="00403295"/>
    <w:rsid w:val="00403492"/>
    <w:rsid w:val="004034A2"/>
    <w:rsid w:val="0040354F"/>
    <w:rsid w:val="0040355C"/>
    <w:rsid w:val="0040355E"/>
    <w:rsid w:val="00403610"/>
    <w:rsid w:val="00403746"/>
    <w:rsid w:val="004037D8"/>
    <w:rsid w:val="00403891"/>
    <w:rsid w:val="0040391C"/>
    <w:rsid w:val="00403A1B"/>
    <w:rsid w:val="00403B42"/>
    <w:rsid w:val="00403BBC"/>
    <w:rsid w:val="00403C1B"/>
    <w:rsid w:val="00403D42"/>
    <w:rsid w:val="00403D9D"/>
    <w:rsid w:val="00403E80"/>
    <w:rsid w:val="00403EDA"/>
    <w:rsid w:val="00403F1B"/>
    <w:rsid w:val="00403FA5"/>
    <w:rsid w:val="00403FC5"/>
    <w:rsid w:val="00404095"/>
    <w:rsid w:val="00404139"/>
    <w:rsid w:val="0040414D"/>
    <w:rsid w:val="0040425F"/>
    <w:rsid w:val="0040427B"/>
    <w:rsid w:val="00404285"/>
    <w:rsid w:val="00404314"/>
    <w:rsid w:val="0040431B"/>
    <w:rsid w:val="00404383"/>
    <w:rsid w:val="0040438D"/>
    <w:rsid w:val="004043CA"/>
    <w:rsid w:val="004043E0"/>
    <w:rsid w:val="0040449E"/>
    <w:rsid w:val="00404593"/>
    <w:rsid w:val="004045F2"/>
    <w:rsid w:val="00404638"/>
    <w:rsid w:val="0040466B"/>
    <w:rsid w:val="0040487B"/>
    <w:rsid w:val="0040489A"/>
    <w:rsid w:val="004048C7"/>
    <w:rsid w:val="004048FB"/>
    <w:rsid w:val="0040494E"/>
    <w:rsid w:val="00404A18"/>
    <w:rsid w:val="00404A1F"/>
    <w:rsid w:val="00404A23"/>
    <w:rsid w:val="00404B32"/>
    <w:rsid w:val="00404B59"/>
    <w:rsid w:val="00404C17"/>
    <w:rsid w:val="00404E48"/>
    <w:rsid w:val="00404E4B"/>
    <w:rsid w:val="00404EDF"/>
    <w:rsid w:val="00404F6A"/>
    <w:rsid w:val="00404FF0"/>
    <w:rsid w:val="00404FF3"/>
    <w:rsid w:val="00404FFA"/>
    <w:rsid w:val="00405073"/>
    <w:rsid w:val="004050B7"/>
    <w:rsid w:val="004050D7"/>
    <w:rsid w:val="0040515E"/>
    <w:rsid w:val="0040522C"/>
    <w:rsid w:val="004053BD"/>
    <w:rsid w:val="00405496"/>
    <w:rsid w:val="004054D0"/>
    <w:rsid w:val="00405510"/>
    <w:rsid w:val="004055AC"/>
    <w:rsid w:val="004056D9"/>
    <w:rsid w:val="00405722"/>
    <w:rsid w:val="00405826"/>
    <w:rsid w:val="0040584F"/>
    <w:rsid w:val="00405875"/>
    <w:rsid w:val="00405882"/>
    <w:rsid w:val="00405931"/>
    <w:rsid w:val="00405998"/>
    <w:rsid w:val="004059B8"/>
    <w:rsid w:val="00405A4C"/>
    <w:rsid w:val="00405A70"/>
    <w:rsid w:val="00405ADA"/>
    <w:rsid w:val="00405BDC"/>
    <w:rsid w:val="00405CBF"/>
    <w:rsid w:val="00405DB1"/>
    <w:rsid w:val="00405E00"/>
    <w:rsid w:val="00405E66"/>
    <w:rsid w:val="004061B8"/>
    <w:rsid w:val="004061E4"/>
    <w:rsid w:val="004061E7"/>
    <w:rsid w:val="0040624F"/>
    <w:rsid w:val="0040625A"/>
    <w:rsid w:val="0040626E"/>
    <w:rsid w:val="00406297"/>
    <w:rsid w:val="00406380"/>
    <w:rsid w:val="0040648B"/>
    <w:rsid w:val="00406505"/>
    <w:rsid w:val="0040651B"/>
    <w:rsid w:val="004065C8"/>
    <w:rsid w:val="00406639"/>
    <w:rsid w:val="00406641"/>
    <w:rsid w:val="00406643"/>
    <w:rsid w:val="00406647"/>
    <w:rsid w:val="0040664C"/>
    <w:rsid w:val="00406658"/>
    <w:rsid w:val="0040680F"/>
    <w:rsid w:val="00406880"/>
    <w:rsid w:val="004069E3"/>
    <w:rsid w:val="00406B46"/>
    <w:rsid w:val="00406C37"/>
    <w:rsid w:val="00406CA9"/>
    <w:rsid w:val="00406CAD"/>
    <w:rsid w:val="00406D1F"/>
    <w:rsid w:val="00406E33"/>
    <w:rsid w:val="00406ECB"/>
    <w:rsid w:val="00406F9F"/>
    <w:rsid w:val="004070DC"/>
    <w:rsid w:val="004070F2"/>
    <w:rsid w:val="00407104"/>
    <w:rsid w:val="00407257"/>
    <w:rsid w:val="004072B4"/>
    <w:rsid w:val="00407344"/>
    <w:rsid w:val="00407385"/>
    <w:rsid w:val="004074E6"/>
    <w:rsid w:val="00407546"/>
    <w:rsid w:val="00407587"/>
    <w:rsid w:val="0040759B"/>
    <w:rsid w:val="004075AB"/>
    <w:rsid w:val="004075AF"/>
    <w:rsid w:val="0040762D"/>
    <w:rsid w:val="004077F8"/>
    <w:rsid w:val="004078F9"/>
    <w:rsid w:val="004079CF"/>
    <w:rsid w:val="00407ACC"/>
    <w:rsid w:val="00407AEA"/>
    <w:rsid w:val="00407BB1"/>
    <w:rsid w:val="00407BBA"/>
    <w:rsid w:val="00407BFF"/>
    <w:rsid w:val="00407D53"/>
    <w:rsid w:val="00407D77"/>
    <w:rsid w:val="00407D91"/>
    <w:rsid w:val="00407DC4"/>
    <w:rsid w:val="00407E21"/>
    <w:rsid w:val="00407EB7"/>
    <w:rsid w:val="00407F44"/>
    <w:rsid w:val="00407FCA"/>
    <w:rsid w:val="00410078"/>
    <w:rsid w:val="004100E9"/>
    <w:rsid w:val="0041017C"/>
    <w:rsid w:val="0041026B"/>
    <w:rsid w:val="004102A6"/>
    <w:rsid w:val="004102B8"/>
    <w:rsid w:val="00410308"/>
    <w:rsid w:val="00410359"/>
    <w:rsid w:val="004103D6"/>
    <w:rsid w:val="00410412"/>
    <w:rsid w:val="00410474"/>
    <w:rsid w:val="00410523"/>
    <w:rsid w:val="0041061E"/>
    <w:rsid w:val="0041064E"/>
    <w:rsid w:val="0041070F"/>
    <w:rsid w:val="00410763"/>
    <w:rsid w:val="004107F5"/>
    <w:rsid w:val="00410835"/>
    <w:rsid w:val="004108CF"/>
    <w:rsid w:val="00410A9F"/>
    <w:rsid w:val="00410BCD"/>
    <w:rsid w:val="00410C08"/>
    <w:rsid w:val="00410C7C"/>
    <w:rsid w:val="00410CC9"/>
    <w:rsid w:val="00410D3C"/>
    <w:rsid w:val="00410D75"/>
    <w:rsid w:val="00410DF3"/>
    <w:rsid w:val="00410F44"/>
    <w:rsid w:val="00410FFA"/>
    <w:rsid w:val="0041106D"/>
    <w:rsid w:val="00411129"/>
    <w:rsid w:val="00411162"/>
    <w:rsid w:val="004111D4"/>
    <w:rsid w:val="00411247"/>
    <w:rsid w:val="00411341"/>
    <w:rsid w:val="00411425"/>
    <w:rsid w:val="00411500"/>
    <w:rsid w:val="0041153B"/>
    <w:rsid w:val="004115C4"/>
    <w:rsid w:val="004115CD"/>
    <w:rsid w:val="0041160B"/>
    <w:rsid w:val="00411691"/>
    <w:rsid w:val="004116D9"/>
    <w:rsid w:val="00411700"/>
    <w:rsid w:val="0041170F"/>
    <w:rsid w:val="004117A5"/>
    <w:rsid w:val="004117BE"/>
    <w:rsid w:val="00411851"/>
    <w:rsid w:val="00411882"/>
    <w:rsid w:val="004118C1"/>
    <w:rsid w:val="00411982"/>
    <w:rsid w:val="00411A22"/>
    <w:rsid w:val="00411AB3"/>
    <w:rsid w:val="00411BA5"/>
    <w:rsid w:val="00411C32"/>
    <w:rsid w:val="00411C87"/>
    <w:rsid w:val="00411CC3"/>
    <w:rsid w:val="00411D09"/>
    <w:rsid w:val="00411D25"/>
    <w:rsid w:val="00411D7E"/>
    <w:rsid w:val="00411DC9"/>
    <w:rsid w:val="00411E2E"/>
    <w:rsid w:val="00411E39"/>
    <w:rsid w:val="00411E80"/>
    <w:rsid w:val="00411F69"/>
    <w:rsid w:val="00411F96"/>
    <w:rsid w:val="00411FFA"/>
    <w:rsid w:val="00412015"/>
    <w:rsid w:val="004120FA"/>
    <w:rsid w:val="00412107"/>
    <w:rsid w:val="00412190"/>
    <w:rsid w:val="004121A1"/>
    <w:rsid w:val="00412243"/>
    <w:rsid w:val="00412382"/>
    <w:rsid w:val="004123D5"/>
    <w:rsid w:val="0041242B"/>
    <w:rsid w:val="004124BE"/>
    <w:rsid w:val="004124D1"/>
    <w:rsid w:val="004125B3"/>
    <w:rsid w:val="004125E6"/>
    <w:rsid w:val="00412603"/>
    <w:rsid w:val="0041264F"/>
    <w:rsid w:val="004126E8"/>
    <w:rsid w:val="00412829"/>
    <w:rsid w:val="004129AB"/>
    <w:rsid w:val="00412A3F"/>
    <w:rsid w:val="00412A46"/>
    <w:rsid w:val="00412A75"/>
    <w:rsid w:val="00412B00"/>
    <w:rsid w:val="00412C3F"/>
    <w:rsid w:val="00412CB4"/>
    <w:rsid w:val="00412DA7"/>
    <w:rsid w:val="00412E52"/>
    <w:rsid w:val="00412EFA"/>
    <w:rsid w:val="00412F4C"/>
    <w:rsid w:val="00412FBC"/>
    <w:rsid w:val="00412FD5"/>
    <w:rsid w:val="00412FF5"/>
    <w:rsid w:val="0041304F"/>
    <w:rsid w:val="004130C4"/>
    <w:rsid w:val="00413356"/>
    <w:rsid w:val="004133B0"/>
    <w:rsid w:val="00413458"/>
    <w:rsid w:val="00413574"/>
    <w:rsid w:val="00413648"/>
    <w:rsid w:val="00413654"/>
    <w:rsid w:val="0041366A"/>
    <w:rsid w:val="0041368A"/>
    <w:rsid w:val="004137A9"/>
    <w:rsid w:val="00413836"/>
    <w:rsid w:val="0041387B"/>
    <w:rsid w:val="004138DB"/>
    <w:rsid w:val="004138E2"/>
    <w:rsid w:val="004138F4"/>
    <w:rsid w:val="004138FA"/>
    <w:rsid w:val="00413916"/>
    <w:rsid w:val="00413931"/>
    <w:rsid w:val="00413949"/>
    <w:rsid w:val="0041396E"/>
    <w:rsid w:val="00413A39"/>
    <w:rsid w:val="00413B4F"/>
    <w:rsid w:val="00413B6C"/>
    <w:rsid w:val="00413BC7"/>
    <w:rsid w:val="00413BE9"/>
    <w:rsid w:val="00413BFF"/>
    <w:rsid w:val="00413D20"/>
    <w:rsid w:val="00413D38"/>
    <w:rsid w:val="00413D5F"/>
    <w:rsid w:val="00413E6C"/>
    <w:rsid w:val="00413E7B"/>
    <w:rsid w:val="00413E92"/>
    <w:rsid w:val="00413E97"/>
    <w:rsid w:val="00413E9E"/>
    <w:rsid w:val="00413EC2"/>
    <w:rsid w:val="00414010"/>
    <w:rsid w:val="0041412D"/>
    <w:rsid w:val="00414249"/>
    <w:rsid w:val="00414304"/>
    <w:rsid w:val="00414322"/>
    <w:rsid w:val="00414333"/>
    <w:rsid w:val="004143E3"/>
    <w:rsid w:val="0041445E"/>
    <w:rsid w:val="004144EE"/>
    <w:rsid w:val="004145AC"/>
    <w:rsid w:val="0041461E"/>
    <w:rsid w:val="0041462E"/>
    <w:rsid w:val="0041462F"/>
    <w:rsid w:val="00414706"/>
    <w:rsid w:val="0041471C"/>
    <w:rsid w:val="004148E6"/>
    <w:rsid w:val="00414A63"/>
    <w:rsid w:val="00414B54"/>
    <w:rsid w:val="00414C84"/>
    <w:rsid w:val="00414CA3"/>
    <w:rsid w:val="00414CAD"/>
    <w:rsid w:val="00414CDA"/>
    <w:rsid w:val="00414CE4"/>
    <w:rsid w:val="00414D7F"/>
    <w:rsid w:val="00414F43"/>
    <w:rsid w:val="00414F52"/>
    <w:rsid w:val="00414FA1"/>
    <w:rsid w:val="00414FB3"/>
    <w:rsid w:val="00415042"/>
    <w:rsid w:val="004150F0"/>
    <w:rsid w:val="0041514D"/>
    <w:rsid w:val="00415165"/>
    <w:rsid w:val="004151AD"/>
    <w:rsid w:val="00415249"/>
    <w:rsid w:val="00415299"/>
    <w:rsid w:val="004152CE"/>
    <w:rsid w:val="004152D3"/>
    <w:rsid w:val="00415361"/>
    <w:rsid w:val="00415384"/>
    <w:rsid w:val="004153B5"/>
    <w:rsid w:val="004154AE"/>
    <w:rsid w:val="00415547"/>
    <w:rsid w:val="00415570"/>
    <w:rsid w:val="0041566E"/>
    <w:rsid w:val="004157D2"/>
    <w:rsid w:val="004158D3"/>
    <w:rsid w:val="00415A06"/>
    <w:rsid w:val="00415A36"/>
    <w:rsid w:val="00415C24"/>
    <w:rsid w:val="00415C76"/>
    <w:rsid w:val="00415CA8"/>
    <w:rsid w:val="00415D02"/>
    <w:rsid w:val="00415E41"/>
    <w:rsid w:val="00415E70"/>
    <w:rsid w:val="00415FB1"/>
    <w:rsid w:val="0041601A"/>
    <w:rsid w:val="00416127"/>
    <w:rsid w:val="0041614A"/>
    <w:rsid w:val="0041624A"/>
    <w:rsid w:val="00416390"/>
    <w:rsid w:val="00416464"/>
    <w:rsid w:val="0041650F"/>
    <w:rsid w:val="00416549"/>
    <w:rsid w:val="00416552"/>
    <w:rsid w:val="00416566"/>
    <w:rsid w:val="0041656A"/>
    <w:rsid w:val="00416589"/>
    <w:rsid w:val="0041662F"/>
    <w:rsid w:val="00416719"/>
    <w:rsid w:val="004167B1"/>
    <w:rsid w:val="00416845"/>
    <w:rsid w:val="0041684E"/>
    <w:rsid w:val="004168B8"/>
    <w:rsid w:val="00416923"/>
    <w:rsid w:val="00416931"/>
    <w:rsid w:val="00416978"/>
    <w:rsid w:val="00416985"/>
    <w:rsid w:val="004169E6"/>
    <w:rsid w:val="00416B25"/>
    <w:rsid w:val="00416BB3"/>
    <w:rsid w:val="00416D7D"/>
    <w:rsid w:val="00416DB4"/>
    <w:rsid w:val="00416E12"/>
    <w:rsid w:val="00416E32"/>
    <w:rsid w:val="00416F23"/>
    <w:rsid w:val="00416FDA"/>
    <w:rsid w:val="00417063"/>
    <w:rsid w:val="00417174"/>
    <w:rsid w:val="00417235"/>
    <w:rsid w:val="004172C4"/>
    <w:rsid w:val="00417318"/>
    <w:rsid w:val="00417394"/>
    <w:rsid w:val="004173A2"/>
    <w:rsid w:val="004173B4"/>
    <w:rsid w:val="00417404"/>
    <w:rsid w:val="0041740A"/>
    <w:rsid w:val="004174C9"/>
    <w:rsid w:val="00417512"/>
    <w:rsid w:val="00417516"/>
    <w:rsid w:val="00417564"/>
    <w:rsid w:val="004176DB"/>
    <w:rsid w:val="004177FD"/>
    <w:rsid w:val="0041786C"/>
    <w:rsid w:val="00417957"/>
    <w:rsid w:val="00417B62"/>
    <w:rsid w:val="00417B76"/>
    <w:rsid w:val="00417C4E"/>
    <w:rsid w:val="00417C73"/>
    <w:rsid w:val="00417CA1"/>
    <w:rsid w:val="00417D05"/>
    <w:rsid w:val="00417D3F"/>
    <w:rsid w:val="00417F7F"/>
    <w:rsid w:val="00417FA3"/>
    <w:rsid w:val="0042002A"/>
    <w:rsid w:val="00420117"/>
    <w:rsid w:val="0042013F"/>
    <w:rsid w:val="00420168"/>
    <w:rsid w:val="00420195"/>
    <w:rsid w:val="00420244"/>
    <w:rsid w:val="0042037C"/>
    <w:rsid w:val="0042039B"/>
    <w:rsid w:val="00420403"/>
    <w:rsid w:val="00420513"/>
    <w:rsid w:val="00420545"/>
    <w:rsid w:val="004205A3"/>
    <w:rsid w:val="004205A8"/>
    <w:rsid w:val="004205AC"/>
    <w:rsid w:val="00420609"/>
    <w:rsid w:val="00420740"/>
    <w:rsid w:val="00420742"/>
    <w:rsid w:val="00420977"/>
    <w:rsid w:val="004209AD"/>
    <w:rsid w:val="00420A1E"/>
    <w:rsid w:val="00420A8E"/>
    <w:rsid w:val="00420B50"/>
    <w:rsid w:val="00420B91"/>
    <w:rsid w:val="00420BFA"/>
    <w:rsid w:val="00420C3A"/>
    <w:rsid w:val="00420D8F"/>
    <w:rsid w:val="00420DF0"/>
    <w:rsid w:val="00420F1B"/>
    <w:rsid w:val="00420F47"/>
    <w:rsid w:val="00420FC0"/>
    <w:rsid w:val="00420FF7"/>
    <w:rsid w:val="0042109B"/>
    <w:rsid w:val="004211D1"/>
    <w:rsid w:val="00421285"/>
    <w:rsid w:val="0042129D"/>
    <w:rsid w:val="004212A9"/>
    <w:rsid w:val="004213DB"/>
    <w:rsid w:val="00421404"/>
    <w:rsid w:val="00421435"/>
    <w:rsid w:val="00421439"/>
    <w:rsid w:val="00421537"/>
    <w:rsid w:val="00421553"/>
    <w:rsid w:val="0042157F"/>
    <w:rsid w:val="004215BF"/>
    <w:rsid w:val="00421675"/>
    <w:rsid w:val="00421683"/>
    <w:rsid w:val="00421691"/>
    <w:rsid w:val="004216FD"/>
    <w:rsid w:val="00421743"/>
    <w:rsid w:val="004217DF"/>
    <w:rsid w:val="004217EC"/>
    <w:rsid w:val="0042188F"/>
    <w:rsid w:val="00421895"/>
    <w:rsid w:val="0042189F"/>
    <w:rsid w:val="004218E6"/>
    <w:rsid w:val="004218F1"/>
    <w:rsid w:val="00421954"/>
    <w:rsid w:val="004219B6"/>
    <w:rsid w:val="004219F9"/>
    <w:rsid w:val="00421A39"/>
    <w:rsid w:val="00421A50"/>
    <w:rsid w:val="00421A57"/>
    <w:rsid w:val="00421A90"/>
    <w:rsid w:val="00421ADD"/>
    <w:rsid w:val="00421AE7"/>
    <w:rsid w:val="00421B33"/>
    <w:rsid w:val="00421B4C"/>
    <w:rsid w:val="00421B5C"/>
    <w:rsid w:val="00421B95"/>
    <w:rsid w:val="00421BD7"/>
    <w:rsid w:val="00421C08"/>
    <w:rsid w:val="00421C6A"/>
    <w:rsid w:val="00421DFB"/>
    <w:rsid w:val="00421EC6"/>
    <w:rsid w:val="00421F8F"/>
    <w:rsid w:val="0042203E"/>
    <w:rsid w:val="004220B1"/>
    <w:rsid w:val="004220EC"/>
    <w:rsid w:val="0042210A"/>
    <w:rsid w:val="00422115"/>
    <w:rsid w:val="0042214D"/>
    <w:rsid w:val="004221D3"/>
    <w:rsid w:val="0042221D"/>
    <w:rsid w:val="00422264"/>
    <w:rsid w:val="004223A8"/>
    <w:rsid w:val="004223F0"/>
    <w:rsid w:val="00422501"/>
    <w:rsid w:val="0042255E"/>
    <w:rsid w:val="00422566"/>
    <w:rsid w:val="0042258A"/>
    <w:rsid w:val="004225CF"/>
    <w:rsid w:val="00422607"/>
    <w:rsid w:val="0042265E"/>
    <w:rsid w:val="00422696"/>
    <w:rsid w:val="004226DE"/>
    <w:rsid w:val="004226E9"/>
    <w:rsid w:val="004228AA"/>
    <w:rsid w:val="00422944"/>
    <w:rsid w:val="004229AC"/>
    <w:rsid w:val="004229C0"/>
    <w:rsid w:val="00422A13"/>
    <w:rsid w:val="00422A16"/>
    <w:rsid w:val="00422A25"/>
    <w:rsid w:val="00422B97"/>
    <w:rsid w:val="00422E7D"/>
    <w:rsid w:val="00422F0E"/>
    <w:rsid w:val="004230CB"/>
    <w:rsid w:val="00423100"/>
    <w:rsid w:val="0042337C"/>
    <w:rsid w:val="004234D5"/>
    <w:rsid w:val="004234E3"/>
    <w:rsid w:val="004234FB"/>
    <w:rsid w:val="00423543"/>
    <w:rsid w:val="0042360B"/>
    <w:rsid w:val="004236B2"/>
    <w:rsid w:val="004236BF"/>
    <w:rsid w:val="00423707"/>
    <w:rsid w:val="0042379E"/>
    <w:rsid w:val="004237B9"/>
    <w:rsid w:val="0042386D"/>
    <w:rsid w:val="00423982"/>
    <w:rsid w:val="004239AA"/>
    <w:rsid w:val="00423ADF"/>
    <w:rsid w:val="00423BB1"/>
    <w:rsid w:val="00423BD1"/>
    <w:rsid w:val="00423D3D"/>
    <w:rsid w:val="00423D3E"/>
    <w:rsid w:val="00423D8F"/>
    <w:rsid w:val="00423E1F"/>
    <w:rsid w:val="00423E30"/>
    <w:rsid w:val="00423E42"/>
    <w:rsid w:val="00423E8A"/>
    <w:rsid w:val="00423F37"/>
    <w:rsid w:val="00423F86"/>
    <w:rsid w:val="00423FA7"/>
    <w:rsid w:val="0042411A"/>
    <w:rsid w:val="0042420F"/>
    <w:rsid w:val="004242BD"/>
    <w:rsid w:val="004243C8"/>
    <w:rsid w:val="004243CB"/>
    <w:rsid w:val="0042459A"/>
    <w:rsid w:val="004245CA"/>
    <w:rsid w:val="00424749"/>
    <w:rsid w:val="004247C1"/>
    <w:rsid w:val="0042488F"/>
    <w:rsid w:val="004248C1"/>
    <w:rsid w:val="00424907"/>
    <w:rsid w:val="0042493D"/>
    <w:rsid w:val="00424943"/>
    <w:rsid w:val="00424984"/>
    <w:rsid w:val="004249F8"/>
    <w:rsid w:val="00424B19"/>
    <w:rsid w:val="00424B6F"/>
    <w:rsid w:val="00424BE0"/>
    <w:rsid w:val="00424C95"/>
    <w:rsid w:val="00424CC1"/>
    <w:rsid w:val="00424CF6"/>
    <w:rsid w:val="00424F27"/>
    <w:rsid w:val="00424F62"/>
    <w:rsid w:val="0042508D"/>
    <w:rsid w:val="004251A2"/>
    <w:rsid w:val="004251D7"/>
    <w:rsid w:val="004251EF"/>
    <w:rsid w:val="004252CB"/>
    <w:rsid w:val="004252DF"/>
    <w:rsid w:val="004253AB"/>
    <w:rsid w:val="00425575"/>
    <w:rsid w:val="004255F0"/>
    <w:rsid w:val="00425667"/>
    <w:rsid w:val="00425690"/>
    <w:rsid w:val="00425736"/>
    <w:rsid w:val="004257D2"/>
    <w:rsid w:val="00425855"/>
    <w:rsid w:val="0042589F"/>
    <w:rsid w:val="004258A2"/>
    <w:rsid w:val="004258A6"/>
    <w:rsid w:val="00425A52"/>
    <w:rsid w:val="00425BB6"/>
    <w:rsid w:val="00425BFC"/>
    <w:rsid w:val="00425E9D"/>
    <w:rsid w:val="00425ECE"/>
    <w:rsid w:val="00425FB4"/>
    <w:rsid w:val="00425FC8"/>
    <w:rsid w:val="00426035"/>
    <w:rsid w:val="004260BF"/>
    <w:rsid w:val="004260C6"/>
    <w:rsid w:val="0042613E"/>
    <w:rsid w:val="0042618B"/>
    <w:rsid w:val="004261B3"/>
    <w:rsid w:val="004261F0"/>
    <w:rsid w:val="004262DC"/>
    <w:rsid w:val="0042638F"/>
    <w:rsid w:val="004263CD"/>
    <w:rsid w:val="00426532"/>
    <w:rsid w:val="00426533"/>
    <w:rsid w:val="004265DF"/>
    <w:rsid w:val="00426773"/>
    <w:rsid w:val="00426A3B"/>
    <w:rsid w:val="00426A52"/>
    <w:rsid w:val="00426A89"/>
    <w:rsid w:val="00426AF6"/>
    <w:rsid w:val="00426B0E"/>
    <w:rsid w:val="00426B22"/>
    <w:rsid w:val="00426BA3"/>
    <w:rsid w:val="00426BAF"/>
    <w:rsid w:val="00426D5E"/>
    <w:rsid w:val="00426D64"/>
    <w:rsid w:val="00426D71"/>
    <w:rsid w:val="00426E1D"/>
    <w:rsid w:val="00426EA3"/>
    <w:rsid w:val="00426F64"/>
    <w:rsid w:val="00426F80"/>
    <w:rsid w:val="00426FBF"/>
    <w:rsid w:val="00426FCC"/>
    <w:rsid w:val="00427020"/>
    <w:rsid w:val="00427281"/>
    <w:rsid w:val="00427338"/>
    <w:rsid w:val="00427460"/>
    <w:rsid w:val="0042750D"/>
    <w:rsid w:val="00427609"/>
    <w:rsid w:val="004276B7"/>
    <w:rsid w:val="004277DA"/>
    <w:rsid w:val="00427929"/>
    <w:rsid w:val="004279A7"/>
    <w:rsid w:val="00427B4F"/>
    <w:rsid w:val="00427B95"/>
    <w:rsid w:val="00427BA6"/>
    <w:rsid w:val="00427C53"/>
    <w:rsid w:val="00427CB8"/>
    <w:rsid w:val="00427CC9"/>
    <w:rsid w:val="00427CE5"/>
    <w:rsid w:val="00427D52"/>
    <w:rsid w:val="00427D98"/>
    <w:rsid w:val="00427DC4"/>
    <w:rsid w:val="00427DD3"/>
    <w:rsid w:val="00427DFB"/>
    <w:rsid w:val="00427F15"/>
    <w:rsid w:val="00427FF6"/>
    <w:rsid w:val="00430057"/>
    <w:rsid w:val="004300D8"/>
    <w:rsid w:val="00430106"/>
    <w:rsid w:val="00430134"/>
    <w:rsid w:val="004301D7"/>
    <w:rsid w:val="004301EB"/>
    <w:rsid w:val="004301F7"/>
    <w:rsid w:val="00430200"/>
    <w:rsid w:val="00430242"/>
    <w:rsid w:val="00430273"/>
    <w:rsid w:val="004302E8"/>
    <w:rsid w:val="004303E4"/>
    <w:rsid w:val="0043041E"/>
    <w:rsid w:val="00430458"/>
    <w:rsid w:val="00430487"/>
    <w:rsid w:val="004304EB"/>
    <w:rsid w:val="0043055D"/>
    <w:rsid w:val="00430589"/>
    <w:rsid w:val="004305DE"/>
    <w:rsid w:val="004306CF"/>
    <w:rsid w:val="00430718"/>
    <w:rsid w:val="00430745"/>
    <w:rsid w:val="0043080E"/>
    <w:rsid w:val="0043087D"/>
    <w:rsid w:val="004309AD"/>
    <w:rsid w:val="004309B0"/>
    <w:rsid w:val="004309CC"/>
    <w:rsid w:val="004309E0"/>
    <w:rsid w:val="00430A0A"/>
    <w:rsid w:val="00430A19"/>
    <w:rsid w:val="00430A83"/>
    <w:rsid w:val="00430AD2"/>
    <w:rsid w:val="00430B21"/>
    <w:rsid w:val="00430B91"/>
    <w:rsid w:val="00430BC5"/>
    <w:rsid w:val="00430BEF"/>
    <w:rsid w:val="00430BF4"/>
    <w:rsid w:val="00430CDF"/>
    <w:rsid w:val="00430D1B"/>
    <w:rsid w:val="00430F21"/>
    <w:rsid w:val="00430F69"/>
    <w:rsid w:val="00430FE3"/>
    <w:rsid w:val="004311B8"/>
    <w:rsid w:val="00431269"/>
    <w:rsid w:val="00431272"/>
    <w:rsid w:val="0043132D"/>
    <w:rsid w:val="00431363"/>
    <w:rsid w:val="0043139F"/>
    <w:rsid w:val="004313A1"/>
    <w:rsid w:val="004313E3"/>
    <w:rsid w:val="004313E9"/>
    <w:rsid w:val="00431445"/>
    <w:rsid w:val="0043144B"/>
    <w:rsid w:val="00431553"/>
    <w:rsid w:val="004316B7"/>
    <w:rsid w:val="004316EA"/>
    <w:rsid w:val="00431717"/>
    <w:rsid w:val="0043174C"/>
    <w:rsid w:val="004317A5"/>
    <w:rsid w:val="00431869"/>
    <w:rsid w:val="00431874"/>
    <w:rsid w:val="004319AD"/>
    <w:rsid w:val="004319D8"/>
    <w:rsid w:val="004319ED"/>
    <w:rsid w:val="004319FD"/>
    <w:rsid w:val="00431AC1"/>
    <w:rsid w:val="00431B0C"/>
    <w:rsid w:val="00431B17"/>
    <w:rsid w:val="00431B5A"/>
    <w:rsid w:val="00431C66"/>
    <w:rsid w:val="00431CBE"/>
    <w:rsid w:val="00431D50"/>
    <w:rsid w:val="00431DCB"/>
    <w:rsid w:val="00431EB5"/>
    <w:rsid w:val="00431F92"/>
    <w:rsid w:val="00431F9A"/>
    <w:rsid w:val="00431FC2"/>
    <w:rsid w:val="00432146"/>
    <w:rsid w:val="004322A1"/>
    <w:rsid w:val="004322B8"/>
    <w:rsid w:val="004322DD"/>
    <w:rsid w:val="00432329"/>
    <w:rsid w:val="0043247C"/>
    <w:rsid w:val="004324CF"/>
    <w:rsid w:val="004325B5"/>
    <w:rsid w:val="004325F9"/>
    <w:rsid w:val="004326DA"/>
    <w:rsid w:val="004327B8"/>
    <w:rsid w:val="0043286A"/>
    <w:rsid w:val="00432A35"/>
    <w:rsid w:val="00432A82"/>
    <w:rsid w:val="00432BAD"/>
    <w:rsid w:val="00432C08"/>
    <w:rsid w:val="00432C24"/>
    <w:rsid w:val="00432C69"/>
    <w:rsid w:val="00432CA9"/>
    <w:rsid w:val="00432CCE"/>
    <w:rsid w:val="00432CEF"/>
    <w:rsid w:val="00432DB9"/>
    <w:rsid w:val="00432E66"/>
    <w:rsid w:val="00433071"/>
    <w:rsid w:val="004330B7"/>
    <w:rsid w:val="00433143"/>
    <w:rsid w:val="00433167"/>
    <w:rsid w:val="00433191"/>
    <w:rsid w:val="004331AF"/>
    <w:rsid w:val="0043321A"/>
    <w:rsid w:val="0043322B"/>
    <w:rsid w:val="00433281"/>
    <w:rsid w:val="00433359"/>
    <w:rsid w:val="0043336A"/>
    <w:rsid w:val="00433493"/>
    <w:rsid w:val="004335B8"/>
    <w:rsid w:val="00433636"/>
    <w:rsid w:val="0043364B"/>
    <w:rsid w:val="00433671"/>
    <w:rsid w:val="004336AF"/>
    <w:rsid w:val="00433720"/>
    <w:rsid w:val="004337CB"/>
    <w:rsid w:val="00433816"/>
    <w:rsid w:val="00433A0B"/>
    <w:rsid w:val="00433A0F"/>
    <w:rsid w:val="00433A6D"/>
    <w:rsid w:val="00433BA3"/>
    <w:rsid w:val="00433BDA"/>
    <w:rsid w:val="00433C12"/>
    <w:rsid w:val="00433C42"/>
    <w:rsid w:val="00433C65"/>
    <w:rsid w:val="00433CB8"/>
    <w:rsid w:val="00433D6D"/>
    <w:rsid w:val="00433D91"/>
    <w:rsid w:val="00433DCB"/>
    <w:rsid w:val="00433E75"/>
    <w:rsid w:val="00433F55"/>
    <w:rsid w:val="00433F79"/>
    <w:rsid w:val="00433FFC"/>
    <w:rsid w:val="00434003"/>
    <w:rsid w:val="0043406B"/>
    <w:rsid w:val="00434239"/>
    <w:rsid w:val="0043426C"/>
    <w:rsid w:val="00434289"/>
    <w:rsid w:val="004342AF"/>
    <w:rsid w:val="004342B2"/>
    <w:rsid w:val="00434354"/>
    <w:rsid w:val="004344D5"/>
    <w:rsid w:val="004344FB"/>
    <w:rsid w:val="0043462A"/>
    <w:rsid w:val="0043468C"/>
    <w:rsid w:val="004346C3"/>
    <w:rsid w:val="00434721"/>
    <w:rsid w:val="00434756"/>
    <w:rsid w:val="0043478B"/>
    <w:rsid w:val="0043488B"/>
    <w:rsid w:val="004348C4"/>
    <w:rsid w:val="0043490B"/>
    <w:rsid w:val="00434920"/>
    <w:rsid w:val="0043492C"/>
    <w:rsid w:val="00434AA8"/>
    <w:rsid w:val="00434ACC"/>
    <w:rsid w:val="00434B47"/>
    <w:rsid w:val="00434C49"/>
    <w:rsid w:val="00434CE4"/>
    <w:rsid w:val="00434D1B"/>
    <w:rsid w:val="00434F09"/>
    <w:rsid w:val="00434F31"/>
    <w:rsid w:val="00435021"/>
    <w:rsid w:val="004350C0"/>
    <w:rsid w:val="0043517C"/>
    <w:rsid w:val="00435180"/>
    <w:rsid w:val="004351E9"/>
    <w:rsid w:val="00435224"/>
    <w:rsid w:val="0043536A"/>
    <w:rsid w:val="0043539E"/>
    <w:rsid w:val="004353A2"/>
    <w:rsid w:val="004353F9"/>
    <w:rsid w:val="00435417"/>
    <w:rsid w:val="00435483"/>
    <w:rsid w:val="0043550F"/>
    <w:rsid w:val="00435604"/>
    <w:rsid w:val="004356A6"/>
    <w:rsid w:val="0043589B"/>
    <w:rsid w:val="004358D7"/>
    <w:rsid w:val="004358DB"/>
    <w:rsid w:val="00435982"/>
    <w:rsid w:val="00435A06"/>
    <w:rsid w:val="00435A31"/>
    <w:rsid w:val="00435A80"/>
    <w:rsid w:val="00435AF2"/>
    <w:rsid w:val="00435BE9"/>
    <w:rsid w:val="00435BF5"/>
    <w:rsid w:val="00435CC5"/>
    <w:rsid w:val="00435D34"/>
    <w:rsid w:val="00435E52"/>
    <w:rsid w:val="00436066"/>
    <w:rsid w:val="004360EA"/>
    <w:rsid w:val="004360F0"/>
    <w:rsid w:val="004361C3"/>
    <w:rsid w:val="004362C1"/>
    <w:rsid w:val="00436396"/>
    <w:rsid w:val="00436626"/>
    <w:rsid w:val="004366E9"/>
    <w:rsid w:val="004366F6"/>
    <w:rsid w:val="0043672F"/>
    <w:rsid w:val="004367C0"/>
    <w:rsid w:val="004367C8"/>
    <w:rsid w:val="004367E2"/>
    <w:rsid w:val="004367FB"/>
    <w:rsid w:val="00436A12"/>
    <w:rsid w:val="00436A7E"/>
    <w:rsid w:val="00436B1C"/>
    <w:rsid w:val="00436C24"/>
    <w:rsid w:val="00436C54"/>
    <w:rsid w:val="00436C66"/>
    <w:rsid w:val="00436C88"/>
    <w:rsid w:val="00436CAD"/>
    <w:rsid w:val="00436D4B"/>
    <w:rsid w:val="00436D89"/>
    <w:rsid w:val="00436F2F"/>
    <w:rsid w:val="00436FAA"/>
    <w:rsid w:val="004370D5"/>
    <w:rsid w:val="0043713B"/>
    <w:rsid w:val="004371B6"/>
    <w:rsid w:val="004371C5"/>
    <w:rsid w:val="004372AB"/>
    <w:rsid w:val="004372BF"/>
    <w:rsid w:val="0043730E"/>
    <w:rsid w:val="00437424"/>
    <w:rsid w:val="00437473"/>
    <w:rsid w:val="0043759D"/>
    <w:rsid w:val="004375B5"/>
    <w:rsid w:val="0043771D"/>
    <w:rsid w:val="00437842"/>
    <w:rsid w:val="0043794E"/>
    <w:rsid w:val="00437999"/>
    <w:rsid w:val="004379B0"/>
    <w:rsid w:val="00437D68"/>
    <w:rsid w:val="00437D83"/>
    <w:rsid w:val="00437DBB"/>
    <w:rsid w:val="00437DE1"/>
    <w:rsid w:val="00437E12"/>
    <w:rsid w:val="00437E77"/>
    <w:rsid w:val="00437EF8"/>
    <w:rsid w:val="0044007C"/>
    <w:rsid w:val="004400D6"/>
    <w:rsid w:val="00440248"/>
    <w:rsid w:val="00440266"/>
    <w:rsid w:val="0044027D"/>
    <w:rsid w:val="00440422"/>
    <w:rsid w:val="00440433"/>
    <w:rsid w:val="0044046A"/>
    <w:rsid w:val="0044057E"/>
    <w:rsid w:val="004405E4"/>
    <w:rsid w:val="00440788"/>
    <w:rsid w:val="004407A7"/>
    <w:rsid w:val="004407F8"/>
    <w:rsid w:val="00440850"/>
    <w:rsid w:val="004409BE"/>
    <w:rsid w:val="00440B2E"/>
    <w:rsid w:val="00440B69"/>
    <w:rsid w:val="00440BFB"/>
    <w:rsid w:val="00440C0A"/>
    <w:rsid w:val="00440CE9"/>
    <w:rsid w:val="00440D31"/>
    <w:rsid w:val="00440E31"/>
    <w:rsid w:val="00440E93"/>
    <w:rsid w:val="00440F46"/>
    <w:rsid w:val="0044106E"/>
    <w:rsid w:val="00441094"/>
    <w:rsid w:val="004410F0"/>
    <w:rsid w:val="00441130"/>
    <w:rsid w:val="004411E5"/>
    <w:rsid w:val="004411EC"/>
    <w:rsid w:val="00441343"/>
    <w:rsid w:val="0044149D"/>
    <w:rsid w:val="004414E9"/>
    <w:rsid w:val="004415A7"/>
    <w:rsid w:val="00441648"/>
    <w:rsid w:val="004416FE"/>
    <w:rsid w:val="0044177E"/>
    <w:rsid w:val="004417A4"/>
    <w:rsid w:val="004417D1"/>
    <w:rsid w:val="0044187D"/>
    <w:rsid w:val="0044190C"/>
    <w:rsid w:val="00441AC5"/>
    <w:rsid w:val="00441B5A"/>
    <w:rsid w:val="00441B6B"/>
    <w:rsid w:val="00441BDB"/>
    <w:rsid w:val="00441C2C"/>
    <w:rsid w:val="00441CCF"/>
    <w:rsid w:val="00441CE0"/>
    <w:rsid w:val="00441D34"/>
    <w:rsid w:val="00441DC7"/>
    <w:rsid w:val="00441DE5"/>
    <w:rsid w:val="00441E0C"/>
    <w:rsid w:val="00441E6B"/>
    <w:rsid w:val="00441EB7"/>
    <w:rsid w:val="00441F2A"/>
    <w:rsid w:val="00441F63"/>
    <w:rsid w:val="00441F8E"/>
    <w:rsid w:val="00442116"/>
    <w:rsid w:val="004421BA"/>
    <w:rsid w:val="004421D3"/>
    <w:rsid w:val="00442356"/>
    <w:rsid w:val="004423E6"/>
    <w:rsid w:val="00442432"/>
    <w:rsid w:val="00442491"/>
    <w:rsid w:val="004424F8"/>
    <w:rsid w:val="004424FD"/>
    <w:rsid w:val="004426F8"/>
    <w:rsid w:val="004427EE"/>
    <w:rsid w:val="00442818"/>
    <w:rsid w:val="00442822"/>
    <w:rsid w:val="00442A8A"/>
    <w:rsid w:val="00442A94"/>
    <w:rsid w:val="00442AE2"/>
    <w:rsid w:val="00442AE8"/>
    <w:rsid w:val="00442C3B"/>
    <w:rsid w:val="00442CDB"/>
    <w:rsid w:val="00442D01"/>
    <w:rsid w:val="00442D96"/>
    <w:rsid w:val="00442E05"/>
    <w:rsid w:val="00442EC7"/>
    <w:rsid w:val="00442F12"/>
    <w:rsid w:val="00442F48"/>
    <w:rsid w:val="00442FDF"/>
    <w:rsid w:val="00442FF6"/>
    <w:rsid w:val="00443003"/>
    <w:rsid w:val="0044300A"/>
    <w:rsid w:val="00443015"/>
    <w:rsid w:val="004430A1"/>
    <w:rsid w:val="004430DA"/>
    <w:rsid w:val="004430E1"/>
    <w:rsid w:val="00443117"/>
    <w:rsid w:val="004431D1"/>
    <w:rsid w:val="004431ED"/>
    <w:rsid w:val="00443216"/>
    <w:rsid w:val="00443286"/>
    <w:rsid w:val="00443304"/>
    <w:rsid w:val="00443349"/>
    <w:rsid w:val="00443464"/>
    <w:rsid w:val="004434AE"/>
    <w:rsid w:val="004434E7"/>
    <w:rsid w:val="004435AC"/>
    <w:rsid w:val="0044363D"/>
    <w:rsid w:val="00443684"/>
    <w:rsid w:val="004436E0"/>
    <w:rsid w:val="0044378F"/>
    <w:rsid w:val="00443815"/>
    <w:rsid w:val="0044399B"/>
    <w:rsid w:val="00443A13"/>
    <w:rsid w:val="00443B7B"/>
    <w:rsid w:val="00443B95"/>
    <w:rsid w:val="00443C87"/>
    <w:rsid w:val="00443C88"/>
    <w:rsid w:val="00443CBB"/>
    <w:rsid w:val="00443CD6"/>
    <w:rsid w:val="00443D27"/>
    <w:rsid w:val="00443D70"/>
    <w:rsid w:val="00443E78"/>
    <w:rsid w:val="00443ECE"/>
    <w:rsid w:val="00443F7E"/>
    <w:rsid w:val="0044400B"/>
    <w:rsid w:val="004440C2"/>
    <w:rsid w:val="0044427D"/>
    <w:rsid w:val="0044438E"/>
    <w:rsid w:val="0044440B"/>
    <w:rsid w:val="00444426"/>
    <w:rsid w:val="0044457F"/>
    <w:rsid w:val="004445D2"/>
    <w:rsid w:val="004446F1"/>
    <w:rsid w:val="0044477E"/>
    <w:rsid w:val="004447C3"/>
    <w:rsid w:val="004447E3"/>
    <w:rsid w:val="004448B7"/>
    <w:rsid w:val="004449CB"/>
    <w:rsid w:val="00444A7D"/>
    <w:rsid w:val="00444AB4"/>
    <w:rsid w:val="00444AC5"/>
    <w:rsid w:val="00444B9E"/>
    <w:rsid w:val="00444C3D"/>
    <w:rsid w:val="00444C79"/>
    <w:rsid w:val="00444CBD"/>
    <w:rsid w:val="00444D22"/>
    <w:rsid w:val="00444D44"/>
    <w:rsid w:val="00444DFB"/>
    <w:rsid w:val="00444E30"/>
    <w:rsid w:val="00444E9A"/>
    <w:rsid w:val="00444F2A"/>
    <w:rsid w:val="00444F6F"/>
    <w:rsid w:val="00444FAE"/>
    <w:rsid w:val="00444FBC"/>
    <w:rsid w:val="00445007"/>
    <w:rsid w:val="00445082"/>
    <w:rsid w:val="00445197"/>
    <w:rsid w:val="004451B4"/>
    <w:rsid w:val="004451BD"/>
    <w:rsid w:val="004451E5"/>
    <w:rsid w:val="0044520A"/>
    <w:rsid w:val="00445241"/>
    <w:rsid w:val="00445284"/>
    <w:rsid w:val="004452A3"/>
    <w:rsid w:val="0044530F"/>
    <w:rsid w:val="0044531C"/>
    <w:rsid w:val="00445441"/>
    <w:rsid w:val="00445452"/>
    <w:rsid w:val="004454AB"/>
    <w:rsid w:val="0044559A"/>
    <w:rsid w:val="004455AD"/>
    <w:rsid w:val="004456D4"/>
    <w:rsid w:val="004456D8"/>
    <w:rsid w:val="00445706"/>
    <w:rsid w:val="00445755"/>
    <w:rsid w:val="0044575A"/>
    <w:rsid w:val="00445803"/>
    <w:rsid w:val="0044582A"/>
    <w:rsid w:val="0044583F"/>
    <w:rsid w:val="00445863"/>
    <w:rsid w:val="00445B14"/>
    <w:rsid w:val="00445BB0"/>
    <w:rsid w:val="00445C1E"/>
    <w:rsid w:val="00445CA2"/>
    <w:rsid w:val="00445D2A"/>
    <w:rsid w:val="00445DBC"/>
    <w:rsid w:val="00445E25"/>
    <w:rsid w:val="00445F40"/>
    <w:rsid w:val="00445F49"/>
    <w:rsid w:val="00445F57"/>
    <w:rsid w:val="00445FA4"/>
    <w:rsid w:val="0044600D"/>
    <w:rsid w:val="00446083"/>
    <w:rsid w:val="004460EC"/>
    <w:rsid w:val="00446195"/>
    <w:rsid w:val="004461A5"/>
    <w:rsid w:val="004461B3"/>
    <w:rsid w:val="004461CD"/>
    <w:rsid w:val="0044624D"/>
    <w:rsid w:val="00446396"/>
    <w:rsid w:val="004463EC"/>
    <w:rsid w:val="00446421"/>
    <w:rsid w:val="00446479"/>
    <w:rsid w:val="0044651C"/>
    <w:rsid w:val="00446522"/>
    <w:rsid w:val="00446585"/>
    <w:rsid w:val="004465A7"/>
    <w:rsid w:val="004465DA"/>
    <w:rsid w:val="00446612"/>
    <w:rsid w:val="0044664F"/>
    <w:rsid w:val="004466A9"/>
    <w:rsid w:val="004466BD"/>
    <w:rsid w:val="004466D1"/>
    <w:rsid w:val="00446795"/>
    <w:rsid w:val="004467E1"/>
    <w:rsid w:val="004467FC"/>
    <w:rsid w:val="00446853"/>
    <w:rsid w:val="00446935"/>
    <w:rsid w:val="0044697C"/>
    <w:rsid w:val="004469DD"/>
    <w:rsid w:val="00446A33"/>
    <w:rsid w:val="00446B1A"/>
    <w:rsid w:val="00446B28"/>
    <w:rsid w:val="00446B3F"/>
    <w:rsid w:val="00446B43"/>
    <w:rsid w:val="00446BF1"/>
    <w:rsid w:val="00446C08"/>
    <w:rsid w:val="00446C27"/>
    <w:rsid w:val="00446EE2"/>
    <w:rsid w:val="00446EF2"/>
    <w:rsid w:val="00446F7D"/>
    <w:rsid w:val="004470D8"/>
    <w:rsid w:val="00447115"/>
    <w:rsid w:val="00447136"/>
    <w:rsid w:val="004471AA"/>
    <w:rsid w:val="004471D9"/>
    <w:rsid w:val="0044720C"/>
    <w:rsid w:val="00447229"/>
    <w:rsid w:val="00447343"/>
    <w:rsid w:val="0044738A"/>
    <w:rsid w:val="004473C3"/>
    <w:rsid w:val="00447413"/>
    <w:rsid w:val="00447499"/>
    <w:rsid w:val="0044753E"/>
    <w:rsid w:val="0044757B"/>
    <w:rsid w:val="00447599"/>
    <w:rsid w:val="004476A1"/>
    <w:rsid w:val="004476B9"/>
    <w:rsid w:val="004476DC"/>
    <w:rsid w:val="00447894"/>
    <w:rsid w:val="00447909"/>
    <w:rsid w:val="0044792C"/>
    <w:rsid w:val="00447952"/>
    <w:rsid w:val="00447964"/>
    <w:rsid w:val="00447970"/>
    <w:rsid w:val="00447A1E"/>
    <w:rsid w:val="00447B02"/>
    <w:rsid w:val="00447B35"/>
    <w:rsid w:val="00447C07"/>
    <w:rsid w:val="00447C5B"/>
    <w:rsid w:val="00447CC1"/>
    <w:rsid w:val="00447E4E"/>
    <w:rsid w:val="00447F6E"/>
    <w:rsid w:val="00450044"/>
    <w:rsid w:val="0045005F"/>
    <w:rsid w:val="0045008C"/>
    <w:rsid w:val="0045014E"/>
    <w:rsid w:val="004501A9"/>
    <w:rsid w:val="00450217"/>
    <w:rsid w:val="004502B1"/>
    <w:rsid w:val="004502C4"/>
    <w:rsid w:val="0045031E"/>
    <w:rsid w:val="004503A4"/>
    <w:rsid w:val="00450499"/>
    <w:rsid w:val="004504BE"/>
    <w:rsid w:val="004504BF"/>
    <w:rsid w:val="004504E5"/>
    <w:rsid w:val="004504F0"/>
    <w:rsid w:val="0045067A"/>
    <w:rsid w:val="00450751"/>
    <w:rsid w:val="004507A8"/>
    <w:rsid w:val="0045082D"/>
    <w:rsid w:val="004509DA"/>
    <w:rsid w:val="00450A7B"/>
    <w:rsid w:val="00450AFC"/>
    <w:rsid w:val="00450BE2"/>
    <w:rsid w:val="00450DDA"/>
    <w:rsid w:val="00450E4C"/>
    <w:rsid w:val="00450E91"/>
    <w:rsid w:val="00450F1E"/>
    <w:rsid w:val="00450FB2"/>
    <w:rsid w:val="00450FB4"/>
    <w:rsid w:val="00451044"/>
    <w:rsid w:val="0045110D"/>
    <w:rsid w:val="00451115"/>
    <w:rsid w:val="00451145"/>
    <w:rsid w:val="00451216"/>
    <w:rsid w:val="00451236"/>
    <w:rsid w:val="00451244"/>
    <w:rsid w:val="0045136D"/>
    <w:rsid w:val="00451373"/>
    <w:rsid w:val="00451381"/>
    <w:rsid w:val="004513AF"/>
    <w:rsid w:val="00451425"/>
    <w:rsid w:val="00451446"/>
    <w:rsid w:val="00451473"/>
    <w:rsid w:val="00451684"/>
    <w:rsid w:val="00451840"/>
    <w:rsid w:val="0045189E"/>
    <w:rsid w:val="004518F4"/>
    <w:rsid w:val="00451905"/>
    <w:rsid w:val="004519A6"/>
    <w:rsid w:val="004519DE"/>
    <w:rsid w:val="00451A06"/>
    <w:rsid w:val="00451A4E"/>
    <w:rsid w:val="00451AE5"/>
    <w:rsid w:val="00451B57"/>
    <w:rsid w:val="00451BFE"/>
    <w:rsid w:val="00451D1C"/>
    <w:rsid w:val="00451D25"/>
    <w:rsid w:val="00451DA0"/>
    <w:rsid w:val="00451DB8"/>
    <w:rsid w:val="00451DCB"/>
    <w:rsid w:val="00451DD6"/>
    <w:rsid w:val="00451E71"/>
    <w:rsid w:val="00451F65"/>
    <w:rsid w:val="00451FA1"/>
    <w:rsid w:val="00452030"/>
    <w:rsid w:val="00452124"/>
    <w:rsid w:val="004521FD"/>
    <w:rsid w:val="00452281"/>
    <w:rsid w:val="0045228C"/>
    <w:rsid w:val="0045229B"/>
    <w:rsid w:val="0045232D"/>
    <w:rsid w:val="00452386"/>
    <w:rsid w:val="004525AC"/>
    <w:rsid w:val="0045266E"/>
    <w:rsid w:val="0045272D"/>
    <w:rsid w:val="00452760"/>
    <w:rsid w:val="004527C0"/>
    <w:rsid w:val="0045285D"/>
    <w:rsid w:val="00452863"/>
    <w:rsid w:val="00452895"/>
    <w:rsid w:val="00452979"/>
    <w:rsid w:val="00452992"/>
    <w:rsid w:val="004529D2"/>
    <w:rsid w:val="00452A44"/>
    <w:rsid w:val="00452AAB"/>
    <w:rsid w:val="00452ACD"/>
    <w:rsid w:val="00452C6A"/>
    <w:rsid w:val="00452D7B"/>
    <w:rsid w:val="00452DD4"/>
    <w:rsid w:val="00452DF9"/>
    <w:rsid w:val="00452EAB"/>
    <w:rsid w:val="00452EB1"/>
    <w:rsid w:val="00452EC3"/>
    <w:rsid w:val="00452F4C"/>
    <w:rsid w:val="00452F9A"/>
    <w:rsid w:val="0045301E"/>
    <w:rsid w:val="0045304A"/>
    <w:rsid w:val="00453086"/>
    <w:rsid w:val="00453258"/>
    <w:rsid w:val="004532DE"/>
    <w:rsid w:val="0045339B"/>
    <w:rsid w:val="004533FD"/>
    <w:rsid w:val="00453403"/>
    <w:rsid w:val="0045343C"/>
    <w:rsid w:val="00453498"/>
    <w:rsid w:val="004534D2"/>
    <w:rsid w:val="00453508"/>
    <w:rsid w:val="0045361E"/>
    <w:rsid w:val="00453685"/>
    <w:rsid w:val="004536B2"/>
    <w:rsid w:val="00453731"/>
    <w:rsid w:val="004539AA"/>
    <w:rsid w:val="004539B0"/>
    <w:rsid w:val="00453A5C"/>
    <w:rsid w:val="00453AF3"/>
    <w:rsid w:val="00453B30"/>
    <w:rsid w:val="00453C1D"/>
    <w:rsid w:val="00453C29"/>
    <w:rsid w:val="00453D8F"/>
    <w:rsid w:val="00453DD1"/>
    <w:rsid w:val="0045407D"/>
    <w:rsid w:val="0045414F"/>
    <w:rsid w:val="004541A4"/>
    <w:rsid w:val="004541BB"/>
    <w:rsid w:val="004541DC"/>
    <w:rsid w:val="0045436E"/>
    <w:rsid w:val="00454434"/>
    <w:rsid w:val="00454486"/>
    <w:rsid w:val="00454548"/>
    <w:rsid w:val="00454595"/>
    <w:rsid w:val="0045461B"/>
    <w:rsid w:val="0045462A"/>
    <w:rsid w:val="00454635"/>
    <w:rsid w:val="004546B0"/>
    <w:rsid w:val="004546DB"/>
    <w:rsid w:val="004546E0"/>
    <w:rsid w:val="00454722"/>
    <w:rsid w:val="00454790"/>
    <w:rsid w:val="004549C0"/>
    <w:rsid w:val="004549C2"/>
    <w:rsid w:val="004549C7"/>
    <w:rsid w:val="004549DA"/>
    <w:rsid w:val="00454A6E"/>
    <w:rsid w:val="00454B0A"/>
    <w:rsid w:val="00454B1A"/>
    <w:rsid w:val="00454BA7"/>
    <w:rsid w:val="00454C74"/>
    <w:rsid w:val="00454CCE"/>
    <w:rsid w:val="00454D93"/>
    <w:rsid w:val="00454F76"/>
    <w:rsid w:val="00455005"/>
    <w:rsid w:val="00455031"/>
    <w:rsid w:val="00455039"/>
    <w:rsid w:val="0045505F"/>
    <w:rsid w:val="0045509F"/>
    <w:rsid w:val="004550E0"/>
    <w:rsid w:val="004551FF"/>
    <w:rsid w:val="00455268"/>
    <w:rsid w:val="00455292"/>
    <w:rsid w:val="00455373"/>
    <w:rsid w:val="004553CA"/>
    <w:rsid w:val="004553D8"/>
    <w:rsid w:val="00455406"/>
    <w:rsid w:val="0045543E"/>
    <w:rsid w:val="0045554D"/>
    <w:rsid w:val="004555B8"/>
    <w:rsid w:val="004555D9"/>
    <w:rsid w:val="00455715"/>
    <w:rsid w:val="004557C5"/>
    <w:rsid w:val="004557CE"/>
    <w:rsid w:val="00455912"/>
    <w:rsid w:val="00455923"/>
    <w:rsid w:val="00455AC7"/>
    <w:rsid w:val="00455B10"/>
    <w:rsid w:val="00455B2B"/>
    <w:rsid w:val="00455BE1"/>
    <w:rsid w:val="00455D60"/>
    <w:rsid w:val="00455E45"/>
    <w:rsid w:val="00455E56"/>
    <w:rsid w:val="00455FAA"/>
    <w:rsid w:val="00455FDC"/>
    <w:rsid w:val="0045604A"/>
    <w:rsid w:val="00456096"/>
    <w:rsid w:val="00456254"/>
    <w:rsid w:val="00456262"/>
    <w:rsid w:val="00456323"/>
    <w:rsid w:val="0045647D"/>
    <w:rsid w:val="004564C9"/>
    <w:rsid w:val="004564E2"/>
    <w:rsid w:val="00456562"/>
    <w:rsid w:val="004565DC"/>
    <w:rsid w:val="00456603"/>
    <w:rsid w:val="00456665"/>
    <w:rsid w:val="004566A0"/>
    <w:rsid w:val="004566A7"/>
    <w:rsid w:val="00456702"/>
    <w:rsid w:val="00456789"/>
    <w:rsid w:val="004567D5"/>
    <w:rsid w:val="00456819"/>
    <w:rsid w:val="0045687A"/>
    <w:rsid w:val="004568DB"/>
    <w:rsid w:val="004568EF"/>
    <w:rsid w:val="004569D6"/>
    <w:rsid w:val="004569EE"/>
    <w:rsid w:val="00456A17"/>
    <w:rsid w:val="00456A3E"/>
    <w:rsid w:val="00456A7F"/>
    <w:rsid w:val="00456AD5"/>
    <w:rsid w:val="00456AFE"/>
    <w:rsid w:val="00456B78"/>
    <w:rsid w:val="00456BA4"/>
    <w:rsid w:val="00456C6E"/>
    <w:rsid w:val="00456CF2"/>
    <w:rsid w:val="00456D25"/>
    <w:rsid w:val="00456D33"/>
    <w:rsid w:val="00456D41"/>
    <w:rsid w:val="00456D6E"/>
    <w:rsid w:val="00456E44"/>
    <w:rsid w:val="00456ECD"/>
    <w:rsid w:val="00456F11"/>
    <w:rsid w:val="00456F8C"/>
    <w:rsid w:val="00456FED"/>
    <w:rsid w:val="004570C1"/>
    <w:rsid w:val="00457308"/>
    <w:rsid w:val="0045737D"/>
    <w:rsid w:val="00457388"/>
    <w:rsid w:val="0045738E"/>
    <w:rsid w:val="0045745B"/>
    <w:rsid w:val="00457544"/>
    <w:rsid w:val="00457597"/>
    <w:rsid w:val="004576D2"/>
    <w:rsid w:val="004576E2"/>
    <w:rsid w:val="004576FD"/>
    <w:rsid w:val="00457747"/>
    <w:rsid w:val="0045778F"/>
    <w:rsid w:val="004577CC"/>
    <w:rsid w:val="0045786D"/>
    <w:rsid w:val="00457910"/>
    <w:rsid w:val="00457914"/>
    <w:rsid w:val="0045791D"/>
    <w:rsid w:val="00457B95"/>
    <w:rsid w:val="00457BF1"/>
    <w:rsid w:val="00457CC0"/>
    <w:rsid w:val="00457D19"/>
    <w:rsid w:val="00457D36"/>
    <w:rsid w:val="00457D37"/>
    <w:rsid w:val="00457D8C"/>
    <w:rsid w:val="00457E06"/>
    <w:rsid w:val="00457F04"/>
    <w:rsid w:val="00457F27"/>
    <w:rsid w:val="00457F52"/>
    <w:rsid w:val="00460022"/>
    <w:rsid w:val="00460041"/>
    <w:rsid w:val="00460134"/>
    <w:rsid w:val="00460263"/>
    <w:rsid w:val="004602E3"/>
    <w:rsid w:val="0046034D"/>
    <w:rsid w:val="0046046A"/>
    <w:rsid w:val="00460477"/>
    <w:rsid w:val="00460486"/>
    <w:rsid w:val="004604B0"/>
    <w:rsid w:val="004605D2"/>
    <w:rsid w:val="004605D8"/>
    <w:rsid w:val="004605ED"/>
    <w:rsid w:val="00460693"/>
    <w:rsid w:val="004606FB"/>
    <w:rsid w:val="00460750"/>
    <w:rsid w:val="00460804"/>
    <w:rsid w:val="00460854"/>
    <w:rsid w:val="00460871"/>
    <w:rsid w:val="004608B6"/>
    <w:rsid w:val="004608E1"/>
    <w:rsid w:val="00460927"/>
    <w:rsid w:val="00460948"/>
    <w:rsid w:val="00460A4D"/>
    <w:rsid w:val="00460B03"/>
    <w:rsid w:val="00460B24"/>
    <w:rsid w:val="00460BA4"/>
    <w:rsid w:val="00460BAB"/>
    <w:rsid w:val="00460C6F"/>
    <w:rsid w:val="00460CC0"/>
    <w:rsid w:val="00460E2E"/>
    <w:rsid w:val="00460E32"/>
    <w:rsid w:val="00460E7A"/>
    <w:rsid w:val="00460ED8"/>
    <w:rsid w:val="00460F37"/>
    <w:rsid w:val="00460F53"/>
    <w:rsid w:val="00460FBF"/>
    <w:rsid w:val="00460FE2"/>
    <w:rsid w:val="00461003"/>
    <w:rsid w:val="00461058"/>
    <w:rsid w:val="004610A4"/>
    <w:rsid w:val="00461120"/>
    <w:rsid w:val="004611B3"/>
    <w:rsid w:val="004611C4"/>
    <w:rsid w:val="00461273"/>
    <w:rsid w:val="004612CE"/>
    <w:rsid w:val="00461372"/>
    <w:rsid w:val="004613F9"/>
    <w:rsid w:val="004613FC"/>
    <w:rsid w:val="00461452"/>
    <w:rsid w:val="004615F9"/>
    <w:rsid w:val="0046160B"/>
    <w:rsid w:val="0046162D"/>
    <w:rsid w:val="00461719"/>
    <w:rsid w:val="004617B9"/>
    <w:rsid w:val="004617BD"/>
    <w:rsid w:val="004618D8"/>
    <w:rsid w:val="00461977"/>
    <w:rsid w:val="00461980"/>
    <w:rsid w:val="004619B3"/>
    <w:rsid w:val="00461A9C"/>
    <w:rsid w:val="0046200B"/>
    <w:rsid w:val="0046200C"/>
    <w:rsid w:val="00462029"/>
    <w:rsid w:val="0046215B"/>
    <w:rsid w:val="004621A5"/>
    <w:rsid w:val="004621DA"/>
    <w:rsid w:val="00462379"/>
    <w:rsid w:val="004623DD"/>
    <w:rsid w:val="00462401"/>
    <w:rsid w:val="0046241D"/>
    <w:rsid w:val="00462436"/>
    <w:rsid w:val="004625B9"/>
    <w:rsid w:val="0046272C"/>
    <w:rsid w:val="004627D5"/>
    <w:rsid w:val="00462800"/>
    <w:rsid w:val="00462867"/>
    <w:rsid w:val="00462A93"/>
    <w:rsid w:val="00462BAD"/>
    <w:rsid w:val="00462C4F"/>
    <w:rsid w:val="00462CDF"/>
    <w:rsid w:val="00462D68"/>
    <w:rsid w:val="00462D7D"/>
    <w:rsid w:val="00462DC4"/>
    <w:rsid w:val="00462F19"/>
    <w:rsid w:val="00462F61"/>
    <w:rsid w:val="00463007"/>
    <w:rsid w:val="00463072"/>
    <w:rsid w:val="00463145"/>
    <w:rsid w:val="00463290"/>
    <w:rsid w:val="0046335A"/>
    <w:rsid w:val="0046336A"/>
    <w:rsid w:val="004634D7"/>
    <w:rsid w:val="00463507"/>
    <w:rsid w:val="004636AE"/>
    <w:rsid w:val="00463717"/>
    <w:rsid w:val="00463746"/>
    <w:rsid w:val="00463829"/>
    <w:rsid w:val="0046385D"/>
    <w:rsid w:val="0046387A"/>
    <w:rsid w:val="004638CB"/>
    <w:rsid w:val="00463916"/>
    <w:rsid w:val="00463A2C"/>
    <w:rsid w:val="00463A73"/>
    <w:rsid w:val="00463B56"/>
    <w:rsid w:val="00463BDE"/>
    <w:rsid w:val="00463C09"/>
    <w:rsid w:val="00463DF6"/>
    <w:rsid w:val="00463EBA"/>
    <w:rsid w:val="00463EDA"/>
    <w:rsid w:val="00463F06"/>
    <w:rsid w:val="00463F24"/>
    <w:rsid w:val="00463FF6"/>
    <w:rsid w:val="00464049"/>
    <w:rsid w:val="004641F8"/>
    <w:rsid w:val="004642BA"/>
    <w:rsid w:val="004642F6"/>
    <w:rsid w:val="00464308"/>
    <w:rsid w:val="004643F7"/>
    <w:rsid w:val="00464426"/>
    <w:rsid w:val="00464437"/>
    <w:rsid w:val="00464499"/>
    <w:rsid w:val="0046461E"/>
    <w:rsid w:val="00464668"/>
    <w:rsid w:val="004646A3"/>
    <w:rsid w:val="00464748"/>
    <w:rsid w:val="00464751"/>
    <w:rsid w:val="0046478D"/>
    <w:rsid w:val="004647A1"/>
    <w:rsid w:val="00464816"/>
    <w:rsid w:val="0046483B"/>
    <w:rsid w:val="00464845"/>
    <w:rsid w:val="00464874"/>
    <w:rsid w:val="004648D7"/>
    <w:rsid w:val="00464950"/>
    <w:rsid w:val="004649C1"/>
    <w:rsid w:val="004649D5"/>
    <w:rsid w:val="00464BB5"/>
    <w:rsid w:val="00464CD7"/>
    <w:rsid w:val="00464D22"/>
    <w:rsid w:val="00464DD3"/>
    <w:rsid w:val="00464E3C"/>
    <w:rsid w:val="00464E41"/>
    <w:rsid w:val="00464E53"/>
    <w:rsid w:val="00464E7D"/>
    <w:rsid w:val="00464EF2"/>
    <w:rsid w:val="00464F17"/>
    <w:rsid w:val="00464F6D"/>
    <w:rsid w:val="004650A9"/>
    <w:rsid w:val="004650CC"/>
    <w:rsid w:val="00465123"/>
    <w:rsid w:val="0046513D"/>
    <w:rsid w:val="004651B7"/>
    <w:rsid w:val="0046527C"/>
    <w:rsid w:val="00465293"/>
    <w:rsid w:val="00465506"/>
    <w:rsid w:val="0046551C"/>
    <w:rsid w:val="0046554B"/>
    <w:rsid w:val="004655BC"/>
    <w:rsid w:val="004655D1"/>
    <w:rsid w:val="004656A9"/>
    <w:rsid w:val="004656E8"/>
    <w:rsid w:val="00465753"/>
    <w:rsid w:val="00465810"/>
    <w:rsid w:val="00465A02"/>
    <w:rsid w:val="00465A6F"/>
    <w:rsid w:val="00465AD8"/>
    <w:rsid w:val="00465ADD"/>
    <w:rsid w:val="00465B92"/>
    <w:rsid w:val="00465BAC"/>
    <w:rsid w:val="00465C27"/>
    <w:rsid w:val="00465CF3"/>
    <w:rsid w:val="00465D31"/>
    <w:rsid w:val="00465EAE"/>
    <w:rsid w:val="00465EB7"/>
    <w:rsid w:val="00465EBC"/>
    <w:rsid w:val="00465EF3"/>
    <w:rsid w:val="00465F3E"/>
    <w:rsid w:val="00465F85"/>
    <w:rsid w:val="00466063"/>
    <w:rsid w:val="00466065"/>
    <w:rsid w:val="00466118"/>
    <w:rsid w:val="00466134"/>
    <w:rsid w:val="00466236"/>
    <w:rsid w:val="0046626B"/>
    <w:rsid w:val="004662C5"/>
    <w:rsid w:val="00466346"/>
    <w:rsid w:val="00466371"/>
    <w:rsid w:val="004663BD"/>
    <w:rsid w:val="00466403"/>
    <w:rsid w:val="00466431"/>
    <w:rsid w:val="004664CD"/>
    <w:rsid w:val="00466508"/>
    <w:rsid w:val="004665A5"/>
    <w:rsid w:val="004665D7"/>
    <w:rsid w:val="004666A5"/>
    <w:rsid w:val="004666C4"/>
    <w:rsid w:val="00466731"/>
    <w:rsid w:val="00466792"/>
    <w:rsid w:val="004667EC"/>
    <w:rsid w:val="0046683B"/>
    <w:rsid w:val="004668A3"/>
    <w:rsid w:val="004668AD"/>
    <w:rsid w:val="0046690D"/>
    <w:rsid w:val="004669F3"/>
    <w:rsid w:val="00466A3E"/>
    <w:rsid w:val="00466A7B"/>
    <w:rsid w:val="00466A87"/>
    <w:rsid w:val="00466B53"/>
    <w:rsid w:val="00466BC6"/>
    <w:rsid w:val="00466C2A"/>
    <w:rsid w:val="00466D95"/>
    <w:rsid w:val="00466DEB"/>
    <w:rsid w:val="00466E67"/>
    <w:rsid w:val="00466ECC"/>
    <w:rsid w:val="00466F44"/>
    <w:rsid w:val="00466F4B"/>
    <w:rsid w:val="0046700B"/>
    <w:rsid w:val="00467031"/>
    <w:rsid w:val="0046708B"/>
    <w:rsid w:val="004670AB"/>
    <w:rsid w:val="004670AF"/>
    <w:rsid w:val="004670FD"/>
    <w:rsid w:val="004671E0"/>
    <w:rsid w:val="00467237"/>
    <w:rsid w:val="00467328"/>
    <w:rsid w:val="00467413"/>
    <w:rsid w:val="00467494"/>
    <w:rsid w:val="004676DA"/>
    <w:rsid w:val="0046770C"/>
    <w:rsid w:val="004677CD"/>
    <w:rsid w:val="00467859"/>
    <w:rsid w:val="0046794A"/>
    <w:rsid w:val="0046799E"/>
    <w:rsid w:val="00467A3A"/>
    <w:rsid w:val="00467A84"/>
    <w:rsid w:val="00467BA3"/>
    <w:rsid w:val="00467BBC"/>
    <w:rsid w:val="00467D6A"/>
    <w:rsid w:val="00467DDB"/>
    <w:rsid w:val="00467DE8"/>
    <w:rsid w:val="00467DF9"/>
    <w:rsid w:val="00467E68"/>
    <w:rsid w:val="00467EB9"/>
    <w:rsid w:val="00467F50"/>
    <w:rsid w:val="00467FD7"/>
    <w:rsid w:val="00470099"/>
    <w:rsid w:val="004702A5"/>
    <w:rsid w:val="0047031C"/>
    <w:rsid w:val="0047036D"/>
    <w:rsid w:val="00470390"/>
    <w:rsid w:val="00470391"/>
    <w:rsid w:val="0047043A"/>
    <w:rsid w:val="0047052A"/>
    <w:rsid w:val="0047056A"/>
    <w:rsid w:val="004705C7"/>
    <w:rsid w:val="004705D9"/>
    <w:rsid w:val="0047060E"/>
    <w:rsid w:val="00470662"/>
    <w:rsid w:val="00470681"/>
    <w:rsid w:val="004706A4"/>
    <w:rsid w:val="004706CC"/>
    <w:rsid w:val="004706E4"/>
    <w:rsid w:val="00470766"/>
    <w:rsid w:val="004707BE"/>
    <w:rsid w:val="004707FB"/>
    <w:rsid w:val="00470862"/>
    <w:rsid w:val="00470864"/>
    <w:rsid w:val="004709BA"/>
    <w:rsid w:val="004709E6"/>
    <w:rsid w:val="00470A1C"/>
    <w:rsid w:val="00470A25"/>
    <w:rsid w:val="00470A69"/>
    <w:rsid w:val="00470A71"/>
    <w:rsid w:val="00470BB8"/>
    <w:rsid w:val="00470C14"/>
    <w:rsid w:val="00470C2E"/>
    <w:rsid w:val="00470D14"/>
    <w:rsid w:val="00470DF5"/>
    <w:rsid w:val="00470F22"/>
    <w:rsid w:val="00470F30"/>
    <w:rsid w:val="00470F4B"/>
    <w:rsid w:val="00471060"/>
    <w:rsid w:val="004711D9"/>
    <w:rsid w:val="0047123A"/>
    <w:rsid w:val="004712C3"/>
    <w:rsid w:val="0047132C"/>
    <w:rsid w:val="0047133E"/>
    <w:rsid w:val="0047134B"/>
    <w:rsid w:val="00471446"/>
    <w:rsid w:val="004714FC"/>
    <w:rsid w:val="00471537"/>
    <w:rsid w:val="00471603"/>
    <w:rsid w:val="004716C4"/>
    <w:rsid w:val="004717B1"/>
    <w:rsid w:val="00471803"/>
    <w:rsid w:val="0047186D"/>
    <w:rsid w:val="0047199A"/>
    <w:rsid w:val="004719F9"/>
    <w:rsid w:val="00471A08"/>
    <w:rsid w:val="00471A5A"/>
    <w:rsid w:val="00471AE3"/>
    <w:rsid w:val="00471AFF"/>
    <w:rsid w:val="00471B3B"/>
    <w:rsid w:val="00471B4C"/>
    <w:rsid w:val="00471C45"/>
    <w:rsid w:val="00471CBA"/>
    <w:rsid w:val="00471CF9"/>
    <w:rsid w:val="00471D29"/>
    <w:rsid w:val="00471D6B"/>
    <w:rsid w:val="00471E3B"/>
    <w:rsid w:val="00471F21"/>
    <w:rsid w:val="00471F3F"/>
    <w:rsid w:val="00471F40"/>
    <w:rsid w:val="00472037"/>
    <w:rsid w:val="004720CE"/>
    <w:rsid w:val="00472106"/>
    <w:rsid w:val="00472134"/>
    <w:rsid w:val="004721A6"/>
    <w:rsid w:val="004721E4"/>
    <w:rsid w:val="00472224"/>
    <w:rsid w:val="00472367"/>
    <w:rsid w:val="004723B7"/>
    <w:rsid w:val="0047247C"/>
    <w:rsid w:val="004724BB"/>
    <w:rsid w:val="0047254C"/>
    <w:rsid w:val="004726DC"/>
    <w:rsid w:val="004726FF"/>
    <w:rsid w:val="00472745"/>
    <w:rsid w:val="0047280F"/>
    <w:rsid w:val="00472812"/>
    <w:rsid w:val="00472887"/>
    <w:rsid w:val="004728BC"/>
    <w:rsid w:val="00472925"/>
    <w:rsid w:val="0047299A"/>
    <w:rsid w:val="00472A8B"/>
    <w:rsid w:val="00472B3F"/>
    <w:rsid w:val="00472B41"/>
    <w:rsid w:val="00472C82"/>
    <w:rsid w:val="00472CA6"/>
    <w:rsid w:val="00472DB8"/>
    <w:rsid w:val="00472DCD"/>
    <w:rsid w:val="00472DD5"/>
    <w:rsid w:val="00472E8D"/>
    <w:rsid w:val="00472EDF"/>
    <w:rsid w:val="00472F05"/>
    <w:rsid w:val="00472F4D"/>
    <w:rsid w:val="00472F5E"/>
    <w:rsid w:val="00472F61"/>
    <w:rsid w:val="00472F98"/>
    <w:rsid w:val="00473039"/>
    <w:rsid w:val="004730CA"/>
    <w:rsid w:val="004730F5"/>
    <w:rsid w:val="0047318A"/>
    <w:rsid w:val="0047329B"/>
    <w:rsid w:val="00473315"/>
    <w:rsid w:val="0047337B"/>
    <w:rsid w:val="004733D2"/>
    <w:rsid w:val="00473541"/>
    <w:rsid w:val="00473556"/>
    <w:rsid w:val="0047364F"/>
    <w:rsid w:val="004736AA"/>
    <w:rsid w:val="004736E4"/>
    <w:rsid w:val="00473868"/>
    <w:rsid w:val="0047387F"/>
    <w:rsid w:val="00473888"/>
    <w:rsid w:val="004738F5"/>
    <w:rsid w:val="00473922"/>
    <w:rsid w:val="00473943"/>
    <w:rsid w:val="00473A21"/>
    <w:rsid w:val="00473A8D"/>
    <w:rsid w:val="00473B0F"/>
    <w:rsid w:val="00473B10"/>
    <w:rsid w:val="00473B4C"/>
    <w:rsid w:val="00473B4D"/>
    <w:rsid w:val="00473D1F"/>
    <w:rsid w:val="00473DC6"/>
    <w:rsid w:val="00473DE7"/>
    <w:rsid w:val="00473EAF"/>
    <w:rsid w:val="00473ECD"/>
    <w:rsid w:val="0047400A"/>
    <w:rsid w:val="00474081"/>
    <w:rsid w:val="004740DB"/>
    <w:rsid w:val="004741D8"/>
    <w:rsid w:val="0047424C"/>
    <w:rsid w:val="00474279"/>
    <w:rsid w:val="00474420"/>
    <w:rsid w:val="0047446B"/>
    <w:rsid w:val="0047457F"/>
    <w:rsid w:val="004745B0"/>
    <w:rsid w:val="00474689"/>
    <w:rsid w:val="004746C4"/>
    <w:rsid w:val="00474795"/>
    <w:rsid w:val="004747A3"/>
    <w:rsid w:val="00474828"/>
    <w:rsid w:val="0047485D"/>
    <w:rsid w:val="004748A3"/>
    <w:rsid w:val="004748DD"/>
    <w:rsid w:val="004748F8"/>
    <w:rsid w:val="004749D0"/>
    <w:rsid w:val="004749DA"/>
    <w:rsid w:val="00474A69"/>
    <w:rsid w:val="00474A90"/>
    <w:rsid w:val="00474AB8"/>
    <w:rsid w:val="00474AE8"/>
    <w:rsid w:val="00474B47"/>
    <w:rsid w:val="00474B89"/>
    <w:rsid w:val="00474CBB"/>
    <w:rsid w:val="00474CD2"/>
    <w:rsid w:val="00474D17"/>
    <w:rsid w:val="00474D61"/>
    <w:rsid w:val="00474E1D"/>
    <w:rsid w:val="00474F3E"/>
    <w:rsid w:val="00474FD0"/>
    <w:rsid w:val="00475040"/>
    <w:rsid w:val="0047509D"/>
    <w:rsid w:val="004750B8"/>
    <w:rsid w:val="0047510C"/>
    <w:rsid w:val="0047515E"/>
    <w:rsid w:val="00475214"/>
    <w:rsid w:val="00475330"/>
    <w:rsid w:val="00475350"/>
    <w:rsid w:val="004753DE"/>
    <w:rsid w:val="00475551"/>
    <w:rsid w:val="004755DF"/>
    <w:rsid w:val="0047569C"/>
    <w:rsid w:val="004756EB"/>
    <w:rsid w:val="00475735"/>
    <w:rsid w:val="00475745"/>
    <w:rsid w:val="004757A5"/>
    <w:rsid w:val="004758CE"/>
    <w:rsid w:val="00475946"/>
    <w:rsid w:val="004759A9"/>
    <w:rsid w:val="004759EE"/>
    <w:rsid w:val="004759FC"/>
    <w:rsid w:val="00475A8D"/>
    <w:rsid w:val="00475AA5"/>
    <w:rsid w:val="00475AD6"/>
    <w:rsid w:val="00475B01"/>
    <w:rsid w:val="00475B6D"/>
    <w:rsid w:val="00475BE6"/>
    <w:rsid w:val="00475C77"/>
    <w:rsid w:val="00475C8B"/>
    <w:rsid w:val="00475CD3"/>
    <w:rsid w:val="00475DD1"/>
    <w:rsid w:val="00475E01"/>
    <w:rsid w:val="00475EAD"/>
    <w:rsid w:val="00475EFF"/>
    <w:rsid w:val="00475F81"/>
    <w:rsid w:val="00475FFF"/>
    <w:rsid w:val="00476089"/>
    <w:rsid w:val="004760E3"/>
    <w:rsid w:val="004760E5"/>
    <w:rsid w:val="0047610D"/>
    <w:rsid w:val="00476198"/>
    <w:rsid w:val="004761A3"/>
    <w:rsid w:val="0047624E"/>
    <w:rsid w:val="0047625C"/>
    <w:rsid w:val="004762A2"/>
    <w:rsid w:val="004762F7"/>
    <w:rsid w:val="00476308"/>
    <w:rsid w:val="0047630D"/>
    <w:rsid w:val="00476405"/>
    <w:rsid w:val="0047643F"/>
    <w:rsid w:val="00476560"/>
    <w:rsid w:val="00476579"/>
    <w:rsid w:val="004765E6"/>
    <w:rsid w:val="00476674"/>
    <w:rsid w:val="004767FD"/>
    <w:rsid w:val="004768C8"/>
    <w:rsid w:val="004768C9"/>
    <w:rsid w:val="0047692B"/>
    <w:rsid w:val="004769BB"/>
    <w:rsid w:val="004769FB"/>
    <w:rsid w:val="00476A4A"/>
    <w:rsid w:val="00476A57"/>
    <w:rsid w:val="00476AC6"/>
    <w:rsid w:val="00476B48"/>
    <w:rsid w:val="00476B7C"/>
    <w:rsid w:val="00476C4E"/>
    <w:rsid w:val="00476C60"/>
    <w:rsid w:val="00476D10"/>
    <w:rsid w:val="00476E33"/>
    <w:rsid w:val="00476E77"/>
    <w:rsid w:val="00476F37"/>
    <w:rsid w:val="00476F56"/>
    <w:rsid w:val="00476FC3"/>
    <w:rsid w:val="00476FE2"/>
    <w:rsid w:val="0047709F"/>
    <w:rsid w:val="004770B6"/>
    <w:rsid w:val="004770E0"/>
    <w:rsid w:val="00477162"/>
    <w:rsid w:val="00477212"/>
    <w:rsid w:val="0047722F"/>
    <w:rsid w:val="00477315"/>
    <w:rsid w:val="004773D1"/>
    <w:rsid w:val="004773EA"/>
    <w:rsid w:val="0047745F"/>
    <w:rsid w:val="0047762C"/>
    <w:rsid w:val="00477663"/>
    <w:rsid w:val="00477768"/>
    <w:rsid w:val="004777B8"/>
    <w:rsid w:val="004777F3"/>
    <w:rsid w:val="004777FD"/>
    <w:rsid w:val="004778A9"/>
    <w:rsid w:val="00477902"/>
    <w:rsid w:val="00477B94"/>
    <w:rsid w:val="00477BBF"/>
    <w:rsid w:val="00477BF3"/>
    <w:rsid w:val="00477CAF"/>
    <w:rsid w:val="00477CBE"/>
    <w:rsid w:val="00477D4B"/>
    <w:rsid w:val="00477D9A"/>
    <w:rsid w:val="00477DFD"/>
    <w:rsid w:val="00477EAF"/>
    <w:rsid w:val="00477FB2"/>
    <w:rsid w:val="0048003A"/>
    <w:rsid w:val="0048019B"/>
    <w:rsid w:val="004801A2"/>
    <w:rsid w:val="004801F7"/>
    <w:rsid w:val="00480208"/>
    <w:rsid w:val="00480254"/>
    <w:rsid w:val="004802D9"/>
    <w:rsid w:val="00480318"/>
    <w:rsid w:val="00480357"/>
    <w:rsid w:val="0048041C"/>
    <w:rsid w:val="0048047F"/>
    <w:rsid w:val="0048058C"/>
    <w:rsid w:val="0048059F"/>
    <w:rsid w:val="0048060D"/>
    <w:rsid w:val="004806A7"/>
    <w:rsid w:val="0048083E"/>
    <w:rsid w:val="004808B3"/>
    <w:rsid w:val="004808D1"/>
    <w:rsid w:val="00480960"/>
    <w:rsid w:val="00480A8D"/>
    <w:rsid w:val="00480AAD"/>
    <w:rsid w:val="00480AF0"/>
    <w:rsid w:val="00480AFF"/>
    <w:rsid w:val="00480BE4"/>
    <w:rsid w:val="00480C52"/>
    <w:rsid w:val="00480CB4"/>
    <w:rsid w:val="00480CE8"/>
    <w:rsid w:val="00480CED"/>
    <w:rsid w:val="00480D09"/>
    <w:rsid w:val="00480D46"/>
    <w:rsid w:val="00480E89"/>
    <w:rsid w:val="00480F36"/>
    <w:rsid w:val="00480FD2"/>
    <w:rsid w:val="0048113D"/>
    <w:rsid w:val="004811FE"/>
    <w:rsid w:val="00481214"/>
    <w:rsid w:val="004812F6"/>
    <w:rsid w:val="004812F7"/>
    <w:rsid w:val="00481320"/>
    <w:rsid w:val="00481393"/>
    <w:rsid w:val="00481427"/>
    <w:rsid w:val="0048142B"/>
    <w:rsid w:val="00481490"/>
    <w:rsid w:val="004814E6"/>
    <w:rsid w:val="0048150A"/>
    <w:rsid w:val="00481564"/>
    <w:rsid w:val="004815A6"/>
    <w:rsid w:val="00481611"/>
    <w:rsid w:val="00481737"/>
    <w:rsid w:val="00481836"/>
    <w:rsid w:val="00481849"/>
    <w:rsid w:val="004819FD"/>
    <w:rsid w:val="00481A13"/>
    <w:rsid w:val="00481AC0"/>
    <w:rsid w:val="00481AC7"/>
    <w:rsid w:val="00481B3F"/>
    <w:rsid w:val="00481B78"/>
    <w:rsid w:val="00481CED"/>
    <w:rsid w:val="00481D3A"/>
    <w:rsid w:val="00481E73"/>
    <w:rsid w:val="00481E7A"/>
    <w:rsid w:val="00481EBB"/>
    <w:rsid w:val="00481F00"/>
    <w:rsid w:val="00481F84"/>
    <w:rsid w:val="004820A6"/>
    <w:rsid w:val="004820EF"/>
    <w:rsid w:val="0048212A"/>
    <w:rsid w:val="0048216F"/>
    <w:rsid w:val="0048235D"/>
    <w:rsid w:val="004823E3"/>
    <w:rsid w:val="004823F1"/>
    <w:rsid w:val="004824FA"/>
    <w:rsid w:val="004825F2"/>
    <w:rsid w:val="0048261C"/>
    <w:rsid w:val="004826AB"/>
    <w:rsid w:val="004826B6"/>
    <w:rsid w:val="00482793"/>
    <w:rsid w:val="00482804"/>
    <w:rsid w:val="00482816"/>
    <w:rsid w:val="00482854"/>
    <w:rsid w:val="004829D6"/>
    <w:rsid w:val="00482A7B"/>
    <w:rsid w:val="00482A83"/>
    <w:rsid w:val="00482ABC"/>
    <w:rsid w:val="00482B2D"/>
    <w:rsid w:val="00482B84"/>
    <w:rsid w:val="00482BA4"/>
    <w:rsid w:val="00482C09"/>
    <w:rsid w:val="00482C73"/>
    <w:rsid w:val="00482CCE"/>
    <w:rsid w:val="00482CFC"/>
    <w:rsid w:val="00482D67"/>
    <w:rsid w:val="00482DE8"/>
    <w:rsid w:val="00482E81"/>
    <w:rsid w:val="00482F6F"/>
    <w:rsid w:val="00482FB8"/>
    <w:rsid w:val="00483013"/>
    <w:rsid w:val="004830AF"/>
    <w:rsid w:val="00483190"/>
    <w:rsid w:val="00483201"/>
    <w:rsid w:val="004833AD"/>
    <w:rsid w:val="00483425"/>
    <w:rsid w:val="00483427"/>
    <w:rsid w:val="0048353F"/>
    <w:rsid w:val="00483673"/>
    <w:rsid w:val="0048380B"/>
    <w:rsid w:val="00483877"/>
    <w:rsid w:val="004839FC"/>
    <w:rsid w:val="00483A1B"/>
    <w:rsid w:val="00483A70"/>
    <w:rsid w:val="00483A7F"/>
    <w:rsid w:val="00483AA1"/>
    <w:rsid w:val="00483AEC"/>
    <w:rsid w:val="00483C2D"/>
    <w:rsid w:val="00483C63"/>
    <w:rsid w:val="00483C8A"/>
    <w:rsid w:val="00483D74"/>
    <w:rsid w:val="00483E45"/>
    <w:rsid w:val="00483EC5"/>
    <w:rsid w:val="00483F21"/>
    <w:rsid w:val="0048408E"/>
    <w:rsid w:val="004840B3"/>
    <w:rsid w:val="00484127"/>
    <w:rsid w:val="00484131"/>
    <w:rsid w:val="004842E7"/>
    <w:rsid w:val="0048431E"/>
    <w:rsid w:val="00484337"/>
    <w:rsid w:val="00484421"/>
    <w:rsid w:val="0048448F"/>
    <w:rsid w:val="00484497"/>
    <w:rsid w:val="004845EF"/>
    <w:rsid w:val="00484707"/>
    <w:rsid w:val="004847AB"/>
    <w:rsid w:val="00484830"/>
    <w:rsid w:val="0048483D"/>
    <w:rsid w:val="00484943"/>
    <w:rsid w:val="00484945"/>
    <w:rsid w:val="00484976"/>
    <w:rsid w:val="00484AB7"/>
    <w:rsid w:val="00484AD0"/>
    <w:rsid w:val="00484B0C"/>
    <w:rsid w:val="00484B96"/>
    <w:rsid w:val="00484BAD"/>
    <w:rsid w:val="00484BCE"/>
    <w:rsid w:val="00484BDC"/>
    <w:rsid w:val="00484C57"/>
    <w:rsid w:val="00484CC7"/>
    <w:rsid w:val="00484D7E"/>
    <w:rsid w:val="00484DD7"/>
    <w:rsid w:val="00484E9C"/>
    <w:rsid w:val="00484EC6"/>
    <w:rsid w:val="00484EF7"/>
    <w:rsid w:val="00484FCB"/>
    <w:rsid w:val="004850F0"/>
    <w:rsid w:val="00485194"/>
    <w:rsid w:val="0048520A"/>
    <w:rsid w:val="00485224"/>
    <w:rsid w:val="00485268"/>
    <w:rsid w:val="00485326"/>
    <w:rsid w:val="00485330"/>
    <w:rsid w:val="004853EC"/>
    <w:rsid w:val="00485479"/>
    <w:rsid w:val="004854E8"/>
    <w:rsid w:val="00485516"/>
    <w:rsid w:val="00485520"/>
    <w:rsid w:val="00485559"/>
    <w:rsid w:val="004855DE"/>
    <w:rsid w:val="00485623"/>
    <w:rsid w:val="0048566E"/>
    <w:rsid w:val="004856A6"/>
    <w:rsid w:val="004856E5"/>
    <w:rsid w:val="0048575A"/>
    <w:rsid w:val="004857A8"/>
    <w:rsid w:val="004857C1"/>
    <w:rsid w:val="00485814"/>
    <w:rsid w:val="004858FD"/>
    <w:rsid w:val="00485905"/>
    <w:rsid w:val="00485934"/>
    <w:rsid w:val="00485943"/>
    <w:rsid w:val="004859A4"/>
    <w:rsid w:val="00485AAA"/>
    <w:rsid w:val="00485AD5"/>
    <w:rsid w:val="00485BAE"/>
    <w:rsid w:val="00485C4B"/>
    <w:rsid w:val="00485DB4"/>
    <w:rsid w:val="00485EAD"/>
    <w:rsid w:val="00485F15"/>
    <w:rsid w:val="00485F1C"/>
    <w:rsid w:val="00485FC8"/>
    <w:rsid w:val="00485FCD"/>
    <w:rsid w:val="00486046"/>
    <w:rsid w:val="004860F1"/>
    <w:rsid w:val="004861EC"/>
    <w:rsid w:val="004861FD"/>
    <w:rsid w:val="00486206"/>
    <w:rsid w:val="00486268"/>
    <w:rsid w:val="004862C5"/>
    <w:rsid w:val="004863C3"/>
    <w:rsid w:val="004863F2"/>
    <w:rsid w:val="00486476"/>
    <w:rsid w:val="0048649C"/>
    <w:rsid w:val="004864EF"/>
    <w:rsid w:val="0048656A"/>
    <w:rsid w:val="0048681D"/>
    <w:rsid w:val="0048683F"/>
    <w:rsid w:val="00486883"/>
    <w:rsid w:val="004868A2"/>
    <w:rsid w:val="00486985"/>
    <w:rsid w:val="004869E3"/>
    <w:rsid w:val="00486A34"/>
    <w:rsid w:val="00486A77"/>
    <w:rsid w:val="00486B68"/>
    <w:rsid w:val="00486D4C"/>
    <w:rsid w:val="00486D65"/>
    <w:rsid w:val="00486E2F"/>
    <w:rsid w:val="00486E6C"/>
    <w:rsid w:val="00486E82"/>
    <w:rsid w:val="00486EC9"/>
    <w:rsid w:val="00486F33"/>
    <w:rsid w:val="00486F87"/>
    <w:rsid w:val="00486FC4"/>
    <w:rsid w:val="00486FF6"/>
    <w:rsid w:val="004870C6"/>
    <w:rsid w:val="0048716B"/>
    <w:rsid w:val="004871A2"/>
    <w:rsid w:val="004871C7"/>
    <w:rsid w:val="004871EA"/>
    <w:rsid w:val="0048724C"/>
    <w:rsid w:val="004872B5"/>
    <w:rsid w:val="004872B9"/>
    <w:rsid w:val="00487323"/>
    <w:rsid w:val="00487398"/>
    <w:rsid w:val="004873B0"/>
    <w:rsid w:val="00487497"/>
    <w:rsid w:val="004874C2"/>
    <w:rsid w:val="00487605"/>
    <w:rsid w:val="00487616"/>
    <w:rsid w:val="00487630"/>
    <w:rsid w:val="00487658"/>
    <w:rsid w:val="004876B3"/>
    <w:rsid w:val="0048776A"/>
    <w:rsid w:val="0048780C"/>
    <w:rsid w:val="00487959"/>
    <w:rsid w:val="00487A1F"/>
    <w:rsid w:val="00487A70"/>
    <w:rsid w:val="00487A9A"/>
    <w:rsid w:val="00487ABF"/>
    <w:rsid w:val="00487B4E"/>
    <w:rsid w:val="00487B7C"/>
    <w:rsid w:val="00487C36"/>
    <w:rsid w:val="00487E49"/>
    <w:rsid w:val="00487F17"/>
    <w:rsid w:val="00487F9A"/>
    <w:rsid w:val="00487FB8"/>
    <w:rsid w:val="00487FC7"/>
    <w:rsid w:val="00490054"/>
    <w:rsid w:val="00490079"/>
    <w:rsid w:val="004900C2"/>
    <w:rsid w:val="00490136"/>
    <w:rsid w:val="004903B3"/>
    <w:rsid w:val="004903B8"/>
    <w:rsid w:val="004904FE"/>
    <w:rsid w:val="0049050F"/>
    <w:rsid w:val="00490530"/>
    <w:rsid w:val="00490537"/>
    <w:rsid w:val="00490578"/>
    <w:rsid w:val="004905CE"/>
    <w:rsid w:val="00490665"/>
    <w:rsid w:val="004907D1"/>
    <w:rsid w:val="00490814"/>
    <w:rsid w:val="00490828"/>
    <w:rsid w:val="004908F0"/>
    <w:rsid w:val="00490A5C"/>
    <w:rsid w:val="00490AE9"/>
    <w:rsid w:val="00490BCF"/>
    <w:rsid w:val="00490BE6"/>
    <w:rsid w:val="00490BEC"/>
    <w:rsid w:val="00490C51"/>
    <w:rsid w:val="00490C57"/>
    <w:rsid w:val="00490D4E"/>
    <w:rsid w:val="00490DF3"/>
    <w:rsid w:val="00490E23"/>
    <w:rsid w:val="004910B9"/>
    <w:rsid w:val="00491107"/>
    <w:rsid w:val="00491137"/>
    <w:rsid w:val="00491182"/>
    <w:rsid w:val="004913B9"/>
    <w:rsid w:val="004914F8"/>
    <w:rsid w:val="0049162D"/>
    <w:rsid w:val="0049173D"/>
    <w:rsid w:val="00491750"/>
    <w:rsid w:val="00491757"/>
    <w:rsid w:val="00491797"/>
    <w:rsid w:val="004917D6"/>
    <w:rsid w:val="004918EB"/>
    <w:rsid w:val="00491911"/>
    <w:rsid w:val="00491915"/>
    <w:rsid w:val="0049198E"/>
    <w:rsid w:val="00491B7E"/>
    <w:rsid w:val="00491B9E"/>
    <w:rsid w:val="00491BCE"/>
    <w:rsid w:val="00491BF9"/>
    <w:rsid w:val="00491C5B"/>
    <w:rsid w:val="00491C84"/>
    <w:rsid w:val="00491E54"/>
    <w:rsid w:val="00491E5B"/>
    <w:rsid w:val="00491EEC"/>
    <w:rsid w:val="00491F81"/>
    <w:rsid w:val="00491F8A"/>
    <w:rsid w:val="0049217D"/>
    <w:rsid w:val="00492190"/>
    <w:rsid w:val="004921CD"/>
    <w:rsid w:val="0049225A"/>
    <w:rsid w:val="00492341"/>
    <w:rsid w:val="00492381"/>
    <w:rsid w:val="00492387"/>
    <w:rsid w:val="004923C8"/>
    <w:rsid w:val="004923CC"/>
    <w:rsid w:val="00492497"/>
    <w:rsid w:val="00492518"/>
    <w:rsid w:val="0049259C"/>
    <w:rsid w:val="004926F3"/>
    <w:rsid w:val="004927DF"/>
    <w:rsid w:val="004928C2"/>
    <w:rsid w:val="00492983"/>
    <w:rsid w:val="00492A05"/>
    <w:rsid w:val="00492A0F"/>
    <w:rsid w:val="00492B02"/>
    <w:rsid w:val="00492B2E"/>
    <w:rsid w:val="00492B3A"/>
    <w:rsid w:val="00492B3C"/>
    <w:rsid w:val="00492C4A"/>
    <w:rsid w:val="00492C6D"/>
    <w:rsid w:val="00492CA5"/>
    <w:rsid w:val="00492DC0"/>
    <w:rsid w:val="00492E15"/>
    <w:rsid w:val="0049301D"/>
    <w:rsid w:val="0049310B"/>
    <w:rsid w:val="0049313E"/>
    <w:rsid w:val="00493169"/>
    <w:rsid w:val="004931AF"/>
    <w:rsid w:val="004931B8"/>
    <w:rsid w:val="00493266"/>
    <w:rsid w:val="0049334E"/>
    <w:rsid w:val="0049336E"/>
    <w:rsid w:val="00493433"/>
    <w:rsid w:val="00493521"/>
    <w:rsid w:val="0049355D"/>
    <w:rsid w:val="00493584"/>
    <w:rsid w:val="0049370D"/>
    <w:rsid w:val="0049373D"/>
    <w:rsid w:val="0049383B"/>
    <w:rsid w:val="00493888"/>
    <w:rsid w:val="004938F5"/>
    <w:rsid w:val="004938FD"/>
    <w:rsid w:val="0049393B"/>
    <w:rsid w:val="004939EF"/>
    <w:rsid w:val="00493A20"/>
    <w:rsid w:val="00493A2E"/>
    <w:rsid w:val="00493A32"/>
    <w:rsid w:val="00493A76"/>
    <w:rsid w:val="00493AB3"/>
    <w:rsid w:val="00493AF7"/>
    <w:rsid w:val="00493C63"/>
    <w:rsid w:val="00493C88"/>
    <w:rsid w:val="00493CA6"/>
    <w:rsid w:val="00493CF4"/>
    <w:rsid w:val="00493D2D"/>
    <w:rsid w:val="00493EC7"/>
    <w:rsid w:val="004941BB"/>
    <w:rsid w:val="004941BF"/>
    <w:rsid w:val="00494402"/>
    <w:rsid w:val="00494468"/>
    <w:rsid w:val="004945AE"/>
    <w:rsid w:val="004945C8"/>
    <w:rsid w:val="00494659"/>
    <w:rsid w:val="00494679"/>
    <w:rsid w:val="004946DF"/>
    <w:rsid w:val="0049472C"/>
    <w:rsid w:val="00494755"/>
    <w:rsid w:val="00494815"/>
    <w:rsid w:val="0049481F"/>
    <w:rsid w:val="00494831"/>
    <w:rsid w:val="0049486C"/>
    <w:rsid w:val="0049487F"/>
    <w:rsid w:val="004948AD"/>
    <w:rsid w:val="0049493D"/>
    <w:rsid w:val="00494A47"/>
    <w:rsid w:val="00494A93"/>
    <w:rsid w:val="00494AC9"/>
    <w:rsid w:val="00494C72"/>
    <w:rsid w:val="00494D65"/>
    <w:rsid w:val="00494D9D"/>
    <w:rsid w:val="00494E43"/>
    <w:rsid w:val="00494E81"/>
    <w:rsid w:val="00495286"/>
    <w:rsid w:val="00495303"/>
    <w:rsid w:val="00495316"/>
    <w:rsid w:val="00495324"/>
    <w:rsid w:val="0049535A"/>
    <w:rsid w:val="00495386"/>
    <w:rsid w:val="004953C9"/>
    <w:rsid w:val="004953E5"/>
    <w:rsid w:val="0049543A"/>
    <w:rsid w:val="00495453"/>
    <w:rsid w:val="00495521"/>
    <w:rsid w:val="0049561A"/>
    <w:rsid w:val="00495667"/>
    <w:rsid w:val="00495726"/>
    <w:rsid w:val="0049576D"/>
    <w:rsid w:val="004959A9"/>
    <w:rsid w:val="004959EC"/>
    <w:rsid w:val="00495B72"/>
    <w:rsid w:val="00495C3F"/>
    <w:rsid w:val="00495D1E"/>
    <w:rsid w:val="00495D6B"/>
    <w:rsid w:val="00495DA0"/>
    <w:rsid w:val="00495DD3"/>
    <w:rsid w:val="00495E47"/>
    <w:rsid w:val="00495E79"/>
    <w:rsid w:val="0049601A"/>
    <w:rsid w:val="0049608F"/>
    <w:rsid w:val="004961D5"/>
    <w:rsid w:val="0049623B"/>
    <w:rsid w:val="004962D8"/>
    <w:rsid w:val="0049633A"/>
    <w:rsid w:val="004963B1"/>
    <w:rsid w:val="004963B8"/>
    <w:rsid w:val="004963ED"/>
    <w:rsid w:val="0049645E"/>
    <w:rsid w:val="004964C3"/>
    <w:rsid w:val="00496530"/>
    <w:rsid w:val="004965E6"/>
    <w:rsid w:val="00496666"/>
    <w:rsid w:val="0049678A"/>
    <w:rsid w:val="00496795"/>
    <w:rsid w:val="004967A9"/>
    <w:rsid w:val="00496840"/>
    <w:rsid w:val="00496844"/>
    <w:rsid w:val="004968E0"/>
    <w:rsid w:val="0049698F"/>
    <w:rsid w:val="004969CA"/>
    <w:rsid w:val="00496A0A"/>
    <w:rsid w:val="00496A4D"/>
    <w:rsid w:val="00496A68"/>
    <w:rsid w:val="00496B46"/>
    <w:rsid w:val="00496BCD"/>
    <w:rsid w:val="00496CF4"/>
    <w:rsid w:val="00496D4B"/>
    <w:rsid w:val="00496DFB"/>
    <w:rsid w:val="00496E68"/>
    <w:rsid w:val="00496E8E"/>
    <w:rsid w:val="00496E9A"/>
    <w:rsid w:val="00496FA9"/>
    <w:rsid w:val="00497068"/>
    <w:rsid w:val="0049709E"/>
    <w:rsid w:val="004972B9"/>
    <w:rsid w:val="004972F9"/>
    <w:rsid w:val="0049732A"/>
    <w:rsid w:val="0049734A"/>
    <w:rsid w:val="004973A1"/>
    <w:rsid w:val="004973BF"/>
    <w:rsid w:val="00497409"/>
    <w:rsid w:val="00497412"/>
    <w:rsid w:val="0049741B"/>
    <w:rsid w:val="0049753F"/>
    <w:rsid w:val="00497656"/>
    <w:rsid w:val="004976F8"/>
    <w:rsid w:val="0049771A"/>
    <w:rsid w:val="00497788"/>
    <w:rsid w:val="004977DB"/>
    <w:rsid w:val="004977E9"/>
    <w:rsid w:val="00497832"/>
    <w:rsid w:val="004978DD"/>
    <w:rsid w:val="0049792F"/>
    <w:rsid w:val="00497983"/>
    <w:rsid w:val="004979B8"/>
    <w:rsid w:val="004979DD"/>
    <w:rsid w:val="00497A9A"/>
    <w:rsid w:val="00497B93"/>
    <w:rsid w:val="00497BDD"/>
    <w:rsid w:val="00497C6B"/>
    <w:rsid w:val="00497CCF"/>
    <w:rsid w:val="00497DDF"/>
    <w:rsid w:val="00497E13"/>
    <w:rsid w:val="00497F42"/>
    <w:rsid w:val="00497F96"/>
    <w:rsid w:val="00497FF0"/>
    <w:rsid w:val="004A00C2"/>
    <w:rsid w:val="004A00E6"/>
    <w:rsid w:val="004A01CC"/>
    <w:rsid w:val="004A01FF"/>
    <w:rsid w:val="004A02BF"/>
    <w:rsid w:val="004A031B"/>
    <w:rsid w:val="004A0332"/>
    <w:rsid w:val="004A0367"/>
    <w:rsid w:val="004A04D1"/>
    <w:rsid w:val="004A04D5"/>
    <w:rsid w:val="004A0538"/>
    <w:rsid w:val="004A054B"/>
    <w:rsid w:val="004A0590"/>
    <w:rsid w:val="004A05B1"/>
    <w:rsid w:val="004A062A"/>
    <w:rsid w:val="004A0661"/>
    <w:rsid w:val="004A0700"/>
    <w:rsid w:val="004A0821"/>
    <w:rsid w:val="004A08D7"/>
    <w:rsid w:val="004A09B1"/>
    <w:rsid w:val="004A09EE"/>
    <w:rsid w:val="004A0A14"/>
    <w:rsid w:val="004A0A45"/>
    <w:rsid w:val="004A0B0B"/>
    <w:rsid w:val="004A0B74"/>
    <w:rsid w:val="004A0BC1"/>
    <w:rsid w:val="004A0CC2"/>
    <w:rsid w:val="004A0D2D"/>
    <w:rsid w:val="004A0DE6"/>
    <w:rsid w:val="004A0E57"/>
    <w:rsid w:val="004A0E5B"/>
    <w:rsid w:val="004A0F69"/>
    <w:rsid w:val="004A0FB0"/>
    <w:rsid w:val="004A0FFE"/>
    <w:rsid w:val="004A1183"/>
    <w:rsid w:val="004A1198"/>
    <w:rsid w:val="004A1285"/>
    <w:rsid w:val="004A13E5"/>
    <w:rsid w:val="004A1458"/>
    <w:rsid w:val="004A1482"/>
    <w:rsid w:val="004A149F"/>
    <w:rsid w:val="004A1606"/>
    <w:rsid w:val="004A1634"/>
    <w:rsid w:val="004A1662"/>
    <w:rsid w:val="004A1677"/>
    <w:rsid w:val="004A16E1"/>
    <w:rsid w:val="004A16F7"/>
    <w:rsid w:val="004A16FA"/>
    <w:rsid w:val="004A16FF"/>
    <w:rsid w:val="004A170F"/>
    <w:rsid w:val="004A1723"/>
    <w:rsid w:val="004A17E3"/>
    <w:rsid w:val="004A18AF"/>
    <w:rsid w:val="004A190A"/>
    <w:rsid w:val="004A1921"/>
    <w:rsid w:val="004A192F"/>
    <w:rsid w:val="004A1932"/>
    <w:rsid w:val="004A1B8F"/>
    <w:rsid w:val="004A1C28"/>
    <w:rsid w:val="004A1C80"/>
    <w:rsid w:val="004A1C92"/>
    <w:rsid w:val="004A1CE6"/>
    <w:rsid w:val="004A1D2E"/>
    <w:rsid w:val="004A1D2F"/>
    <w:rsid w:val="004A1E40"/>
    <w:rsid w:val="004A1E49"/>
    <w:rsid w:val="004A1E67"/>
    <w:rsid w:val="004A1E7B"/>
    <w:rsid w:val="004A1EB7"/>
    <w:rsid w:val="004A1EC8"/>
    <w:rsid w:val="004A1F61"/>
    <w:rsid w:val="004A1FAD"/>
    <w:rsid w:val="004A1FB4"/>
    <w:rsid w:val="004A1FD7"/>
    <w:rsid w:val="004A20AC"/>
    <w:rsid w:val="004A20AE"/>
    <w:rsid w:val="004A20E0"/>
    <w:rsid w:val="004A2186"/>
    <w:rsid w:val="004A219B"/>
    <w:rsid w:val="004A21D9"/>
    <w:rsid w:val="004A222E"/>
    <w:rsid w:val="004A231E"/>
    <w:rsid w:val="004A2360"/>
    <w:rsid w:val="004A239B"/>
    <w:rsid w:val="004A264B"/>
    <w:rsid w:val="004A2653"/>
    <w:rsid w:val="004A2658"/>
    <w:rsid w:val="004A266A"/>
    <w:rsid w:val="004A26BF"/>
    <w:rsid w:val="004A26C4"/>
    <w:rsid w:val="004A270D"/>
    <w:rsid w:val="004A272A"/>
    <w:rsid w:val="004A2805"/>
    <w:rsid w:val="004A282A"/>
    <w:rsid w:val="004A298F"/>
    <w:rsid w:val="004A2A4C"/>
    <w:rsid w:val="004A2A5C"/>
    <w:rsid w:val="004A2AE3"/>
    <w:rsid w:val="004A2B99"/>
    <w:rsid w:val="004A2BE7"/>
    <w:rsid w:val="004A2BFF"/>
    <w:rsid w:val="004A2D77"/>
    <w:rsid w:val="004A2D7C"/>
    <w:rsid w:val="004A2E21"/>
    <w:rsid w:val="004A2E37"/>
    <w:rsid w:val="004A2F4E"/>
    <w:rsid w:val="004A2FAA"/>
    <w:rsid w:val="004A2FE8"/>
    <w:rsid w:val="004A2FFF"/>
    <w:rsid w:val="004A30E3"/>
    <w:rsid w:val="004A3119"/>
    <w:rsid w:val="004A3139"/>
    <w:rsid w:val="004A314F"/>
    <w:rsid w:val="004A31A9"/>
    <w:rsid w:val="004A31B9"/>
    <w:rsid w:val="004A325F"/>
    <w:rsid w:val="004A331B"/>
    <w:rsid w:val="004A3396"/>
    <w:rsid w:val="004A34AF"/>
    <w:rsid w:val="004A34BC"/>
    <w:rsid w:val="004A3520"/>
    <w:rsid w:val="004A3530"/>
    <w:rsid w:val="004A359E"/>
    <w:rsid w:val="004A35AE"/>
    <w:rsid w:val="004A37D2"/>
    <w:rsid w:val="004A3891"/>
    <w:rsid w:val="004A390A"/>
    <w:rsid w:val="004A3A59"/>
    <w:rsid w:val="004A3B46"/>
    <w:rsid w:val="004A3B54"/>
    <w:rsid w:val="004A3C24"/>
    <w:rsid w:val="004A3DEC"/>
    <w:rsid w:val="004A3E17"/>
    <w:rsid w:val="004A3F14"/>
    <w:rsid w:val="004A3F46"/>
    <w:rsid w:val="004A3FE4"/>
    <w:rsid w:val="004A3FEB"/>
    <w:rsid w:val="004A41C9"/>
    <w:rsid w:val="004A423E"/>
    <w:rsid w:val="004A4251"/>
    <w:rsid w:val="004A4307"/>
    <w:rsid w:val="004A432C"/>
    <w:rsid w:val="004A433A"/>
    <w:rsid w:val="004A436B"/>
    <w:rsid w:val="004A4375"/>
    <w:rsid w:val="004A4387"/>
    <w:rsid w:val="004A43D2"/>
    <w:rsid w:val="004A43EF"/>
    <w:rsid w:val="004A4499"/>
    <w:rsid w:val="004A45C1"/>
    <w:rsid w:val="004A45CC"/>
    <w:rsid w:val="004A45DA"/>
    <w:rsid w:val="004A4681"/>
    <w:rsid w:val="004A468D"/>
    <w:rsid w:val="004A4730"/>
    <w:rsid w:val="004A47CB"/>
    <w:rsid w:val="004A480C"/>
    <w:rsid w:val="004A4862"/>
    <w:rsid w:val="004A4890"/>
    <w:rsid w:val="004A48F3"/>
    <w:rsid w:val="004A48F8"/>
    <w:rsid w:val="004A4952"/>
    <w:rsid w:val="004A4954"/>
    <w:rsid w:val="004A49DB"/>
    <w:rsid w:val="004A49F3"/>
    <w:rsid w:val="004A4A82"/>
    <w:rsid w:val="004A4C5F"/>
    <w:rsid w:val="004A4C91"/>
    <w:rsid w:val="004A4CB8"/>
    <w:rsid w:val="004A4D30"/>
    <w:rsid w:val="004A4E37"/>
    <w:rsid w:val="004A4E38"/>
    <w:rsid w:val="004A4E5D"/>
    <w:rsid w:val="004A4E63"/>
    <w:rsid w:val="004A4E72"/>
    <w:rsid w:val="004A4E82"/>
    <w:rsid w:val="004A4E86"/>
    <w:rsid w:val="004A4E8D"/>
    <w:rsid w:val="004A5023"/>
    <w:rsid w:val="004A5058"/>
    <w:rsid w:val="004A50A9"/>
    <w:rsid w:val="004A512F"/>
    <w:rsid w:val="004A5133"/>
    <w:rsid w:val="004A5163"/>
    <w:rsid w:val="004A51C3"/>
    <w:rsid w:val="004A52C8"/>
    <w:rsid w:val="004A5485"/>
    <w:rsid w:val="004A562A"/>
    <w:rsid w:val="004A56E6"/>
    <w:rsid w:val="004A5854"/>
    <w:rsid w:val="004A588D"/>
    <w:rsid w:val="004A58EA"/>
    <w:rsid w:val="004A59DE"/>
    <w:rsid w:val="004A59E9"/>
    <w:rsid w:val="004A5A3E"/>
    <w:rsid w:val="004A5B51"/>
    <w:rsid w:val="004A5B9E"/>
    <w:rsid w:val="004A5BDE"/>
    <w:rsid w:val="004A5C28"/>
    <w:rsid w:val="004A5C3F"/>
    <w:rsid w:val="004A5C86"/>
    <w:rsid w:val="004A5D4C"/>
    <w:rsid w:val="004A5DC1"/>
    <w:rsid w:val="004A5EAD"/>
    <w:rsid w:val="004A5F6E"/>
    <w:rsid w:val="004A5FC8"/>
    <w:rsid w:val="004A5FEA"/>
    <w:rsid w:val="004A60FC"/>
    <w:rsid w:val="004A6106"/>
    <w:rsid w:val="004A61AF"/>
    <w:rsid w:val="004A61BF"/>
    <w:rsid w:val="004A6222"/>
    <w:rsid w:val="004A622A"/>
    <w:rsid w:val="004A625A"/>
    <w:rsid w:val="004A6477"/>
    <w:rsid w:val="004A64A3"/>
    <w:rsid w:val="004A64D6"/>
    <w:rsid w:val="004A64D7"/>
    <w:rsid w:val="004A655D"/>
    <w:rsid w:val="004A6722"/>
    <w:rsid w:val="004A6856"/>
    <w:rsid w:val="004A685F"/>
    <w:rsid w:val="004A6866"/>
    <w:rsid w:val="004A6919"/>
    <w:rsid w:val="004A697A"/>
    <w:rsid w:val="004A6ADA"/>
    <w:rsid w:val="004A6B50"/>
    <w:rsid w:val="004A6B9B"/>
    <w:rsid w:val="004A6C20"/>
    <w:rsid w:val="004A6C87"/>
    <w:rsid w:val="004A6CE8"/>
    <w:rsid w:val="004A6D61"/>
    <w:rsid w:val="004A6F20"/>
    <w:rsid w:val="004A6F8C"/>
    <w:rsid w:val="004A700E"/>
    <w:rsid w:val="004A7062"/>
    <w:rsid w:val="004A7081"/>
    <w:rsid w:val="004A70AB"/>
    <w:rsid w:val="004A70F1"/>
    <w:rsid w:val="004A7164"/>
    <w:rsid w:val="004A717B"/>
    <w:rsid w:val="004A7190"/>
    <w:rsid w:val="004A71F8"/>
    <w:rsid w:val="004A729B"/>
    <w:rsid w:val="004A7336"/>
    <w:rsid w:val="004A7356"/>
    <w:rsid w:val="004A7491"/>
    <w:rsid w:val="004A755D"/>
    <w:rsid w:val="004A7699"/>
    <w:rsid w:val="004A79CE"/>
    <w:rsid w:val="004A7A04"/>
    <w:rsid w:val="004A7AEC"/>
    <w:rsid w:val="004A7AFB"/>
    <w:rsid w:val="004A7B14"/>
    <w:rsid w:val="004A7B36"/>
    <w:rsid w:val="004A7BB4"/>
    <w:rsid w:val="004A7C13"/>
    <w:rsid w:val="004A7C7F"/>
    <w:rsid w:val="004A7CA9"/>
    <w:rsid w:val="004A7DE7"/>
    <w:rsid w:val="004A7E10"/>
    <w:rsid w:val="004A7F12"/>
    <w:rsid w:val="004A7F37"/>
    <w:rsid w:val="004A7F5E"/>
    <w:rsid w:val="004A7FA6"/>
    <w:rsid w:val="004AA496"/>
    <w:rsid w:val="004B00B3"/>
    <w:rsid w:val="004B00D6"/>
    <w:rsid w:val="004B00E5"/>
    <w:rsid w:val="004B012C"/>
    <w:rsid w:val="004B0207"/>
    <w:rsid w:val="004B02BD"/>
    <w:rsid w:val="004B0393"/>
    <w:rsid w:val="004B0415"/>
    <w:rsid w:val="004B0459"/>
    <w:rsid w:val="004B046C"/>
    <w:rsid w:val="004B048F"/>
    <w:rsid w:val="004B058D"/>
    <w:rsid w:val="004B06E5"/>
    <w:rsid w:val="004B0771"/>
    <w:rsid w:val="004B07BA"/>
    <w:rsid w:val="004B07EB"/>
    <w:rsid w:val="004B07FD"/>
    <w:rsid w:val="004B0809"/>
    <w:rsid w:val="004B0963"/>
    <w:rsid w:val="004B0964"/>
    <w:rsid w:val="004B0A70"/>
    <w:rsid w:val="004B0A94"/>
    <w:rsid w:val="004B0AC8"/>
    <w:rsid w:val="004B0B79"/>
    <w:rsid w:val="004B0B9A"/>
    <w:rsid w:val="004B0C1C"/>
    <w:rsid w:val="004B0CBE"/>
    <w:rsid w:val="004B0D76"/>
    <w:rsid w:val="004B0D8A"/>
    <w:rsid w:val="004B0DA1"/>
    <w:rsid w:val="004B0DC1"/>
    <w:rsid w:val="004B0EF6"/>
    <w:rsid w:val="004B0F15"/>
    <w:rsid w:val="004B0F28"/>
    <w:rsid w:val="004B0F5D"/>
    <w:rsid w:val="004B1093"/>
    <w:rsid w:val="004B10C1"/>
    <w:rsid w:val="004B10C5"/>
    <w:rsid w:val="004B110E"/>
    <w:rsid w:val="004B11A9"/>
    <w:rsid w:val="004B11D4"/>
    <w:rsid w:val="004B124D"/>
    <w:rsid w:val="004B128E"/>
    <w:rsid w:val="004B13C4"/>
    <w:rsid w:val="004B13C7"/>
    <w:rsid w:val="004B13E3"/>
    <w:rsid w:val="004B13F4"/>
    <w:rsid w:val="004B1481"/>
    <w:rsid w:val="004B1581"/>
    <w:rsid w:val="004B15A7"/>
    <w:rsid w:val="004B163E"/>
    <w:rsid w:val="004B165D"/>
    <w:rsid w:val="004B16A7"/>
    <w:rsid w:val="004B179F"/>
    <w:rsid w:val="004B17BF"/>
    <w:rsid w:val="004B17E6"/>
    <w:rsid w:val="004B18C9"/>
    <w:rsid w:val="004B1910"/>
    <w:rsid w:val="004B1950"/>
    <w:rsid w:val="004B195A"/>
    <w:rsid w:val="004B1960"/>
    <w:rsid w:val="004B1A0E"/>
    <w:rsid w:val="004B1AC6"/>
    <w:rsid w:val="004B1AF5"/>
    <w:rsid w:val="004B1BED"/>
    <w:rsid w:val="004B1CEE"/>
    <w:rsid w:val="004B1DF7"/>
    <w:rsid w:val="004B1DFE"/>
    <w:rsid w:val="004B1E1A"/>
    <w:rsid w:val="004B1E2E"/>
    <w:rsid w:val="004B1E70"/>
    <w:rsid w:val="004B1E9A"/>
    <w:rsid w:val="004B1F02"/>
    <w:rsid w:val="004B1F5D"/>
    <w:rsid w:val="004B1FCF"/>
    <w:rsid w:val="004B1FD9"/>
    <w:rsid w:val="004B2049"/>
    <w:rsid w:val="004B20A7"/>
    <w:rsid w:val="004B20C9"/>
    <w:rsid w:val="004B20CC"/>
    <w:rsid w:val="004B20DD"/>
    <w:rsid w:val="004B2131"/>
    <w:rsid w:val="004B21A7"/>
    <w:rsid w:val="004B2227"/>
    <w:rsid w:val="004B2285"/>
    <w:rsid w:val="004B22CB"/>
    <w:rsid w:val="004B23C6"/>
    <w:rsid w:val="004B244A"/>
    <w:rsid w:val="004B2452"/>
    <w:rsid w:val="004B264F"/>
    <w:rsid w:val="004B265A"/>
    <w:rsid w:val="004B266E"/>
    <w:rsid w:val="004B267E"/>
    <w:rsid w:val="004B271D"/>
    <w:rsid w:val="004B274F"/>
    <w:rsid w:val="004B27EB"/>
    <w:rsid w:val="004B2833"/>
    <w:rsid w:val="004B2919"/>
    <w:rsid w:val="004B29C2"/>
    <w:rsid w:val="004B2AD0"/>
    <w:rsid w:val="004B2B03"/>
    <w:rsid w:val="004B2B3F"/>
    <w:rsid w:val="004B2B96"/>
    <w:rsid w:val="004B2C21"/>
    <w:rsid w:val="004B2C4B"/>
    <w:rsid w:val="004B2C60"/>
    <w:rsid w:val="004B2D5E"/>
    <w:rsid w:val="004B2D78"/>
    <w:rsid w:val="004B2D7E"/>
    <w:rsid w:val="004B2DAE"/>
    <w:rsid w:val="004B2DFC"/>
    <w:rsid w:val="004B2EA4"/>
    <w:rsid w:val="004B2F11"/>
    <w:rsid w:val="004B2FA2"/>
    <w:rsid w:val="004B300B"/>
    <w:rsid w:val="004B3068"/>
    <w:rsid w:val="004B3214"/>
    <w:rsid w:val="004B3239"/>
    <w:rsid w:val="004B32CA"/>
    <w:rsid w:val="004B3461"/>
    <w:rsid w:val="004B34D9"/>
    <w:rsid w:val="004B351E"/>
    <w:rsid w:val="004B3577"/>
    <w:rsid w:val="004B357F"/>
    <w:rsid w:val="004B3618"/>
    <w:rsid w:val="004B3645"/>
    <w:rsid w:val="004B3647"/>
    <w:rsid w:val="004B36DC"/>
    <w:rsid w:val="004B370D"/>
    <w:rsid w:val="004B37A1"/>
    <w:rsid w:val="004B38B0"/>
    <w:rsid w:val="004B38E1"/>
    <w:rsid w:val="004B38E8"/>
    <w:rsid w:val="004B3938"/>
    <w:rsid w:val="004B393E"/>
    <w:rsid w:val="004B3A3C"/>
    <w:rsid w:val="004B3A57"/>
    <w:rsid w:val="004B3A6B"/>
    <w:rsid w:val="004B3A7E"/>
    <w:rsid w:val="004B3AA2"/>
    <w:rsid w:val="004B3BAD"/>
    <w:rsid w:val="004B3BF3"/>
    <w:rsid w:val="004B3CEE"/>
    <w:rsid w:val="004B3D2C"/>
    <w:rsid w:val="004B3D50"/>
    <w:rsid w:val="004B3DF2"/>
    <w:rsid w:val="004B3E43"/>
    <w:rsid w:val="004B3E52"/>
    <w:rsid w:val="004B3EB4"/>
    <w:rsid w:val="004B3EB5"/>
    <w:rsid w:val="004B3ECD"/>
    <w:rsid w:val="004B3EE9"/>
    <w:rsid w:val="004B3F68"/>
    <w:rsid w:val="004B3F82"/>
    <w:rsid w:val="004B3FBD"/>
    <w:rsid w:val="004B3FEB"/>
    <w:rsid w:val="004B4009"/>
    <w:rsid w:val="004B400B"/>
    <w:rsid w:val="004B40CC"/>
    <w:rsid w:val="004B41E0"/>
    <w:rsid w:val="004B41F5"/>
    <w:rsid w:val="004B422F"/>
    <w:rsid w:val="004B4234"/>
    <w:rsid w:val="004B4258"/>
    <w:rsid w:val="004B439A"/>
    <w:rsid w:val="004B43ED"/>
    <w:rsid w:val="004B448B"/>
    <w:rsid w:val="004B4635"/>
    <w:rsid w:val="004B465C"/>
    <w:rsid w:val="004B46C0"/>
    <w:rsid w:val="004B46DF"/>
    <w:rsid w:val="004B4786"/>
    <w:rsid w:val="004B47B4"/>
    <w:rsid w:val="004B4842"/>
    <w:rsid w:val="004B48DF"/>
    <w:rsid w:val="004B490E"/>
    <w:rsid w:val="004B4975"/>
    <w:rsid w:val="004B49E8"/>
    <w:rsid w:val="004B4A59"/>
    <w:rsid w:val="004B4A7D"/>
    <w:rsid w:val="004B4A95"/>
    <w:rsid w:val="004B4AE5"/>
    <w:rsid w:val="004B4AF4"/>
    <w:rsid w:val="004B4AF9"/>
    <w:rsid w:val="004B4BD0"/>
    <w:rsid w:val="004B4C52"/>
    <w:rsid w:val="004B4CFF"/>
    <w:rsid w:val="004B4D8C"/>
    <w:rsid w:val="004B4DA5"/>
    <w:rsid w:val="004B4E5B"/>
    <w:rsid w:val="004B4EB0"/>
    <w:rsid w:val="004B4F92"/>
    <w:rsid w:val="004B4FE6"/>
    <w:rsid w:val="004B503F"/>
    <w:rsid w:val="004B5148"/>
    <w:rsid w:val="004B51E4"/>
    <w:rsid w:val="004B52D4"/>
    <w:rsid w:val="004B536D"/>
    <w:rsid w:val="004B537B"/>
    <w:rsid w:val="004B54EC"/>
    <w:rsid w:val="004B5504"/>
    <w:rsid w:val="004B55B1"/>
    <w:rsid w:val="004B5643"/>
    <w:rsid w:val="004B5646"/>
    <w:rsid w:val="004B56D4"/>
    <w:rsid w:val="004B5712"/>
    <w:rsid w:val="004B5835"/>
    <w:rsid w:val="004B584D"/>
    <w:rsid w:val="004B5863"/>
    <w:rsid w:val="004B5877"/>
    <w:rsid w:val="004B58D2"/>
    <w:rsid w:val="004B5955"/>
    <w:rsid w:val="004B598F"/>
    <w:rsid w:val="004B5ABE"/>
    <w:rsid w:val="004B5B8B"/>
    <w:rsid w:val="004B5BAD"/>
    <w:rsid w:val="004B5C07"/>
    <w:rsid w:val="004B5C4E"/>
    <w:rsid w:val="004B5C66"/>
    <w:rsid w:val="004B5CEB"/>
    <w:rsid w:val="004B5D37"/>
    <w:rsid w:val="004B5D42"/>
    <w:rsid w:val="004B5D88"/>
    <w:rsid w:val="004B5DA2"/>
    <w:rsid w:val="004B5DF0"/>
    <w:rsid w:val="004B5E3C"/>
    <w:rsid w:val="004B5E40"/>
    <w:rsid w:val="004B5EDC"/>
    <w:rsid w:val="004B5F27"/>
    <w:rsid w:val="004B5F6D"/>
    <w:rsid w:val="004B5FB7"/>
    <w:rsid w:val="004B5FD0"/>
    <w:rsid w:val="004B6019"/>
    <w:rsid w:val="004B621A"/>
    <w:rsid w:val="004B6327"/>
    <w:rsid w:val="004B646F"/>
    <w:rsid w:val="004B6544"/>
    <w:rsid w:val="004B65ED"/>
    <w:rsid w:val="004B6642"/>
    <w:rsid w:val="004B66EE"/>
    <w:rsid w:val="004B683B"/>
    <w:rsid w:val="004B6897"/>
    <w:rsid w:val="004B68A6"/>
    <w:rsid w:val="004B68D6"/>
    <w:rsid w:val="004B6987"/>
    <w:rsid w:val="004B69F4"/>
    <w:rsid w:val="004B6A6A"/>
    <w:rsid w:val="004B6AA7"/>
    <w:rsid w:val="004B6BD5"/>
    <w:rsid w:val="004B6BEC"/>
    <w:rsid w:val="004B6D5B"/>
    <w:rsid w:val="004B6DAE"/>
    <w:rsid w:val="004B6E47"/>
    <w:rsid w:val="004B6EA0"/>
    <w:rsid w:val="004B6F26"/>
    <w:rsid w:val="004B6F75"/>
    <w:rsid w:val="004B6FAE"/>
    <w:rsid w:val="004B701D"/>
    <w:rsid w:val="004B7021"/>
    <w:rsid w:val="004B7092"/>
    <w:rsid w:val="004B70FF"/>
    <w:rsid w:val="004B7109"/>
    <w:rsid w:val="004B7151"/>
    <w:rsid w:val="004B7154"/>
    <w:rsid w:val="004B723A"/>
    <w:rsid w:val="004B731D"/>
    <w:rsid w:val="004B7512"/>
    <w:rsid w:val="004B756B"/>
    <w:rsid w:val="004B7615"/>
    <w:rsid w:val="004B763D"/>
    <w:rsid w:val="004B76F9"/>
    <w:rsid w:val="004B77EF"/>
    <w:rsid w:val="004B77FF"/>
    <w:rsid w:val="004B782F"/>
    <w:rsid w:val="004B78D0"/>
    <w:rsid w:val="004B796A"/>
    <w:rsid w:val="004B7A5E"/>
    <w:rsid w:val="004B7A6C"/>
    <w:rsid w:val="004B7A8F"/>
    <w:rsid w:val="004B7AAB"/>
    <w:rsid w:val="004B7B64"/>
    <w:rsid w:val="004B7BD2"/>
    <w:rsid w:val="004B7BDB"/>
    <w:rsid w:val="004B7C12"/>
    <w:rsid w:val="004B7C87"/>
    <w:rsid w:val="004B7CD3"/>
    <w:rsid w:val="004B7D7A"/>
    <w:rsid w:val="004B7DF0"/>
    <w:rsid w:val="004B7F8F"/>
    <w:rsid w:val="004C0024"/>
    <w:rsid w:val="004C0154"/>
    <w:rsid w:val="004C01F8"/>
    <w:rsid w:val="004C0258"/>
    <w:rsid w:val="004C02F0"/>
    <w:rsid w:val="004C0325"/>
    <w:rsid w:val="004C03C7"/>
    <w:rsid w:val="004C03CF"/>
    <w:rsid w:val="004C0411"/>
    <w:rsid w:val="004C05D8"/>
    <w:rsid w:val="004C0601"/>
    <w:rsid w:val="004C06BF"/>
    <w:rsid w:val="004C071E"/>
    <w:rsid w:val="004C07E7"/>
    <w:rsid w:val="004C0853"/>
    <w:rsid w:val="004C0950"/>
    <w:rsid w:val="004C09AF"/>
    <w:rsid w:val="004C09DA"/>
    <w:rsid w:val="004C0A10"/>
    <w:rsid w:val="004C0A66"/>
    <w:rsid w:val="004C0A8A"/>
    <w:rsid w:val="004C0AB7"/>
    <w:rsid w:val="004C0B1F"/>
    <w:rsid w:val="004C0B99"/>
    <w:rsid w:val="004C0C0C"/>
    <w:rsid w:val="004C0C2B"/>
    <w:rsid w:val="004C0C36"/>
    <w:rsid w:val="004C0CE3"/>
    <w:rsid w:val="004C0D22"/>
    <w:rsid w:val="004C0D80"/>
    <w:rsid w:val="004C0DB1"/>
    <w:rsid w:val="004C0DD7"/>
    <w:rsid w:val="004C0E4E"/>
    <w:rsid w:val="004C0E56"/>
    <w:rsid w:val="004C0E75"/>
    <w:rsid w:val="004C0E9E"/>
    <w:rsid w:val="004C0EA6"/>
    <w:rsid w:val="004C0EE5"/>
    <w:rsid w:val="004C0FE4"/>
    <w:rsid w:val="004C0FF0"/>
    <w:rsid w:val="004C10D2"/>
    <w:rsid w:val="004C10E0"/>
    <w:rsid w:val="004C1120"/>
    <w:rsid w:val="004C1167"/>
    <w:rsid w:val="004C1177"/>
    <w:rsid w:val="004C13C5"/>
    <w:rsid w:val="004C13EC"/>
    <w:rsid w:val="004C14B9"/>
    <w:rsid w:val="004C15AC"/>
    <w:rsid w:val="004C170E"/>
    <w:rsid w:val="004C177C"/>
    <w:rsid w:val="004C1850"/>
    <w:rsid w:val="004C18D2"/>
    <w:rsid w:val="004C192D"/>
    <w:rsid w:val="004C192F"/>
    <w:rsid w:val="004C1937"/>
    <w:rsid w:val="004C1966"/>
    <w:rsid w:val="004C1983"/>
    <w:rsid w:val="004C1AA4"/>
    <w:rsid w:val="004C1B46"/>
    <w:rsid w:val="004C1B79"/>
    <w:rsid w:val="004C1BB3"/>
    <w:rsid w:val="004C1BD0"/>
    <w:rsid w:val="004C1C16"/>
    <w:rsid w:val="004C1CA3"/>
    <w:rsid w:val="004C1CFE"/>
    <w:rsid w:val="004C1E77"/>
    <w:rsid w:val="004C1E84"/>
    <w:rsid w:val="004C1FB7"/>
    <w:rsid w:val="004C1FEC"/>
    <w:rsid w:val="004C20F5"/>
    <w:rsid w:val="004C20FC"/>
    <w:rsid w:val="004C2178"/>
    <w:rsid w:val="004C219E"/>
    <w:rsid w:val="004C2373"/>
    <w:rsid w:val="004C23EB"/>
    <w:rsid w:val="004C2403"/>
    <w:rsid w:val="004C245E"/>
    <w:rsid w:val="004C24B3"/>
    <w:rsid w:val="004C24E9"/>
    <w:rsid w:val="004C256C"/>
    <w:rsid w:val="004C259A"/>
    <w:rsid w:val="004C2661"/>
    <w:rsid w:val="004C26D6"/>
    <w:rsid w:val="004C2745"/>
    <w:rsid w:val="004C2802"/>
    <w:rsid w:val="004C2817"/>
    <w:rsid w:val="004C283C"/>
    <w:rsid w:val="004C2850"/>
    <w:rsid w:val="004C287F"/>
    <w:rsid w:val="004C28CA"/>
    <w:rsid w:val="004C28F1"/>
    <w:rsid w:val="004C2925"/>
    <w:rsid w:val="004C29C8"/>
    <w:rsid w:val="004C2A82"/>
    <w:rsid w:val="004C2D04"/>
    <w:rsid w:val="004C2D9A"/>
    <w:rsid w:val="004C2E7C"/>
    <w:rsid w:val="004C2E89"/>
    <w:rsid w:val="004C2F9F"/>
    <w:rsid w:val="004C2FC0"/>
    <w:rsid w:val="004C2FC5"/>
    <w:rsid w:val="004C3000"/>
    <w:rsid w:val="004C3012"/>
    <w:rsid w:val="004C30A0"/>
    <w:rsid w:val="004C3205"/>
    <w:rsid w:val="004C329C"/>
    <w:rsid w:val="004C32ED"/>
    <w:rsid w:val="004C33B2"/>
    <w:rsid w:val="004C33D3"/>
    <w:rsid w:val="004C343C"/>
    <w:rsid w:val="004C34B3"/>
    <w:rsid w:val="004C3524"/>
    <w:rsid w:val="004C357E"/>
    <w:rsid w:val="004C362B"/>
    <w:rsid w:val="004C36C5"/>
    <w:rsid w:val="004C373B"/>
    <w:rsid w:val="004C3767"/>
    <w:rsid w:val="004C37FD"/>
    <w:rsid w:val="004C3825"/>
    <w:rsid w:val="004C385D"/>
    <w:rsid w:val="004C3860"/>
    <w:rsid w:val="004C3890"/>
    <w:rsid w:val="004C3910"/>
    <w:rsid w:val="004C392F"/>
    <w:rsid w:val="004C3987"/>
    <w:rsid w:val="004C39C0"/>
    <w:rsid w:val="004C3C22"/>
    <w:rsid w:val="004C3CE8"/>
    <w:rsid w:val="004C3DCB"/>
    <w:rsid w:val="004C3E64"/>
    <w:rsid w:val="004C3F01"/>
    <w:rsid w:val="004C3F23"/>
    <w:rsid w:val="004C3F60"/>
    <w:rsid w:val="004C3F8B"/>
    <w:rsid w:val="004C3FC2"/>
    <w:rsid w:val="004C4008"/>
    <w:rsid w:val="004C408B"/>
    <w:rsid w:val="004C41F0"/>
    <w:rsid w:val="004C4243"/>
    <w:rsid w:val="004C4285"/>
    <w:rsid w:val="004C429B"/>
    <w:rsid w:val="004C42AF"/>
    <w:rsid w:val="004C4349"/>
    <w:rsid w:val="004C4380"/>
    <w:rsid w:val="004C43DE"/>
    <w:rsid w:val="004C441C"/>
    <w:rsid w:val="004C4474"/>
    <w:rsid w:val="004C44C5"/>
    <w:rsid w:val="004C4574"/>
    <w:rsid w:val="004C46C2"/>
    <w:rsid w:val="004C46C3"/>
    <w:rsid w:val="004C47C7"/>
    <w:rsid w:val="004C47E2"/>
    <w:rsid w:val="004C4899"/>
    <w:rsid w:val="004C491E"/>
    <w:rsid w:val="004C49B5"/>
    <w:rsid w:val="004C49F3"/>
    <w:rsid w:val="004C49FE"/>
    <w:rsid w:val="004C4AD7"/>
    <w:rsid w:val="004C4B12"/>
    <w:rsid w:val="004C4BD6"/>
    <w:rsid w:val="004C4E98"/>
    <w:rsid w:val="004C4ECC"/>
    <w:rsid w:val="004C4F53"/>
    <w:rsid w:val="004C5118"/>
    <w:rsid w:val="004C51D3"/>
    <w:rsid w:val="004C5268"/>
    <w:rsid w:val="004C526D"/>
    <w:rsid w:val="004C531D"/>
    <w:rsid w:val="004C5373"/>
    <w:rsid w:val="004C53C9"/>
    <w:rsid w:val="004C5405"/>
    <w:rsid w:val="004C54FE"/>
    <w:rsid w:val="004C5629"/>
    <w:rsid w:val="004C562E"/>
    <w:rsid w:val="004C563B"/>
    <w:rsid w:val="004C565F"/>
    <w:rsid w:val="004C5702"/>
    <w:rsid w:val="004C5747"/>
    <w:rsid w:val="004C5781"/>
    <w:rsid w:val="004C57AB"/>
    <w:rsid w:val="004C57CC"/>
    <w:rsid w:val="004C584F"/>
    <w:rsid w:val="004C585D"/>
    <w:rsid w:val="004C5892"/>
    <w:rsid w:val="004C58FF"/>
    <w:rsid w:val="004C59D0"/>
    <w:rsid w:val="004C5A66"/>
    <w:rsid w:val="004C5AF3"/>
    <w:rsid w:val="004C5AFD"/>
    <w:rsid w:val="004C5B6A"/>
    <w:rsid w:val="004C5B6D"/>
    <w:rsid w:val="004C5BA5"/>
    <w:rsid w:val="004C5BDB"/>
    <w:rsid w:val="004C5C47"/>
    <w:rsid w:val="004C5CAD"/>
    <w:rsid w:val="004C5CCA"/>
    <w:rsid w:val="004C5D50"/>
    <w:rsid w:val="004C5D6F"/>
    <w:rsid w:val="004C5D82"/>
    <w:rsid w:val="004C5FDC"/>
    <w:rsid w:val="004C5FEA"/>
    <w:rsid w:val="004C601B"/>
    <w:rsid w:val="004C604C"/>
    <w:rsid w:val="004C6103"/>
    <w:rsid w:val="004C612F"/>
    <w:rsid w:val="004C6159"/>
    <w:rsid w:val="004C61E3"/>
    <w:rsid w:val="004C6356"/>
    <w:rsid w:val="004C6406"/>
    <w:rsid w:val="004C641B"/>
    <w:rsid w:val="004C642D"/>
    <w:rsid w:val="004C6457"/>
    <w:rsid w:val="004C64D4"/>
    <w:rsid w:val="004C68EB"/>
    <w:rsid w:val="004C6900"/>
    <w:rsid w:val="004C69FE"/>
    <w:rsid w:val="004C6A36"/>
    <w:rsid w:val="004C6A99"/>
    <w:rsid w:val="004C6A9B"/>
    <w:rsid w:val="004C6B24"/>
    <w:rsid w:val="004C6B71"/>
    <w:rsid w:val="004C6BB8"/>
    <w:rsid w:val="004C6BBC"/>
    <w:rsid w:val="004C6C77"/>
    <w:rsid w:val="004C6CD8"/>
    <w:rsid w:val="004C6DBC"/>
    <w:rsid w:val="004C6E3E"/>
    <w:rsid w:val="004C6E68"/>
    <w:rsid w:val="004C6F58"/>
    <w:rsid w:val="004C6F95"/>
    <w:rsid w:val="004C702F"/>
    <w:rsid w:val="004C7071"/>
    <w:rsid w:val="004C7089"/>
    <w:rsid w:val="004C7205"/>
    <w:rsid w:val="004C7251"/>
    <w:rsid w:val="004C72D7"/>
    <w:rsid w:val="004C73AD"/>
    <w:rsid w:val="004C73E2"/>
    <w:rsid w:val="004C741A"/>
    <w:rsid w:val="004C741F"/>
    <w:rsid w:val="004C7427"/>
    <w:rsid w:val="004C745C"/>
    <w:rsid w:val="004C746F"/>
    <w:rsid w:val="004C74BC"/>
    <w:rsid w:val="004C7562"/>
    <w:rsid w:val="004C7573"/>
    <w:rsid w:val="004C7584"/>
    <w:rsid w:val="004C7752"/>
    <w:rsid w:val="004C7773"/>
    <w:rsid w:val="004C7885"/>
    <w:rsid w:val="004C78E3"/>
    <w:rsid w:val="004C78E7"/>
    <w:rsid w:val="004C78F5"/>
    <w:rsid w:val="004C7925"/>
    <w:rsid w:val="004C797E"/>
    <w:rsid w:val="004C7B0B"/>
    <w:rsid w:val="004C7B11"/>
    <w:rsid w:val="004C7B36"/>
    <w:rsid w:val="004C7B86"/>
    <w:rsid w:val="004C7BC2"/>
    <w:rsid w:val="004C7BD4"/>
    <w:rsid w:val="004C7C36"/>
    <w:rsid w:val="004C7C5F"/>
    <w:rsid w:val="004C7C95"/>
    <w:rsid w:val="004C7DBD"/>
    <w:rsid w:val="004C7DD0"/>
    <w:rsid w:val="004C7E82"/>
    <w:rsid w:val="004C7E88"/>
    <w:rsid w:val="004C7E8B"/>
    <w:rsid w:val="004C7EFE"/>
    <w:rsid w:val="004D008A"/>
    <w:rsid w:val="004D00A0"/>
    <w:rsid w:val="004D00FF"/>
    <w:rsid w:val="004D013B"/>
    <w:rsid w:val="004D028D"/>
    <w:rsid w:val="004D029B"/>
    <w:rsid w:val="004D0392"/>
    <w:rsid w:val="004D03A9"/>
    <w:rsid w:val="004D03DD"/>
    <w:rsid w:val="004D0408"/>
    <w:rsid w:val="004D044E"/>
    <w:rsid w:val="004D053F"/>
    <w:rsid w:val="004D0544"/>
    <w:rsid w:val="004D0642"/>
    <w:rsid w:val="004D08CB"/>
    <w:rsid w:val="004D0910"/>
    <w:rsid w:val="004D093B"/>
    <w:rsid w:val="004D093E"/>
    <w:rsid w:val="004D0987"/>
    <w:rsid w:val="004D09FD"/>
    <w:rsid w:val="004D0A39"/>
    <w:rsid w:val="004D0C60"/>
    <w:rsid w:val="004D0CD6"/>
    <w:rsid w:val="004D0CEF"/>
    <w:rsid w:val="004D0D6D"/>
    <w:rsid w:val="004D0DE1"/>
    <w:rsid w:val="004D0E37"/>
    <w:rsid w:val="004D0E56"/>
    <w:rsid w:val="004D0ECF"/>
    <w:rsid w:val="004D0F03"/>
    <w:rsid w:val="004D0F6D"/>
    <w:rsid w:val="004D0FF2"/>
    <w:rsid w:val="004D101E"/>
    <w:rsid w:val="004D1091"/>
    <w:rsid w:val="004D1204"/>
    <w:rsid w:val="004D12DB"/>
    <w:rsid w:val="004D12DE"/>
    <w:rsid w:val="004D1340"/>
    <w:rsid w:val="004D1364"/>
    <w:rsid w:val="004D1375"/>
    <w:rsid w:val="004D1482"/>
    <w:rsid w:val="004D148D"/>
    <w:rsid w:val="004D14BD"/>
    <w:rsid w:val="004D150D"/>
    <w:rsid w:val="004D15C3"/>
    <w:rsid w:val="004D15D2"/>
    <w:rsid w:val="004D15DC"/>
    <w:rsid w:val="004D161F"/>
    <w:rsid w:val="004D169B"/>
    <w:rsid w:val="004D16A7"/>
    <w:rsid w:val="004D1759"/>
    <w:rsid w:val="004D1798"/>
    <w:rsid w:val="004D179E"/>
    <w:rsid w:val="004D17E9"/>
    <w:rsid w:val="004D1858"/>
    <w:rsid w:val="004D1A22"/>
    <w:rsid w:val="004D1A33"/>
    <w:rsid w:val="004D1A7B"/>
    <w:rsid w:val="004D1B10"/>
    <w:rsid w:val="004D1B29"/>
    <w:rsid w:val="004D1BB1"/>
    <w:rsid w:val="004D1C35"/>
    <w:rsid w:val="004D1CB0"/>
    <w:rsid w:val="004D1D2D"/>
    <w:rsid w:val="004D1E42"/>
    <w:rsid w:val="004D1E9B"/>
    <w:rsid w:val="004D1EA9"/>
    <w:rsid w:val="004D1F1C"/>
    <w:rsid w:val="004D1FC5"/>
    <w:rsid w:val="004D1FDA"/>
    <w:rsid w:val="004D1FDF"/>
    <w:rsid w:val="004D2096"/>
    <w:rsid w:val="004D2112"/>
    <w:rsid w:val="004D2133"/>
    <w:rsid w:val="004D213E"/>
    <w:rsid w:val="004D22E0"/>
    <w:rsid w:val="004D24AE"/>
    <w:rsid w:val="004D259E"/>
    <w:rsid w:val="004D25F8"/>
    <w:rsid w:val="004D26DB"/>
    <w:rsid w:val="004D275D"/>
    <w:rsid w:val="004D2793"/>
    <w:rsid w:val="004D2833"/>
    <w:rsid w:val="004D288C"/>
    <w:rsid w:val="004D29D7"/>
    <w:rsid w:val="004D2B22"/>
    <w:rsid w:val="004D2B5A"/>
    <w:rsid w:val="004D2BA9"/>
    <w:rsid w:val="004D2CCE"/>
    <w:rsid w:val="004D2D2B"/>
    <w:rsid w:val="004D2D70"/>
    <w:rsid w:val="004D2D94"/>
    <w:rsid w:val="004D2E48"/>
    <w:rsid w:val="004D2E86"/>
    <w:rsid w:val="004D2EC3"/>
    <w:rsid w:val="004D2F2B"/>
    <w:rsid w:val="004D3015"/>
    <w:rsid w:val="004D30F8"/>
    <w:rsid w:val="004D3203"/>
    <w:rsid w:val="004D326A"/>
    <w:rsid w:val="004D3287"/>
    <w:rsid w:val="004D337C"/>
    <w:rsid w:val="004D3399"/>
    <w:rsid w:val="004D33B4"/>
    <w:rsid w:val="004D34CE"/>
    <w:rsid w:val="004D34EE"/>
    <w:rsid w:val="004D3588"/>
    <w:rsid w:val="004D358E"/>
    <w:rsid w:val="004D35C9"/>
    <w:rsid w:val="004D366B"/>
    <w:rsid w:val="004D367B"/>
    <w:rsid w:val="004D36CE"/>
    <w:rsid w:val="004D3769"/>
    <w:rsid w:val="004D3792"/>
    <w:rsid w:val="004D37C7"/>
    <w:rsid w:val="004D3AC7"/>
    <w:rsid w:val="004D3B35"/>
    <w:rsid w:val="004D3B98"/>
    <w:rsid w:val="004D3BC8"/>
    <w:rsid w:val="004D3CDC"/>
    <w:rsid w:val="004D3D54"/>
    <w:rsid w:val="004D3DEE"/>
    <w:rsid w:val="004D3E97"/>
    <w:rsid w:val="004D3ED3"/>
    <w:rsid w:val="004D3ED7"/>
    <w:rsid w:val="004D3FF8"/>
    <w:rsid w:val="004D4042"/>
    <w:rsid w:val="004D404A"/>
    <w:rsid w:val="004D40D9"/>
    <w:rsid w:val="004D40E3"/>
    <w:rsid w:val="004D418A"/>
    <w:rsid w:val="004D4224"/>
    <w:rsid w:val="004D4305"/>
    <w:rsid w:val="004D4365"/>
    <w:rsid w:val="004D43D7"/>
    <w:rsid w:val="004D4430"/>
    <w:rsid w:val="004D4480"/>
    <w:rsid w:val="004D4516"/>
    <w:rsid w:val="004D45C8"/>
    <w:rsid w:val="004D469A"/>
    <w:rsid w:val="004D46E6"/>
    <w:rsid w:val="004D46F1"/>
    <w:rsid w:val="004D4709"/>
    <w:rsid w:val="004D4743"/>
    <w:rsid w:val="004D47D3"/>
    <w:rsid w:val="004D49FF"/>
    <w:rsid w:val="004D4AF9"/>
    <w:rsid w:val="004D4CF3"/>
    <w:rsid w:val="004D4D87"/>
    <w:rsid w:val="004D4DBA"/>
    <w:rsid w:val="004D4E22"/>
    <w:rsid w:val="004D4FEC"/>
    <w:rsid w:val="004D5020"/>
    <w:rsid w:val="004D5037"/>
    <w:rsid w:val="004D5039"/>
    <w:rsid w:val="004D5066"/>
    <w:rsid w:val="004D50DB"/>
    <w:rsid w:val="004D51DF"/>
    <w:rsid w:val="004D52AB"/>
    <w:rsid w:val="004D52BA"/>
    <w:rsid w:val="004D531E"/>
    <w:rsid w:val="004D5344"/>
    <w:rsid w:val="004D5403"/>
    <w:rsid w:val="004D5429"/>
    <w:rsid w:val="004D5440"/>
    <w:rsid w:val="004D5545"/>
    <w:rsid w:val="004D55C1"/>
    <w:rsid w:val="004D561E"/>
    <w:rsid w:val="004D5704"/>
    <w:rsid w:val="004D570B"/>
    <w:rsid w:val="004D570C"/>
    <w:rsid w:val="004D57CC"/>
    <w:rsid w:val="004D57F6"/>
    <w:rsid w:val="004D5B74"/>
    <w:rsid w:val="004D5BF3"/>
    <w:rsid w:val="004D5C3A"/>
    <w:rsid w:val="004D5C61"/>
    <w:rsid w:val="004D5CF5"/>
    <w:rsid w:val="004D5EBA"/>
    <w:rsid w:val="004D5EC9"/>
    <w:rsid w:val="004D6025"/>
    <w:rsid w:val="004D61A8"/>
    <w:rsid w:val="004D62D3"/>
    <w:rsid w:val="004D6339"/>
    <w:rsid w:val="004D6446"/>
    <w:rsid w:val="004D648A"/>
    <w:rsid w:val="004D6490"/>
    <w:rsid w:val="004D64C4"/>
    <w:rsid w:val="004D6521"/>
    <w:rsid w:val="004D65BB"/>
    <w:rsid w:val="004D661B"/>
    <w:rsid w:val="004D6656"/>
    <w:rsid w:val="004D668E"/>
    <w:rsid w:val="004D669F"/>
    <w:rsid w:val="004D66A2"/>
    <w:rsid w:val="004D672F"/>
    <w:rsid w:val="004D6790"/>
    <w:rsid w:val="004D6873"/>
    <w:rsid w:val="004D68ED"/>
    <w:rsid w:val="004D6983"/>
    <w:rsid w:val="004D6A13"/>
    <w:rsid w:val="004D6A25"/>
    <w:rsid w:val="004D6A84"/>
    <w:rsid w:val="004D6B54"/>
    <w:rsid w:val="004D6B75"/>
    <w:rsid w:val="004D6BCF"/>
    <w:rsid w:val="004D6D63"/>
    <w:rsid w:val="004D6E69"/>
    <w:rsid w:val="004D6EA0"/>
    <w:rsid w:val="004D6EB5"/>
    <w:rsid w:val="004D6F1D"/>
    <w:rsid w:val="004D6FD2"/>
    <w:rsid w:val="004D702E"/>
    <w:rsid w:val="004D706C"/>
    <w:rsid w:val="004D7148"/>
    <w:rsid w:val="004D723D"/>
    <w:rsid w:val="004D72DD"/>
    <w:rsid w:val="004D7372"/>
    <w:rsid w:val="004D741F"/>
    <w:rsid w:val="004D753B"/>
    <w:rsid w:val="004D753F"/>
    <w:rsid w:val="004D76FF"/>
    <w:rsid w:val="004D7781"/>
    <w:rsid w:val="004D7841"/>
    <w:rsid w:val="004D7855"/>
    <w:rsid w:val="004D7943"/>
    <w:rsid w:val="004D7968"/>
    <w:rsid w:val="004D79FC"/>
    <w:rsid w:val="004D7A9B"/>
    <w:rsid w:val="004D7BE8"/>
    <w:rsid w:val="004D7CEF"/>
    <w:rsid w:val="004D7D03"/>
    <w:rsid w:val="004D7D28"/>
    <w:rsid w:val="004D7DB3"/>
    <w:rsid w:val="004D7E11"/>
    <w:rsid w:val="004D7F07"/>
    <w:rsid w:val="004D7F0E"/>
    <w:rsid w:val="004D7F62"/>
    <w:rsid w:val="004D7F89"/>
    <w:rsid w:val="004D7FD5"/>
    <w:rsid w:val="004D7FEC"/>
    <w:rsid w:val="004E012A"/>
    <w:rsid w:val="004E0150"/>
    <w:rsid w:val="004E01A3"/>
    <w:rsid w:val="004E0229"/>
    <w:rsid w:val="004E022D"/>
    <w:rsid w:val="004E03A1"/>
    <w:rsid w:val="004E0420"/>
    <w:rsid w:val="004E0447"/>
    <w:rsid w:val="004E049B"/>
    <w:rsid w:val="004E0581"/>
    <w:rsid w:val="004E05D3"/>
    <w:rsid w:val="004E05F6"/>
    <w:rsid w:val="004E06ED"/>
    <w:rsid w:val="004E070B"/>
    <w:rsid w:val="004E07A1"/>
    <w:rsid w:val="004E083E"/>
    <w:rsid w:val="004E089D"/>
    <w:rsid w:val="004E08E2"/>
    <w:rsid w:val="004E08E5"/>
    <w:rsid w:val="004E0906"/>
    <w:rsid w:val="004E094F"/>
    <w:rsid w:val="004E0A56"/>
    <w:rsid w:val="004E0A77"/>
    <w:rsid w:val="004E0B46"/>
    <w:rsid w:val="004E0C2E"/>
    <w:rsid w:val="004E0C70"/>
    <w:rsid w:val="004E0C72"/>
    <w:rsid w:val="004E0D2C"/>
    <w:rsid w:val="004E0E1E"/>
    <w:rsid w:val="004E0E33"/>
    <w:rsid w:val="004E0E86"/>
    <w:rsid w:val="004E0E8B"/>
    <w:rsid w:val="004E0EB9"/>
    <w:rsid w:val="004E0F4D"/>
    <w:rsid w:val="004E0FF6"/>
    <w:rsid w:val="004E1023"/>
    <w:rsid w:val="004E107E"/>
    <w:rsid w:val="004E10BB"/>
    <w:rsid w:val="004E1110"/>
    <w:rsid w:val="004E1221"/>
    <w:rsid w:val="004E1260"/>
    <w:rsid w:val="004E126C"/>
    <w:rsid w:val="004E1273"/>
    <w:rsid w:val="004E12E3"/>
    <w:rsid w:val="004E1397"/>
    <w:rsid w:val="004E15C3"/>
    <w:rsid w:val="004E1679"/>
    <w:rsid w:val="004E1691"/>
    <w:rsid w:val="004E1776"/>
    <w:rsid w:val="004E1818"/>
    <w:rsid w:val="004E18B2"/>
    <w:rsid w:val="004E18EC"/>
    <w:rsid w:val="004E19F2"/>
    <w:rsid w:val="004E1A0A"/>
    <w:rsid w:val="004E1A9E"/>
    <w:rsid w:val="004E1ACF"/>
    <w:rsid w:val="004E1AFF"/>
    <w:rsid w:val="004E1B6A"/>
    <w:rsid w:val="004E1BBB"/>
    <w:rsid w:val="004E1CC9"/>
    <w:rsid w:val="004E1D0A"/>
    <w:rsid w:val="004E1D68"/>
    <w:rsid w:val="004E1D6D"/>
    <w:rsid w:val="004E1EDD"/>
    <w:rsid w:val="004E1F3A"/>
    <w:rsid w:val="004E1F90"/>
    <w:rsid w:val="004E2043"/>
    <w:rsid w:val="004E2058"/>
    <w:rsid w:val="004E20B1"/>
    <w:rsid w:val="004E20F8"/>
    <w:rsid w:val="004E2231"/>
    <w:rsid w:val="004E22AE"/>
    <w:rsid w:val="004E22B5"/>
    <w:rsid w:val="004E2479"/>
    <w:rsid w:val="004E2516"/>
    <w:rsid w:val="004E25BA"/>
    <w:rsid w:val="004E25CB"/>
    <w:rsid w:val="004E261F"/>
    <w:rsid w:val="004E2829"/>
    <w:rsid w:val="004E2891"/>
    <w:rsid w:val="004E28C1"/>
    <w:rsid w:val="004E28D0"/>
    <w:rsid w:val="004E28DD"/>
    <w:rsid w:val="004E2930"/>
    <w:rsid w:val="004E2A2A"/>
    <w:rsid w:val="004E2B98"/>
    <w:rsid w:val="004E2C0F"/>
    <w:rsid w:val="004E2CD9"/>
    <w:rsid w:val="004E2D1F"/>
    <w:rsid w:val="004E2EBB"/>
    <w:rsid w:val="004E2F80"/>
    <w:rsid w:val="004E310B"/>
    <w:rsid w:val="004E319A"/>
    <w:rsid w:val="004E33CD"/>
    <w:rsid w:val="004E33FD"/>
    <w:rsid w:val="004E34DF"/>
    <w:rsid w:val="004E350D"/>
    <w:rsid w:val="004E353B"/>
    <w:rsid w:val="004E3586"/>
    <w:rsid w:val="004E3612"/>
    <w:rsid w:val="004E3704"/>
    <w:rsid w:val="004E370D"/>
    <w:rsid w:val="004E3724"/>
    <w:rsid w:val="004E373F"/>
    <w:rsid w:val="004E37AD"/>
    <w:rsid w:val="004E37D8"/>
    <w:rsid w:val="004E39E7"/>
    <w:rsid w:val="004E3A3C"/>
    <w:rsid w:val="004E3ABC"/>
    <w:rsid w:val="004E3B01"/>
    <w:rsid w:val="004E3B7A"/>
    <w:rsid w:val="004E3C21"/>
    <w:rsid w:val="004E3C33"/>
    <w:rsid w:val="004E3C4C"/>
    <w:rsid w:val="004E3C7C"/>
    <w:rsid w:val="004E3C80"/>
    <w:rsid w:val="004E3CC0"/>
    <w:rsid w:val="004E3D34"/>
    <w:rsid w:val="004E3D9A"/>
    <w:rsid w:val="004E3DB3"/>
    <w:rsid w:val="004E3E2C"/>
    <w:rsid w:val="004E3E43"/>
    <w:rsid w:val="004E3E6C"/>
    <w:rsid w:val="004E3E8C"/>
    <w:rsid w:val="004E3EEA"/>
    <w:rsid w:val="004E4038"/>
    <w:rsid w:val="004E413C"/>
    <w:rsid w:val="004E41A4"/>
    <w:rsid w:val="004E41AC"/>
    <w:rsid w:val="004E4235"/>
    <w:rsid w:val="004E4293"/>
    <w:rsid w:val="004E42D3"/>
    <w:rsid w:val="004E4315"/>
    <w:rsid w:val="004E4409"/>
    <w:rsid w:val="004E4475"/>
    <w:rsid w:val="004E461E"/>
    <w:rsid w:val="004E4712"/>
    <w:rsid w:val="004E496B"/>
    <w:rsid w:val="004E49E3"/>
    <w:rsid w:val="004E4A36"/>
    <w:rsid w:val="004E4A3A"/>
    <w:rsid w:val="004E4A56"/>
    <w:rsid w:val="004E4A69"/>
    <w:rsid w:val="004E4A8A"/>
    <w:rsid w:val="004E4A90"/>
    <w:rsid w:val="004E4B8D"/>
    <w:rsid w:val="004E4B9B"/>
    <w:rsid w:val="004E4BA7"/>
    <w:rsid w:val="004E4BCB"/>
    <w:rsid w:val="004E4BD6"/>
    <w:rsid w:val="004E4DD1"/>
    <w:rsid w:val="004E4E04"/>
    <w:rsid w:val="004E4F1F"/>
    <w:rsid w:val="004E50CF"/>
    <w:rsid w:val="004E50DA"/>
    <w:rsid w:val="004E51B9"/>
    <w:rsid w:val="004E5224"/>
    <w:rsid w:val="004E525E"/>
    <w:rsid w:val="004E52BE"/>
    <w:rsid w:val="004E5476"/>
    <w:rsid w:val="004E54BA"/>
    <w:rsid w:val="004E5625"/>
    <w:rsid w:val="004E56AA"/>
    <w:rsid w:val="004E585A"/>
    <w:rsid w:val="004E5924"/>
    <w:rsid w:val="004E5A63"/>
    <w:rsid w:val="004E5A95"/>
    <w:rsid w:val="004E5ABF"/>
    <w:rsid w:val="004E5B1E"/>
    <w:rsid w:val="004E5B48"/>
    <w:rsid w:val="004E5B56"/>
    <w:rsid w:val="004E5C4B"/>
    <w:rsid w:val="004E5C59"/>
    <w:rsid w:val="004E5CB1"/>
    <w:rsid w:val="004E5D2D"/>
    <w:rsid w:val="004E5D6B"/>
    <w:rsid w:val="004E5E3C"/>
    <w:rsid w:val="004E5E59"/>
    <w:rsid w:val="004E5E63"/>
    <w:rsid w:val="004E60FD"/>
    <w:rsid w:val="004E6140"/>
    <w:rsid w:val="004E6141"/>
    <w:rsid w:val="004E61B6"/>
    <w:rsid w:val="004E621C"/>
    <w:rsid w:val="004E6249"/>
    <w:rsid w:val="004E62EE"/>
    <w:rsid w:val="004E6340"/>
    <w:rsid w:val="004E6425"/>
    <w:rsid w:val="004E6428"/>
    <w:rsid w:val="004E653D"/>
    <w:rsid w:val="004E6548"/>
    <w:rsid w:val="004E658E"/>
    <w:rsid w:val="004E65A3"/>
    <w:rsid w:val="004E6607"/>
    <w:rsid w:val="004E6664"/>
    <w:rsid w:val="004E666B"/>
    <w:rsid w:val="004E67F1"/>
    <w:rsid w:val="004E684D"/>
    <w:rsid w:val="004E68EF"/>
    <w:rsid w:val="004E695A"/>
    <w:rsid w:val="004E6977"/>
    <w:rsid w:val="004E6A1C"/>
    <w:rsid w:val="004E6A20"/>
    <w:rsid w:val="004E6B19"/>
    <w:rsid w:val="004E6B73"/>
    <w:rsid w:val="004E6D3D"/>
    <w:rsid w:val="004E6D9A"/>
    <w:rsid w:val="004E6E20"/>
    <w:rsid w:val="004E6F8F"/>
    <w:rsid w:val="004E6FDE"/>
    <w:rsid w:val="004E70F8"/>
    <w:rsid w:val="004E7134"/>
    <w:rsid w:val="004E7162"/>
    <w:rsid w:val="004E73FD"/>
    <w:rsid w:val="004E74DC"/>
    <w:rsid w:val="004E7511"/>
    <w:rsid w:val="004E76DB"/>
    <w:rsid w:val="004E7724"/>
    <w:rsid w:val="004E77C3"/>
    <w:rsid w:val="004E77F0"/>
    <w:rsid w:val="004E782E"/>
    <w:rsid w:val="004E7917"/>
    <w:rsid w:val="004E7A22"/>
    <w:rsid w:val="004E7AD2"/>
    <w:rsid w:val="004E7C48"/>
    <w:rsid w:val="004E7EC8"/>
    <w:rsid w:val="004E7ECA"/>
    <w:rsid w:val="004E7EDA"/>
    <w:rsid w:val="004E7F37"/>
    <w:rsid w:val="004E7FC0"/>
    <w:rsid w:val="004F00D9"/>
    <w:rsid w:val="004F0134"/>
    <w:rsid w:val="004F01EA"/>
    <w:rsid w:val="004F0209"/>
    <w:rsid w:val="004F0224"/>
    <w:rsid w:val="004F0249"/>
    <w:rsid w:val="004F0256"/>
    <w:rsid w:val="004F02BD"/>
    <w:rsid w:val="004F02E1"/>
    <w:rsid w:val="004F030A"/>
    <w:rsid w:val="004F03A4"/>
    <w:rsid w:val="004F03AE"/>
    <w:rsid w:val="004F05EC"/>
    <w:rsid w:val="004F0675"/>
    <w:rsid w:val="004F0687"/>
    <w:rsid w:val="004F0735"/>
    <w:rsid w:val="004F07A8"/>
    <w:rsid w:val="004F0818"/>
    <w:rsid w:val="004F08E2"/>
    <w:rsid w:val="004F0952"/>
    <w:rsid w:val="004F0969"/>
    <w:rsid w:val="004F099C"/>
    <w:rsid w:val="004F09F6"/>
    <w:rsid w:val="004F0A04"/>
    <w:rsid w:val="004F0A95"/>
    <w:rsid w:val="004F0B1A"/>
    <w:rsid w:val="004F0B64"/>
    <w:rsid w:val="004F0C55"/>
    <w:rsid w:val="004F0D72"/>
    <w:rsid w:val="004F0EAD"/>
    <w:rsid w:val="004F0F32"/>
    <w:rsid w:val="004F0FE0"/>
    <w:rsid w:val="004F10AD"/>
    <w:rsid w:val="004F10D9"/>
    <w:rsid w:val="004F117C"/>
    <w:rsid w:val="004F123A"/>
    <w:rsid w:val="004F1254"/>
    <w:rsid w:val="004F127B"/>
    <w:rsid w:val="004F1368"/>
    <w:rsid w:val="004F142E"/>
    <w:rsid w:val="004F143F"/>
    <w:rsid w:val="004F14B2"/>
    <w:rsid w:val="004F14E7"/>
    <w:rsid w:val="004F165D"/>
    <w:rsid w:val="004F16AA"/>
    <w:rsid w:val="004F16B4"/>
    <w:rsid w:val="004F16C3"/>
    <w:rsid w:val="004F17A8"/>
    <w:rsid w:val="004F180D"/>
    <w:rsid w:val="004F1879"/>
    <w:rsid w:val="004F191E"/>
    <w:rsid w:val="004F19DE"/>
    <w:rsid w:val="004F19FE"/>
    <w:rsid w:val="004F1A22"/>
    <w:rsid w:val="004F1A3B"/>
    <w:rsid w:val="004F1AD0"/>
    <w:rsid w:val="004F1C9C"/>
    <w:rsid w:val="004F1CAE"/>
    <w:rsid w:val="004F1CF8"/>
    <w:rsid w:val="004F1D32"/>
    <w:rsid w:val="004F1E3C"/>
    <w:rsid w:val="004F1E63"/>
    <w:rsid w:val="004F1E88"/>
    <w:rsid w:val="004F1EAB"/>
    <w:rsid w:val="004F1FCD"/>
    <w:rsid w:val="004F20D6"/>
    <w:rsid w:val="004F22D8"/>
    <w:rsid w:val="004F2318"/>
    <w:rsid w:val="004F2371"/>
    <w:rsid w:val="004F2466"/>
    <w:rsid w:val="004F255F"/>
    <w:rsid w:val="004F2560"/>
    <w:rsid w:val="004F25C2"/>
    <w:rsid w:val="004F26BD"/>
    <w:rsid w:val="004F26DB"/>
    <w:rsid w:val="004F2755"/>
    <w:rsid w:val="004F2850"/>
    <w:rsid w:val="004F28E0"/>
    <w:rsid w:val="004F2996"/>
    <w:rsid w:val="004F29CB"/>
    <w:rsid w:val="004F29F5"/>
    <w:rsid w:val="004F2A33"/>
    <w:rsid w:val="004F2AAB"/>
    <w:rsid w:val="004F2B08"/>
    <w:rsid w:val="004F2BB4"/>
    <w:rsid w:val="004F2CC0"/>
    <w:rsid w:val="004F2D06"/>
    <w:rsid w:val="004F2D18"/>
    <w:rsid w:val="004F2D66"/>
    <w:rsid w:val="004F2F7A"/>
    <w:rsid w:val="004F311C"/>
    <w:rsid w:val="004F31C9"/>
    <w:rsid w:val="004F31EF"/>
    <w:rsid w:val="004F3222"/>
    <w:rsid w:val="004F335C"/>
    <w:rsid w:val="004F3436"/>
    <w:rsid w:val="004F34AE"/>
    <w:rsid w:val="004F356F"/>
    <w:rsid w:val="004F3593"/>
    <w:rsid w:val="004F35BC"/>
    <w:rsid w:val="004F35E2"/>
    <w:rsid w:val="004F3622"/>
    <w:rsid w:val="004F3645"/>
    <w:rsid w:val="004F36A0"/>
    <w:rsid w:val="004F3791"/>
    <w:rsid w:val="004F38A5"/>
    <w:rsid w:val="004F3930"/>
    <w:rsid w:val="004F3991"/>
    <w:rsid w:val="004F39A8"/>
    <w:rsid w:val="004F39D6"/>
    <w:rsid w:val="004F39DD"/>
    <w:rsid w:val="004F3A21"/>
    <w:rsid w:val="004F3A44"/>
    <w:rsid w:val="004F3B97"/>
    <w:rsid w:val="004F3CB8"/>
    <w:rsid w:val="004F3CCD"/>
    <w:rsid w:val="004F3CEB"/>
    <w:rsid w:val="004F3D76"/>
    <w:rsid w:val="004F3DCD"/>
    <w:rsid w:val="004F3DE9"/>
    <w:rsid w:val="004F3F02"/>
    <w:rsid w:val="004F3F6A"/>
    <w:rsid w:val="004F4043"/>
    <w:rsid w:val="004F40A5"/>
    <w:rsid w:val="004F4137"/>
    <w:rsid w:val="004F42B5"/>
    <w:rsid w:val="004F42C5"/>
    <w:rsid w:val="004F42C6"/>
    <w:rsid w:val="004F42E9"/>
    <w:rsid w:val="004F43F0"/>
    <w:rsid w:val="004F44E6"/>
    <w:rsid w:val="004F451A"/>
    <w:rsid w:val="004F4544"/>
    <w:rsid w:val="004F4555"/>
    <w:rsid w:val="004F45AC"/>
    <w:rsid w:val="004F4751"/>
    <w:rsid w:val="004F4776"/>
    <w:rsid w:val="004F4797"/>
    <w:rsid w:val="004F47C5"/>
    <w:rsid w:val="004F47DB"/>
    <w:rsid w:val="004F4944"/>
    <w:rsid w:val="004F4985"/>
    <w:rsid w:val="004F4990"/>
    <w:rsid w:val="004F49A2"/>
    <w:rsid w:val="004F4A59"/>
    <w:rsid w:val="004F4AC3"/>
    <w:rsid w:val="004F4AE5"/>
    <w:rsid w:val="004F4AEF"/>
    <w:rsid w:val="004F4B27"/>
    <w:rsid w:val="004F4B2E"/>
    <w:rsid w:val="004F4B41"/>
    <w:rsid w:val="004F4B47"/>
    <w:rsid w:val="004F4C56"/>
    <w:rsid w:val="004F4CC3"/>
    <w:rsid w:val="004F4E00"/>
    <w:rsid w:val="004F4E33"/>
    <w:rsid w:val="004F4E54"/>
    <w:rsid w:val="004F4F17"/>
    <w:rsid w:val="004F4FEC"/>
    <w:rsid w:val="004F50E8"/>
    <w:rsid w:val="004F5126"/>
    <w:rsid w:val="004F512B"/>
    <w:rsid w:val="004F5189"/>
    <w:rsid w:val="004F519E"/>
    <w:rsid w:val="004F5257"/>
    <w:rsid w:val="004F52DC"/>
    <w:rsid w:val="004F545C"/>
    <w:rsid w:val="004F54B9"/>
    <w:rsid w:val="004F5517"/>
    <w:rsid w:val="004F5529"/>
    <w:rsid w:val="004F5600"/>
    <w:rsid w:val="004F570F"/>
    <w:rsid w:val="004F576C"/>
    <w:rsid w:val="004F57C4"/>
    <w:rsid w:val="004F5894"/>
    <w:rsid w:val="004F58FD"/>
    <w:rsid w:val="004F593D"/>
    <w:rsid w:val="004F594A"/>
    <w:rsid w:val="004F59DD"/>
    <w:rsid w:val="004F59F6"/>
    <w:rsid w:val="004F5A9A"/>
    <w:rsid w:val="004F5C28"/>
    <w:rsid w:val="004F5C57"/>
    <w:rsid w:val="004F5CC6"/>
    <w:rsid w:val="004F5CEA"/>
    <w:rsid w:val="004F5D56"/>
    <w:rsid w:val="004F5D9A"/>
    <w:rsid w:val="004F5DAE"/>
    <w:rsid w:val="004F5E23"/>
    <w:rsid w:val="004F5E3D"/>
    <w:rsid w:val="004F5E90"/>
    <w:rsid w:val="004F5F68"/>
    <w:rsid w:val="004F5FDE"/>
    <w:rsid w:val="004F5FF4"/>
    <w:rsid w:val="004F602D"/>
    <w:rsid w:val="004F605E"/>
    <w:rsid w:val="004F60AE"/>
    <w:rsid w:val="004F613A"/>
    <w:rsid w:val="004F620C"/>
    <w:rsid w:val="004F6266"/>
    <w:rsid w:val="004F6277"/>
    <w:rsid w:val="004F62AA"/>
    <w:rsid w:val="004F6350"/>
    <w:rsid w:val="004F639A"/>
    <w:rsid w:val="004F63FB"/>
    <w:rsid w:val="004F6430"/>
    <w:rsid w:val="004F644A"/>
    <w:rsid w:val="004F645B"/>
    <w:rsid w:val="004F6590"/>
    <w:rsid w:val="004F65A9"/>
    <w:rsid w:val="004F65FE"/>
    <w:rsid w:val="004F6635"/>
    <w:rsid w:val="004F66AE"/>
    <w:rsid w:val="004F66CC"/>
    <w:rsid w:val="004F675C"/>
    <w:rsid w:val="004F6782"/>
    <w:rsid w:val="004F689E"/>
    <w:rsid w:val="004F69F9"/>
    <w:rsid w:val="004F6A03"/>
    <w:rsid w:val="004F6A5C"/>
    <w:rsid w:val="004F6AF6"/>
    <w:rsid w:val="004F6B42"/>
    <w:rsid w:val="004F6C5A"/>
    <w:rsid w:val="004F6DF7"/>
    <w:rsid w:val="004F6E41"/>
    <w:rsid w:val="004F6EAD"/>
    <w:rsid w:val="004F6F56"/>
    <w:rsid w:val="004F6F69"/>
    <w:rsid w:val="004F6F6F"/>
    <w:rsid w:val="004F7004"/>
    <w:rsid w:val="004F7051"/>
    <w:rsid w:val="004F705C"/>
    <w:rsid w:val="004F70A1"/>
    <w:rsid w:val="004F7117"/>
    <w:rsid w:val="004F7125"/>
    <w:rsid w:val="004F7281"/>
    <w:rsid w:val="004F73B9"/>
    <w:rsid w:val="004F73BC"/>
    <w:rsid w:val="004F7568"/>
    <w:rsid w:val="004F759F"/>
    <w:rsid w:val="004F75C4"/>
    <w:rsid w:val="004F75F4"/>
    <w:rsid w:val="004F7617"/>
    <w:rsid w:val="004F7688"/>
    <w:rsid w:val="004F7696"/>
    <w:rsid w:val="004F77E7"/>
    <w:rsid w:val="004F7856"/>
    <w:rsid w:val="004F7895"/>
    <w:rsid w:val="004F78EB"/>
    <w:rsid w:val="004F7911"/>
    <w:rsid w:val="004F79FF"/>
    <w:rsid w:val="004F7A65"/>
    <w:rsid w:val="004F7AE0"/>
    <w:rsid w:val="004F7BFC"/>
    <w:rsid w:val="004F7D13"/>
    <w:rsid w:val="004F7D47"/>
    <w:rsid w:val="004F7E18"/>
    <w:rsid w:val="004F7E60"/>
    <w:rsid w:val="004F7E99"/>
    <w:rsid w:val="004F7EB3"/>
    <w:rsid w:val="004F7F5B"/>
    <w:rsid w:val="004FFB18"/>
    <w:rsid w:val="00500036"/>
    <w:rsid w:val="005000FE"/>
    <w:rsid w:val="00500122"/>
    <w:rsid w:val="00500147"/>
    <w:rsid w:val="00500303"/>
    <w:rsid w:val="00500386"/>
    <w:rsid w:val="005003C1"/>
    <w:rsid w:val="00500443"/>
    <w:rsid w:val="0050045E"/>
    <w:rsid w:val="00500499"/>
    <w:rsid w:val="0050066D"/>
    <w:rsid w:val="005007AF"/>
    <w:rsid w:val="005007E0"/>
    <w:rsid w:val="0050082D"/>
    <w:rsid w:val="00500850"/>
    <w:rsid w:val="005008E7"/>
    <w:rsid w:val="0050094D"/>
    <w:rsid w:val="00500961"/>
    <w:rsid w:val="005009C7"/>
    <w:rsid w:val="005009D4"/>
    <w:rsid w:val="00500A12"/>
    <w:rsid w:val="00500A4D"/>
    <w:rsid w:val="00500A5C"/>
    <w:rsid w:val="00500DB3"/>
    <w:rsid w:val="00500E7C"/>
    <w:rsid w:val="0050103E"/>
    <w:rsid w:val="005010A3"/>
    <w:rsid w:val="005010AF"/>
    <w:rsid w:val="00501108"/>
    <w:rsid w:val="005011B6"/>
    <w:rsid w:val="0050127F"/>
    <w:rsid w:val="00501289"/>
    <w:rsid w:val="0050139E"/>
    <w:rsid w:val="005013C1"/>
    <w:rsid w:val="005014E3"/>
    <w:rsid w:val="0050155A"/>
    <w:rsid w:val="005015B2"/>
    <w:rsid w:val="005015DB"/>
    <w:rsid w:val="005015E2"/>
    <w:rsid w:val="005015F3"/>
    <w:rsid w:val="005016B9"/>
    <w:rsid w:val="0050175B"/>
    <w:rsid w:val="005017D3"/>
    <w:rsid w:val="00501988"/>
    <w:rsid w:val="0050198E"/>
    <w:rsid w:val="005019BD"/>
    <w:rsid w:val="005019DC"/>
    <w:rsid w:val="005019E9"/>
    <w:rsid w:val="00501A28"/>
    <w:rsid w:val="00501A29"/>
    <w:rsid w:val="00501A2E"/>
    <w:rsid w:val="00501A55"/>
    <w:rsid w:val="00501A59"/>
    <w:rsid w:val="00501A8D"/>
    <w:rsid w:val="00501AE9"/>
    <w:rsid w:val="00501B06"/>
    <w:rsid w:val="00501BAA"/>
    <w:rsid w:val="00501E02"/>
    <w:rsid w:val="00501E36"/>
    <w:rsid w:val="00501EB0"/>
    <w:rsid w:val="00501ECC"/>
    <w:rsid w:val="00502007"/>
    <w:rsid w:val="0050208A"/>
    <w:rsid w:val="005020E7"/>
    <w:rsid w:val="00502126"/>
    <w:rsid w:val="00502193"/>
    <w:rsid w:val="00502203"/>
    <w:rsid w:val="00502296"/>
    <w:rsid w:val="0050229F"/>
    <w:rsid w:val="005022C6"/>
    <w:rsid w:val="005023A4"/>
    <w:rsid w:val="00502409"/>
    <w:rsid w:val="00502460"/>
    <w:rsid w:val="00502507"/>
    <w:rsid w:val="00502681"/>
    <w:rsid w:val="00502713"/>
    <w:rsid w:val="005027B2"/>
    <w:rsid w:val="005027F4"/>
    <w:rsid w:val="00502815"/>
    <w:rsid w:val="00502837"/>
    <w:rsid w:val="00502877"/>
    <w:rsid w:val="00502A1E"/>
    <w:rsid w:val="00502BA7"/>
    <w:rsid w:val="00502C04"/>
    <w:rsid w:val="00502CB9"/>
    <w:rsid w:val="00502CC7"/>
    <w:rsid w:val="00502CE9"/>
    <w:rsid w:val="00502D3E"/>
    <w:rsid w:val="00502E0D"/>
    <w:rsid w:val="00502E7C"/>
    <w:rsid w:val="00502EF8"/>
    <w:rsid w:val="0050309D"/>
    <w:rsid w:val="005030B0"/>
    <w:rsid w:val="00503154"/>
    <w:rsid w:val="00503203"/>
    <w:rsid w:val="0050321A"/>
    <w:rsid w:val="00503220"/>
    <w:rsid w:val="005032F1"/>
    <w:rsid w:val="00503327"/>
    <w:rsid w:val="0050334F"/>
    <w:rsid w:val="005033D0"/>
    <w:rsid w:val="005033F7"/>
    <w:rsid w:val="00503432"/>
    <w:rsid w:val="00503440"/>
    <w:rsid w:val="00503493"/>
    <w:rsid w:val="005034D1"/>
    <w:rsid w:val="005034DE"/>
    <w:rsid w:val="005035F8"/>
    <w:rsid w:val="00503665"/>
    <w:rsid w:val="00503699"/>
    <w:rsid w:val="0050377E"/>
    <w:rsid w:val="00503884"/>
    <w:rsid w:val="00503973"/>
    <w:rsid w:val="00503A15"/>
    <w:rsid w:val="00503A2D"/>
    <w:rsid w:val="00503AA4"/>
    <w:rsid w:val="00503ABF"/>
    <w:rsid w:val="00503B63"/>
    <w:rsid w:val="00503B6A"/>
    <w:rsid w:val="00503D34"/>
    <w:rsid w:val="00503D9B"/>
    <w:rsid w:val="00503DB9"/>
    <w:rsid w:val="00503E36"/>
    <w:rsid w:val="00503ED7"/>
    <w:rsid w:val="00503F0A"/>
    <w:rsid w:val="00503F41"/>
    <w:rsid w:val="00503F44"/>
    <w:rsid w:val="00503F4B"/>
    <w:rsid w:val="00503F99"/>
    <w:rsid w:val="00504009"/>
    <w:rsid w:val="005040D4"/>
    <w:rsid w:val="0050410A"/>
    <w:rsid w:val="00504118"/>
    <w:rsid w:val="005041B9"/>
    <w:rsid w:val="005043CB"/>
    <w:rsid w:val="005044B4"/>
    <w:rsid w:val="005044D6"/>
    <w:rsid w:val="00504528"/>
    <w:rsid w:val="005045F3"/>
    <w:rsid w:val="005045F4"/>
    <w:rsid w:val="00504706"/>
    <w:rsid w:val="0050472E"/>
    <w:rsid w:val="0050486D"/>
    <w:rsid w:val="005048A2"/>
    <w:rsid w:val="00504911"/>
    <w:rsid w:val="00504946"/>
    <w:rsid w:val="00504957"/>
    <w:rsid w:val="00504965"/>
    <w:rsid w:val="00504A31"/>
    <w:rsid w:val="00504A46"/>
    <w:rsid w:val="00504A8D"/>
    <w:rsid w:val="00504AD0"/>
    <w:rsid w:val="00504B21"/>
    <w:rsid w:val="00504B69"/>
    <w:rsid w:val="00504C4B"/>
    <w:rsid w:val="00504C51"/>
    <w:rsid w:val="00504D06"/>
    <w:rsid w:val="00504D1A"/>
    <w:rsid w:val="00504D20"/>
    <w:rsid w:val="00504D47"/>
    <w:rsid w:val="00504D89"/>
    <w:rsid w:val="00504D9A"/>
    <w:rsid w:val="00504DF8"/>
    <w:rsid w:val="00504E1A"/>
    <w:rsid w:val="00504E38"/>
    <w:rsid w:val="00504F23"/>
    <w:rsid w:val="00504FF3"/>
    <w:rsid w:val="0050503C"/>
    <w:rsid w:val="0050514B"/>
    <w:rsid w:val="00505164"/>
    <w:rsid w:val="0050534F"/>
    <w:rsid w:val="0050543E"/>
    <w:rsid w:val="00505501"/>
    <w:rsid w:val="00505533"/>
    <w:rsid w:val="00505551"/>
    <w:rsid w:val="0050562D"/>
    <w:rsid w:val="005057E2"/>
    <w:rsid w:val="005058AF"/>
    <w:rsid w:val="00505928"/>
    <w:rsid w:val="005059CD"/>
    <w:rsid w:val="005059F4"/>
    <w:rsid w:val="00505BFA"/>
    <w:rsid w:val="00505C6F"/>
    <w:rsid w:val="00505C9B"/>
    <w:rsid w:val="00505D7C"/>
    <w:rsid w:val="00505DA4"/>
    <w:rsid w:val="00505DE5"/>
    <w:rsid w:val="00505E73"/>
    <w:rsid w:val="00505E7C"/>
    <w:rsid w:val="00505F8B"/>
    <w:rsid w:val="00505FA3"/>
    <w:rsid w:val="00505FAB"/>
    <w:rsid w:val="0050608C"/>
    <w:rsid w:val="0050610A"/>
    <w:rsid w:val="0050616F"/>
    <w:rsid w:val="005061C5"/>
    <w:rsid w:val="005062C4"/>
    <w:rsid w:val="00506375"/>
    <w:rsid w:val="005063CC"/>
    <w:rsid w:val="00506437"/>
    <w:rsid w:val="00506454"/>
    <w:rsid w:val="0050651E"/>
    <w:rsid w:val="00506535"/>
    <w:rsid w:val="0050653A"/>
    <w:rsid w:val="005065BC"/>
    <w:rsid w:val="005065BF"/>
    <w:rsid w:val="005065E9"/>
    <w:rsid w:val="00506684"/>
    <w:rsid w:val="005067FA"/>
    <w:rsid w:val="0050681E"/>
    <w:rsid w:val="005069A2"/>
    <w:rsid w:val="005069AA"/>
    <w:rsid w:val="005069EF"/>
    <w:rsid w:val="005069F2"/>
    <w:rsid w:val="00506A5B"/>
    <w:rsid w:val="00506A6B"/>
    <w:rsid w:val="00506B29"/>
    <w:rsid w:val="00506B6B"/>
    <w:rsid w:val="00506B6D"/>
    <w:rsid w:val="00506CA8"/>
    <w:rsid w:val="00506CF9"/>
    <w:rsid w:val="00506D0D"/>
    <w:rsid w:val="00506DC5"/>
    <w:rsid w:val="00506DD9"/>
    <w:rsid w:val="00506DF4"/>
    <w:rsid w:val="00506E71"/>
    <w:rsid w:val="00506E9E"/>
    <w:rsid w:val="00506EE5"/>
    <w:rsid w:val="00506F34"/>
    <w:rsid w:val="00506F90"/>
    <w:rsid w:val="00507028"/>
    <w:rsid w:val="005070A7"/>
    <w:rsid w:val="005070D5"/>
    <w:rsid w:val="00507168"/>
    <w:rsid w:val="0050717C"/>
    <w:rsid w:val="0050729B"/>
    <w:rsid w:val="005072C9"/>
    <w:rsid w:val="005072D1"/>
    <w:rsid w:val="005073B1"/>
    <w:rsid w:val="005073BF"/>
    <w:rsid w:val="005073F9"/>
    <w:rsid w:val="00507409"/>
    <w:rsid w:val="00507468"/>
    <w:rsid w:val="00507483"/>
    <w:rsid w:val="005075E2"/>
    <w:rsid w:val="00507633"/>
    <w:rsid w:val="0050765A"/>
    <w:rsid w:val="005076D2"/>
    <w:rsid w:val="0050775D"/>
    <w:rsid w:val="005078C0"/>
    <w:rsid w:val="005078C3"/>
    <w:rsid w:val="0050793B"/>
    <w:rsid w:val="0050798D"/>
    <w:rsid w:val="0050799C"/>
    <w:rsid w:val="005079B7"/>
    <w:rsid w:val="005079C4"/>
    <w:rsid w:val="00507AEB"/>
    <w:rsid w:val="00507C89"/>
    <w:rsid w:val="00507D00"/>
    <w:rsid w:val="00507D9F"/>
    <w:rsid w:val="00507DC1"/>
    <w:rsid w:val="00507E57"/>
    <w:rsid w:val="00507F65"/>
    <w:rsid w:val="00507F89"/>
    <w:rsid w:val="00507F8D"/>
    <w:rsid w:val="00507FE8"/>
    <w:rsid w:val="005101C8"/>
    <w:rsid w:val="005101DB"/>
    <w:rsid w:val="00510244"/>
    <w:rsid w:val="005102D8"/>
    <w:rsid w:val="00510382"/>
    <w:rsid w:val="00510485"/>
    <w:rsid w:val="00510486"/>
    <w:rsid w:val="005104EB"/>
    <w:rsid w:val="00510503"/>
    <w:rsid w:val="00510519"/>
    <w:rsid w:val="00510589"/>
    <w:rsid w:val="005105C3"/>
    <w:rsid w:val="00510610"/>
    <w:rsid w:val="005106FE"/>
    <w:rsid w:val="0051075F"/>
    <w:rsid w:val="005108EC"/>
    <w:rsid w:val="00510915"/>
    <w:rsid w:val="00510CA2"/>
    <w:rsid w:val="00510CFE"/>
    <w:rsid w:val="00510E23"/>
    <w:rsid w:val="0051107D"/>
    <w:rsid w:val="005110B0"/>
    <w:rsid w:val="005110CE"/>
    <w:rsid w:val="005110E0"/>
    <w:rsid w:val="005111A1"/>
    <w:rsid w:val="00511216"/>
    <w:rsid w:val="00511235"/>
    <w:rsid w:val="005112D7"/>
    <w:rsid w:val="005112FF"/>
    <w:rsid w:val="00511373"/>
    <w:rsid w:val="0051147A"/>
    <w:rsid w:val="0051148D"/>
    <w:rsid w:val="005114A6"/>
    <w:rsid w:val="005115B4"/>
    <w:rsid w:val="00511665"/>
    <w:rsid w:val="0051172B"/>
    <w:rsid w:val="005117EB"/>
    <w:rsid w:val="00511802"/>
    <w:rsid w:val="00511AC6"/>
    <w:rsid w:val="00511B56"/>
    <w:rsid w:val="00511B6A"/>
    <w:rsid w:val="00511C5D"/>
    <w:rsid w:val="00511CC7"/>
    <w:rsid w:val="00511D80"/>
    <w:rsid w:val="00511E23"/>
    <w:rsid w:val="00511E7E"/>
    <w:rsid w:val="00511FEF"/>
    <w:rsid w:val="0051202F"/>
    <w:rsid w:val="005120B7"/>
    <w:rsid w:val="00512151"/>
    <w:rsid w:val="00512229"/>
    <w:rsid w:val="00512267"/>
    <w:rsid w:val="00512274"/>
    <w:rsid w:val="005124D1"/>
    <w:rsid w:val="00512595"/>
    <w:rsid w:val="0051291E"/>
    <w:rsid w:val="005129B0"/>
    <w:rsid w:val="005129FE"/>
    <w:rsid w:val="00512ABF"/>
    <w:rsid w:val="00512B1C"/>
    <w:rsid w:val="00512BF5"/>
    <w:rsid w:val="00512C43"/>
    <w:rsid w:val="00512CF0"/>
    <w:rsid w:val="00512D94"/>
    <w:rsid w:val="00512E26"/>
    <w:rsid w:val="00512E6A"/>
    <w:rsid w:val="00512E6C"/>
    <w:rsid w:val="00512ED8"/>
    <w:rsid w:val="00512F63"/>
    <w:rsid w:val="00512F7F"/>
    <w:rsid w:val="0051301F"/>
    <w:rsid w:val="00513044"/>
    <w:rsid w:val="00513051"/>
    <w:rsid w:val="005130D3"/>
    <w:rsid w:val="005130DB"/>
    <w:rsid w:val="005131D9"/>
    <w:rsid w:val="00513339"/>
    <w:rsid w:val="00513343"/>
    <w:rsid w:val="005133FA"/>
    <w:rsid w:val="0051344E"/>
    <w:rsid w:val="00513464"/>
    <w:rsid w:val="005134F1"/>
    <w:rsid w:val="005135E9"/>
    <w:rsid w:val="00513607"/>
    <w:rsid w:val="0051364B"/>
    <w:rsid w:val="005136F0"/>
    <w:rsid w:val="00513704"/>
    <w:rsid w:val="00513774"/>
    <w:rsid w:val="005137B6"/>
    <w:rsid w:val="005137C5"/>
    <w:rsid w:val="005137DD"/>
    <w:rsid w:val="00513837"/>
    <w:rsid w:val="0051383F"/>
    <w:rsid w:val="00513859"/>
    <w:rsid w:val="00513890"/>
    <w:rsid w:val="005138C7"/>
    <w:rsid w:val="00513935"/>
    <w:rsid w:val="00513964"/>
    <w:rsid w:val="00513999"/>
    <w:rsid w:val="00513A60"/>
    <w:rsid w:val="00513BFE"/>
    <w:rsid w:val="00513C44"/>
    <w:rsid w:val="00513CB9"/>
    <w:rsid w:val="00513CC3"/>
    <w:rsid w:val="00513D17"/>
    <w:rsid w:val="00513D61"/>
    <w:rsid w:val="00513DA1"/>
    <w:rsid w:val="00513E3C"/>
    <w:rsid w:val="00513E96"/>
    <w:rsid w:val="00513EBE"/>
    <w:rsid w:val="00513F49"/>
    <w:rsid w:val="005140FB"/>
    <w:rsid w:val="0051413C"/>
    <w:rsid w:val="005141E7"/>
    <w:rsid w:val="00514208"/>
    <w:rsid w:val="00514234"/>
    <w:rsid w:val="00514297"/>
    <w:rsid w:val="005142EC"/>
    <w:rsid w:val="0051442B"/>
    <w:rsid w:val="005144B2"/>
    <w:rsid w:val="005144EA"/>
    <w:rsid w:val="00514572"/>
    <w:rsid w:val="005145CC"/>
    <w:rsid w:val="00514652"/>
    <w:rsid w:val="00514680"/>
    <w:rsid w:val="005146BE"/>
    <w:rsid w:val="0051470A"/>
    <w:rsid w:val="005147B3"/>
    <w:rsid w:val="0051495F"/>
    <w:rsid w:val="00514988"/>
    <w:rsid w:val="00514AB8"/>
    <w:rsid w:val="00514B04"/>
    <w:rsid w:val="00514B08"/>
    <w:rsid w:val="00514B28"/>
    <w:rsid w:val="00514B52"/>
    <w:rsid w:val="00514B64"/>
    <w:rsid w:val="00514C09"/>
    <w:rsid w:val="00514E07"/>
    <w:rsid w:val="00514E66"/>
    <w:rsid w:val="00514E6B"/>
    <w:rsid w:val="00514E80"/>
    <w:rsid w:val="00514F91"/>
    <w:rsid w:val="00515009"/>
    <w:rsid w:val="00515029"/>
    <w:rsid w:val="0051502B"/>
    <w:rsid w:val="005150AD"/>
    <w:rsid w:val="00515112"/>
    <w:rsid w:val="0051512F"/>
    <w:rsid w:val="00515148"/>
    <w:rsid w:val="005151E5"/>
    <w:rsid w:val="00515238"/>
    <w:rsid w:val="00515265"/>
    <w:rsid w:val="005152D1"/>
    <w:rsid w:val="00515338"/>
    <w:rsid w:val="005153DD"/>
    <w:rsid w:val="00515428"/>
    <w:rsid w:val="00515449"/>
    <w:rsid w:val="005154D7"/>
    <w:rsid w:val="005155F7"/>
    <w:rsid w:val="00515608"/>
    <w:rsid w:val="00515618"/>
    <w:rsid w:val="00515639"/>
    <w:rsid w:val="00515687"/>
    <w:rsid w:val="005156B1"/>
    <w:rsid w:val="00515738"/>
    <w:rsid w:val="00515764"/>
    <w:rsid w:val="005157F1"/>
    <w:rsid w:val="00515868"/>
    <w:rsid w:val="00515897"/>
    <w:rsid w:val="005158FA"/>
    <w:rsid w:val="0051599A"/>
    <w:rsid w:val="005159F6"/>
    <w:rsid w:val="00515A4E"/>
    <w:rsid w:val="00515A53"/>
    <w:rsid w:val="00515AAB"/>
    <w:rsid w:val="00515B76"/>
    <w:rsid w:val="00515C25"/>
    <w:rsid w:val="00515C2B"/>
    <w:rsid w:val="00515CD7"/>
    <w:rsid w:val="00515CE3"/>
    <w:rsid w:val="00515D61"/>
    <w:rsid w:val="00515E39"/>
    <w:rsid w:val="00515EB7"/>
    <w:rsid w:val="00515EF4"/>
    <w:rsid w:val="005160F8"/>
    <w:rsid w:val="00516176"/>
    <w:rsid w:val="005161E0"/>
    <w:rsid w:val="00516282"/>
    <w:rsid w:val="0051635D"/>
    <w:rsid w:val="00516411"/>
    <w:rsid w:val="00516412"/>
    <w:rsid w:val="00516455"/>
    <w:rsid w:val="00516674"/>
    <w:rsid w:val="00516702"/>
    <w:rsid w:val="00516709"/>
    <w:rsid w:val="00516712"/>
    <w:rsid w:val="005167BD"/>
    <w:rsid w:val="00516A43"/>
    <w:rsid w:val="00516A61"/>
    <w:rsid w:val="00516A6A"/>
    <w:rsid w:val="00516A74"/>
    <w:rsid w:val="00516A76"/>
    <w:rsid w:val="00516B04"/>
    <w:rsid w:val="00516BEE"/>
    <w:rsid w:val="00516C2E"/>
    <w:rsid w:val="00516D2E"/>
    <w:rsid w:val="00516D3B"/>
    <w:rsid w:val="00516D44"/>
    <w:rsid w:val="00516D4C"/>
    <w:rsid w:val="00516D84"/>
    <w:rsid w:val="00516E2B"/>
    <w:rsid w:val="00516E67"/>
    <w:rsid w:val="00516F52"/>
    <w:rsid w:val="00516F6B"/>
    <w:rsid w:val="00516FCA"/>
    <w:rsid w:val="00517049"/>
    <w:rsid w:val="005170B6"/>
    <w:rsid w:val="005171BE"/>
    <w:rsid w:val="005171DB"/>
    <w:rsid w:val="00517227"/>
    <w:rsid w:val="00517242"/>
    <w:rsid w:val="005172E4"/>
    <w:rsid w:val="00517407"/>
    <w:rsid w:val="0051742E"/>
    <w:rsid w:val="00517461"/>
    <w:rsid w:val="005174A3"/>
    <w:rsid w:val="00517508"/>
    <w:rsid w:val="0051753F"/>
    <w:rsid w:val="00517560"/>
    <w:rsid w:val="005175DB"/>
    <w:rsid w:val="005175E9"/>
    <w:rsid w:val="00517679"/>
    <w:rsid w:val="0051769A"/>
    <w:rsid w:val="0051777C"/>
    <w:rsid w:val="005177C6"/>
    <w:rsid w:val="005177DB"/>
    <w:rsid w:val="005178D4"/>
    <w:rsid w:val="00517A5C"/>
    <w:rsid w:val="00517A80"/>
    <w:rsid w:val="00517AAC"/>
    <w:rsid w:val="00517B00"/>
    <w:rsid w:val="00517B1A"/>
    <w:rsid w:val="00517C79"/>
    <w:rsid w:val="00517C94"/>
    <w:rsid w:val="00517CDB"/>
    <w:rsid w:val="00517D49"/>
    <w:rsid w:val="00517D89"/>
    <w:rsid w:val="00517DCA"/>
    <w:rsid w:val="00517FB0"/>
    <w:rsid w:val="00517FC7"/>
    <w:rsid w:val="0052008E"/>
    <w:rsid w:val="00520373"/>
    <w:rsid w:val="005203D6"/>
    <w:rsid w:val="0052040C"/>
    <w:rsid w:val="00520458"/>
    <w:rsid w:val="00520569"/>
    <w:rsid w:val="005206C2"/>
    <w:rsid w:val="005206E4"/>
    <w:rsid w:val="005206FB"/>
    <w:rsid w:val="005207BA"/>
    <w:rsid w:val="0052089C"/>
    <w:rsid w:val="005208AE"/>
    <w:rsid w:val="00520924"/>
    <w:rsid w:val="0052098B"/>
    <w:rsid w:val="005209D6"/>
    <w:rsid w:val="00520B06"/>
    <w:rsid w:val="00520BC6"/>
    <w:rsid w:val="00520C8E"/>
    <w:rsid w:val="00520C98"/>
    <w:rsid w:val="00520D4D"/>
    <w:rsid w:val="00520D56"/>
    <w:rsid w:val="00520DF6"/>
    <w:rsid w:val="00520E4B"/>
    <w:rsid w:val="00520F5D"/>
    <w:rsid w:val="00520FE0"/>
    <w:rsid w:val="00521075"/>
    <w:rsid w:val="00521160"/>
    <w:rsid w:val="00521239"/>
    <w:rsid w:val="0052128D"/>
    <w:rsid w:val="005212B3"/>
    <w:rsid w:val="00521396"/>
    <w:rsid w:val="005214BE"/>
    <w:rsid w:val="005214F9"/>
    <w:rsid w:val="0052158F"/>
    <w:rsid w:val="00521592"/>
    <w:rsid w:val="00521649"/>
    <w:rsid w:val="0052166D"/>
    <w:rsid w:val="00521671"/>
    <w:rsid w:val="0052167E"/>
    <w:rsid w:val="005216D4"/>
    <w:rsid w:val="00521736"/>
    <w:rsid w:val="0052177F"/>
    <w:rsid w:val="005217C2"/>
    <w:rsid w:val="00521871"/>
    <w:rsid w:val="00521881"/>
    <w:rsid w:val="00521979"/>
    <w:rsid w:val="00521B0E"/>
    <w:rsid w:val="00521B37"/>
    <w:rsid w:val="00521B5A"/>
    <w:rsid w:val="00521D02"/>
    <w:rsid w:val="00521DEE"/>
    <w:rsid w:val="00521FBA"/>
    <w:rsid w:val="005220EE"/>
    <w:rsid w:val="005220F2"/>
    <w:rsid w:val="0052224D"/>
    <w:rsid w:val="00522326"/>
    <w:rsid w:val="0052247E"/>
    <w:rsid w:val="0052248F"/>
    <w:rsid w:val="005224A6"/>
    <w:rsid w:val="0052250D"/>
    <w:rsid w:val="0052251C"/>
    <w:rsid w:val="00522582"/>
    <w:rsid w:val="0052258E"/>
    <w:rsid w:val="005225FB"/>
    <w:rsid w:val="0052265D"/>
    <w:rsid w:val="00522680"/>
    <w:rsid w:val="005226A6"/>
    <w:rsid w:val="0052277C"/>
    <w:rsid w:val="00522799"/>
    <w:rsid w:val="005227EF"/>
    <w:rsid w:val="0052283F"/>
    <w:rsid w:val="005228DC"/>
    <w:rsid w:val="00522976"/>
    <w:rsid w:val="0052297F"/>
    <w:rsid w:val="005229B2"/>
    <w:rsid w:val="005229E0"/>
    <w:rsid w:val="00522A37"/>
    <w:rsid w:val="00522A46"/>
    <w:rsid w:val="00522A85"/>
    <w:rsid w:val="00522D31"/>
    <w:rsid w:val="00522DC8"/>
    <w:rsid w:val="00522E7A"/>
    <w:rsid w:val="00523067"/>
    <w:rsid w:val="00523073"/>
    <w:rsid w:val="0052308C"/>
    <w:rsid w:val="005230FC"/>
    <w:rsid w:val="005232B2"/>
    <w:rsid w:val="005232DB"/>
    <w:rsid w:val="005233AB"/>
    <w:rsid w:val="00523424"/>
    <w:rsid w:val="00523467"/>
    <w:rsid w:val="00523485"/>
    <w:rsid w:val="00523519"/>
    <w:rsid w:val="005235A8"/>
    <w:rsid w:val="0052377D"/>
    <w:rsid w:val="005237F5"/>
    <w:rsid w:val="005237FF"/>
    <w:rsid w:val="00523968"/>
    <w:rsid w:val="005239D1"/>
    <w:rsid w:val="00523A04"/>
    <w:rsid w:val="00523A6A"/>
    <w:rsid w:val="00523AD0"/>
    <w:rsid w:val="00523AFB"/>
    <w:rsid w:val="00523C39"/>
    <w:rsid w:val="00523D0B"/>
    <w:rsid w:val="00523D36"/>
    <w:rsid w:val="00523D7C"/>
    <w:rsid w:val="00523D7E"/>
    <w:rsid w:val="00523DC0"/>
    <w:rsid w:val="00523DC4"/>
    <w:rsid w:val="00523E6B"/>
    <w:rsid w:val="00523E7C"/>
    <w:rsid w:val="00523E92"/>
    <w:rsid w:val="00523EAF"/>
    <w:rsid w:val="00523EC3"/>
    <w:rsid w:val="00523EF8"/>
    <w:rsid w:val="00523F8D"/>
    <w:rsid w:val="00523F97"/>
    <w:rsid w:val="00523FD6"/>
    <w:rsid w:val="0052400C"/>
    <w:rsid w:val="00524156"/>
    <w:rsid w:val="00524195"/>
    <w:rsid w:val="0052432F"/>
    <w:rsid w:val="0052449D"/>
    <w:rsid w:val="005244B2"/>
    <w:rsid w:val="00524551"/>
    <w:rsid w:val="005245C0"/>
    <w:rsid w:val="00524601"/>
    <w:rsid w:val="00524622"/>
    <w:rsid w:val="0052478D"/>
    <w:rsid w:val="00524841"/>
    <w:rsid w:val="0052488C"/>
    <w:rsid w:val="0052490F"/>
    <w:rsid w:val="00524A05"/>
    <w:rsid w:val="00524A12"/>
    <w:rsid w:val="00524AA2"/>
    <w:rsid w:val="00524ADB"/>
    <w:rsid w:val="00524B6F"/>
    <w:rsid w:val="00524B8A"/>
    <w:rsid w:val="00524BE7"/>
    <w:rsid w:val="00524C30"/>
    <w:rsid w:val="00524CAC"/>
    <w:rsid w:val="00524D8B"/>
    <w:rsid w:val="00524E70"/>
    <w:rsid w:val="00524EBC"/>
    <w:rsid w:val="00525073"/>
    <w:rsid w:val="00525086"/>
    <w:rsid w:val="005250BE"/>
    <w:rsid w:val="0052515C"/>
    <w:rsid w:val="0052517E"/>
    <w:rsid w:val="005251AD"/>
    <w:rsid w:val="005251C7"/>
    <w:rsid w:val="005251DB"/>
    <w:rsid w:val="005252C1"/>
    <w:rsid w:val="00525340"/>
    <w:rsid w:val="0052534F"/>
    <w:rsid w:val="00525378"/>
    <w:rsid w:val="0052545E"/>
    <w:rsid w:val="00525484"/>
    <w:rsid w:val="00525505"/>
    <w:rsid w:val="00525540"/>
    <w:rsid w:val="0052554C"/>
    <w:rsid w:val="005255BA"/>
    <w:rsid w:val="00525635"/>
    <w:rsid w:val="005256EF"/>
    <w:rsid w:val="0052574A"/>
    <w:rsid w:val="005257E7"/>
    <w:rsid w:val="005257EE"/>
    <w:rsid w:val="005258BA"/>
    <w:rsid w:val="005258DF"/>
    <w:rsid w:val="005258F3"/>
    <w:rsid w:val="00525A71"/>
    <w:rsid w:val="00525BA2"/>
    <w:rsid w:val="00525C65"/>
    <w:rsid w:val="00525D29"/>
    <w:rsid w:val="00525E02"/>
    <w:rsid w:val="00525E3D"/>
    <w:rsid w:val="00525E5E"/>
    <w:rsid w:val="00525F22"/>
    <w:rsid w:val="00526020"/>
    <w:rsid w:val="0052605B"/>
    <w:rsid w:val="0052612F"/>
    <w:rsid w:val="0052615C"/>
    <w:rsid w:val="0052620A"/>
    <w:rsid w:val="00526275"/>
    <w:rsid w:val="00526347"/>
    <w:rsid w:val="005263FD"/>
    <w:rsid w:val="005264A6"/>
    <w:rsid w:val="005264DB"/>
    <w:rsid w:val="00526584"/>
    <w:rsid w:val="005266E3"/>
    <w:rsid w:val="0052676D"/>
    <w:rsid w:val="005268CA"/>
    <w:rsid w:val="0052691A"/>
    <w:rsid w:val="0052696E"/>
    <w:rsid w:val="00526A09"/>
    <w:rsid w:val="00526AB7"/>
    <w:rsid w:val="00526B0A"/>
    <w:rsid w:val="00526B96"/>
    <w:rsid w:val="00526BD4"/>
    <w:rsid w:val="00526C9D"/>
    <w:rsid w:val="00526CC1"/>
    <w:rsid w:val="00526D77"/>
    <w:rsid w:val="00526DF2"/>
    <w:rsid w:val="00526ECE"/>
    <w:rsid w:val="00526EFB"/>
    <w:rsid w:val="00527013"/>
    <w:rsid w:val="005270EB"/>
    <w:rsid w:val="0052711C"/>
    <w:rsid w:val="005271BC"/>
    <w:rsid w:val="0052722A"/>
    <w:rsid w:val="0052724C"/>
    <w:rsid w:val="005272DB"/>
    <w:rsid w:val="005273AB"/>
    <w:rsid w:val="005273DD"/>
    <w:rsid w:val="0052740A"/>
    <w:rsid w:val="00527439"/>
    <w:rsid w:val="005274A3"/>
    <w:rsid w:val="00527675"/>
    <w:rsid w:val="0052768C"/>
    <w:rsid w:val="00527699"/>
    <w:rsid w:val="005276BD"/>
    <w:rsid w:val="00527745"/>
    <w:rsid w:val="005279F0"/>
    <w:rsid w:val="00527A34"/>
    <w:rsid w:val="00527B43"/>
    <w:rsid w:val="00527BB4"/>
    <w:rsid w:val="00527BF8"/>
    <w:rsid w:val="00527C0A"/>
    <w:rsid w:val="00527C18"/>
    <w:rsid w:val="00527C3B"/>
    <w:rsid w:val="00527C81"/>
    <w:rsid w:val="00527D0F"/>
    <w:rsid w:val="00527F3D"/>
    <w:rsid w:val="00527F6E"/>
    <w:rsid w:val="0053015B"/>
    <w:rsid w:val="00530182"/>
    <w:rsid w:val="005302DD"/>
    <w:rsid w:val="0053035B"/>
    <w:rsid w:val="005303F5"/>
    <w:rsid w:val="005304F2"/>
    <w:rsid w:val="00530534"/>
    <w:rsid w:val="00530579"/>
    <w:rsid w:val="00530645"/>
    <w:rsid w:val="00530649"/>
    <w:rsid w:val="0053067C"/>
    <w:rsid w:val="005306E8"/>
    <w:rsid w:val="00530715"/>
    <w:rsid w:val="00530775"/>
    <w:rsid w:val="005308D3"/>
    <w:rsid w:val="005309CF"/>
    <w:rsid w:val="00530AA8"/>
    <w:rsid w:val="00530AB5"/>
    <w:rsid w:val="00530B0E"/>
    <w:rsid w:val="00530B16"/>
    <w:rsid w:val="00530B1D"/>
    <w:rsid w:val="00530B2F"/>
    <w:rsid w:val="00530C78"/>
    <w:rsid w:val="00530CC5"/>
    <w:rsid w:val="00530E1D"/>
    <w:rsid w:val="00530EA7"/>
    <w:rsid w:val="00530ECB"/>
    <w:rsid w:val="00531031"/>
    <w:rsid w:val="00531189"/>
    <w:rsid w:val="00531368"/>
    <w:rsid w:val="00531380"/>
    <w:rsid w:val="005313A0"/>
    <w:rsid w:val="0053141B"/>
    <w:rsid w:val="0053141D"/>
    <w:rsid w:val="00531535"/>
    <w:rsid w:val="00531588"/>
    <w:rsid w:val="005315BE"/>
    <w:rsid w:val="005315D8"/>
    <w:rsid w:val="005315F0"/>
    <w:rsid w:val="005316CC"/>
    <w:rsid w:val="00531786"/>
    <w:rsid w:val="0053178A"/>
    <w:rsid w:val="005317DC"/>
    <w:rsid w:val="005317E4"/>
    <w:rsid w:val="00531844"/>
    <w:rsid w:val="0053185D"/>
    <w:rsid w:val="00531942"/>
    <w:rsid w:val="00531958"/>
    <w:rsid w:val="00531A08"/>
    <w:rsid w:val="00531C74"/>
    <w:rsid w:val="00531CA8"/>
    <w:rsid w:val="00531CEA"/>
    <w:rsid w:val="00531D7B"/>
    <w:rsid w:val="00531ECC"/>
    <w:rsid w:val="00531F03"/>
    <w:rsid w:val="0053201E"/>
    <w:rsid w:val="005320B8"/>
    <w:rsid w:val="005320E5"/>
    <w:rsid w:val="005321FD"/>
    <w:rsid w:val="00532206"/>
    <w:rsid w:val="00532310"/>
    <w:rsid w:val="0053232E"/>
    <w:rsid w:val="0053245D"/>
    <w:rsid w:val="0053246E"/>
    <w:rsid w:val="00532533"/>
    <w:rsid w:val="0053259B"/>
    <w:rsid w:val="005325E5"/>
    <w:rsid w:val="00532642"/>
    <w:rsid w:val="005327DB"/>
    <w:rsid w:val="0053284D"/>
    <w:rsid w:val="00532914"/>
    <w:rsid w:val="00532AF6"/>
    <w:rsid w:val="00532B32"/>
    <w:rsid w:val="00532B64"/>
    <w:rsid w:val="00532C72"/>
    <w:rsid w:val="00532C8C"/>
    <w:rsid w:val="00532DBD"/>
    <w:rsid w:val="00532E0C"/>
    <w:rsid w:val="00532F4A"/>
    <w:rsid w:val="00532F84"/>
    <w:rsid w:val="0053307E"/>
    <w:rsid w:val="005330FF"/>
    <w:rsid w:val="005332E3"/>
    <w:rsid w:val="00533305"/>
    <w:rsid w:val="0053338F"/>
    <w:rsid w:val="0053342E"/>
    <w:rsid w:val="0053345F"/>
    <w:rsid w:val="00533547"/>
    <w:rsid w:val="0053367D"/>
    <w:rsid w:val="005336B6"/>
    <w:rsid w:val="005337D0"/>
    <w:rsid w:val="005339D3"/>
    <w:rsid w:val="00533A12"/>
    <w:rsid w:val="00533A57"/>
    <w:rsid w:val="00533ABF"/>
    <w:rsid w:val="00533B69"/>
    <w:rsid w:val="00533BAD"/>
    <w:rsid w:val="00533BD0"/>
    <w:rsid w:val="00533BEC"/>
    <w:rsid w:val="00533BFF"/>
    <w:rsid w:val="00533C7A"/>
    <w:rsid w:val="00533C88"/>
    <w:rsid w:val="00533D49"/>
    <w:rsid w:val="00533DBF"/>
    <w:rsid w:val="00533DDD"/>
    <w:rsid w:val="00533DDE"/>
    <w:rsid w:val="00533E2E"/>
    <w:rsid w:val="00533E90"/>
    <w:rsid w:val="00533E9D"/>
    <w:rsid w:val="00533EF0"/>
    <w:rsid w:val="00533F52"/>
    <w:rsid w:val="00534019"/>
    <w:rsid w:val="005340C7"/>
    <w:rsid w:val="00534117"/>
    <w:rsid w:val="0053418C"/>
    <w:rsid w:val="005341CA"/>
    <w:rsid w:val="0053427E"/>
    <w:rsid w:val="00534295"/>
    <w:rsid w:val="005343CF"/>
    <w:rsid w:val="005344CC"/>
    <w:rsid w:val="005345B4"/>
    <w:rsid w:val="00534651"/>
    <w:rsid w:val="005346A7"/>
    <w:rsid w:val="00534739"/>
    <w:rsid w:val="00534810"/>
    <w:rsid w:val="00534847"/>
    <w:rsid w:val="005348D4"/>
    <w:rsid w:val="005349A8"/>
    <w:rsid w:val="00534ABF"/>
    <w:rsid w:val="00534AC5"/>
    <w:rsid w:val="00534B1F"/>
    <w:rsid w:val="00534B85"/>
    <w:rsid w:val="00534BF8"/>
    <w:rsid w:val="00534C13"/>
    <w:rsid w:val="00534C2C"/>
    <w:rsid w:val="00534D54"/>
    <w:rsid w:val="00534DF9"/>
    <w:rsid w:val="00534E91"/>
    <w:rsid w:val="00534F18"/>
    <w:rsid w:val="00535040"/>
    <w:rsid w:val="005350AE"/>
    <w:rsid w:val="00535148"/>
    <w:rsid w:val="005351C1"/>
    <w:rsid w:val="0053527A"/>
    <w:rsid w:val="0053559B"/>
    <w:rsid w:val="005355A9"/>
    <w:rsid w:val="0053563F"/>
    <w:rsid w:val="0053566E"/>
    <w:rsid w:val="005356DC"/>
    <w:rsid w:val="00535792"/>
    <w:rsid w:val="005357F7"/>
    <w:rsid w:val="0053590F"/>
    <w:rsid w:val="00535944"/>
    <w:rsid w:val="00535A51"/>
    <w:rsid w:val="00535A5F"/>
    <w:rsid w:val="00535B4C"/>
    <w:rsid w:val="00535B60"/>
    <w:rsid w:val="00535C1E"/>
    <w:rsid w:val="00535C31"/>
    <w:rsid w:val="00535C56"/>
    <w:rsid w:val="00535D57"/>
    <w:rsid w:val="00535D71"/>
    <w:rsid w:val="00535DB2"/>
    <w:rsid w:val="00535E1E"/>
    <w:rsid w:val="00535E3F"/>
    <w:rsid w:val="00535EC2"/>
    <w:rsid w:val="00536003"/>
    <w:rsid w:val="00536082"/>
    <w:rsid w:val="005360EA"/>
    <w:rsid w:val="00536174"/>
    <w:rsid w:val="00536184"/>
    <w:rsid w:val="00536213"/>
    <w:rsid w:val="00536216"/>
    <w:rsid w:val="00536252"/>
    <w:rsid w:val="00536278"/>
    <w:rsid w:val="005362A8"/>
    <w:rsid w:val="00536378"/>
    <w:rsid w:val="00536393"/>
    <w:rsid w:val="00536399"/>
    <w:rsid w:val="005363D9"/>
    <w:rsid w:val="00536465"/>
    <w:rsid w:val="0053648C"/>
    <w:rsid w:val="0053650A"/>
    <w:rsid w:val="00536547"/>
    <w:rsid w:val="00536551"/>
    <w:rsid w:val="00536571"/>
    <w:rsid w:val="0053658F"/>
    <w:rsid w:val="00536597"/>
    <w:rsid w:val="005365A1"/>
    <w:rsid w:val="005365BB"/>
    <w:rsid w:val="00536639"/>
    <w:rsid w:val="00536692"/>
    <w:rsid w:val="0053669C"/>
    <w:rsid w:val="00536723"/>
    <w:rsid w:val="005367A3"/>
    <w:rsid w:val="005367DC"/>
    <w:rsid w:val="00536825"/>
    <w:rsid w:val="00536853"/>
    <w:rsid w:val="00536870"/>
    <w:rsid w:val="0053691B"/>
    <w:rsid w:val="0053692E"/>
    <w:rsid w:val="0053696C"/>
    <w:rsid w:val="00536A56"/>
    <w:rsid w:val="00536B6E"/>
    <w:rsid w:val="00536BD8"/>
    <w:rsid w:val="00536C5D"/>
    <w:rsid w:val="00536C73"/>
    <w:rsid w:val="00536CD1"/>
    <w:rsid w:val="00536D8D"/>
    <w:rsid w:val="00536EB0"/>
    <w:rsid w:val="00536EFD"/>
    <w:rsid w:val="00536F7C"/>
    <w:rsid w:val="00536FAF"/>
    <w:rsid w:val="00537155"/>
    <w:rsid w:val="00537292"/>
    <w:rsid w:val="005372B8"/>
    <w:rsid w:val="005372F8"/>
    <w:rsid w:val="00537391"/>
    <w:rsid w:val="005373F8"/>
    <w:rsid w:val="00537624"/>
    <w:rsid w:val="00537688"/>
    <w:rsid w:val="0053768E"/>
    <w:rsid w:val="005376FE"/>
    <w:rsid w:val="005377C0"/>
    <w:rsid w:val="005377E7"/>
    <w:rsid w:val="00537855"/>
    <w:rsid w:val="00537862"/>
    <w:rsid w:val="005379C7"/>
    <w:rsid w:val="005379CF"/>
    <w:rsid w:val="00537A4B"/>
    <w:rsid w:val="00537AC9"/>
    <w:rsid w:val="00537AF1"/>
    <w:rsid w:val="00537C4A"/>
    <w:rsid w:val="00537C81"/>
    <w:rsid w:val="00537CB4"/>
    <w:rsid w:val="00537DBA"/>
    <w:rsid w:val="00537DC8"/>
    <w:rsid w:val="00537DC9"/>
    <w:rsid w:val="00537F6B"/>
    <w:rsid w:val="00537F81"/>
    <w:rsid w:val="00537FBA"/>
    <w:rsid w:val="00540010"/>
    <w:rsid w:val="00540034"/>
    <w:rsid w:val="00540098"/>
    <w:rsid w:val="0054012F"/>
    <w:rsid w:val="0054018B"/>
    <w:rsid w:val="00540196"/>
    <w:rsid w:val="005401B5"/>
    <w:rsid w:val="005401E2"/>
    <w:rsid w:val="00540232"/>
    <w:rsid w:val="0054024F"/>
    <w:rsid w:val="005402C5"/>
    <w:rsid w:val="0054068F"/>
    <w:rsid w:val="005406AE"/>
    <w:rsid w:val="00540831"/>
    <w:rsid w:val="0054084F"/>
    <w:rsid w:val="00540854"/>
    <w:rsid w:val="0054098D"/>
    <w:rsid w:val="005409B6"/>
    <w:rsid w:val="00540A2D"/>
    <w:rsid w:val="00540A53"/>
    <w:rsid w:val="00540B1B"/>
    <w:rsid w:val="00540B6A"/>
    <w:rsid w:val="00540BDA"/>
    <w:rsid w:val="00540D65"/>
    <w:rsid w:val="00540DE1"/>
    <w:rsid w:val="00540E9B"/>
    <w:rsid w:val="00540EEA"/>
    <w:rsid w:val="00540F76"/>
    <w:rsid w:val="00540F87"/>
    <w:rsid w:val="00540FBF"/>
    <w:rsid w:val="00540FD4"/>
    <w:rsid w:val="00540FF4"/>
    <w:rsid w:val="00541011"/>
    <w:rsid w:val="0054103B"/>
    <w:rsid w:val="0054104A"/>
    <w:rsid w:val="0054111C"/>
    <w:rsid w:val="00541122"/>
    <w:rsid w:val="00541146"/>
    <w:rsid w:val="005412AA"/>
    <w:rsid w:val="005412FB"/>
    <w:rsid w:val="005415CA"/>
    <w:rsid w:val="00541647"/>
    <w:rsid w:val="005419DE"/>
    <w:rsid w:val="00541B69"/>
    <w:rsid w:val="00541B7C"/>
    <w:rsid w:val="00541B98"/>
    <w:rsid w:val="00541C51"/>
    <w:rsid w:val="00541CCA"/>
    <w:rsid w:val="00541CF5"/>
    <w:rsid w:val="00541D42"/>
    <w:rsid w:val="00541E04"/>
    <w:rsid w:val="00541F2A"/>
    <w:rsid w:val="00542020"/>
    <w:rsid w:val="005420FF"/>
    <w:rsid w:val="00542124"/>
    <w:rsid w:val="00542156"/>
    <w:rsid w:val="0054219C"/>
    <w:rsid w:val="0054235B"/>
    <w:rsid w:val="00542457"/>
    <w:rsid w:val="00542475"/>
    <w:rsid w:val="00542489"/>
    <w:rsid w:val="00542639"/>
    <w:rsid w:val="0054263E"/>
    <w:rsid w:val="00542695"/>
    <w:rsid w:val="005426BD"/>
    <w:rsid w:val="005426F3"/>
    <w:rsid w:val="005427DD"/>
    <w:rsid w:val="0054289F"/>
    <w:rsid w:val="005428B4"/>
    <w:rsid w:val="005428DA"/>
    <w:rsid w:val="0054291F"/>
    <w:rsid w:val="00542948"/>
    <w:rsid w:val="00542977"/>
    <w:rsid w:val="00542C05"/>
    <w:rsid w:val="00542C17"/>
    <w:rsid w:val="00542C1C"/>
    <w:rsid w:val="00542C62"/>
    <w:rsid w:val="00542CD2"/>
    <w:rsid w:val="00542D14"/>
    <w:rsid w:val="00542D3C"/>
    <w:rsid w:val="00542E24"/>
    <w:rsid w:val="00542E94"/>
    <w:rsid w:val="00542F05"/>
    <w:rsid w:val="00542F6B"/>
    <w:rsid w:val="00542FAD"/>
    <w:rsid w:val="00542FE2"/>
    <w:rsid w:val="0054302F"/>
    <w:rsid w:val="0054315E"/>
    <w:rsid w:val="0054319D"/>
    <w:rsid w:val="005431AB"/>
    <w:rsid w:val="00543243"/>
    <w:rsid w:val="00543294"/>
    <w:rsid w:val="00543379"/>
    <w:rsid w:val="005433FC"/>
    <w:rsid w:val="00543520"/>
    <w:rsid w:val="00543607"/>
    <w:rsid w:val="0054378C"/>
    <w:rsid w:val="00543859"/>
    <w:rsid w:val="00543925"/>
    <w:rsid w:val="00543948"/>
    <w:rsid w:val="0054394E"/>
    <w:rsid w:val="00543980"/>
    <w:rsid w:val="00543C1E"/>
    <w:rsid w:val="00543C5D"/>
    <w:rsid w:val="00543CA6"/>
    <w:rsid w:val="00543CD2"/>
    <w:rsid w:val="00543D43"/>
    <w:rsid w:val="00543E1C"/>
    <w:rsid w:val="00543E57"/>
    <w:rsid w:val="00543E86"/>
    <w:rsid w:val="00543EA3"/>
    <w:rsid w:val="00543EC2"/>
    <w:rsid w:val="00543F05"/>
    <w:rsid w:val="00543F87"/>
    <w:rsid w:val="00543F8D"/>
    <w:rsid w:val="0054400A"/>
    <w:rsid w:val="0054402D"/>
    <w:rsid w:val="00544066"/>
    <w:rsid w:val="005440F5"/>
    <w:rsid w:val="005441F9"/>
    <w:rsid w:val="00544205"/>
    <w:rsid w:val="00544254"/>
    <w:rsid w:val="00544361"/>
    <w:rsid w:val="005443A0"/>
    <w:rsid w:val="00544406"/>
    <w:rsid w:val="00544439"/>
    <w:rsid w:val="005444BB"/>
    <w:rsid w:val="00544507"/>
    <w:rsid w:val="0054455B"/>
    <w:rsid w:val="0054455F"/>
    <w:rsid w:val="00544569"/>
    <w:rsid w:val="005445A1"/>
    <w:rsid w:val="005445D9"/>
    <w:rsid w:val="00544605"/>
    <w:rsid w:val="0054462D"/>
    <w:rsid w:val="00544712"/>
    <w:rsid w:val="0054479E"/>
    <w:rsid w:val="00544809"/>
    <w:rsid w:val="00544830"/>
    <w:rsid w:val="00544850"/>
    <w:rsid w:val="00544ADF"/>
    <w:rsid w:val="00544B0E"/>
    <w:rsid w:val="00544B71"/>
    <w:rsid w:val="00544C36"/>
    <w:rsid w:val="00544C4A"/>
    <w:rsid w:val="00544D3A"/>
    <w:rsid w:val="00544DB1"/>
    <w:rsid w:val="00544DC9"/>
    <w:rsid w:val="00544DCF"/>
    <w:rsid w:val="00544E63"/>
    <w:rsid w:val="00544EB5"/>
    <w:rsid w:val="00544F0F"/>
    <w:rsid w:val="00544F64"/>
    <w:rsid w:val="00545010"/>
    <w:rsid w:val="00545083"/>
    <w:rsid w:val="00545086"/>
    <w:rsid w:val="00545092"/>
    <w:rsid w:val="005450F2"/>
    <w:rsid w:val="00545133"/>
    <w:rsid w:val="005451D0"/>
    <w:rsid w:val="005451D1"/>
    <w:rsid w:val="005452C8"/>
    <w:rsid w:val="005453B7"/>
    <w:rsid w:val="005454EF"/>
    <w:rsid w:val="005454F0"/>
    <w:rsid w:val="00545594"/>
    <w:rsid w:val="005456E4"/>
    <w:rsid w:val="005456FA"/>
    <w:rsid w:val="0054575F"/>
    <w:rsid w:val="00545791"/>
    <w:rsid w:val="005457C0"/>
    <w:rsid w:val="005458C1"/>
    <w:rsid w:val="005458F5"/>
    <w:rsid w:val="005458F6"/>
    <w:rsid w:val="005458F7"/>
    <w:rsid w:val="005459BF"/>
    <w:rsid w:val="00545A23"/>
    <w:rsid w:val="00545B51"/>
    <w:rsid w:val="00545DA8"/>
    <w:rsid w:val="00545DBD"/>
    <w:rsid w:val="00545DDE"/>
    <w:rsid w:val="00545EC1"/>
    <w:rsid w:val="00545F04"/>
    <w:rsid w:val="00545FFC"/>
    <w:rsid w:val="00546011"/>
    <w:rsid w:val="00546051"/>
    <w:rsid w:val="00546093"/>
    <w:rsid w:val="005460C1"/>
    <w:rsid w:val="00546109"/>
    <w:rsid w:val="00546130"/>
    <w:rsid w:val="005462F0"/>
    <w:rsid w:val="0054631A"/>
    <w:rsid w:val="005463C0"/>
    <w:rsid w:val="00546434"/>
    <w:rsid w:val="005464EA"/>
    <w:rsid w:val="00546519"/>
    <w:rsid w:val="00546531"/>
    <w:rsid w:val="0054657F"/>
    <w:rsid w:val="00546690"/>
    <w:rsid w:val="005466E1"/>
    <w:rsid w:val="0054679F"/>
    <w:rsid w:val="00546875"/>
    <w:rsid w:val="005468E0"/>
    <w:rsid w:val="00546918"/>
    <w:rsid w:val="00546972"/>
    <w:rsid w:val="00546996"/>
    <w:rsid w:val="005469EE"/>
    <w:rsid w:val="00546A2C"/>
    <w:rsid w:val="00546B19"/>
    <w:rsid w:val="00546B57"/>
    <w:rsid w:val="00546BAD"/>
    <w:rsid w:val="00546D4D"/>
    <w:rsid w:val="00546D67"/>
    <w:rsid w:val="00546DA0"/>
    <w:rsid w:val="00546DCA"/>
    <w:rsid w:val="00546DD2"/>
    <w:rsid w:val="00546DDF"/>
    <w:rsid w:val="00546DEF"/>
    <w:rsid w:val="00546EA1"/>
    <w:rsid w:val="00546FDB"/>
    <w:rsid w:val="00547047"/>
    <w:rsid w:val="005470F0"/>
    <w:rsid w:val="00547124"/>
    <w:rsid w:val="00547171"/>
    <w:rsid w:val="00547279"/>
    <w:rsid w:val="005472CC"/>
    <w:rsid w:val="00547331"/>
    <w:rsid w:val="005473C7"/>
    <w:rsid w:val="00547447"/>
    <w:rsid w:val="00547489"/>
    <w:rsid w:val="005474BC"/>
    <w:rsid w:val="005474C1"/>
    <w:rsid w:val="00547504"/>
    <w:rsid w:val="005475C7"/>
    <w:rsid w:val="0054761B"/>
    <w:rsid w:val="00547647"/>
    <w:rsid w:val="00547682"/>
    <w:rsid w:val="0054769C"/>
    <w:rsid w:val="005476F1"/>
    <w:rsid w:val="005476FA"/>
    <w:rsid w:val="0054787F"/>
    <w:rsid w:val="005479D1"/>
    <w:rsid w:val="00547A7A"/>
    <w:rsid w:val="00547A98"/>
    <w:rsid w:val="00547B79"/>
    <w:rsid w:val="00547B7E"/>
    <w:rsid w:val="00547C29"/>
    <w:rsid w:val="00547C34"/>
    <w:rsid w:val="00547C38"/>
    <w:rsid w:val="00547C59"/>
    <w:rsid w:val="00547C7D"/>
    <w:rsid w:val="00547C91"/>
    <w:rsid w:val="00547CD4"/>
    <w:rsid w:val="00547CE8"/>
    <w:rsid w:val="00547D11"/>
    <w:rsid w:val="00547DB5"/>
    <w:rsid w:val="00547E80"/>
    <w:rsid w:val="00547F1C"/>
    <w:rsid w:val="00547F58"/>
    <w:rsid w:val="005500B3"/>
    <w:rsid w:val="005500E6"/>
    <w:rsid w:val="005501A7"/>
    <w:rsid w:val="005501C3"/>
    <w:rsid w:val="0055020E"/>
    <w:rsid w:val="00550235"/>
    <w:rsid w:val="00550250"/>
    <w:rsid w:val="00550352"/>
    <w:rsid w:val="00550361"/>
    <w:rsid w:val="00550494"/>
    <w:rsid w:val="005505D9"/>
    <w:rsid w:val="005505DA"/>
    <w:rsid w:val="0055063D"/>
    <w:rsid w:val="005506F0"/>
    <w:rsid w:val="00550805"/>
    <w:rsid w:val="00550837"/>
    <w:rsid w:val="0055089D"/>
    <w:rsid w:val="005508DD"/>
    <w:rsid w:val="00550967"/>
    <w:rsid w:val="00550A62"/>
    <w:rsid w:val="00550AB9"/>
    <w:rsid w:val="00550B77"/>
    <w:rsid w:val="00550C2F"/>
    <w:rsid w:val="00550C36"/>
    <w:rsid w:val="00550C9C"/>
    <w:rsid w:val="00550D04"/>
    <w:rsid w:val="00550D47"/>
    <w:rsid w:val="00550D4B"/>
    <w:rsid w:val="00550E41"/>
    <w:rsid w:val="00550F39"/>
    <w:rsid w:val="00550F71"/>
    <w:rsid w:val="00550F76"/>
    <w:rsid w:val="00550FE1"/>
    <w:rsid w:val="005510D0"/>
    <w:rsid w:val="005510FA"/>
    <w:rsid w:val="005511AD"/>
    <w:rsid w:val="005511DF"/>
    <w:rsid w:val="005511E2"/>
    <w:rsid w:val="00551231"/>
    <w:rsid w:val="0055124C"/>
    <w:rsid w:val="005514DA"/>
    <w:rsid w:val="00551563"/>
    <w:rsid w:val="0055157F"/>
    <w:rsid w:val="005515A5"/>
    <w:rsid w:val="005515C0"/>
    <w:rsid w:val="0055168A"/>
    <w:rsid w:val="005516D7"/>
    <w:rsid w:val="00551744"/>
    <w:rsid w:val="00551803"/>
    <w:rsid w:val="0055183C"/>
    <w:rsid w:val="0055188D"/>
    <w:rsid w:val="005518A0"/>
    <w:rsid w:val="0055190C"/>
    <w:rsid w:val="00551A06"/>
    <w:rsid w:val="00551A81"/>
    <w:rsid w:val="00551AE7"/>
    <w:rsid w:val="00551B06"/>
    <w:rsid w:val="00551B1C"/>
    <w:rsid w:val="00551B61"/>
    <w:rsid w:val="00551BA2"/>
    <w:rsid w:val="00551D45"/>
    <w:rsid w:val="00551D59"/>
    <w:rsid w:val="00551D63"/>
    <w:rsid w:val="00551DDB"/>
    <w:rsid w:val="00551E1A"/>
    <w:rsid w:val="00551F05"/>
    <w:rsid w:val="00551F15"/>
    <w:rsid w:val="00551F4D"/>
    <w:rsid w:val="00551FB2"/>
    <w:rsid w:val="00551FEA"/>
    <w:rsid w:val="00552022"/>
    <w:rsid w:val="00552030"/>
    <w:rsid w:val="005521A2"/>
    <w:rsid w:val="005521AA"/>
    <w:rsid w:val="005521B8"/>
    <w:rsid w:val="005521C7"/>
    <w:rsid w:val="005521D7"/>
    <w:rsid w:val="005521DC"/>
    <w:rsid w:val="005521FC"/>
    <w:rsid w:val="0055247F"/>
    <w:rsid w:val="005524B5"/>
    <w:rsid w:val="005525A8"/>
    <w:rsid w:val="005525B4"/>
    <w:rsid w:val="005526E7"/>
    <w:rsid w:val="0055270A"/>
    <w:rsid w:val="00552823"/>
    <w:rsid w:val="005528B0"/>
    <w:rsid w:val="00552997"/>
    <w:rsid w:val="00552999"/>
    <w:rsid w:val="00552A42"/>
    <w:rsid w:val="00552A84"/>
    <w:rsid w:val="00552B88"/>
    <w:rsid w:val="00552D38"/>
    <w:rsid w:val="00552DE8"/>
    <w:rsid w:val="00552F3F"/>
    <w:rsid w:val="00553088"/>
    <w:rsid w:val="005530AB"/>
    <w:rsid w:val="00553108"/>
    <w:rsid w:val="00553530"/>
    <w:rsid w:val="00553566"/>
    <w:rsid w:val="005537B5"/>
    <w:rsid w:val="005537EC"/>
    <w:rsid w:val="005538A0"/>
    <w:rsid w:val="00553987"/>
    <w:rsid w:val="005539CB"/>
    <w:rsid w:val="00553BC0"/>
    <w:rsid w:val="00553BF5"/>
    <w:rsid w:val="00553C06"/>
    <w:rsid w:val="00553C8A"/>
    <w:rsid w:val="00553E55"/>
    <w:rsid w:val="00553EB5"/>
    <w:rsid w:val="00553EC8"/>
    <w:rsid w:val="00553F08"/>
    <w:rsid w:val="00553F2A"/>
    <w:rsid w:val="00553FC3"/>
    <w:rsid w:val="00553FF2"/>
    <w:rsid w:val="00554073"/>
    <w:rsid w:val="005540A9"/>
    <w:rsid w:val="0055413B"/>
    <w:rsid w:val="005541DA"/>
    <w:rsid w:val="00554278"/>
    <w:rsid w:val="005542F7"/>
    <w:rsid w:val="0055440B"/>
    <w:rsid w:val="0055443C"/>
    <w:rsid w:val="00554471"/>
    <w:rsid w:val="00554491"/>
    <w:rsid w:val="00554518"/>
    <w:rsid w:val="00554519"/>
    <w:rsid w:val="00554549"/>
    <w:rsid w:val="0055473D"/>
    <w:rsid w:val="00554790"/>
    <w:rsid w:val="005547A4"/>
    <w:rsid w:val="005547DA"/>
    <w:rsid w:val="005547F0"/>
    <w:rsid w:val="00554864"/>
    <w:rsid w:val="005548B9"/>
    <w:rsid w:val="00554945"/>
    <w:rsid w:val="00554962"/>
    <w:rsid w:val="005549D7"/>
    <w:rsid w:val="00554A66"/>
    <w:rsid w:val="00554AA2"/>
    <w:rsid w:val="00554AEB"/>
    <w:rsid w:val="00554BD2"/>
    <w:rsid w:val="00554C7F"/>
    <w:rsid w:val="00554C9B"/>
    <w:rsid w:val="00554D57"/>
    <w:rsid w:val="00554D9F"/>
    <w:rsid w:val="00554F75"/>
    <w:rsid w:val="00554F9F"/>
    <w:rsid w:val="005550C9"/>
    <w:rsid w:val="005550CA"/>
    <w:rsid w:val="005550F1"/>
    <w:rsid w:val="0055529F"/>
    <w:rsid w:val="005552A1"/>
    <w:rsid w:val="00555334"/>
    <w:rsid w:val="0055555C"/>
    <w:rsid w:val="005555C3"/>
    <w:rsid w:val="005555CD"/>
    <w:rsid w:val="0055569B"/>
    <w:rsid w:val="005556AB"/>
    <w:rsid w:val="005556DF"/>
    <w:rsid w:val="005556F5"/>
    <w:rsid w:val="00555750"/>
    <w:rsid w:val="00555789"/>
    <w:rsid w:val="00555793"/>
    <w:rsid w:val="0055579E"/>
    <w:rsid w:val="005557AE"/>
    <w:rsid w:val="005557BC"/>
    <w:rsid w:val="005557C1"/>
    <w:rsid w:val="00555966"/>
    <w:rsid w:val="0055596C"/>
    <w:rsid w:val="0055598A"/>
    <w:rsid w:val="005559A9"/>
    <w:rsid w:val="00555A46"/>
    <w:rsid w:val="00555C16"/>
    <w:rsid w:val="00555C1D"/>
    <w:rsid w:val="00555CC0"/>
    <w:rsid w:val="00556017"/>
    <w:rsid w:val="005560CB"/>
    <w:rsid w:val="005560FF"/>
    <w:rsid w:val="0055612B"/>
    <w:rsid w:val="0055623D"/>
    <w:rsid w:val="0055627B"/>
    <w:rsid w:val="0055627C"/>
    <w:rsid w:val="00556396"/>
    <w:rsid w:val="005564E9"/>
    <w:rsid w:val="0055652B"/>
    <w:rsid w:val="00556537"/>
    <w:rsid w:val="00556556"/>
    <w:rsid w:val="005565BE"/>
    <w:rsid w:val="005566DD"/>
    <w:rsid w:val="005566FD"/>
    <w:rsid w:val="005567AE"/>
    <w:rsid w:val="00556831"/>
    <w:rsid w:val="00556899"/>
    <w:rsid w:val="005568DD"/>
    <w:rsid w:val="0055691B"/>
    <w:rsid w:val="005569DB"/>
    <w:rsid w:val="00556A2C"/>
    <w:rsid w:val="00556A81"/>
    <w:rsid w:val="00556B02"/>
    <w:rsid w:val="00556C85"/>
    <w:rsid w:val="00556D16"/>
    <w:rsid w:val="00556D28"/>
    <w:rsid w:val="00556F81"/>
    <w:rsid w:val="0055705B"/>
    <w:rsid w:val="00557315"/>
    <w:rsid w:val="005573FC"/>
    <w:rsid w:val="00557442"/>
    <w:rsid w:val="00557529"/>
    <w:rsid w:val="00557536"/>
    <w:rsid w:val="005575C2"/>
    <w:rsid w:val="005575D0"/>
    <w:rsid w:val="00557628"/>
    <w:rsid w:val="00557648"/>
    <w:rsid w:val="00557700"/>
    <w:rsid w:val="0055779B"/>
    <w:rsid w:val="005578C4"/>
    <w:rsid w:val="0055790E"/>
    <w:rsid w:val="00557911"/>
    <w:rsid w:val="00557A99"/>
    <w:rsid w:val="00557AD7"/>
    <w:rsid w:val="00557C97"/>
    <w:rsid w:val="00557CAD"/>
    <w:rsid w:val="00557D9C"/>
    <w:rsid w:val="00557DEF"/>
    <w:rsid w:val="00557E34"/>
    <w:rsid w:val="00557E88"/>
    <w:rsid w:val="00557EA1"/>
    <w:rsid w:val="00557F0B"/>
    <w:rsid w:val="00557F51"/>
    <w:rsid w:val="00557FBE"/>
    <w:rsid w:val="005582F2"/>
    <w:rsid w:val="00559896"/>
    <w:rsid w:val="0056002C"/>
    <w:rsid w:val="00560300"/>
    <w:rsid w:val="00560356"/>
    <w:rsid w:val="005603DB"/>
    <w:rsid w:val="00560406"/>
    <w:rsid w:val="0056058D"/>
    <w:rsid w:val="00560754"/>
    <w:rsid w:val="0056079F"/>
    <w:rsid w:val="005607E4"/>
    <w:rsid w:val="00560840"/>
    <w:rsid w:val="005608A5"/>
    <w:rsid w:val="005608C1"/>
    <w:rsid w:val="005608D0"/>
    <w:rsid w:val="0056097C"/>
    <w:rsid w:val="00560A61"/>
    <w:rsid w:val="00560A91"/>
    <w:rsid w:val="00560B6D"/>
    <w:rsid w:val="00560B7E"/>
    <w:rsid w:val="00560BC4"/>
    <w:rsid w:val="00560BC6"/>
    <w:rsid w:val="00560BDD"/>
    <w:rsid w:val="00560BE0"/>
    <w:rsid w:val="00560C3E"/>
    <w:rsid w:val="00560C45"/>
    <w:rsid w:val="00560C67"/>
    <w:rsid w:val="00560D5D"/>
    <w:rsid w:val="00560EA6"/>
    <w:rsid w:val="00560F0C"/>
    <w:rsid w:val="00560F0D"/>
    <w:rsid w:val="00560F80"/>
    <w:rsid w:val="00560FAC"/>
    <w:rsid w:val="00560FBB"/>
    <w:rsid w:val="00560FF6"/>
    <w:rsid w:val="00561123"/>
    <w:rsid w:val="00561151"/>
    <w:rsid w:val="00561198"/>
    <w:rsid w:val="00561265"/>
    <w:rsid w:val="0056131B"/>
    <w:rsid w:val="0056137C"/>
    <w:rsid w:val="0056145A"/>
    <w:rsid w:val="0056152F"/>
    <w:rsid w:val="0056155C"/>
    <w:rsid w:val="0056168C"/>
    <w:rsid w:val="00561768"/>
    <w:rsid w:val="0056177C"/>
    <w:rsid w:val="0056187C"/>
    <w:rsid w:val="005618CB"/>
    <w:rsid w:val="005618E5"/>
    <w:rsid w:val="005618E8"/>
    <w:rsid w:val="00561980"/>
    <w:rsid w:val="005619A3"/>
    <w:rsid w:val="005619A6"/>
    <w:rsid w:val="005619F7"/>
    <w:rsid w:val="00561A69"/>
    <w:rsid w:val="00561AEC"/>
    <w:rsid w:val="00561B7D"/>
    <w:rsid w:val="00561C81"/>
    <w:rsid w:val="00561CB4"/>
    <w:rsid w:val="00561D01"/>
    <w:rsid w:val="00561D04"/>
    <w:rsid w:val="00561D38"/>
    <w:rsid w:val="00561DA6"/>
    <w:rsid w:val="00561E7D"/>
    <w:rsid w:val="00562007"/>
    <w:rsid w:val="005621AC"/>
    <w:rsid w:val="00562214"/>
    <w:rsid w:val="00562298"/>
    <w:rsid w:val="00562330"/>
    <w:rsid w:val="00562368"/>
    <w:rsid w:val="00562377"/>
    <w:rsid w:val="00562437"/>
    <w:rsid w:val="00562444"/>
    <w:rsid w:val="00562478"/>
    <w:rsid w:val="005624F7"/>
    <w:rsid w:val="00562526"/>
    <w:rsid w:val="005625FF"/>
    <w:rsid w:val="00562676"/>
    <w:rsid w:val="005626CB"/>
    <w:rsid w:val="005627B9"/>
    <w:rsid w:val="0056281F"/>
    <w:rsid w:val="00562929"/>
    <w:rsid w:val="0056298D"/>
    <w:rsid w:val="005629A0"/>
    <w:rsid w:val="005629AD"/>
    <w:rsid w:val="00562B0D"/>
    <w:rsid w:val="00562BA7"/>
    <w:rsid w:val="00562BB8"/>
    <w:rsid w:val="00562BC6"/>
    <w:rsid w:val="00562BF6"/>
    <w:rsid w:val="00562C20"/>
    <w:rsid w:val="00562CE8"/>
    <w:rsid w:val="00562ECA"/>
    <w:rsid w:val="00562FA8"/>
    <w:rsid w:val="00563021"/>
    <w:rsid w:val="00563046"/>
    <w:rsid w:val="0056315A"/>
    <w:rsid w:val="005631D0"/>
    <w:rsid w:val="0056320E"/>
    <w:rsid w:val="00563284"/>
    <w:rsid w:val="005632C5"/>
    <w:rsid w:val="00563345"/>
    <w:rsid w:val="0056335D"/>
    <w:rsid w:val="005633CC"/>
    <w:rsid w:val="005633EE"/>
    <w:rsid w:val="00563485"/>
    <w:rsid w:val="005635A9"/>
    <w:rsid w:val="005635B9"/>
    <w:rsid w:val="005635DC"/>
    <w:rsid w:val="0056366B"/>
    <w:rsid w:val="00563761"/>
    <w:rsid w:val="00563765"/>
    <w:rsid w:val="0056376E"/>
    <w:rsid w:val="005637C7"/>
    <w:rsid w:val="0056389D"/>
    <w:rsid w:val="00563917"/>
    <w:rsid w:val="00563931"/>
    <w:rsid w:val="005639A8"/>
    <w:rsid w:val="00563AB0"/>
    <w:rsid w:val="00563B51"/>
    <w:rsid w:val="00563B53"/>
    <w:rsid w:val="00563CC7"/>
    <w:rsid w:val="00563CDB"/>
    <w:rsid w:val="00563CEB"/>
    <w:rsid w:val="00563D17"/>
    <w:rsid w:val="00563D4D"/>
    <w:rsid w:val="00563DBA"/>
    <w:rsid w:val="00563E02"/>
    <w:rsid w:val="00563E4D"/>
    <w:rsid w:val="00563EE1"/>
    <w:rsid w:val="0056407D"/>
    <w:rsid w:val="0056408A"/>
    <w:rsid w:val="005640F3"/>
    <w:rsid w:val="0056412E"/>
    <w:rsid w:val="0056415B"/>
    <w:rsid w:val="005641D0"/>
    <w:rsid w:val="00564277"/>
    <w:rsid w:val="005642D8"/>
    <w:rsid w:val="00564340"/>
    <w:rsid w:val="005644E6"/>
    <w:rsid w:val="0056456B"/>
    <w:rsid w:val="00564641"/>
    <w:rsid w:val="005647AD"/>
    <w:rsid w:val="0056487D"/>
    <w:rsid w:val="005648AD"/>
    <w:rsid w:val="005648B9"/>
    <w:rsid w:val="005648BD"/>
    <w:rsid w:val="0056492B"/>
    <w:rsid w:val="005649A0"/>
    <w:rsid w:val="00564A24"/>
    <w:rsid w:val="00564A81"/>
    <w:rsid w:val="00564BB7"/>
    <w:rsid w:val="00564C84"/>
    <w:rsid w:val="00564D65"/>
    <w:rsid w:val="00564DE3"/>
    <w:rsid w:val="00564E5D"/>
    <w:rsid w:val="00564E90"/>
    <w:rsid w:val="00564F48"/>
    <w:rsid w:val="00564FE2"/>
    <w:rsid w:val="0056505F"/>
    <w:rsid w:val="005650A9"/>
    <w:rsid w:val="0056510C"/>
    <w:rsid w:val="00565190"/>
    <w:rsid w:val="0056527A"/>
    <w:rsid w:val="0056528A"/>
    <w:rsid w:val="005652B4"/>
    <w:rsid w:val="005652E6"/>
    <w:rsid w:val="0056532F"/>
    <w:rsid w:val="00565389"/>
    <w:rsid w:val="005653A7"/>
    <w:rsid w:val="005653D0"/>
    <w:rsid w:val="0056545C"/>
    <w:rsid w:val="00565465"/>
    <w:rsid w:val="00565492"/>
    <w:rsid w:val="00565522"/>
    <w:rsid w:val="00565570"/>
    <w:rsid w:val="0056558D"/>
    <w:rsid w:val="005655BA"/>
    <w:rsid w:val="005655F1"/>
    <w:rsid w:val="00565615"/>
    <w:rsid w:val="00565649"/>
    <w:rsid w:val="00565790"/>
    <w:rsid w:val="005657E3"/>
    <w:rsid w:val="00565814"/>
    <w:rsid w:val="00565841"/>
    <w:rsid w:val="0056586B"/>
    <w:rsid w:val="00565884"/>
    <w:rsid w:val="005659BC"/>
    <w:rsid w:val="005659DC"/>
    <w:rsid w:val="005659F3"/>
    <w:rsid w:val="00565AEE"/>
    <w:rsid w:val="00565B8F"/>
    <w:rsid w:val="00565C71"/>
    <w:rsid w:val="00565CF1"/>
    <w:rsid w:val="00565D55"/>
    <w:rsid w:val="00565F45"/>
    <w:rsid w:val="00566065"/>
    <w:rsid w:val="0056606B"/>
    <w:rsid w:val="0056607A"/>
    <w:rsid w:val="005660B4"/>
    <w:rsid w:val="005662B7"/>
    <w:rsid w:val="005662BE"/>
    <w:rsid w:val="00566328"/>
    <w:rsid w:val="0056639C"/>
    <w:rsid w:val="00566426"/>
    <w:rsid w:val="005664A3"/>
    <w:rsid w:val="005664D1"/>
    <w:rsid w:val="00566621"/>
    <w:rsid w:val="005666FC"/>
    <w:rsid w:val="00566832"/>
    <w:rsid w:val="00566884"/>
    <w:rsid w:val="005668A5"/>
    <w:rsid w:val="005669AA"/>
    <w:rsid w:val="005669EC"/>
    <w:rsid w:val="00566A28"/>
    <w:rsid w:val="00566A66"/>
    <w:rsid w:val="00566A71"/>
    <w:rsid w:val="00566B0D"/>
    <w:rsid w:val="00566B72"/>
    <w:rsid w:val="00566BA1"/>
    <w:rsid w:val="00566C42"/>
    <w:rsid w:val="00566CC3"/>
    <w:rsid w:val="00566D25"/>
    <w:rsid w:val="00566D50"/>
    <w:rsid w:val="00566DAA"/>
    <w:rsid w:val="00566E1B"/>
    <w:rsid w:val="00566E3D"/>
    <w:rsid w:val="00566F23"/>
    <w:rsid w:val="00566F50"/>
    <w:rsid w:val="00566F8E"/>
    <w:rsid w:val="0056713B"/>
    <w:rsid w:val="00567193"/>
    <w:rsid w:val="00567203"/>
    <w:rsid w:val="00567219"/>
    <w:rsid w:val="0056721F"/>
    <w:rsid w:val="0056723C"/>
    <w:rsid w:val="005672D7"/>
    <w:rsid w:val="00567319"/>
    <w:rsid w:val="0056738A"/>
    <w:rsid w:val="005673F2"/>
    <w:rsid w:val="00567421"/>
    <w:rsid w:val="00567452"/>
    <w:rsid w:val="00567483"/>
    <w:rsid w:val="00567545"/>
    <w:rsid w:val="00567576"/>
    <w:rsid w:val="005675D8"/>
    <w:rsid w:val="00567736"/>
    <w:rsid w:val="00567886"/>
    <w:rsid w:val="0056788A"/>
    <w:rsid w:val="005678FD"/>
    <w:rsid w:val="00567A17"/>
    <w:rsid w:val="00567B87"/>
    <w:rsid w:val="00567C05"/>
    <w:rsid w:val="00567CC0"/>
    <w:rsid w:val="00567D3B"/>
    <w:rsid w:val="00567DC3"/>
    <w:rsid w:val="00567E7A"/>
    <w:rsid w:val="00567F34"/>
    <w:rsid w:val="0057004C"/>
    <w:rsid w:val="0057009F"/>
    <w:rsid w:val="005700E7"/>
    <w:rsid w:val="00570109"/>
    <w:rsid w:val="00570117"/>
    <w:rsid w:val="00570119"/>
    <w:rsid w:val="00570126"/>
    <w:rsid w:val="005701BD"/>
    <w:rsid w:val="005701BE"/>
    <w:rsid w:val="00570264"/>
    <w:rsid w:val="00570313"/>
    <w:rsid w:val="00570432"/>
    <w:rsid w:val="005705BE"/>
    <w:rsid w:val="0057064B"/>
    <w:rsid w:val="00570663"/>
    <w:rsid w:val="0057073D"/>
    <w:rsid w:val="005707B8"/>
    <w:rsid w:val="005707CF"/>
    <w:rsid w:val="005707E1"/>
    <w:rsid w:val="00570826"/>
    <w:rsid w:val="00570835"/>
    <w:rsid w:val="00570841"/>
    <w:rsid w:val="00570854"/>
    <w:rsid w:val="00570862"/>
    <w:rsid w:val="00570890"/>
    <w:rsid w:val="0057090E"/>
    <w:rsid w:val="005709D4"/>
    <w:rsid w:val="005709F4"/>
    <w:rsid w:val="00570A6A"/>
    <w:rsid w:val="00570B49"/>
    <w:rsid w:val="00570B6D"/>
    <w:rsid w:val="00570C2F"/>
    <w:rsid w:val="00570C42"/>
    <w:rsid w:val="00570C48"/>
    <w:rsid w:val="00570CA9"/>
    <w:rsid w:val="00570CC8"/>
    <w:rsid w:val="00570CE7"/>
    <w:rsid w:val="00570DA5"/>
    <w:rsid w:val="00570DF4"/>
    <w:rsid w:val="00570E29"/>
    <w:rsid w:val="00570E44"/>
    <w:rsid w:val="00570E8D"/>
    <w:rsid w:val="00570EFE"/>
    <w:rsid w:val="00571029"/>
    <w:rsid w:val="00571069"/>
    <w:rsid w:val="0057107C"/>
    <w:rsid w:val="0057109E"/>
    <w:rsid w:val="005710FF"/>
    <w:rsid w:val="005711FF"/>
    <w:rsid w:val="005712D0"/>
    <w:rsid w:val="00571476"/>
    <w:rsid w:val="00571506"/>
    <w:rsid w:val="0057152C"/>
    <w:rsid w:val="005715B4"/>
    <w:rsid w:val="005715F6"/>
    <w:rsid w:val="0057162A"/>
    <w:rsid w:val="00571636"/>
    <w:rsid w:val="0057168E"/>
    <w:rsid w:val="0057170D"/>
    <w:rsid w:val="00571774"/>
    <w:rsid w:val="0057180E"/>
    <w:rsid w:val="0057186D"/>
    <w:rsid w:val="0057192E"/>
    <w:rsid w:val="005719CC"/>
    <w:rsid w:val="00571A5B"/>
    <w:rsid w:val="00571A5C"/>
    <w:rsid w:val="00571A93"/>
    <w:rsid w:val="00571AA9"/>
    <w:rsid w:val="00571AB9"/>
    <w:rsid w:val="00571BD4"/>
    <w:rsid w:val="00571BE9"/>
    <w:rsid w:val="00571C58"/>
    <w:rsid w:val="00571D52"/>
    <w:rsid w:val="00571D85"/>
    <w:rsid w:val="00571DBA"/>
    <w:rsid w:val="00571DC0"/>
    <w:rsid w:val="00571E6F"/>
    <w:rsid w:val="00571F3A"/>
    <w:rsid w:val="00571FE2"/>
    <w:rsid w:val="00571FF0"/>
    <w:rsid w:val="0057201D"/>
    <w:rsid w:val="0057211E"/>
    <w:rsid w:val="00572184"/>
    <w:rsid w:val="005721A8"/>
    <w:rsid w:val="005721CC"/>
    <w:rsid w:val="00572269"/>
    <w:rsid w:val="005724E7"/>
    <w:rsid w:val="005725AE"/>
    <w:rsid w:val="00572643"/>
    <w:rsid w:val="0057266C"/>
    <w:rsid w:val="00572691"/>
    <w:rsid w:val="005726E9"/>
    <w:rsid w:val="005726F7"/>
    <w:rsid w:val="00572855"/>
    <w:rsid w:val="005728C7"/>
    <w:rsid w:val="005728DC"/>
    <w:rsid w:val="0057294A"/>
    <w:rsid w:val="00572998"/>
    <w:rsid w:val="00572A73"/>
    <w:rsid w:val="00572A98"/>
    <w:rsid w:val="00572AA6"/>
    <w:rsid w:val="00572AC5"/>
    <w:rsid w:val="00572ADA"/>
    <w:rsid w:val="00572B45"/>
    <w:rsid w:val="00572B5D"/>
    <w:rsid w:val="00572C95"/>
    <w:rsid w:val="00572D0E"/>
    <w:rsid w:val="00572D7E"/>
    <w:rsid w:val="00572DEC"/>
    <w:rsid w:val="00572E3E"/>
    <w:rsid w:val="00572FCB"/>
    <w:rsid w:val="00573139"/>
    <w:rsid w:val="005731A4"/>
    <w:rsid w:val="00573275"/>
    <w:rsid w:val="0057327A"/>
    <w:rsid w:val="005732D7"/>
    <w:rsid w:val="00573302"/>
    <w:rsid w:val="0057331A"/>
    <w:rsid w:val="00573358"/>
    <w:rsid w:val="0057337F"/>
    <w:rsid w:val="00573403"/>
    <w:rsid w:val="00573409"/>
    <w:rsid w:val="00573421"/>
    <w:rsid w:val="005734A1"/>
    <w:rsid w:val="00573500"/>
    <w:rsid w:val="00573536"/>
    <w:rsid w:val="005735B3"/>
    <w:rsid w:val="005736A0"/>
    <w:rsid w:val="005736BD"/>
    <w:rsid w:val="00573731"/>
    <w:rsid w:val="00573748"/>
    <w:rsid w:val="005737E1"/>
    <w:rsid w:val="00573884"/>
    <w:rsid w:val="005739F2"/>
    <w:rsid w:val="00573A52"/>
    <w:rsid w:val="00573A66"/>
    <w:rsid w:val="00573CBF"/>
    <w:rsid w:val="00573CD5"/>
    <w:rsid w:val="00573D22"/>
    <w:rsid w:val="00573DE5"/>
    <w:rsid w:val="00573E0F"/>
    <w:rsid w:val="00573FDA"/>
    <w:rsid w:val="00574006"/>
    <w:rsid w:val="0057401D"/>
    <w:rsid w:val="0057412A"/>
    <w:rsid w:val="0057424B"/>
    <w:rsid w:val="005742B3"/>
    <w:rsid w:val="005742D0"/>
    <w:rsid w:val="005742EF"/>
    <w:rsid w:val="00574527"/>
    <w:rsid w:val="005745CC"/>
    <w:rsid w:val="00574668"/>
    <w:rsid w:val="005747B0"/>
    <w:rsid w:val="005747D7"/>
    <w:rsid w:val="00574913"/>
    <w:rsid w:val="00574A7B"/>
    <w:rsid w:val="00574AF2"/>
    <w:rsid w:val="00574AFE"/>
    <w:rsid w:val="00574B3B"/>
    <w:rsid w:val="00574BB6"/>
    <w:rsid w:val="00574BB7"/>
    <w:rsid w:val="00574BC4"/>
    <w:rsid w:val="00574C47"/>
    <w:rsid w:val="00574CB1"/>
    <w:rsid w:val="00574CD4"/>
    <w:rsid w:val="00574D02"/>
    <w:rsid w:val="00574D77"/>
    <w:rsid w:val="00574DA2"/>
    <w:rsid w:val="00574E40"/>
    <w:rsid w:val="00574ED5"/>
    <w:rsid w:val="00574F34"/>
    <w:rsid w:val="00574F45"/>
    <w:rsid w:val="005751CE"/>
    <w:rsid w:val="00575200"/>
    <w:rsid w:val="00575207"/>
    <w:rsid w:val="0057525D"/>
    <w:rsid w:val="005752C4"/>
    <w:rsid w:val="005752CD"/>
    <w:rsid w:val="0057539A"/>
    <w:rsid w:val="005753CB"/>
    <w:rsid w:val="005755CE"/>
    <w:rsid w:val="00575706"/>
    <w:rsid w:val="00575716"/>
    <w:rsid w:val="00575739"/>
    <w:rsid w:val="00575747"/>
    <w:rsid w:val="0057577E"/>
    <w:rsid w:val="00575836"/>
    <w:rsid w:val="00575980"/>
    <w:rsid w:val="00575A2B"/>
    <w:rsid w:val="00575BE0"/>
    <w:rsid w:val="00575BFB"/>
    <w:rsid w:val="00575C0B"/>
    <w:rsid w:val="00575D06"/>
    <w:rsid w:val="00575EA9"/>
    <w:rsid w:val="00575F49"/>
    <w:rsid w:val="00575F55"/>
    <w:rsid w:val="00575F6F"/>
    <w:rsid w:val="00576077"/>
    <w:rsid w:val="00576085"/>
    <w:rsid w:val="005760E1"/>
    <w:rsid w:val="005760F6"/>
    <w:rsid w:val="00576226"/>
    <w:rsid w:val="00576404"/>
    <w:rsid w:val="00576407"/>
    <w:rsid w:val="0057646B"/>
    <w:rsid w:val="005766A4"/>
    <w:rsid w:val="005766BC"/>
    <w:rsid w:val="005766E1"/>
    <w:rsid w:val="0057670C"/>
    <w:rsid w:val="0057679C"/>
    <w:rsid w:val="00576896"/>
    <w:rsid w:val="00576981"/>
    <w:rsid w:val="00576A07"/>
    <w:rsid w:val="00576A16"/>
    <w:rsid w:val="00576A20"/>
    <w:rsid w:val="00576A4B"/>
    <w:rsid w:val="00576B12"/>
    <w:rsid w:val="00576B72"/>
    <w:rsid w:val="00576B88"/>
    <w:rsid w:val="00576DBC"/>
    <w:rsid w:val="00576E00"/>
    <w:rsid w:val="00576E63"/>
    <w:rsid w:val="00576FCB"/>
    <w:rsid w:val="0057703B"/>
    <w:rsid w:val="00577085"/>
    <w:rsid w:val="00577139"/>
    <w:rsid w:val="0057738A"/>
    <w:rsid w:val="005773C9"/>
    <w:rsid w:val="005773FC"/>
    <w:rsid w:val="00577417"/>
    <w:rsid w:val="005774F6"/>
    <w:rsid w:val="00577503"/>
    <w:rsid w:val="00577536"/>
    <w:rsid w:val="0057756B"/>
    <w:rsid w:val="005775A0"/>
    <w:rsid w:val="00577668"/>
    <w:rsid w:val="005777AC"/>
    <w:rsid w:val="005777CB"/>
    <w:rsid w:val="0057793B"/>
    <w:rsid w:val="00577942"/>
    <w:rsid w:val="0057798A"/>
    <w:rsid w:val="00577A77"/>
    <w:rsid w:val="00577AD0"/>
    <w:rsid w:val="00577ADE"/>
    <w:rsid w:val="00577AFF"/>
    <w:rsid w:val="00577B4D"/>
    <w:rsid w:val="00577C1B"/>
    <w:rsid w:val="00577CEB"/>
    <w:rsid w:val="00577D40"/>
    <w:rsid w:val="00577DA5"/>
    <w:rsid w:val="00577E78"/>
    <w:rsid w:val="00577E89"/>
    <w:rsid w:val="00577EDA"/>
    <w:rsid w:val="00577FC9"/>
    <w:rsid w:val="0058000F"/>
    <w:rsid w:val="00580061"/>
    <w:rsid w:val="0058008D"/>
    <w:rsid w:val="005800A2"/>
    <w:rsid w:val="00580254"/>
    <w:rsid w:val="00580257"/>
    <w:rsid w:val="0058027C"/>
    <w:rsid w:val="0058027D"/>
    <w:rsid w:val="005802A8"/>
    <w:rsid w:val="005802E3"/>
    <w:rsid w:val="0058032B"/>
    <w:rsid w:val="00580364"/>
    <w:rsid w:val="005803AF"/>
    <w:rsid w:val="00580505"/>
    <w:rsid w:val="00580524"/>
    <w:rsid w:val="00580570"/>
    <w:rsid w:val="00580645"/>
    <w:rsid w:val="00580684"/>
    <w:rsid w:val="005806F7"/>
    <w:rsid w:val="00580705"/>
    <w:rsid w:val="005807EC"/>
    <w:rsid w:val="0058080B"/>
    <w:rsid w:val="005808A4"/>
    <w:rsid w:val="005808EC"/>
    <w:rsid w:val="0058099F"/>
    <w:rsid w:val="00580B31"/>
    <w:rsid w:val="00580BC8"/>
    <w:rsid w:val="00580BD4"/>
    <w:rsid w:val="00580BE8"/>
    <w:rsid w:val="00580C32"/>
    <w:rsid w:val="00580CA8"/>
    <w:rsid w:val="00580D2B"/>
    <w:rsid w:val="00580D5C"/>
    <w:rsid w:val="00580EF3"/>
    <w:rsid w:val="00580F97"/>
    <w:rsid w:val="00580FB7"/>
    <w:rsid w:val="005810AA"/>
    <w:rsid w:val="0058120E"/>
    <w:rsid w:val="0058150E"/>
    <w:rsid w:val="005815FF"/>
    <w:rsid w:val="0058171A"/>
    <w:rsid w:val="0058185A"/>
    <w:rsid w:val="00581882"/>
    <w:rsid w:val="00581904"/>
    <w:rsid w:val="005819F9"/>
    <w:rsid w:val="00581A2E"/>
    <w:rsid w:val="00581AF7"/>
    <w:rsid w:val="00581B87"/>
    <w:rsid w:val="00581C08"/>
    <w:rsid w:val="00581C36"/>
    <w:rsid w:val="00581D59"/>
    <w:rsid w:val="00581D68"/>
    <w:rsid w:val="0058202D"/>
    <w:rsid w:val="0058208A"/>
    <w:rsid w:val="005820A5"/>
    <w:rsid w:val="0058216E"/>
    <w:rsid w:val="005821A9"/>
    <w:rsid w:val="005821E1"/>
    <w:rsid w:val="005821E8"/>
    <w:rsid w:val="005822BB"/>
    <w:rsid w:val="0058232A"/>
    <w:rsid w:val="00582340"/>
    <w:rsid w:val="005823B8"/>
    <w:rsid w:val="0058248E"/>
    <w:rsid w:val="005824AC"/>
    <w:rsid w:val="005824D2"/>
    <w:rsid w:val="00582570"/>
    <w:rsid w:val="005825AD"/>
    <w:rsid w:val="0058262F"/>
    <w:rsid w:val="0058272E"/>
    <w:rsid w:val="00582839"/>
    <w:rsid w:val="00582882"/>
    <w:rsid w:val="00582890"/>
    <w:rsid w:val="005828C1"/>
    <w:rsid w:val="005828C2"/>
    <w:rsid w:val="005828FB"/>
    <w:rsid w:val="00582905"/>
    <w:rsid w:val="005829F2"/>
    <w:rsid w:val="00582A4A"/>
    <w:rsid w:val="00582CE1"/>
    <w:rsid w:val="00582CF5"/>
    <w:rsid w:val="00582D16"/>
    <w:rsid w:val="00582D65"/>
    <w:rsid w:val="00582D69"/>
    <w:rsid w:val="00582E3A"/>
    <w:rsid w:val="00582E86"/>
    <w:rsid w:val="00582EF9"/>
    <w:rsid w:val="00582F07"/>
    <w:rsid w:val="00582F9C"/>
    <w:rsid w:val="00582FCE"/>
    <w:rsid w:val="0058301D"/>
    <w:rsid w:val="0058306B"/>
    <w:rsid w:val="005830E7"/>
    <w:rsid w:val="0058312E"/>
    <w:rsid w:val="00583153"/>
    <w:rsid w:val="005831C5"/>
    <w:rsid w:val="005831E9"/>
    <w:rsid w:val="00583216"/>
    <w:rsid w:val="0058348C"/>
    <w:rsid w:val="005834FE"/>
    <w:rsid w:val="00583559"/>
    <w:rsid w:val="00583577"/>
    <w:rsid w:val="0058375E"/>
    <w:rsid w:val="0058389C"/>
    <w:rsid w:val="0058396B"/>
    <w:rsid w:val="0058396F"/>
    <w:rsid w:val="00583A8D"/>
    <w:rsid w:val="00583AD6"/>
    <w:rsid w:val="00583B31"/>
    <w:rsid w:val="00583B6E"/>
    <w:rsid w:val="00583C89"/>
    <w:rsid w:val="00583F27"/>
    <w:rsid w:val="00583F60"/>
    <w:rsid w:val="00583F71"/>
    <w:rsid w:val="00583FF0"/>
    <w:rsid w:val="0058406E"/>
    <w:rsid w:val="00584123"/>
    <w:rsid w:val="00584136"/>
    <w:rsid w:val="0058413D"/>
    <w:rsid w:val="00584158"/>
    <w:rsid w:val="005841F8"/>
    <w:rsid w:val="0058438A"/>
    <w:rsid w:val="005843CB"/>
    <w:rsid w:val="005843FA"/>
    <w:rsid w:val="00584486"/>
    <w:rsid w:val="00584492"/>
    <w:rsid w:val="00584494"/>
    <w:rsid w:val="005844D6"/>
    <w:rsid w:val="00584557"/>
    <w:rsid w:val="005845E4"/>
    <w:rsid w:val="005846B3"/>
    <w:rsid w:val="005846BF"/>
    <w:rsid w:val="005846C8"/>
    <w:rsid w:val="005847FB"/>
    <w:rsid w:val="00584838"/>
    <w:rsid w:val="0058483C"/>
    <w:rsid w:val="005849AC"/>
    <w:rsid w:val="00584A2B"/>
    <w:rsid w:val="00584B2F"/>
    <w:rsid w:val="00584B69"/>
    <w:rsid w:val="00584C27"/>
    <w:rsid w:val="00584C61"/>
    <w:rsid w:val="00584CFD"/>
    <w:rsid w:val="00584D5F"/>
    <w:rsid w:val="00584D71"/>
    <w:rsid w:val="00584D7E"/>
    <w:rsid w:val="00584E59"/>
    <w:rsid w:val="00584EA3"/>
    <w:rsid w:val="00584EAF"/>
    <w:rsid w:val="00584F09"/>
    <w:rsid w:val="0058506D"/>
    <w:rsid w:val="00585125"/>
    <w:rsid w:val="00585180"/>
    <w:rsid w:val="00585236"/>
    <w:rsid w:val="005852D5"/>
    <w:rsid w:val="005852D9"/>
    <w:rsid w:val="005852E8"/>
    <w:rsid w:val="00585321"/>
    <w:rsid w:val="005854B1"/>
    <w:rsid w:val="005854F0"/>
    <w:rsid w:val="005854F6"/>
    <w:rsid w:val="005855A7"/>
    <w:rsid w:val="00585753"/>
    <w:rsid w:val="005857B3"/>
    <w:rsid w:val="00585860"/>
    <w:rsid w:val="005858B0"/>
    <w:rsid w:val="00585900"/>
    <w:rsid w:val="0058591F"/>
    <w:rsid w:val="00585A9C"/>
    <w:rsid w:val="00585AD8"/>
    <w:rsid w:val="00585B24"/>
    <w:rsid w:val="00585B7B"/>
    <w:rsid w:val="00585B84"/>
    <w:rsid w:val="00585C7C"/>
    <w:rsid w:val="00585CD0"/>
    <w:rsid w:val="00585D20"/>
    <w:rsid w:val="00585D7F"/>
    <w:rsid w:val="00585E11"/>
    <w:rsid w:val="00585EB8"/>
    <w:rsid w:val="00585ED9"/>
    <w:rsid w:val="00585F03"/>
    <w:rsid w:val="00585F54"/>
    <w:rsid w:val="0058602E"/>
    <w:rsid w:val="00586140"/>
    <w:rsid w:val="0058614A"/>
    <w:rsid w:val="005861D6"/>
    <w:rsid w:val="00586271"/>
    <w:rsid w:val="005862E9"/>
    <w:rsid w:val="005862F6"/>
    <w:rsid w:val="00586356"/>
    <w:rsid w:val="0058645F"/>
    <w:rsid w:val="005865F2"/>
    <w:rsid w:val="00586604"/>
    <w:rsid w:val="0058662C"/>
    <w:rsid w:val="0058667F"/>
    <w:rsid w:val="0058671D"/>
    <w:rsid w:val="0058675D"/>
    <w:rsid w:val="00586814"/>
    <w:rsid w:val="005868C2"/>
    <w:rsid w:val="00586927"/>
    <w:rsid w:val="00586959"/>
    <w:rsid w:val="00586A60"/>
    <w:rsid w:val="00586A61"/>
    <w:rsid w:val="00586ABD"/>
    <w:rsid w:val="00586AD5"/>
    <w:rsid w:val="00586AED"/>
    <w:rsid w:val="00586B5E"/>
    <w:rsid w:val="00586C13"/>
    <w:rsid w:val="00586C2A"/>
    <w:rsid w:val="00586CBB"/>
    <w:rsid w:val="00586DDC"/>
    <w:rsid w:val="00586E15"/>
    <w:rsid w:val="00586E65"/>
    <w:rsid w:val="00586F91"/>
    <w:rsid w:val="00586F93"/>
    <w:rsid w:val="0058705E"/>
    <w:rsid w:val="005870A6"/>
    <w:rsid w:val="005870B5"/>
    <w:rsid w:val="005870BC"/>
    <w:rsid w:val="0058710E"/>
    <w:rsid w:val="00587165"/>
    <w:rsid w:val="00587198"/>
    <w:rsid w:val="005871E7"/>
    <w:rsid w:val="00587225"/>
    <w:rsid w:val="00587299"/>
    <w:rsid w:val="0058737C"/>
    <w:rsid w:val="005873ED"/>
    <w:rsid w:val="005874E8"/>
    <w:rsid w:val="005874ED"/>
    <w:rsid w:val="005875DF"/>
    <w:rsid w:val="00587641"/>
    <w:rsid w:val="00587667"/>
    <w:rsid w:val="005876D3"/>
    <w:rsid w:val="00587702"/>
    <w:rsid w:val="00587826"/>
    <w:rsid w:val="005878C1"/>
    <w:rsid w:val="0058795C"/>
    <w:rsid w:val="00587AD2"/>
    <w:rsid w:val="00587BF3"/>
    <w:rsid w:val="00587C25"/>
    <w:rsid w:val="00587C37"/>
    <w:rsid w:val="00587D47"/>
    <w:rsid w:val="00587E2D"/>
    <w:rsid w:val="00587E7B"/>
    <w:rsid w:val="00587E97"/>
    <w:rsid w:val="00587EC2"/>
    <w:rsid w:val="00587F3A"/>
    <w:rsid w:val="00587F57"/>
    <w:rsid w:val="00587F60"/>
    <w:rsid w:val="00587FA2"/>
    <w:rsid w:val="00590007"/>
    <w:rsid w:val="00590133"/>
    <w:rsid w:val="005901F0"/>
    <w:rsid w:val="0059029D"/>
    <w:rsid w:val="0059034A"/>
    <w:rsid w:val="0059035C"/>
    <w:rsid w:val="00590367"/>
    <w:rsid w:val="00590662"/>
    <w:rsid w:val="0059067F"/>
    <w:rsid w:val="0059072A"/>
    <w:rsid w:val="0059076F"/>
    <w:rsid w:val="005907AE"/>
    <w:rsid w:val="005907E6"/>
    <w:rsid w:val="005907F6"/>
    <w:rsid w:val="0059081A"/>
    <w:rsid w:val="00590840"/>
    <w:rsid w:val="005908BD"/>
    <w:rsid w:val="00590916"/>
    <w:rsid w:val="00590B1E"/>
    <w:rsid w:val="00590C74"/>
    <w:rsid w:val="00590CB2"/>
    <w:rsid w:val="00590E1A"/>
    <w:rsid w:val="00590FCA"/>
    <w:rsid w:val="00590FFE"/>
    <w:rsid w:val="0059109E"/>
    <w:rsid w:val="005910B9"/>
    <w:rsid w:val="0059117C"/>
    <w:rsid w:val="005911FF"/>
    <w:rsid w:val="0059123B"/>
    <w:rsid w:val="005912B8"/>
    <w:rsid w:val="00591303"/>
    <w:rsid w:val="0059132B"/>
    <w:rsid w:val="0059139F"/>
    <w:rsid w:val="005913A7"/>
    <w:rsid w:val="00591496"/>
    <w:rsid w:val="0059155E"/>
    <w:rsid w:val="00591561"/>
    <w:rsid w:val="005915AC"/>
    <w:rsid w:val="005915DA"/>
    <w:rsid w:val="00591609"/>
    <w:rsid w:val="0059169D"/>
    <w:rsid w:val="00591718"/>
    <w:rsid w:val="00591780"/>
    <w:rsid w:val="00591797"/>
    <w:rsid w:val="00591875"/>
    <w:rsid w:val="005918DC"/>
    <w:rsid w:val="005918E5"/>
    <w:rsid w:val="005919C4"/>
    <w:rsid w:val="00591A73"/>
    <w:rsid w:val="00591A9E"/>
    <w:rsid w:val="00591B2A"/>
    <w:rsid w:val="00591B68"/>
    <w:rsid w:val="00591B69"/>
    <w:rsid w:val="00591B77"/>
    <w:rsid w:val="00591C05"/>
    <w:rsid w:val="00591C1C"/>
    <w:rsid w:val="00591CFB"/>
    <w:rsid w:val="00591D28"/>
    <w:rsid w:val="00591D2D"/>
    <w:rsid w:val="00591D5E"/>
    <w:rsid w:val="00591D8C"/>
    <w:rsid w:val="00591E6B"/>
    <w:rsid w:val="00591E90"/>
    <w:rsid w:val="00591E97"/>
    <w:rsid w:val="00591EC0"/>
    <w:rsid w:val="00591EEA"/>
    <w:rsid w:val="00591F5D"/>
    <w:rsid w:val="00592038"/>
    <w:rsid w:val="0059203A"/>
    <w:rsid w:val="005920EF"/>
    <w:rsid w:val="00592100"/>
    <w:rsid w:val="00592299"/>
    <w:rsid w:val="00592316"/>
    <w:rsid w:val="005924D7"/>
    <w:rsid w:val="00592606"/>
    <w:rsid w:val="00592700"/>
    <w:rsid w:val="0059275A"/>
    <w:rsid w:val="005927CF"/>
    <w:rsid w:val="0059283F"/>
    <w:rsid w:val="00592864"/>
    <w:rsid w:val="00592870"/>
    <w:rsid w:val="00592885"/>
    <w:rsid w:val="005928E6"/>
    <w:rsid w:val="0059295D"/>
    <w:rsid w:val="0059296C"/>
    <w:rsid w:val="005929A0"/>
    <w:rsid w:val="005929D6"/>
    <w:rsid w:val="005929E8"/>
    <w:rsid w:val="00592A4A"/>
    <w:rsid w:val="00592BE8"/>
    <w:rsid w:val="00592BE9"/>
    <w:rsid w:val="00592C3E"/>
    <w:rsid w:val="00592CB6"/>
    <w:rsid w:val="00592CD6"/>
    <w:rsid w:val="00592D02"/>
    <w:rsid w:val="00592D53"/>
    <w:rsid w:val="00592D5F"/>
    <w:rsid w:val="00592D6B"/>
    <w:rsid w:val="00592DAB"/>
    <w:rsid w:val="00592DC0"/>
    <w:rsid w:val="00592E03"/>
    <w:rsid w:val="00592E04"/>
    <w:rsid w:val="00592E90"/>
    <w:rsid w:val="00592EB8"/>
    <w:rsid w:val="00592F13"/>
    <w:rsid w:val="00592F1C"/>
    <w:rsid w:val="00592F77"/>
    <w:rsid w:val="00593034"/>
    <w:rsid w:val="005930BB"/>
    <w:rsid w:val="00593217"/>
    <w:rsid w:val="0059331F"/>
    <w:rsid w:val="0059335B"/>
    <w:rsid w:val="0059338D"/>
    <w:rsid w:val="00593443"/>
    <w:rsid w:val="00593447"/>
    <w:rsid w:val="00593470"/>
    <w:rsid w:val="00593471"/>
    <w:rsid w:val="00593485"/>
    <w:rsid w:val="0059348D"/>
    <w:rsid w:val="0059350F"/>
    <w:rsid w:val="00593568"/>
    <w:rsid w:val="005935BD"/>
    <w:rsid w:val="00593632"/>
    <w:rsid w:val="00593795"/>
    <w:rsid w:val="005937EA"/>
    <w:rsid w:val="00593942"/>
    <w:rsid w:val="00593A3A"/>
    <w:rsid w:val="00593AD8"/>
    <w:rsid w:val="00593B7B"/>
    <w:rsid w:val="00593B88"/>
    <w:rsid w:val="00593BE6"/>
    <w:rsid w:val="00593BFA"/>
    <w:rsid w:val="00593D50"/>
    <w:rsid w:val="00593DCD"/>
    <w:rsid w:val="00593E0A"/>
    <w:rsid w:val="00593E49"/>
    <w:rsid w:val="00593EDF"/>
    <w:rsid w:val="00593F23"/>
    <w:rsid w:val="00593F7D"/>
    <w:rsid w:val="00593FD6"/>
    <w:rsid w:val="00594030"/>
    <w:rsid w:val="005940A1"/>
    <w:rsid w:val="00594135"/>
    <w:rsid w:val="0059417A"/>
    <w:rsid w:val="00594221"/>
    <w:rsid w:val="005942CA"/>
    <w:rsid w:val="0059432B"/>
    <w:rsid w:val="0059432E"/>
    <w:rsid w:val="0059439C"/>
    <w:rsid w:val="005943DB"/>
    <w:rsid w:val="005943F1"/>
    <w:rsid w:val="0059440A"/>
    <w:rsid w:val="005944F9"/>
    <w:rsid w:val="0059457C"/>
    <w:rsid w:val="005945DF"/>
    <w:rsid w:val="005945F1"/>
    <w:rsid w:val="00594682"/>
    <w:rsid w:val="00594686"/>
    <w:rsid w:val="00594698"/>
    <w:rsid w:val="005946A6"/>
    <w:rsid w:val="005946A8"/>
    <w:rsid w:val="005946AA"/>
    <w:rsid w:val="005946FC"/>
    <w:rsid w:val="00594701"/>
    <w:rsid w:val="0059470C"/>
    <w:rsid w:val="00594735"/>
    <w:rsid w:val="0059479E"/>
    <w:rsid w:val="005947C1"/>
    <w:rsid w:val="005947CB"/>
    <w:rsid w:val="005947D6"/>
    <w:rsid w:val="0059484B"/>
    <w:rsid w:val="005948BE"/>
    <w:rsid w:val="00594A96"/>
    <w:rsid w:val="00594B07"/>
    <w:rsid w:val="00594B75"/>
    <w:rsid w:val="00594D4D"/>
    <w:rsid w:val="00594E26"/>
    <w:rsid w:val="00594E47"/>
    <w:rsid w:val="00594FAD"/>
    <w:rsid w:val="00594FBC"/>
    <w:rsid w:val="00594FC5"/>
    <w:rsid w:val="005950AB"/>
    <w:rsid w:val="005950F9"/>
    <w:rsid w:val="0059514C"/>
    <w:rsid w:val="005951C7"/>
    <w:rsid w:val="0059524B"/>
    <w:rsid w:val="005952B5"/>
    <w:rsid w:val="00595375"/>
    <w:rsid w:val="005954A2"/>
    <w:rsid w:val="00595560"/>
    <w:rsid w:val="00595597"/>
    <w:rsid w:val="0059559E"/>
    <w:rsid w:val="00595645"/>
    <w:rsid w:val="00595651"/>
    <w:rsid w:val="00595691"/>
    <w:rsid w:val="00595693"/>
    <w:rsid w:val="005956A4"/>
    <w:rsid w:val="0059578D"/>
    <w:rsid w:val="005957DD"/>
    <w:rsid w:val="005958C9"/>
    <w:rsid w:val="00595922"/>
    <w:rsid w:val="0059592E"/>
    <w:rsid w:val="0059594E"/>
    <w:rsid w:val="005959EC"/>
    <w:rsid w:val="00595A95"/>
    <w:rsid w:val="00595AB5"/>
    <w:rsid w:val="00595B15"/>
    <w:rsid w:val="00595B19"/>
    <w:rsid w:val="00595BFF"/>
    <w:rsid w:val="00595CC9"/>
    <w:rsid w:val="00595DD9"/>
    <w:rsid w:val="00595E02"/>
    <w:rsid w:val="00595E04"/>
    <w:rsid w:val="00595E18"/>
    <w:rsid w:val="00595E24"/>
    <w:rsid w:val="00595FAB"/>
    <w:rsid w:val="00595FE1"/>
    <w:rsid w:val="0059605C"/>
    <w:rsid w:val="005960A8"/>
    <w:rsid w:val="005961D8"/>
    <w:rsid w:val="005962CF"/>
    <w:rsid w:val="00596365"/>
    <w:rsid w:val="00596367"/>
    <w:rsid w:val="00596396"/>
    <w:rsid w:val="0059642B"/>
    <w:rsid w:val="00596482"/>
    <w:rsid w:val="005965C9"/>
    <w:rsid w:val="0059662F"/>
    <w:rsid w:val="0059665C"/>
    <w:rsid w:val="00596661"/>
    <w:rsid w:val="005966CF"/>
    <w:rsid w:val="0059674F"/>
    <w:rsid w:val="005967B1"/>
    <w:rsid w:val="005968D3"/>
    <w:rsid w:val="00596A3D"/>
    <w:rsid w:val="00596A47"/>
    <w:rsid w:val="00596A84"/>
    <w:rsid w:val="00596B68"/>
    <w:rsid w:val="00596C9F"/>
    <w:rsid w:val="00596CE8"/>
    <w:rsid w:val="00596D3B"/>
    <w:rsid w:val="00596DD8"/>
    <w:rsid w:val="00596E83"/>
    <w:rsid w:val="00596FD3"/>
    <w:rsid w:val="00597054"/>
    <w:rsid w:val="005971BC"/>
    <w:rsid w:val="0059733D"/>
    <w:rsid w:val="0059744A"/>
    <w:rsid w:val="00597456"/>
    <w:rsid w:val="00597481"/>
    <w:rsid w:val="00597580"/>
    <w:rsid w:val="005975BD"/>
    <w:rsid w:val="00597652"/>
    <w:rsid w:val="00597663"/>
    <w:rsid w:val="005976C9"/>
    <w:rsid w:val="00597703"/>
    <w:rsid w:val="0059777E"/>
    <w:rsid w:val="0059778C"/>
    <w:rsid w:val="005978D9"/>
    <w:rsid w:val="00597967"/>
    <w:rsid w:val="0059798C"/>
    <w:rsid w:val="005979C9"/>
    <w:rsid w:val="00597AC2"/>
    <w:rsid w:val="00597AD8"/>
    <w:rsid w:val="00597C52"/>
    <w:rsid w:val="00597C6F"/>
    <w:rsid w:val="00597C8C"/>
    <w:rsid w:val="00597C96"/>
    <w:rsid w:val="00597D62"/>
    <w:rsid w:val="00597DFD"/>
    <w:rsid w:val="00597E91"/>
    <w:rsid w:val="005A00AE"/>
    <w:rsid w:val="005A023E"/>
    <w:rsid w:val="005A0376"/>
    <w:rsid w:val="005A03B7"/>
    <w:rsid w:val="005A0489"/>
    <w:rsid w:val="005A04BB"/>
    <w:rsid w:val="005A04CC"/>
    <w:rsid w:val="005A053D"/>
    <w:rsid w:val="005A0552"/>
    <w:rsid w:val="005A05C5"/>
    <w:rsid w:val="005A05F4"/>
    <w:rsid w:val="005A0608"/>
    <w:rsid w:val="005A0651"/>
    <w:rsid w:val="005A067E"/>
    <w:rsid w:val="005A0680"/>
    <w:rsid w:val="005A06F5"/>
    <w:rsid w:val="005A0724"/>
    <w:rsid w:val="005A087F"/>
    <w:rsid w:val="005A089E"/>
    <w:rsid w:val="005A08C1"/>
    <w:rsid w:val="005A098C"/>
    <w:rsid w:val="005A0A92"/>
    <w:rsid w:val="005A0AAC"/>
    <w:rsid w:val="005A0AE0"/>
    <w:rsid w:val="005A0B2B"/>
    <w:rsid w:val="005A0B83"/>
    <w:rsid w:val="005A0B91"/>
    <w:rsid w:val="005A0D6B"/>
    <w:rsid w:val="005A0DDC"/>
    <w:rsid w:val="005A0FA4"/>
    <w:rsid w:val="005A1007"/>
    <w:rsid w:val="005A1078"/>
    <w:rsid w:val="005A10EC"/>
    <w:rsid w:val="005A116A"/>
    <w:rsid w:val="005A118F"/>
    <w:rsid w:val="005A11E0"/>
    <w:rsid w:val="005A1236"/>
    <w:rsid w:val="005A1273"/>
    <w:rsid w:val="005A128B"/>
    <w:rsid w:val="005A12B6"/>
    <w:rsid w:val="005A1326"/>
    <w:rsid w:val="005A139E"/>
    <w:rsid w:val="005A15C0"/>
    <w:rsid w:val="005A15DD"/>
    <w:rsid w:val="005A15F0"/>
    <w:rsid w:val="005A16C2"/>
    <w:rsid w:val="005A1719"/>
    <w:rsid w:val="005A176E"/>
    <w:rsid w:val="005A17F0"/>
    <w:rsid w:val="005A1837"/>
    <w:rsid w:val="005A18C0"/>
    <w:rsid w:val="005A18CB"/>
    <w:rsid w:val="005A1902"/>
    <w:rsid w:val="005A1AC5"/>
    <w:rsid w:val="005A1ADB"/>
    <w:rsid w:val="005A1B18"/>
    <w:rsid w:val="005A1B86"/>
    <w:rsid w:val="005A1B87"/>
    <w:rsid w:val="005A1BE8"/>
    <w:rsid w:val="005A1C17"/>
    <w:rsid w:val="005A1D13"/>
    <w:rsid w:val="005A1DD1"/>
    <w:rsid w:val="005A1E47"/>
    <w:rsid w:val="005A1E92"/>
    <w:rsid w:val="005A1EB4"/>
    <w:rsid w:val="005A1EFE"/>
    <w:rsid w:val="005A1F09"/>
    <w:rsid w:val="005A1FBF"/>
    <w:rsid w:val="005A1FE6"/>
    <w:rsid w:val="005A2017"/>
    <w:rsid w:val="005A21DB"/>
    <w:rsid w:val="005A2210"/>
    <w:rsid w:val="005A2214"/>
    <w:rsid w:val="005A2227"/>
    <w:rsid w:val="005A2259"/>
    <w:rsid w:val="005A230B"/>
    <w:rsid w:val="005A231D"/>
    <w:rsid w:val="005A2360"/>
    <w:rsid w:val="005A24A2"/>
    <w:rsid w:val="005A24B2"/>
    <w:rsid w:val="005A24F0"/>
    <w:rsid w:val="005A250A"/>
    <w:rsid w:val="005A255C"/>
    <w:rsid w:val="005A257B"/>
    <w:rsid w:val="005A259D"/>
    <w:rsid w:val="005A25F4"/>
    <w:rsid w:val="005A2666"/>
    <w:rsid w:val="005A26B6"/>
    <w:rsid w:val="005A274E"/>
    <w:rsid w:val="005A286A"/>
    <w:rsid w:val="005A28BF"/>
    <w:rsid w:val="005A28FD"/>
    <w:rsid w:val="005A294B"/>
    <w:rsid w:val="005A2A98"/>
    <w:rsid w:val="005A2AD9"/>
    <w:rsid w:val="005A2B56"/>
    <w:rsid w:val="005A2CD9"/>
    <w:rsid w:val="005A2D09"/>
    <w:rsid w:val="005A2D3A"/>
    <w:rsid w:val="005A2DC0"/>
    <w:rsid w:val="005A2E1C"/>
    <w:rsid w:val="005A2EA3"/>
    <w:rsid w:val="005A2ECC"/>
    <w:rsid w:val="005A2EF5"/>
    <w:rsid w:val="005A2F10"/>
    <w:rsid w:val="005A2F83"/>
    <w:rsid w:val="005A2F95"/>
    <w:rsid w:val="005A30C6"/>
    <w:rsid w:val="005A30FC"/>
    <w:rsid w:val="005A3154"/>
    <w:rsid w:val="005A3249"/>
    <w:rsid w:val="005A3265"/>
    <w:rsid w:val="005A32D5"/>
    <w:rsid w:val="005A32E1"/>
    <w:rsid w:val="005A33A4"/>
    <w:rsid w:val="005A3429"/>
    <w:rsid w:val="005A3448"/>
    <w:rsid w:val="005A3466"/>
    <w:rsid w:val="005A3473"/>
    <w:rsid w:val="005A34B1"/>
    <w:rsid w:val="005A3547"/>
    <w:rsid w:val="005A3555"/>
    <w:rsid w:val="005A3608"/>
    <w:rsid w:val="005A3647"/>
    <w:rsid w:val="005A36CE"/>
    <w:rsid w:val="005A36F1"/>
    <w:rsid w:val="005A377C"/>
    <w:rsid w:val="005A377E"/>
    <w:rsid w:val="005A384A"/>
    <w:rsid w:val="005A3865"/>
    <w:rsid w:val="005A38F4"/>
    <w:rsid w:val="005A39D5"/>
    <w:rsid w:val="005A3A74"/>
    <w:rsid w:val="005A3A90"/>
    <w:rsid w:val="005A3A9E"/>
    <w:rsid w:val="005A3BAA"/>
    <w:rsid w:val="005A3BBF"/>
    <w:rsid w:val="005A3BF6"/>
    <w:rsid w:val="005A3C59"/>
    <w:rsid w:val="005A3C97"/>
    <w:rsid w:val="005A3CB9"/>
    <w:rsid w:val="005A3D50"/>
    <w:rsid w:val="005A3E87"/>
    <w:rsid w:val="005A3EBC"/>
    <w:rsid w:val="005A3F14"/>
    <w:rsid w:val="005A3FC3"/>
    <w:rsid w:val="005A40F6"/>
    <w:rsid w:val="005A41EF"/>
    <w:rsid w:val="005A4219"/>
    <w:rsid w:val="005A42B8"/>
    <w:rsid w:val="005A4303"/>
    <w:rsid w:val="005A44D6"/>
    <w:rsid w:val="005A44DF"/>
    <w:rsid w:val="005A469E"/>
    <w:rsid w:val="005A47F0"/>
    <w:rsid w:val="005A47F1"/>
    <w:rsid w:val="005A48B0"/>
    <w:rsid w:val="005A493F"/>
    <w:rsid w:val="005A49BE"/>
    <w:rsid w:val="005A4A22"/>
    <w:rsid w:val="005A4A24"/>
    <w:rsid w:val="005A4B31"/>
    <w:rsid w:val="005A4B42"/>
    <w:rsid w:val="005A4B45"/>
    <w:rsid w:val="005A4B6F"/>
    <w:rsid w:val="005A4C35"/>
    <w:rsid w:val="005A4CBE"/>
    <w:rsid w:val="005A4D00"/>
    <w:rsid w:val="005A4DFF"/>
    <w:rsid w:val="005A4F3E"/>
    <w:rsid w:val="005A4F7C"/>
    <w:rsid w:val="005A4F9A"/>
    <w:rsid w:val="005A500A"/>
    <w:rsid w:val="005A5061"/>
    <w:rsid w:val="005A5082"/>
    <w:rsid w:val="005A516D"/>
    <w:rsid w:val="005A5290"/>
    <w:rsid w:val="005A52C7"/>
    <w:rsid w:val="005A5303"/>
    <w:rsid w:val="005A5347"/>
    <w:rsid w:val="005A540D"/>
    <w:rsid w:val="005A5475"/>
    <w:rsid w:val="005A5479"/>
    <w:rsid w:val="005A54B3"/>
    <w:rsid w:val="005A557E"/>
    <w:rsid w:val="005A55DC"/>
    <w:rsid w:val="005A56C1"/>
    <w:rsid w:val="005A5765"/>
    <w:rsid w:val="005A57D7"/>
    <w:rsid w:val="005A586C"/>
    <w:rsid w:val="005A58FE"/>
    <w:rsid w:val="005A5965"/>
    <w:rsid w:val="005A5A54"/>
    <w:rsid w:val="005A5A6B"/>
    <w:rsid w:val="005A5B08"/>
    <w:rsid w:val="005A5B19"/>
    <w:rsid w:val="005A5C60"/>
    <w:rsid w:val="005A5CDE"/>
    <w:rsid w:val="005A5DC3"/>
    <w:rsid w:val="005A5E5D"/>
    <w:rsid w:val="005A5E8B"/>
    <w:rsid w:val="005A6072"/>
    <w:rsid w:val="005A609C"/>
    <w:rsid w:val="005A616F"/>
    <w:rsid w:val="005A6257"/>
    <w:rsid w:val="005A6279"/>
    <w:rsid w:val="005A62F8"/>
    <w:rsid w:val="005A6350"/>
    <w:rsid w:val="005A638D"/>
    <w:rsid w:val="005A63F6"/>
    <w:rsid w:val="005A645A"/>
    <w:rsid w:val="005A64A4"/>
    <w:rsid w:val="005A64BD"/>
    <w:rsid w:val="005A6602"/>
    <w:rsid w:val="005A6643"/>
    <w:rsid w:val="005A668D"/>
    <w:rsid w:val="005A66AA"/>
    <w:rsid w:val="005A67CC"/>
    <w:rsid w:val="005A680B"/>
    <w:rsid w:val="005A6844"/>
    <w:rsid w:val="005A6853"/>
    <w:rsid w:val="005A685D"/>
    <w:rsid w:val="005A68EF"/>
    <w:rsid w:val="005A6900"/>
    <w:rsid w:val="005A6A21"/>
    <w:rsid w:val="005A6A2D"/>
    <w:rsid w:val="005A6B52"/>
    <w:rsid w:val="005A6C7C"/>
    <w:rsid w:val="005A6CE2"/>
    <w:rsid w:val="005A6D4C"/>
    <w:rsid w:val="005A6D64"/>
    <w:rsid w:val="005A6DC7"/>
    <w:rsid w:val="005A6E41"/>
    <w:rsid w:val="005A6E48"/>
    <w:rsid w:val="005A6E60"/>
    <w:rsid w:val="005A6E8A"/>
    <w:rsid w:val="005A6EE8"/>
    <w:rsid w:val="005A6F5E"/>
    <w:rsid w:val="005A6FA4"/>
    <w:rsid w:val="005A6FED"/>
    <w:rsid w:val="005A6FFF"/>
    <w:rsid w:val="005A7052"/>
    <w:rsid w:val="005A706F"/>
    <w:rsid w:val="005A70D0"/>
    <w:rsid w:val="005A723A"/>
    <w:rsid w:val="005A728C"/>
    <w:rsid w:val="005A7299"/>
    <w:rsid w:val="005A7457"/>
    <w:rsid w:val="005A7465"/>
    <w:rsid w:val="005A747D"/>
    <w:rsid w:val="005A75C9"/>
    <w:rsid w:val="005A7641"/>
    <w:rsid w:val="005A77B3"/>
    <w:rsid w:val="005A77B7"/>
    <w:rsid w:val="005A77D3"/>
    <w:rsid w:val="005A7807"/>
    <w:rsid w:val="005A786E"/>
    <w:rsid w:val="005A78F5"/>
    <w:rsid w:val="005A79BF"/>
    <w:rsid w:val="005A7A27"/>
    <w:rsid w:val="005A7A34"/>
    <w:rsid w:val="005A7A98"/>
    <w:rsid w:val="005A7AD8"/>
    <w:rsid w:val="005A7B34"/>
    <w:rsid w:val="005A7B81"/>
    <w:rsid w:val="005A7B94"/>
    <w:rsid w:val="005A7CF6"/>
    <w:rsid w:val="005A7D71"/>
    <w:rsid w:val="005A7D93"/>
    <w:rsid w:val="005A7E1E"/>
    <w:rsid w:val="005A7E26"/>
    <w:rsid w:val="005A7EB9"/>
    <w:rsid w:val="005A7FA2"/>
    <w:rsid w:val="005A7FD6"/>
    <w:rsid w:val="005B010A"/>
    <w:rsid w:val="005B012E"/>
    <w:rsid w:val="005B0199"/>
    <w:rsid w:val="005B0204"/>
    <w:rsid w:val="005B02EB"/>
    <w:rsid w:val="005B03AF"/>
    <w:rsid w:val="005B03E3"/>
    <w:rsid w:val="005B047B"/>
    <w:rsid w:val="005B053B"/>
    <w:rsid w:val="005B05A3"/>
    <w:rsid w:val="005B05A7"/>
    <w:rsid w:val="005B0722"/>
    <w:rsid w:val="005B074B"/>
    <w:rsid w:val="005B074D"/>
    <w:rsid w:val="005B0766"/>
    <w:rsid w:val="005B0784"/>
    <w:rsid w:val="005B07C3"/>
    <w:rsid w:val="005B0A19"/>
    <w:rsid w:val="005B0A9A"/>
    <w:rsid w:val="005B0ABA"/>
    <w:rsid w:val="005B0B4C"/>
    <w:rsid w:val="005B0B67"/>
    <w:rsid w:val="005B0B81"/>
    <w:rsid w:val="005B0C7E"/>
    <w:rsid w:val="005B0C8E"/>
    <w:rsid w:val="005B0D13"/>
    <w:rsid w:val="005B0D80"/>
    <w:rsid w:val="005B0DF0"/>
    <w:rsid w:val="005B0E37"/>
    <w:rsid w:val="005B0E8D"/>
    <w:rsid w:val="005B0F4B"/>
    <w:rsid w:val="005B0FD1"/>
    <w:rsid w:val="005B1111"/>
    <w:rsid w:val="005B1154"/>
    <w:rsid w:val="005B1175"/>
    <w:rsid w:val="005B119C"/>
    <w:rsid w:val="005B1237"/>
    <w:rsid w:val="005B13C1"/>
    <w:rsid w:val="005B15A4"/>
    <w:rsid w:val="005B161F"/>
    <w:rsid w:val="005B16A4"/>
    <w:rsid w:val="005B1726"/>
    <w:rsid w:val="005B1779"/>
    <w:rsid w:val="005B17ED"/>
    <w:rsid w:val="005B1850"/>
    <w:rsid w:val="005B1851"/>
    <w:rsid w:val="005B1953"/>
    <w:rsid w:val="005B19C9"/>
    <w:rsid w:val="005B19D3"/>
    <w:rsid w:val="005B1A70"/>
    <w:rsid w:val="005B1A80"/>
    <w:rsid w:val="005B1ADD"/>
    <w:rsid w:val="005B1BCF"/>
    <w:rsid w:val="005B1C05"/>
    <w:rsid w:val="005B1C54"/>
    <w:rsid w:val="005B1D24"/>
    <w:rsid w:val="005B1F65"/>
    <w:rsid w:val="005B2021"/>
    <w:rsid w:val="005B20D5"/>
    <w:rsid w:val="005B2185"/>
    <w:rsid w:val="005B2198"/>
    <w:rsid w:val="005B21D7"/>
    <w:rsid w:val="005B224A"/>
    <w:rsid w:val="005B2253"/>
    <w:rsid w:val="005B226A"/>
    <w:rsid w:val="005B227D"/>
    <w:rsid w:val="005B22D9"/>
    <w:rsid w:val="005B22FB"/>
    <w:rsid w:val="005B2336"/>
    <w:rsid w:val="005B241C"/>
    <w:rsid w:val="005B24B8"/>
    <w:rsid w:val="005B2643"/>
    <w:rsid w:val="005B26B1"/>
    <w:rsid w:val="005B27B8"/>
    <w:rsid w:val="005B2806"/>
    <w:rsid w:val="005B2840"/>
    <w:rsid w:val="005B2855"/>
    <w:rsid w:val="005B2890"/>
    <w:rsid w:val="005B28F3"/>
    <w:rsid w:val="005B2943"/>
    <w:rsid w:val="005B294D"/>
    <w:rsid w:val="005B2A32"/>
    <w:rsid w:val="005B2B0E"/>
    <w:rsid w:val="005B2BA1"/>
    <w:rsid w:val="005B2BCA"/>
    <w:rsid w:val="005B2BE7"/>
    <w:rsid w:val="005B2BFF"/>
    <w:rsid w:val="005B2D59"/>
    <w:rsid w:val="005B2D62"/>
    <w:rsid w:val="005B2D8B"/>
    <w:rsid w:val="005B2E55"/>
    <w:rsid w:val="005B2EC8"/>
    <w:rsid w:val="005B2F3F"/>
    <w:rsid w:val="005B301D"/>
    <w:rsid w:val="005B301E"/>
    <w:rsid w:val="005B3078"/>
    <w:rsid w:val="005B30AD"/>
    <w:rsid w:val="005B32DF"/>
    <w:rsid w:val="005B33A1"/>
    <w:rsid w:val="005B33C2"/>
    <w:rsid w:val="005B33FD"/>
    <w:rsid w:val="005B3420"/>
    <w:rsid w:val="005B34B5"/>
    <w:rsid w:val="005B34D6"/>
    <w:rsid w:val="005B350F"/>
    <w:rsid w:val="005B354F"/>
    <w:rsid w:val="005B356E"/>
    <w:rsid w:val="005B36D2"/>
    <w:rsid w:val="005B36F5"/>
    <w:rsid w:val="005B377A"/>
    <w:rsid w:val="005B37F0"/>
    <w:rsid w:val="005B383E"/>
    <w:rsid w:val="005B3849"/>
    <w:rsid w:val="005B3862"/>
    <w:rsid w:val="005B3895"/>
    <w:rsid w:val="005B3929"/>
    <w:rsid w:val="005B3955"/>
    <w:rsid w:val="005B39EA"/>
    <w:rsid w:val="005B3A6F"/>
    <w:rsid w:val="005B3B55"/>
    <w:rsid w:val="005B3BFF"/>
    <w:rsid w:val="005B3C1E"/>
    <w:rsid w:val="005B3E6E"/>
    <w:rsid w:val="005B3E8F"/>
    <w:rsid w:val="005B3EC4"/>
    <w:rsid w:val="005B3F88"/>
    <w:rsid w:val="005B4006"/>
    <w:rsid w:val="005B405F"/>
    <w:rsid w:val="005B409C"/>
    <w:rsid w:val="005B40F5"/>
    <w:rsid w:val="005B416A"/>
    <w:rsid w:val="005B41AE"/>
    <w:rsid w:val="005B4251"/>
    <w:rsid w:val="005B42C5"/>
    <w:rsid w:val="005B438A"/>
    <w:rsid w:val="005B439D"/>
    <w:rsid w:val="005B43F7"/>
    <w:rsid w:val="005B444D"/>
    <w:rsid w:val="005B447E"/>
    <w:rsid w:val="005B44AE"/>
    <w:rsid w:val="005B44CF"/>
    <w:rsid w:val="005B44D1"/>
    <w:rsid w:val="005B45CD"/>
    <w:rsid w:val="005B463B"/>
    <w:rsid w:val="005B4736"/>
    <w:rsid w:val="005B4890"/>
    <w:rsid w:val="005B48F7"/>
    <w:rsid w:val="005B491C"/>
    <w:rsid w:val="005B4988"/>
    <w:rsid w:val="005B4BA1"/>
    <w:rsid w:val="005B4BA9"/>
    <w:rsid w:val="005B4BE0"/>
    <w:rsid w:val="005B4C2A"/>
    <w:rsid w:val="005B4C82"/>
    <w:rsid w:val="005B4D3D"/>
    <w:rsid w:val="005B4DB2"/>
    <w:rsid w:val="005B4E28"/>
    <w:rsid w:val="005B4ED3"/>
    <w:rsid w:val="005B4F85"/>
    <w:rsid w:val="005B4FAE"/>
    <w:rsid w:val="005B4FCE"/>
    <w:rsid w:val="005B5117"/>
    <w:rsid w:val="005B5156"/>
    <w:rsid w:val="005B524A"/>
    <w:rsid w:val="005B531A"/>
    <w:rsid w:val="005B5385"/>
    <w:rsid w:val="005B538B"/>
    <w:rsid w:val="005B542B"/>
    <w:rsid w:val="005B548A"/>
    <w:rsid w:val="005B54E8"/>
    <w:rsid w:val="005B5504"/>
    <w:rsid w:val="005B553B"/>
    <w:rsid w:val="005B556B"/>
    <w:rsid w:val="005B562D"/>
    <w:rsid w:val="005B5734"/>
    <w:rsid w:val="005B5751"/>
    <w:rsid w:val="005B57BA"/>
    <w:rsid w:val="005B59F9"/>
    <w:rsid w:val="005B5A90"/>
    <w:rsid w:val="005B5AC4"/>
    <w:rsid w:val="005B5AEA"/>
    <w:rsid w:val="005B5B05"/>
    <w:rsid w:val="005B5B50"/>
    <w:rsid w:val="005B5BAB"/>
    <w:rsid w:val="005B5C1B"/>
    <w:rsid w:val="005B5C3B"/>
    <w:rsid w:val="005B5CA5"/>
    <w:rsid w:val="005B5CCB"/>
    <w:rsid w:val="005B5E63"/>
    <w:rsid w:val="005B5F2D"/>
    <w:rsid w:val="005B60B0"/>
    <w:rsid w:val="005B60D1"/>
    <w:rsid w:val="005B6100"/>
    <w:rsid w:val="005B618B"/>
    <w:rsid w:val="005B6252"/>
    <w:rsid w:val="005B62DA"/>
    <w:rsid w:val="005B62ED"/>
    <w:rsid w:val="005B62F4"/>
    <w:rsid w:val="005B636A"/>
    <w:rsid w:val="005B6397"/>
    <w:rsid w:val="005B6471"/>
    <w:rsid w:val="005B64BC"/>
    <w:rsid w:val="005B653E"/>
    <w:rsid w:val="005B6583"/>
    <w:rsid w:val="005B65CE"/>
    <w:rsid w:val="005B65E8"/>
    <w:rsid w:val="005B6718"/>
    <w:rsid w:val="005B6779"/>
    <w:rsid w:val="005B67D5"/>
    <w:rsid w:val="005B6800"/>
    <w:rsid w:val="005B6904"/>
    <w:rsid w:val="005B699C"/>
    <w:rsid w:val="005B69C0"/>
    <w:rsid w:val="005B6B8C"/>
    <w:rsid w:val="005B6BB1"/>
    <w:rsid w:val="005B6BD8"/>
    <w:rsid w:val="005B6C22"/>
    <w:rsid w:val="005B6C7A"/>
    <w:rsid w:val="005B6D0B"/>
    <w:rsid w:val="005B6DF1"/>
    <w:rsid w:val="005B6E2D"/>
    <w:rsid w:val="005B6FD1"/>
    <w:rsid w:val="005B702E"/>
    <w:rsid w:val="005B7071"/>
    <w:rsid w:val="005B7138"/>
    <w:rsid w:val="005B71A4"/>
    <w:rsid w:val="005B7208"/>
    <w:rsid w:val="005B722A"/>
    <w:rsid w:val="005B723B"/>
    <w:rsid w:val="005B7284"/>
    <w:rsid w:val="005B72F9"/>
    <w:rsid w:val="005B7304"/>
    <w:rsid w:val="005B73E2"/>
    <w:rsid w:val="005B7503"/>
    <w:rsid w:val="005B75A4"/>
    <w:rsid w:val="005B76AC"/>
    <w:rsid w:val="005B7733"/>
    <w:rsid w:val="005B7760"/>
    <w:rsid w:val="005B78CE"/>
    <w:rsid w:val="005B78ED"/>
    <w:rsid w:val="005B7AEB"/>
    <w:rsid w:val="005B7BB2"/>
    <w:rsid w:val="005B7BB3"/>
    <w:rsid w:val="005B7CA4"/>
    <w:rsid w:val="005B7CD2"/>
    <w:rsid w:val="005B7CF5"/>
    <w:rsid w:val="005B7D1D"/>
    <w:rsid w:val="005B7D7B"/>
    <w:rsid w:val="005B7DDB"/>
    <w:rsid w:val="005B7EBB"/>
    <w:rsid w:val="005B7EDC"/>
    <w:rsid w:val="005B7F2A"/>
    <w:rsid w:val="005B7F74"/>
    <w:rsid w:val="005C003B"/>
    <w:rsid w:val="005C00C8"/>
    <w:rsid w:val="005C0137"/>
    <w:rsid w:val="005C01FA"/>
    <w:rsid w:val="005C0215"/>
    <w:rsid w:val="005C0361"/>
    <w:rsid w:val="005C03A8"/>
    <w:rsid w:val="005C03BB"/>
    <w:rsid w:val="005C04CB"/>
    <w:rsid w:val="005C0630"/>
    <w:rsid w:val="005C0639"/>
    <w:rsid w:val="005C0698"/>
    <w:rsid w:val="005C0785"/>
    <w:rsid w:val="005C083F"/>
    <w:rsid w:val="005C0A95"/>
    <w:rsid w:val="005C0AA9"/>
    <w:rsid w:val="005C0C44"/>
    <w:rsid w:val="005C0CED"/>
    <w:rsid w:val="005C0D2A"/>
    <w:rsid w:val="005C0D9F"/>
    <w:rsid w:val="005C0DB8"/>
    <w:rsid w:val="005C0E30"/>
    <w:rsid w:val="005C0E45"/>
    <w:rsid w:val="005C0FA9"/>
    <w:rsid w:val="005C10A3"/>
    <w:rsid w:val="005C10E6"/>
    <w:rsid w:val="005C1139"/>
    <w:rsid w:val="005C114A"/>
    <w:rsid w:val="005C118A"/>
    <w:rsid w:val="005C11B5"/>
    <w:rsid w:val="005C121A"/>
    <w:rsid w:val="005C122C"/>
    <w:rsid w:val="005C133C"/>
    <w:rsid w:val="005C136B"/>
    <w:rsid w:val="005C1513"/>
    <w:rsid w:val="005C1590"/>
    <w:rsid w:val="005C15DD"/>
    <w:rsid w:val="005C15ED"/>
    <w:rsid w:val="005C15F9"/>
    <w:rsid w:val="005C1720"/>
    <w:rsid w:val="005C1749"/>
    <w:rsid w:val="005C1813"/>
    <w:rsid w:val="005C18B5"/>
    <w:rsid w:val="005C1901"/>
    <w:rsid w:val="005C1930"/>
    <w:rsid w:val="005C199A"/>
    <w:rsid w:val="005C1B6A"/>
    <w:rsid w:val="005C1C36"/>
    <w:rsid w:val="005C1C4F"/>
    <w:rsid w:val="005C1CAE"/>
    <w:rsid w:val="005C1CC2"/>
    <w:rsid w:val="005C1D2D"/>
    <w:rsid w:val="005C1D34"/>
    <w:rsid w:val="005C1D67"/>
    <w:rsid w:val="005C1F4E"/>
    <w:rsid w:val="005C1F71"/>
    <w:rsid w:val="005C1F85"/>
    <w:rsid w:val="005C1FB8"/>
    <w:rsid w:val="005C204C"/>
    <w:rsid w:val="005C20C8"/>
    <w:rsid w:val="005C20E6"/>
    <w:rsid w:val="005C2166"/>
    <w:rsid w:val="005C216C"/>
    <w:rsid w:val="005C21FF"/>
    <w:rsid w:val="005C2221"/>
    <w:rsid w:val="005C222B"/>
    <w:rsid w:val="005C2232"/>
    <w:rsid w:val="005C2288"/>
    <w:rsid w:val="005C22AD"/>
    <w:rsid w:val="005C22CE"/>
    <w:rsid w:val="005C22EC"/>
    <w:rsid w:val="005C2305"/>
    <w:rsid w:val="005C234E"/>
    <w:rsid w:val="005C23E6"/>
    <w:rsid w:val="005C23F5"/>
    <w:rsid w:val="005C241D"/>
    <w:rsid w:val="005C24AB"/>
    <w:rsid w:val="005C24B9"/>
    <w:rsid w:val="005C2579"/>
    <w:rsid w:val="005C26A0"/>
    <w:rsid w:val="005C26AB"/>
    <w:rsid w:val="005C26BB"/>
    <w:rsid w:val="005C26C4"/>
    <w:rsid w:val="005C2722"/>
    <w:rsid w:val="005C2729"/>
    <w:rsid w:val="005C2778"/>
    <w:rsid w:val="005C277B"/>
    <w:rsid w:val="005C27B0"/>
    <w:rsid w:val="005C27B4"/>
    <w:rsid w:val="005C2860"/>
    <w:rsid w:val="005C2939"/>
    <w:rsid w:val="005C2947"/>
    <w:rsid w:val="005C2A48"/>
    <w:rsid w:val="005C2AC2"/>
    <w:rsid w:val="005C2ACF"/>
    <w:rsid w:val="005C2BA5"/>
    <w:rsid w:val="005C2C1E"/>
    <w:rsid w:val="005C2C53"/>
    <w:rsid w:val="005C2E24"/>
    <w:rsid w:val="005C2E4D"/>
    <w:rsid w:val="005C2E51"/>
    <w:rsid w:val="005C2E98"/>
    <w:rsid w:val="005C2F4F"/>
    <w:rsid w:val="005C2F9E"/>
    <w:rsid w:val="005C3002"/>
    <w:rsid w:val="005C3003"/>
    <w:rsid w:val="005C30DA"/>
    <w:rsid w:val="005C3153"/>
    <w:rsid w:val="005C3339"/>
    <w:rsid w:val="005C346E"/>
    <w:rsid w:val="005C3552"/>
    <w:rsid w:val="005C363F"/>
    <w:rsid w:val="005C3641"/>
    <w:rsid w:val="005C3743"/>
    <w:rsid w:val="005C37FD"/>
    <w:rsid w:val="005C3811"/>
    <w:rsid w:val="005C3879"/>
    <w:rsid w:val="005C389F"/>
    <w:rsid w:val="005C38F7"/>
    <w:rsid w:val="005C3910"/>
    <w:rsid w:val="005C39B7"/>
    <w:rsid w:val="005C3AD5"/>
    <w:rsid w:val="005C3B99"/>
    <w:rsid w:val="005C3BA3"/>
    <w:rsid w:val="005C3C50"/>
    <w:rsid w:val="005C3C89"/>
    <w:rsid w:val="005C3F2F"/>
    <w:rsid w:val="005C3F9B"/>
    <w:rsid w:val="005C407E"/>
    <w:rsid w:val="005C4140"/>
    <w:rsid w:val="005C41F0"/>
    <w:rsid w:val="005C420A"/>
    <w:rsid w:val="005C4234"/>
    <w:rsid w:val="005C4255"/>
    <w:rsid w:val="005C4275"/>
    <w:rsid w:val="005C42D3"/>
    <w:rsid w:val="005C42DB"/>
    <w:rsid w:val="005C436D"/>
    <w:rsid w:val="005C43A8"/>
    <w:rsid w:val="005C43B5"/>
    <w:rsid w:val="005C4471"/>
    <w:rsid w:val="005C4531"/>
    <w:rsid w:val="005C453B"/>
    <w:rsid w:val="005C454C"/>
    <w:rsid w:val="005C465D"/>
    <w:rsid w:val="005C46CF"/>
    <w:rsid w:val="005C46E3"/>
    <w:rsid w:val="005C46FB"/>
    <w:rsid w:val="005C4724"/>
    <w:rsid w:val="005C473F"/>
    <w:rsid w:val="005C4844"/>
    <w:rsid w:val="005C4AC1"/>
    <w:rsid w:val="005C4ADC"/>
    <w:rsid w:val="005C4C92"/>
    <w:rsid w:val="005C4CC2"/>
    <w:rsid w:val="005C4D27"/>
    <w:rsid w:val="005C4D39"/>
    <w:rsid w:val="005C4D3A"/>
    <w:rsid w:val="005C4E30"/>
    <w:rsid w:val="005C4E3C"/>
    <w:rsid w:val="005C4E4D"/>
    <w:rsid w:val="005C4EAA"/>
    <w:rsid w:val="005C4F49"/>
    <w:rsid w:val="005C5060"/>
    <w:rsid w:val="005C526B"/>
    <w:rsid w:val="005C52D3"/>
    <w:rsid w:val="005C53AC"/>
    <w:rsid w:val="005C5439"/>
    <w:rsid w:val="005C5462"/>
    <w:rsid w:val="005C547D"/>
    <w:rsid w:val="005C5660"/>
    <w:rsid w:val="005C5702"/>
    <w:rsid w:val="005C5738"/>
    <w:rsid w:val="005C574D"/>
    <w:rsid w:val="005C5851"/>
    <w:rsid w:val="005C58A8"/>
    <w:rsid w:val="005C590F"/>
    <w:rsid w:val="005C5966"/>
    <w:rsid w:val="005C59F6"/>
    <w:rsid w:val="005C5A0F"/>
    <w:rsid w:val="005C5B2F"/>
    <w:rsid w:val="005C5B32"/>
    <w:rsid w:val="005C5CAC"/>
    <w:rsid w:val="005C5D79"/>
    <w:rsid w:val="005C5DDF"/>
    <w:rsid w:val="005C5EEB"/>
    <w:rsid w:val="005C5F33"/>
    <w:rsid w:val="005C5F76"/>
    <w:rsid w:val="005C5FF8"/>
    <w:rsid w:val="005C6012"/>
    <w:rsid w:val="005C61B1"/>
    <w:rsid w:val="005C61DF"/>
    <w:rsid w:val="005C62E0"/>
    <w:rsid w:val="005C6309"/>
    <w:rsid w:val="005C639B"/>
    <w:rsid w:val="005C6449"/>
    <w:rsid w:val="005C6471"/>
    <w:rsid w:val="005C6501"/>
    <w:rsid w:val="005C652F"/>
    <w:rsid w:val="005C6530"/>
    <w:rsid w:val="005C65AC"/>
    <w:rsid w:val="005C6657"/>
    <w:rsid w:val="005C6716"/>
    <w:rsid w:val="005C67FE"/>
    <w:rsid w:val="005C6898"/>
    <w:rsid w:val="005C68E7"/>
    <w:rsid w:val="005C6969"/>
    <w:rsid w:val="005C696D"/>
    <w:rsid w:val="005C69B3"/>
    <w:rsid w:val="005C69D3"/>
    <w:rsid w:val="005C6A6E"/>
    <w:rsid w:val="005C6B2B"/>
    <w:rsid w:val="005C6B9B"/>
    <w:rsid w:val="005C6BAD"/>
    <w:rsid w:val="005C6BBD"/>
    <w:rsid w:val="005C6BC3"/>
    <w:rsid w:val="005C6C24"/>
    <w:rsid w:val="005C6DDF"/>
    <w:rsid w:val="005C6EBD"/>
    <w:rsid w:val="005C6ECB"/>
    <w:rsid w:val="005C6EE0"/>
    <w:rsid w:val="005C6F47"/>
    <w:rsid w:val="005C6FDF"/>
    <w:rsid w:val="005C702B"/>
    <w:rsid w:val="005C70BD"/>
    <w:rsid w:val="005C7206"/>
    <w:rsid w:val="005C7226"/>
    <w:rsid w:val="005C724A"/>
    <w:rsid w:val="005C7289"/>
    <w:rsid w:val="005C7299"/>
    <w:rsid w:val="005C729F"/>
    <w:rsid w:val="005C72AE"/>
    <w:rsid w:val="005C7303"/>
    <w:rsid w:val="005C73B3"/>
    <w:rsid w:val="005C73E3"/>
    <w:rsid w:val="005C7493"/>
    <w:rsid w:val="005C74CC"/>
    <w:rsid w:val="005C7580"/>
    <w:rsid w:val="005C7604"/>
    <w:rsid w:val="005C765D"/>
    <w:rsid w:val="005C7664"/>
    <w:rsid w:val="005C76A6"/>
    <w:rsid w:val="005C76EF"/>
    <w:rsid w:val="005C776C"/>
    <w:rsid w:val="005C77A4"/>
    <w:rsid w:val="005C77A7"/>
    <w:rsid w:val="005C78C8"/>
    <w:rsid w:val="005C78E4"/>
    <w:rsid w:val="005C78E9"/>
    <w:rsid w:val="005C78F0"/>
    <w:rsid w:val="005C799B"/>
    <w:rsid w:val="005C79DB"/>
    <w:rsid w:val="005C7A02"/>
    <w:rsid w:val="005C7AE6"/>
    <w:rsid w:val="005C7B35"/>
    <w:rsid w:val="005C7B99"/>
    <w:rsid w:val="005C7BA6"/>
    <w:rsid w:val="005C7BA9"/>
    <w:rsid w:val="005C7D14"/>
    <w:rsid w:val="005C7E24"/>
    <w:rsid w:val="005C7E85"/>
    <w:rsid w:val="005C7F0C"/>
    <w:rsid w:val="005C7F82"/>
    <w:rsid w:val="005C7FC4"/>
    <w:rsid w:val="005D0041"/>
    <w:rsid w:val="005D0141"/>
    <w:rsid w:val="005D0219"/>
    <w:rsid w:val="005D021A"/>
    <w:rsid w:val="005D023F"/>
    <w:rsid w:val="005D0251"/>
    <w:rsid w:val="005D0260"/>
    <w:rsid w:val="005D0273"/>
    <w:rsid w:val="005D0328"/>
    <w:rsid w:val="005D0454"/>
    <w:rsid w:val="005D04BE"/>
    <w:rsid w:val="005D04FC"/>
    <w:rsid w:val="005D0531"/>
    <w:rsid w:val="005D0612"/>
    <w:rsid w:val="005D08AC"/>
    <w:rsid w:val="005D09A9"/>
    <w:rsid w:val="005D0A2F"/>
    <w:rsid w:val="005D0B38"/>
    <w:rsid w:val="005D0B45"/>
    <w:rsid w:val="005D0BA3"/>
    <w:rsid w:val="005D0BB6"/>
    <w:rsid w:val="005D0BC1"/>
    <w:rsid w:val="005D0BDA"/>
    <w:rsid w:val="005D0D5C"/>
    <w:rsid w:val="005D0D8A"/>
    <w:rsid w:val="005D0DD2"/>
    <w:rsid w:val="005D0E5D"/>
    <w:rsid w:val="005D0ECD"/>
    <w:rsid w:val="005D1052"/>
    <w:rsid w:val="005D1063"/>
    <w:rsid w:val="005D10D5"/>
    <w:rsid w:val="005D10F5"/>
    <w:rsid w:val="005D1145"/>
    <w:rsid w:val="005D1162"/>
    <w:rsid w:val="005D116D"/>
    <w:rsid w:val="005D1227"/>
    <w:rsid w:val="005D123D"/>
    <w:rsid w:val="005D1251"/>
    <w:rsid w:val="005D1355"/>
    <w:rsid w:val="005D1381"/>
    <w:rsid w:val="005D139E"/>
    <w:rsid w:val="005D15E5"/>
    <w:rsid w:val="005D15F3"/>
    <w:rsid w:val="005D1646"/>
    <w:rsid w:val="005D16B5"/>
    <w:rsid w:val="005D177B"/>
    <w:rsid w:val="005D17FE"/>
    <w:rsid w:val="005D18CA"/>
    <w:rsid w:val="005D190A"/>
    <w:rsid w:val="005D1915"/>
    <w:rsid w:val="005D1952"/>
    <w:rsid w:val="005D1B11"/>
    <w:rsid w:val="005D1BFB"/>
    <w:rsid w:val="005D1D48"/>
    <w:rsid w:val="005D1E09"/>
    <w:rsid w:val="005D1E4D"/>
    <w:rsid w:val="005D1E9C"/>
    <w:rsid w:val="005D1FA3"/>
    <w:rsid w:val="005D209A"/>
    <w:rsid w:val="005D20CF"/>
    <w:rsid w:val="005D21D4"/>
    <w:rsid w:val="005D226E"/>
    <w:rsid w:val="005D23B2"/>
    <w:rsid w:val="005D2472"/>
    <w:rsid w:val="005D2474"/>
    <w:rsid w:val="005D24DF"/>
    <w:rsid w:val="005D258F"/>
    <w:rsid w:val="005D25A4"/>
    <w:rsid w:val="005D25BC"/>
    <w:rsid w:val="005D25DA"/>
    <w:rsid w:val="005D273B"/>
    <w:rsid w:val="005D2748"/>
    <w:rsid w:val="005D274B"/>
    <w:rsid w:val="005D276E"/>
    <w:rsid w:val="005D2782"/>
    <w:rsid w:val="005D2784"/>
    <w:rsid w:val="005D27CE"/>
    <w:rsid w:val="005D2934"/>
    <w:rsid w:val="005D293D"/>
    <w:rsid w:val="005D2A1C"/>
    <w:rsid w:val="005D2ABF"/>
    <w:rsid w:val="005D2AF2"/>
    <w:rsid w:val="005D2B16"/>
    <w:rsid w:val="005D2B37"/>
    <w:rsid w:val="005D2B3A"/>
    <w:rsid w:val="005D2B63"/>
    <w:rsid w:val="005D2C15"/>
    <w:rsid w:val="005D2C48"/>
    <w:rsid w:val="005D2C94"/>
    <w:rsid w:val="005D2D46"/>
    <w:rsid w:val="005D2D96"/>
    <w:rsid w:val="005D2E45"/>
    <w:rsid w:val="005D2EFF"/>
    <w:rsid w:val="005D2F72"/>
    <w:rsid w:val="005D2FB8"/>
    <w:rsid w:val="005D2FE9"/>
    <w:rsid w:val="005D309B"/>
    <w:rsid w:val="005D3171"/>
    <w:rsid w:val="005D327F"/>
    <w:rsid w:val="005D3355"/>
    <w:rsid w:val="005D3374"/>
    <w:rsid w:val="005D3476"/>
    <w:rsid w:val="005D3587"/>
    <w:rsid w:val="005D35A1"/>
    <w:rsid w:val="005D35BE"/>
    <w:rsid w:val="005D35F0"/>
    <w:rsid w:val="005D36A2"/>
    <w:rsid w:val="005D3842"/>
    <w:rsid w:val="005D3872"/>
    <w:rsid w:val="005D3889"/>
    <w:rsid w:val="005D3A8D"/>
    <w:rsid w:val="005D3B20"/>
    <w:rsid w:val="005D3BB7"/>
    <w:rsid w:val="005D3C8D"/>
    <w:rsid w:val="005D3D09"/>
    <w:rsid w:val="005D3D50"/>
    <w:rsid w:val="005D3DB4"/>
    <w:rsid w:val="005D3DC8"/>
    <w:rsid w:val="005D3E54"/>
    <w:rsid w:val="005D3EDE"/>
    <w:rsid w:val="005D3F66"/>
    <w:rsid w:val="005D3F80"/>
    <w:rsid w:val="005D402C"/>
    <w:rsid w:val="005D4095"/>
    <w:rsid w:val="005D40A8"/>
    <w:rsid w:val="005D41FF"/>
    <w:rsid w:val="005D4260"/>
    <w:rsid w:val="005D42E0"/>
    <w:rsid w:val="005D43E3"/>
    <w:rsid w:val="005D43E6"/>
    <w:rsid w:val="005D44AE"/>
    <w:rsid w:val="005D44E4"/>
    <w:rsid w:val="005D4517"/>
    <w:rsid w:val="005D4522"/>
    <w:rsid w:val="005D4573"/>
    <w:rsid w:val="005D45DB"/>
    <w:rsid w:val="005D4683"/>
    <w:rsid w:val="005D4701"/>
    <w:rsid w:val="005D4910"/>
    <w:rsid w:val="005D4943"/>
    <w:rsid w:val="005D4A21"/>
    <w:rsid w:val="005D4B0D"/>
    <w:rsid w:val="005D4B47"/>
    <w:rsid w:val="005D4BCA"/>
    <w:rsid w:val="005D4CF5"/>
    <w:rsid w:val="005D4D1D"/>
    <w:rsid w:val="005D4DC5"/>
    <w:rsid w:val="005D4DFE"/>
    <w:rsid w:val="005D4EF5"/>
    <w:rsid w:val="005D4F3C"/>
    <w:rsid w:val="005D4FC1"/>
    <w:rsid w:val="005D51E2"/>
    <w:rsid w:val="005D5265"/>
    <w:rsid w:val="005D526B"/>
    <w:rsid w:val="005D52E4"/>
    <w:rsid w:val="005D5371"/>
    <w:rsid w:val="005D537D"/>
    <w:rsid w:val="005D53C6"/>
    <w:rsid w:val="005D544B"/>
    <w:rsid w:val="005D5517"/>
    <w:rsid w:val="005D551C"/>
    <w:rsid w:val="005D558C"/>
    <w:rsid w:val="005D5648"/>
    <w:rsid w:val="005D5751"/>
    <w:rsid w:val="005D577D"/>
    <w:rsid w:val="005D57BB"/>
    <w:rsid w:val="005D57CC"/>
    <w:rsid w:val="005D5849"/>
    <w:rsid w:val="005D58A4"/>
    <w:rsid w:val="005D5A76"/>
    <w:rsid w:val="005D5A92"/>
    <w:rsid w:val="005D5B73"/>
    <w:rsid w:val="005D5B74"/>
    <w:rsid w:val="005D5BEA"/>
    <w:rsid w:val="005D5CA5"/>
    <w:rsid w:val="005D5CBF"/>
    <w:rsid w:val="005D5D54"/>
    <w:rsid w:val="005D5E4A"/>
    <w:rsid w:val="005D5E66"/>
    <w:rsid w:val="005D5E75"/>
    <w:rsid w:val="005D5F02"/>
    <w:rsid w:val="005D5F4F"/>
    <w:rsid w:val="005D5FF9"/>
    <w:rsid w:val="005D5FFB"/>
    <w:rsid w:val="005D6009"/>
    <w:rsid w:val="005D6010"/>
    <w:rsid w:val="005D6294"/>
    <w:rsid w:val="005D62CE"/>
    <w:rsid w:val="005D637B"/>
    <w:rsid w:val="005D6560"/>
    <w:rsid w:val="005D658D"/>
    <w:rsid w:val="005D65F5"/>
    <w:rsid w:val="005D6635"/>
    <w:rsid w:val="005D6674"/>
    <w:rsid w:val="005D6762"/>
    <w:rsid w:val="005D67A4"/>
    <w:rsid w:val="005D67D1"/>
    <w:rsid w:val="005D67DA"/>
    <w:rsid w:val="005D6896"/>
    <w:rsid w:val="005D6967"/>
    <w:rsid w:val="005D69F1"/>
    <w:rsid w:val="005D6A62"/>
    <w:rsid w:val="005D6B2F"/>
    <w:rsid w:val="005D6BBD"/>
    <w:rsid w:val="005D6BC4"/>
    <w:rsid w:val="005D6BE2"/>
    <w:rsid w:val="005D6C89"/>
    <w:rsid w:val="005D6C9E"/>
    <w:rsid w:val="005D6CC7"/>
    <w:rsid w:val="005D6D92"/>
    <w:rsid w:val="005D6DB2"/>
    <w:rsid w:val="005D6DEF"/>
    <w:rsid w:val="005D6E54"/>
    <w:rsid w:val="005D6ECE"/>
    <w:rsid w:val="005D6F38"/>
    <w:rsid w:val="005D7144"/>
    <w:rsid w:val="005D7197"/>
    <w:rsid w:val="005D71EE"/>
    <w:rsid w:val="005D72C3"/>
    <w:rsid w:val="005D734B"/>
    <w:rsid w:val="005D73E9"/>
    <w:rsid w:val="005D74F1"/>
    <w:rsid w:val="005D7516"/>
    <w:rsid w:val="005D7536"/>
    <w:rsid w:val="005D76F8"/>
    <w:rsid w:val="005D7709"/>
    <w:rsid w:val="005D77AB"/>
    <w:rsid w:val="005D77D9"/>
    <w:rsid w:val="005D782C"/>
    <w:rsid w:val="005D7896"/>
    <w:rsid w:val="005D78A7"/>
    <w:rsid w:val="005D7988"/>
    <w:rsid w:val="005D7C78"/>
    <w:rsid w:val="005D7C93"/>
    <w:rsid w:val="005D7C96"/>
    <w:rsid w:val="005D7C9C"/>
    <w:rsid w:val="005D7CA6"/>
    <w:rsid w:val="005D7D53"/>
    <w:rsid w:val="005D7D84"/>
    <w:rsid w:val="005D7DC4"/>
    <w:rsid w:val="005D7E0A"/>
    <w:rsid w:val="005D7EE1"/>
    <w:rsid w:val="005D7FA5"/>
    <w:rsid w:val="005E0005"/>
    <w:rsid w:val="005E002F"/>
    <w:rsid w:val="005E009E"/>
    <w:rsid w:val="005E0125"/>
    <w:rsid w:val="005E016A"/>
    <w:rsid w:val="005E017B"/>
    <w:rsid w:val="005E01E9"/>
    <w:rsid w:val="005E0227"/>
    <w:rsid w:val="005E024C"/>
    <w:rsid w:val="005E02A1"/>
    <w:rsid w:val="005E0360"/>
    <w:rsid w:val="005E0433"/>
    <w:rsid w:val="005E0446"/>
    <w:rsid w:val="005E04EA"/>
    <w:rsid w:val="005E05C7"/>
    <w:rsid w:val="005E05D0"/>
    <w:rsid w:val="005E0669"/>
    <w:rsid w:val="005E06D6"/>
    <w:rsid w:val="005E06FD"/>
    <w:rsid w:val="005E07F0"/>
    <w:rsid w:val="005E090F"/>
    <w:rsid w:val="005E09A5"/>
    <w:rsid w:val="005E0A2E"/>
    <w:rsid w:val="005E0ADD"/>
    <w:rsid w:val="005E0AF3"/>
    <w:rsid w:val="005E0B95"/>
    <w:rsid w:val="005E0C2B"/>
    <w:rsid w:val="005E0CBB"/>
    <w:rsid w:val="005E0D1F"/>
    <w:rsid w:val="005E0EBE"/>
    <w:rsid w:val="005E0ECE"/>
    <w:rsid w:val="005E0EE2"/>
    <w:rsid w:val="005E0F58"/>
    <w:rsid w:val="005E101C"/>
    <w:rsid w:val="005E1021"/>
    <w:rsid w:val="005E1120"/>
    <w:rsid w:val="005E113B"/>
    <w:rsid w:val="005E11B2"/>
    <w:rsid w:val="005E127A"/>
    <w:rsid w:val="005E1292"/>
    <w:rsid w:val="005E1344"/>
    <w:rsid w:val="005E13AD"/>
    <w:rsid w:val="005E15A7"/>
    <w:rsid w:val="005E15B8"/>
    <w:rsid w:val="005E15F5"/>
    <w:rsid w:val="005E165B"/>
    <w:rsid w:val="005E1738"/>
    <w:rsid w:val="005E17BA"/>
    <w:rsid w:val="005E1921"/>
    <w:rsid w:val="005E1956"/>
    <w:rsid w:val="005E1959"/>
    <w:rsid w:val="005E197D"/>
    <w:rsid w:val="005E19DC"/>
    <w:rsid w:val="005E19E2"/>
    <w:rsid w:val="005E1A43"/>
    <w:rsid w:val="005E1B29"/>
    <w:rsid w:val="005E1B36"/>
    <w:rsid w:val="005E1B5D"/>
    <w:rsid w:val="005E1BA0"/>
    <w:rsid w:val="005E1BA9"/>
    <w:rsid w:val="005E1C93"/>
    <w:rsid w:val="005E1CEB"/>
    <w:rsid w:val="005E1CFC"/>
    <w:rsid w:val="005E1D9A"/>
    <w:rsid w:val="005E1E70"/>
    <w:rsid w:val="005E1E7F"/>
    <w:rsid w:val="005E1EB7"/>
    <w:rsid w:val="005E1F56"/>
    <w:rsid w:val="005E1FAA"/>
    <w:rsid w:val="005E2040"/>
    <w:rsid w:val="005E2054"/>
    <w:rsid w:val="005E2180"/>
    <w:rsid w:val="005E2277"/>
    <w:rsid w:val="005E2312"/>
    <w:rsid w:val="005E235A"/>
    <w:rsid w:val="005E23FD"/>
    <w:rsid w:val="005E2440"/>
    <w:rsid w:val="005E24FB"/>
    <w:rsid w:val="005E255B"/>
    <w:rsid w:val="005E25D6"/>
    <w:rsid w:val="005E25DF"/>
    <w:rsid w:val="005E2762"/>
    <w:rsid w:val="005E2763"/>
    <w:rsid w:val="005E282C"/>
    <w:rsid w:val="005E2836"/>
    <w:rsid w:val="005E2871"/>
    <w:rsid w:val="005E2888"/>
    <w:rsid w:val="005E2915"/>
    <w:rsid w:val="005E29A4"/>
    <w:rsid w:val="005E2A76"/>
    <w:rsid w:val="005E2A80"/>
    <w:rsid w:val="005E2A82"/>
    <w:rsid w:val="005E2B12"/>
    <w:rsid w:val="005E2B58"/>
    <w:rsid w:val="005E2BBD"/>
    <w:rsid w:val="005E2C01"/>
    <w:rsid w:val="005E2C0C"/>
    <w:rsid w:val="005E2D4A"/>
    <w:rsid w:val="005E2D65"/>
    <w:rsid w:val="005E2D8B"/>
    <w:rsid w:val="005E2E04"/>
    <w:rsid w:val="005E2E60"/>
    <w:rsid w:val="005E2FC2"/>
    <w:rsid w:val="005E2FED"/>
    <w:rsid w:val="005E30E7"/>
    <w:rsid w:val="005E3149"/>
    <w:rsid w:val="005E31A3"/>
    <w:rsid w:val="005E31C3"/>
    <w:rsid w:val="005E31DE"/>
    <w:rsid w:val="005E33FF"/>
    <w:rsid w:val="005E341B"/>
    <w:rsid w:val="005E3461"/>
    <w:rsid w:val="005E34FF"/>
    <w:rsid w:val="005E3502"/>
    <w:rsid w:val="005E352E"/>
    <w:rsid w:val="005E3563"/>
    <w:rsid w:val="005E35AE"/>
    <w:rsid w:val="005E37D0"/>
    <w:rsid w:val="005E3857"/>
    <w:rsid w:val="005E3941"/>
    <w:rsid w:val="005E3A66"/>
    <w:rsid w:val="005E3B3C"/>
    <w:rsid w:val="005E3BF6"/>
    <w:rsid w:val="005E3C14"/>
    <w:rsid w:val="005E3D6D"/>
    <w:rsid w:val="005E3D74"/>
    <w:rsid w:val="005E3DA8"/>
    <w:rsid w:val="005E3F35"/>
    <w:rsid w:val="005E4019"/>
    <w:rsid w:val="005E405F"/>
    <w:rsid w:val="005E4094"/>
    <w:rsid w:val="005E41AC"/>
    <w:rsid w:val="005E420E"/>
    <w:rsid w:val="005E422A"/>
    <w:rsid w:val="005E42FB"/>
    <w:rsid w:val="005E4316"/>
    <w:rsid w:val="005E432F"/>
    <w:rsid w:val="005E43B4"/>
    <w:rsid w:val="005E44C9"/>
    <w:rsid w:val="005E455C"/>
    <w:rsid w:val="005E4567"/>
    <w:rsid w:val="005E4570"/>
    <w:rsid w:val="005E4681"/>
    <w:rsid w:val="005E468B"/>
    <w:rsid w:val="005E46AE"/>
    <w:rsid w:val="005E4709"/>
    <w:rsid w:val="005E48C5"/>
    <w:rsid w:val="005E48CB"/>
    <w:rsid w:val="005E48EE"/>
    <w:rsid w:val="005E4972"/>
    <w:rsid w:val="005E49D8"/>
    <w:rsid w:val="005E4A29"/>
    <w:rsid w:val="005E4B40"/>
    <w:rsid w:val="005E4B54"/>
    <w:rsid w:val="005E4CF6"/>
    <w:rsid w:val="005E4D9B"/>
    <w:rsid w:val="005E4DB2"/>
    <w:rsid w:val="005E4E3D"/>
    <w:rsid w:val="005E4E5B"/>
    <w:rsid w:val="005E4FB2"/>
    <w:rsid w:val="005E4FF9"/>
    <w:rsid w:val="005E500C"/>
    <w:rsid w:val="005E501D"/>
    <w:rsid w:val="005E5054"/>
    <w:rsid w:val="005E5080"/>
    <w:rsid w:val="005E5088"/>
    <w:rsid w:val="005E50D1"/>
    <w:rsid w:val="005E5238"/>
    <w:rsid w:val="005E5307"/>
    <w:rsid w:val="005E535A"/>
    <w:rsid w:val="005E5388"/>
    <w:rsid w:val="005E541E"/>
    <w:rsid w:val="005E55A4"/>
    <w:rsid w:val="005E55F9"/>
    <w:rsid w:val="005E568D"/>
    <w:rsid w:val="005E56E2"/>
    <w:rsid w:val="005E5723"/>
    <w:rsid w:val="005E574B"/>
    <w:rsid w:val="005E576C"/>
    <w:rsid w:val="005E57AC"/>
    <w:rsid w:val="005E57ED"/>
    <w:rsid w:val="005E580F"/>
    <w:rsid w:val="005E58AA"/>
    <w:rsid w:val="005E58D2"/>
    <w:rsid w:val="005E5A0E"/>
    <w:rsid w:val="005E5B1E"/>
    <w:rsid w:val="005E5B7E"/>
    <w:rsid w:val="005E5B96"/>
    <w:rsid w:val="005E5BA3"/>
    <w:rsid w:val="005E5BAA"/>
    <w:rsid w:val="005E5BF8"/>
    <w:rsid w:val="005E5C36"/>
    <w:rsid w:val="005E5CE3"/>
    <w:rsid w:val="005E5DB0"/>
    <w:rsid w:val="005E5DDB"/>
    <w:rsid w:val="005E5F46"/>
    <w:rsid w:val="005E61B5"/>
    <w:rsid w:val="005E62D0"/>
    <w:rsid w:val="005E630E"/>
    <w:rsid w:val="005E634E"/>
    <w:rsid w:val="005E6377"/>
    <w:rsid w:val="005E6394"/>
    <w:rsid w:val="005E63B6"/>
    <w:rsid w:val="005E63B8"/>
    <w:rsid w:val="005E6482"/>
    <w:rsid w:val="005E648F"/>
    <w:rsid w:val="005E64D1"/>
    <w:rsid w:val="005E654E"/>
    <w:rsid w:val="005E65C7"/>
    <w:rsid w:val="005E6656"/>
    <w:rsid w:val="005E665A"/>
    <w:rsid w:val="005E6710"/>
    <w:rsid w:val="005E6835"/>
    <w:rsid w:val="005E683B"/>
    <w:rsid w:val="005E68E9"/>
    <w:rsid w:val="005E6957"/>
    <w:rsid w:val="005E6998"/>
    <w:rsid w:val="005E699E"/>
    <w:rsid w:val="005E6A45"/>
    <w:rsid w:val="005E6B5E"/>
    <w:rsid w:val="005E6BFB"/>
    <w:rsid w:val="005E6C23"/>
    <w:rsid w:val="005E6C43"/>
    <w:rsid w:val="005E6C66"/>
    <w:rsid w:val="005E6C89"/>
    <w:rsid w:val="005E6C9C"/>
    <w:rsid w:val="005E6CC4"/>
    <w:rsid w:val="005E6E17"/>
    <w:rsid w:val="005E6E48"/>
    <w:rsid w:val="005E6EE1"/>
    <w:rsid w:val="005E6FF2"/>
    <w:rsid w:val="005E7091"/>
    <w:rsid w:val="005E70A5"/>
    <w:rsid w:val="005E7149"/>
    <w:rsid w:val="005E714D"/>
    <w:rsid w:val="005E722E"/>
    <w:rsid w:val="005E72D3"/>
    <w:rsid w:val="005E73D8"/>
    <w:rsid w:val="005E740B"/>
    <w:rsid w:val="005E7479"/>
    <w:rsid w:val="005E7484"/>
    <w:rsid w:val="005E750E"/>
    <w:rsid w:val="005E763F"/>
    <w:rsid w:val="005E7646"/>
    <w:rsid w:val="005E7648"/>
    <w:rsid w:val="005E771E"/>
    <w:rsid w:val="005E778E"/>
    <w:rsid w:val="005E77FE"/>
    <w:rsid w:val="005E78BA"/>
    <w:rsid w:val="005E7951"/>
    <w:rsid w:val="005E79A1"/>
    <w:rsid w:val="005E79FE"/>
    <w:rsid w:val="005E7A21"/>
    <w:rsid w:val="005E7A7E"/>
    <w:rsid w:val="005E7AA4"/>
    <w:rsid w:val="005E7AFD"/>
    <w:rsid w:val="005E7B28"/>
    <w:rsid w:val="005E7B36"/>
    <w:rsid w:val="005E7C3F"/>
    <w:rsid w:val="005E7C6F"/>
    <w:rsid w:val="005E7D99"/>
    <w:rsid w:val="005E7DB2"/>
    <w:rsid w:val="005E7E2C"/>
    <w:rsid w:val="005E7E9F"/>
    <w:rsid w:val="005E7ED4"/>
    <w:rsid w:val="005E7FEC"/>
    <w:rsid w:val="005F003A"/>
    <w:rsid w:val="005F0080"/>
    <w:rsid w:val="005F00A7"/>
    <w:rsid w:val="005F0157"/>
    <w:rsid w:val="005F0312"/>
    <w:rsid w:val="005F032E"/>
    <w:rsid w:val="005F0356"/>
    <w:rsid w:val="005F0369"/>
    <w:rsid w:val="005F03BA"/>
    <w:rsid w:val="005F0473"/>
    <w:rsid w:val="005F049C"/>
    <w:rsid w:val="005F050A"/>
    <w:rsid w:val="005F0658"/>
    <w:rsid w:val="005F0692"/>
    <w:rsid w:val="005F06A1"/>
    <w:rsid w:val="005F06F2"/>
    <w:rsid w:val="005F070A"/>
    <w:rsid w:val="005F070D"/>
    <w:rsid w:val="005F0757"/>
    <w:rsid w:val="005F07DB"/>
    <w:rsid w:val="005F081B"/>
    <w:rsid w:val="005F089A"/>
    <w:rsid w:val="005F08E3"/>
    <w:rsid w:val="005F094D"/>
    <w:rsid w:val="005F09A4"/>
    <w:rsid w:val="005F09BB"/>
    <w:rsid w:val="005F0A0A"/>
    <w:rsid w:val="005F0B1A"/>
    <w:rsid w:val="005F0B9B"/>
    <w:rsid w:val="005F0BDA"/>
    <w:rsid w:val="005F0C1F"/>
    <w:rsid w:val="005F0CBB"/>
    <w:rsid w:val="005F0DBD"/>
    <w:rsid w:val="005F0DC6"/>
    <w:rsid w:val="005F0E1A"/>
    <w:rsid w:val="005F0F25"/>
    <w:rsid w:val="005F0F9D"/>
    <w:rsid w:val="005F0FAF"/>
    <w:rsid w:val="005F0FF9"/>
    <w:rsid w:val="005F108F"/>
    <w:rsid w:val="005F1243"/>
    <w:rsid w:val="005F12BD"/>
    <w:rsid w:val="005F12C8"/>
    <w:rsid w:val="005F13AC"/>
    <w:rsid w:val="005F13DB"/>
    <w:rsid w:val="005F140B"/>
    <w:rsid w:val="005F142A"/>
    <w:rsid w:val="005F146F"/>
    <w:rsid w:val="005F158A"/>
    <w:rsid w:val="005F1651"/>
    <w:rsid w:val="005F1684"/>
    <w:rsid w:val="005F1701"/>
    <w:rsid w:val="005F18C7"/>
    <w:rsid w:val="005F1906"/>
    <w:rsid w:val="005F1937"/>
    <w:rsid w:val="005F193C"/>
    <w:rsid w:val="005F1953"/>
    <w:rsid w:val="005F1A02"/>
    <w:rsid w:val="005F1A7E"/>
    <w:rsid w:val="005F1A8F"/>
    <w:rsid w:val="005F1B58"/>
    <w:rsid w:val="005F1B62"/>
    <w:rsid w:val="005F1B96"/>
    <w:rsid w:val="005F1BA2"/>
    <w:rsid w:val="005F1BD5"/>
    <w:rsid w:val="005F1BF8"/>
    <w:rsid w:val="005F1C58"/>
    <w:rsid w:val="005F1CFF"/>
    <w:rsid w:val="005F1FA1"/>
    <w:rsid w:val="005F1FAB"/>
    <w:rsid w:val="005F2030"/>
    <w:rsid w:val="005F20CC"/>
    <w:rsid w:val="005F2313"/>
    <w:rsid w:val="005F23EA"/>
    <w:rsid w:val="005F2595"/>
    <w:rsid w:val="005F25BE"/>
    <w:rsid w:val="005F2653"/>
    <w:rsid w:val="005F2695"/>
    <w:rsid w:val="005F26EC"/>
    <w:rsid w:val="005F286E"/>
    <w:rsid w:val="005F28C3"/>
    <w:rsid w:val="005F28ED"/>
    <w:rsid w:val="005F28EF"/>
    <w:rsid w:val="005F2949"/>
    <w:rsid w:val="005F2994"/>
    <w:rsid w:val="005F29BB"/>
    <w:rsid w:val="005F2AFD"/>
    <w:rsid w:val="005F2B46"/>
    <w:rsid w:val="005F2B72"/>
    <w:rsid w:val="005F2BD1"/>
    <w:rsid w:val="005F2BD8"/>
    <w:rsid w:val="005F2C38"/>
    <w:rsid w:val="005F2C77"/>
    <w:rsid w:val="005F2DB9"/>
    <w:rsid w:val="005F2F3B"/>
    <w:rsid w:val="005F2F95"/>
    <w:rsid w:val="005F2FA2"/>
    <w:rsid w:val="005F303D"/>
    <w:rsid w:val="005F30AA"/>
    <w:rsid w:val="005F3150"/>
    <w:rsid w:val="005F3164"/>
    <w:rsid w:val="005F324D"/>
    <w:rsid w:val="005F331E"/>
    <w:rsid w:val="005F3485"/>
    <w:rsid w:val="005F3537"/>
    <w:rsid w:val="005F35F8"/>
    <w:rsid w:val="005F36B2"/>
    <w:rsid w:val="005F36D1"/>
    <w:rsid w:val="005F379A"/>
    <w:rsid w:val="005F38B3"/>
    <w:rsid w:val="005F38CC"/>
    <w:rsid w:val="005F3909"/>
    <w:rsid w:val="005F3958"/>
    <w:rsid w:val="005F3983"/>
    <w:rsid w:val="005F39A4"/>
    <w:rsid w:val="005F39DB"/>
    <w:rsid w:val="005F3AA1"/>
    <w:rsid w:val="005F3B29"/>
    <w:rsid w:val="005F3B8D"/>
    <w:rsid w:val="005F3BF7"/>
    <w:rsid w:val="005F3D02"/>
    <w:rsid w:val="005F3D4B"/>
    <w:rsid w:val="005F3D5E"/>
    <w:rsid w:val="005F3DB3"/>
    <w:rsid w:val="005F3DD8"/>
    <w:rsid w:val="005F3E3A"/>
    <w:rsid w:val="005F4021"/>
    <w:rsid w:val="005F4082"/>
    <w:rsid w:val="005F4137"/>
    <w:rsid w:val="005F41A3"/>
    <w:rsid w:val="005F4285"/>
    <w:rsid w:val="005F42A0"/>
    <w:rsid w:val="005F42BC"/>
    <w:rsid w:val="005F42EC"/>
    <w:rsid w:val="005F437E"/>
    <w:rsid w:val="005F4416"/>
    <w:rsid w:val="005F4423"/>
    <w:rsid w:val="005F447B"/>
    <w:rsid w:val="005F461D"/>
    <w:rsid w:val="005F4627"/>
    <w:rsid w:val="005F4733"/>
    <w:rsid w:val="005F4806"/>
    <w:rsid w:val="005F4854"/>
    <w:rsid w:val="005F490D"/>
    <w:rsid w:val="005F4927"/>
    <w:rsid w:val="005F494A"/>
    <w:rsid w:val="005F495D"/>
    <w:rsid w:val="005F49B2"/>
    <w:rsid w:val="005F49C8"/>
    <w:rsid w:val="005F4A16"/>
    <w:rsid w:val="005F4A2E"/>
    <w:rsid w:val="005F4B25"/>
    <w:rsid w:val="005F4B99"/>
    <w:rsid w:val="005F4C63"/>
    <w:rsid w:val="005F4CA4"/>
    <w:rsid w:val="005F4CDD"/>
    <w:rsid w:val="005F4DDF"/>
    <w:rsid w:val="005F4E2D"/>
    <w:rsid w:val="005F4E4E"/>
    <w:rsid w:val="005F4EB5"/>
    <w:rsid w:val="005F5058"/>
    <w:rsid w:val="005F510A"/>
    <w:rsid w:val="005F51F7"/>
    <w:rsid w:val="005F5230"/>
    <w:rsid w:val="005F52DA"/>
    <w:rsid w:val="005F52E0"/>
    <w:rsid w:val="005F5335"/>
    <w:rsid w:val="005F53E4"/>
    <w:rsid w:val="005F548D"/>
    <w:rsid w:val="005F5527"/>
    <w:rsid w:val="005F55A0"/>
    <w:rsid w:val="005F5629"/>
    <w:rsid w:val="005F56CA"/>
    <w:rsid w:val="005F5777"/>
    <w:rsid w:val="005F579F"/>
    <w:rsid w:val="005F5853"/>
    <w:rsid w:val="005F5886"/>
    <w:rsid w:val="005F593B"/>
    <w:rsid w:val="005F5954"/>
    <w:rsid w:val="005F5A05"/>
    <w:rsid w:val="005F5A11"/>
    <w:rsid w:val="005F5A1B"/>
    <w:rsid w:val="005F5A21"/>
    <w:rsid w:val="005F5AA1"/>
    <w:rsid w:val="005F5AD7"/>
    <w:rsid w:val="005F5B0B"/>
    <w:rsid w:val="005F5C41"/>
    <w:rsid w:val="005F5C51"/>
    <w:rsid w:val="005F5C8C"/>
    <w:rsid w:val="005F5C9C"/>
    <w:rsid w:val="005F5F6D"/>
    <w:rsid w:val="005F5FD1"/>
    <w:rsid w:val="005F6021"/>
    <w:rsid w:val="005F604C"/>
    <w:rsid w:val="005F6096"/>
    <w:rsid w:val="005F60E3"/>
    <w:rsid w:val="005F60FF"/>
    <w:rsid w:val="005F6127"/>
    <w:rsid w:val="005F6155"/>
    <w:rsid w:val="005F6220"/>
    <w:rsid w:val="005F628C"/>
    <w:rsid w:val="005F6363"/>
    <w:rsid w:val="005F63A8"/>
    <w:rsid w:val="005F63CA"/>
    <w:rsid w:val="005F63E7"/>
    <w:rsid w:val="005F64A8"/>
    <w:rsid w:val="005F6536"/>
    <w:rsid w:val="005F66CE"/>
    <w:rsid w:val="005F6752"/>
    <w:rsid w:val="005F6767"/>
    <w:rsid w:val="005F678B"/>
    <w:rsid w:val="005F678E"/>
    <w:rsid w:val="005F67BC"/>
    <w:rsid w:val="005F684E"/>
    <w:rsid w:val="005F69AA"/>
    <w:rsid w:val="005F69AE"/>
    <w:rsid w:val="005F6A2E"/>
    <w:rsid w:val="005F6A30"/>
    <w:rsid w:val="005F6B2D"/>
    <w:rsid w:val="005F6B5C"/>
    <w:rsid w:val="005F6B6F"/>
    <w:rsid w:val="005F6BEB"/>
    <w:rsid w:val="005F6BFD"/>
    <w:rsid w:val="005F6C5F"/>
    <w:rsid w:val="005F6CC3"/>
    <w:rsid w:val="005F6D7A"/>
    <w:rsid w:val="005F6DB7"/>
    <w:rsid w:val="005F6E7A"/>
    <w:rsid w:val="005F6EFE"/>
    <w:rsid w:val="005F6F41"/>
    <w:rsid w:val="005F6FA0"/>
    <w:rsid w:val="005F6FCC"/>
    <w:rsid w:val="005F70CF"/>
    <w:rsid w:val="005F71AF"/>
    <w:rsid w:val="005F7227"/>
    <w:rsid w:val="005F722A"/>
    <w:rsid w:val="005F7291"/>
    <w:rsid w:val="005F72D3"/>
    <w:rsid w:val="005F7371"/>
    <w:rsid w:val="005F7377"/>
    <w:rsid w:val="005F75B4"/>
    <w:rsid w:val="005F7646"/>
    <w:rsid w:val="005F775B"/>
    <w:rsid w:val="005F775D"/>
    <w:rsid w:val="005F776D"/>
    <w:rsid w:val="005F778A"/>
    <w:rsid w:val="005F77A8"/>
    <w:rsid w:val="005F7820"/>
    <w:rsid w:val="005F7866"/>
    <w:rsid w:val="005F7872"/>
    <w:rsid w:val="005F7957"/>
    <w:rsid w:val="005F795C"/>
    <w:rsid w:val="005F79AE"/>
    <w:rsid w:val="005F79D0"/>
    <w:rsid w:val="005F79E2"/>
    <w:rsid w:val="005F7C45"/>
    <w:rsid w:val="005F7C4F"/>
    <w:rsid w:val="005F7D49"/>
    <w:rsid w:val="005F7F94"/>
    <w:rsid w:val="0060011E"/>
    <w:rsid w:val="00600235"/>
    <w:rsid w:val="006002A8"/>
    <w:rsid w:val="006002FE"/>
    <w:rsid w:val="006003DF"/>
    <w:rsid w:val="006004BE"/>
    <w:rsid w:val="006004D7"/>
    <w:rsid w:val="006004E6"/>
    <w:rsid w:val="0060056F"/>
    <w:rsid w:val="006005A7"/>
    <w:rsid w:val="00600626"/>
    <w:rsid w:val="006006ED"/>
    <w:rsid w:val="00600805"/>
    <w:rsid w:val="00600815"/>
    <w:rsid w:val="00600840"/>
    <w:rsid w:val="006008CB"/>
    <w:rsid w:val="0060099A"/>
    <w:rsid w:val="006009DB"/>
    <w:rsid w:val="00600A04"/>
    <w:rsid w:val="00600A11"/>
    <w:rsid w:val="00600AA2"/>
    <w:rsid w:val="00600ADB"/>
    <w:rsid w:val="00600B67"/>
    <w:rsid w:val="00600C77"/>
    <w:rsid w:val="00600CE9"/>
    <w:rsid w:val="00600EB3"/>
    <w:rsid w:val="00600F4E"/>
    <w:rsid w:val="00600FB2"/>
    <w:rsid w:val="00600FE2"/>
    <w:rsid w:val="0060100D"/>
    <w:rsid w:val="0060115B"/>
    <w:rsid w:val="0060119D"/>
    <w:rsid w:val="006011A5"/>
    <w:rsid w:val="006011BA"/>
    <w:rsid w:val="006012BE"/>
    <w:rsid w:val="00601321"/>
    <w:rsid w:val="00601352"/>
    <w:rsid w:val="006013E9"/>
    <w:rsid w:val="0060148B"/>
    <w:rsid w:val="0060153B"/>
    <w:rsid w:val="00601564"/>
    <w:rsid w:val="006015A6"/>
    <w:rsid w:val="006015E8"/>
    <w:rsid w:val="0060167A"/>
    <w:rsid w:val="00601684"/>
    <w:rsid w:val="006016C7"/>
    <w:rsid w:val="0060171F"/>
    <w:rsid w:val="00601773"/>
    <w:rsid w:val="00601783"/>
    <w:rsid w:val="006017F6"/>
    <w:rsid w:val="00601862"/>
    <w:rsid w:val="006018A7"/>
    <w:rsid w:val="006018BA"/>
    <w:rsid w:val="00601955"/>
    <w:rsid w:val="00601A3C"/>
    <w:rsid w:val="00601A94"/>
    <w:rsid w:val="00601AAD"/>
    <w:rsid w:val="00601AD7"/>
    <w:rsid w:val="00601B33"/>
    <w:rsid w:val="00601BBA"/>
    <w:rsid w:val="00601D21"/>
    <w:rsid w:val="00601D28"/>
    <w:rsid w:val="00601D89"/>
    <w:rsid w:val="00601EEE"/>
    <w:rsid w:val="00601F40"/>
    <w:rsid w:val="00601FBF"/>
    <w:rsid w:val="00602050"/>
    <w:rsid w:val="0060230F"/>
    <w:rsid w:val="0060231A"/>
    <w:rsid w:val="0060232A"/>
    <w:rsid w:val="0060233D"/>
    <w:rsid w:val="006023BD"/>
    <w:rsid w:val="006023C1"/>
    <w:rsid w:val="00602460"/>
    <w:rsid w:val="00602751"/>
    <w:rsid w:val="006027A8"/>
    <w:rsid w:val="0060282C"/>
    <w:rsid w:val="0060289B"/>
    <w:rsid w:val="006028E7"/>
    <w:rsid w:val="00602922"/>
    <w:rsid w:val="00602A31"/>
    <w:rsid w:val="00602C89"/>
    <w:rsid w:val="00602D5A"/>
    <w:rsid w:val="00602DED"/>
    <w:rsid w:val="00602E0D"/>
    <w:rsid w:val="00602E86"/>
    <w:rsid w:val="00602ED9"/>
    <w:rsid w:val="00602FA4"/>
    <w:rsid w:val="00603032"/>
    <w:rsid w:val="00603076"/>
    <w:rsid w:val="00603081"/>
    <w:rsid w:val="006030F1"/>
    <w:rsid w:val="00603143"/>
    <w:rsid w:val="00603150"/>
    <w:rsid w:val="00603184"/>
    <w:rsid w:val="006031B4"/>
    <w:rsid w:val="00603203"/>
    <w:rsid w:val="0060338D"/>
    <w:rsid w:val="00603427"/>
    <w:rsid w:val="00603470"/>
    <w:rsid w:val="006034A7"/>
    <w:rsid w:val="006034F5"/>
    <w:rsid w:val="0060350B"/>
    <w:rsid w:val="0060355C"/>
    <w:rsid w:val="006036F4"/>
    <w:rsid w:val="0060373D"/>
    <w:rsid w:val="006037FE"/>
    <w:rsid w:val="00603A8D"/>
    <w:rsid w:val="00603AA9"/>
    <w:rsid w:val="00603B29"/>
    <w:rsid w:val="00603B44"/>
    <w:rsid w:val="00603B7C"/>
    <w:rsid w:val="00603C46"/>
    <w:rsid w:val="00603CB0"/>
    <w:rsid w:val="00603D5D"/>
    <w:rsid w:val="00603E3E"/>
    <w:rsid w:val="00603F10"/>
    <w:rsid w:val="00603F1C"/>
    <w:rsid w:val="00603FCE"/>
    <w:rsid w:val="006040B4"/>
    <w:rsid w:val="006040C4"/>
    <w:rsid w:val="006041D1"/>
    <w:rsid w:val="0060424A"/>
    <w:rsid w:val="0060428F"/>
    <w:rsid w:val="00604351"/>
    <w:rsid w:val="006043FE"/>
    <w:rsid w:val="006045C2"/>
    <w:rsid w:val="006045E5"/>
    <w:rsid w:val="006045ED"/>
    <w:rsid w:val="0060465A"/>
    <w:rsid w:val="0060468B"/>
    <w:rsid w:val="006046E5"/>
    <w:rsid w:val="0060488D"/>
    <w:rsid w:val="006049BB"/>
    <w:rsid w:val="00604A4E"/>
    <w:rsid w:val="00604A54"/>
    <w:rsid w:val="00604B2D"/>
    <w:rsid w:val="00604C20"/>
    <w:rsid w:val="00604DFF"/>
    <w:rsid w:val="00604E4C"/>
    <w:rsid w:val="00604E9E"/>
    <w:rsid w:val="00604EA0"/>
    <w:rsid w:val="00604EC2"/>
    <w:rsid w:val="00604F38"/>
    <w:rsid w:val="00604FF7"/>
    <w:rsid w:val="0060503D"/>
    <w:rsid w:val="00605118"/>
    <w:rsid w:val="00605295"/>
    <w:rsid w:val="006052B1"/>
    <w:rsid w:val="006052C9"/>
    <w:rsid w:val="006052FC"/>
    <w:rsid w:val="0060537C"/>
    <w:rsid w:val="006055DF"/>
    <w:rsid w:val="006058E8"/>
    <w:rsid w:val="00605915"/>
    <w:rsid w:val="0060594C"/>
    <w:rsid w:val="00605A6E"/>
    <w:rsid w:val="00605B37"/>
    <w:rsid w:val="00605BC1"/>
    <w:rsid w:val="00605CAE"/>
    <w:rsid w:val="00605DFF"/>
    <w:rsid w:val="00605F23"/>
    <w:rsid w:val="00605F8C"/>
    <w:rsid w:val="00606006"/>
    <w:rsid w:val="00606089"/>
    <w:rsid w:val="006060AF"/>
    <w:rsid w:val="006060CA"/>
    <w:rsid w:val="00606186"/>
    <w:rsid w:val="00606325"/>
    <w:rsid w:val="00606336"/>
    <w:rsid w:val="0060633F"/>
    <w:rsid w:val="0060634D"/>
    <w:rsid w:val="006063CA"/>
    <w:rsid w:val="006063D8"/>
    <w:rsid w:val="00606400"/>
    <w:rsid w:val="00606468"/>
    <w:rsid w:val="006064E6"/>
    <w:rsid w:val="00606519"/>
    <w:rsid w:val="00606522"/>
    <w:rsid w:val="0060659C"/>
    <w:rsid w:val="0060661F"/>
    <w:rsid w:val="0060663E"/>
    <w:rsid w:val="00606658"/>
    <w:rsid w:val="006066B3"/>
    <w:rsid w:val="0060675F"/>
    <w:rsid w:val="006067B0"/>
    <w:rsid w:val="006067B3"/>
    <w:rsid w:val="0060684B"/>
    <w:rsid w:val="00606850"/>
    <w:rsid w:val="00606897"/>
    <w:rsid w:val="006069AD"/>
    <w:rsid w:val="006069E9"/>
    <w:rsid w:val="006069FA"/>
    <w:rsid w:val="00606A37"/>
    <w:rsid w:val="00606A8F"/>
    <w:rsid w:val="00606BC3"/>
    <w:rsid w:val="00606C1E"/>
    <w:rsid w:val="00606C5E"/>
    <w:rsid w:val="00606C61"/>
    <w:rsid w:val="00606C80"/>
    <w:rsid w:val="00606D1D"/>
    <w:rsid w:val="00606D56"/>
    <w:rsid w:val="00606DAF"/>
    <w:rsid w:val="00606DCF"/>
    <w:rsid w:val="00606E68"/>
    <w:rsid w:val="00606F07"/>
    <w:rsid w:val="00606FBA"/>
    <w:rsid w:val="00606FBD"/>
    <w:rsid w:val="006070EF"/>
    <w:rsid w:val="0060712B"/>
    <w:rsid w:val="0060726A"/>
    <w:rsid w:val="006072E2"/>
    <w:rsid w:val="00607329"/>
    <w:rsid w:val="0060732D"/>
    <w:rsid w:val="00607451"/>
    <w:rsid w:val="006074DA"/>
    <w:rsid w:val="00607519"/>
    <w:rsid w:val="00607712"/>
    <w:rsid w:val="00607744"/>
    <w:rsid w:val="006078DF"/>
    <w:rsid w:val="006078F4"/>
    <w:rsid w:val="00607931"/>
    <w:rsid w:val="006079E7"/>
    <w:rsid w:val="00607A10"/>
    <w:rsid w:val="00607A40"/>
    <w:rsid w:val="00607A44"/>
    <w:rsid w:val="00607A54"/>
    <w:rsid w:val="00607AF4"/>
    <w:rsid w:val="00607B0D"/>
    <w:rsid w:val="00607B31"/>
    <w:rsid w:val="00607C91"/>
    <w:rsid w:val="00607C98"/>
    <w:rsid w:val="00607CA7"/>
    <w:rsid w:val="00607CC1"/>
    <w:rsid w:val="00607D01"/>
    <w:rsid w:val="00607D29"/>
    <w:rsid w:val="00607D60"/>
    <w:rsid w:val="00607D69"/>
    <w:rsid w:val="00607DEE"/>
    <w:rsid w:val="00607E18"/>
    <w:rsid w:val="00607E25"/>
    <w:rsid w:val="00607F34"/>
    <w:rsid w:val="00610018"/>
    <w:rsid w:val="0061001F"/>
    <w:rsid w:val="006100C3"/>
    <w:rsid w:val="00610113"/>
    <w:rsid w:val="0061026D"/>
    <w:rsid w:val="0061027A"/>
    <w:rsid w:val="00610318"/>
    <w:rsid w:val="006103D4"/>
    <w:rsid w:val="006103D6"/>
    <w:rsid w:val="006103EB"/>
    <w:rsid w:val="00610415"/>
    <w:rsid w:val="00610440"/>
    <w:rsid w:val="0061046A"/>
    <w:rsid w:val="00610496"/>
    <w:rsid w:val="00610594"/>
    <w:rsid w:val="006105EF"/>
    <w:rsid w:val="00610613"/>
    <w:rsid w:val="00610770"/>
    <w:rsid w:val="00610771"/>
    <w:rsid w:val="00610845"/>
    <w:rsid w:val="006109CF"/>
    <w:rsid w:val="00610A5E"/>
    <w:rsid w:val="00610A60"/>
    <w:rsid w:val="00610AAA"/>
    <w:rsid w:val="00610AAC"/>
    <w:rsid w:val="00610B65"/>
    <w:rsid w:val="00610B7A"/>
    <w:rsid w:val="00610BDC"/>
    <w:rsid w:val="00610BE7"/>
    <w:rsid w:val="00610C13"/>
    <w:rsid w:val="00610CC5"/>
    <w:rsid w:val="00610D90"/>
    <w:rsid w:val="00610E2C"/>
    <w:rsid w:val="00610EC0"/>
    <w:rsid w:val="00610FC6"/>
    <w:rsid w:val="00611007"/>
    <w:rsid w:val="006110AD"/>
    <w:rsid w:val="006110BC"/>
    <w:rsid w:val="00611277"/>
    <w:rsid w:val="0061133A"/>
    <w:rsid w:val="0061140D"/>
    <w:rsid w:val="0061149C"/>
    <w:rsid w:val="006114F2"/>
    <w:rsid w:val="0061154B"/>
    <w:rsid w:val="006115B9"/>
    <w:rsid w:val="0061165D"/>
    <w:rsid w:val="006116F9"/>
    <w:rsid w:val="00611725"/>
    <w:rsid w:val="0061172D"/>
    <w:rsid w:val="00611788"/>
    <w:rsid w:val="0061179B"/>
    <w:rsid w:val="0061179C"/>
    <w:rsid w:val="0061180B"/>
    <w:rsid w:val="006118AF"/>
    <w:rsid w:val="006118C6"/>
    <w:rsid w:val="0061198B"/>
    <w:rsid w:val="006119FB"/>
    <w:rsid w:val="00611A16"/>
    <w:rsid w:val="00611A28"/>
    <w:rsid w:val="00611A6C"/>
    <w:rsid w:val="00611ACC"/>
    <w:rsid w:val="00611B73"/>
    <w:rsid w:val="00611BBF"/>
    <w:rsid w:val="00611C90"/>
    <w:rsid w:val="00611C94"/>
    <w:rsid w:val="00611D93"/>
    <w:rsid w:val="00611E72"/>
    <w:rsid w:val="00611E73"/>
    <w:rsid w:val="00611E92"/>
    <w:rsid w:val="00611EA4"/>
    <w:rsid w:val="00611ECD"/>
    <w:rsid w:val="00611EF7"/>
    <w:rsid w:val="00611F2D"/>
    <w:rsid w:val="00611FDF"/>
    <w:rsid w:val="00612058"/>
    <w:rsid w:val="006120A1"/>
    <w:rsid w:val="0061215B"/>
    <w:rsid w:val="006122A4"/>
    <w:rsid w:val="006122B2"/>
    <w:rsid w:val="0061240A"/>
    <w:rsid w:val="0061241B"/>
    <w:rsid w:val="00612475"/>
    <w:rsid w:val="0061247F"/>
    <w:rsid w:val="0061249E"/>
    <w:rsid w:val="006124B3"/>
    <w:rsid w:val="006124C1"/>
    <w:rsid w:val="0061258E"/>
    <w:rsid w:val="0061262E"/>
    <w:rsid w:val="00612686"/>
    <w:rsid w:val="0061269A"/>
    <w:rsid w:val="006126CB"/>
    <w:rsid w:val="00612759"/>
    <w:rsid w:val="0061292C"/>
    <w:rsid w:val="0061294F"/>
    <w:rsid w:val="00612999"/>
    <w:rsid w:val="00612A14"/>
    <w:rsid w:val="00612A1C"/>
    <w:rsid w:val="00612A33"/>
    <w:rsid w:val="00612A6D"/>
    <w:rsid w:val="00612A7E"/>
    <w:rsid w:val="00612AE4"/>
    <w:rsid w:val="00612B90"/>
    <w:rsid w:val="00612BE8"/>
    <w:rsid w:val="00612C07"/>
    <w:rsid w:val="00612DC9"/>
    <w:rsid w:val="00612EF9"/>
    <w:rsid w:val="00612F5D"/>
    <w:rsid w:val="00612F75"/>
    <w:rsid w:val="00612FF1"/>
    <w:rsid w:val="00613009"/>
    <w:rsid w:val="006131AD"/>
    <w:rsid w:val="00613249"/>
    <w:rsid w:val="00613325"/>
    <w:rsid w:val="006133E0"/>
    <w:rsid w:val="0061343E"/>
    <w:rsid w:val="0061346E"/>
    <w:rsid w:val="00613493"/>
    <w:rsid w:val="0061350C"/>
    <w:rsid w:val="00613528"/>
    <w:rsid w:val="006135C4"/>
    <w:rsid w:val="0061367A"/>
    <w:rsid w:val="0061367E"/>
    <w:rsid w:val="006136B7"/>
    <w:rsid w:val="006136FB"/>
    <w:rsid w:val="00613763"/>
    <w:rsid w:val="00613840"/>
    <w:rsid w:val="0061384B"/>
    <w:rsid w:val="006139DE"/>
    <w:rsid w:val="00613B51"/>
    <w:rsid w:val="00613B6D"/>
    <w:rsid w:val="00613BA2"/>
    <w:rsid w:val="00613BC1"/>
    <w:rsid w:val="00613C0D"/>
    <w:rsid w:val="00613C9A"/>
    <w:rsid w:val="00613CAE"/>
    <w:rsid w:val="00613CCB"/>
    <w:rsid w:val="00613F05"/>
    <w:rsid w:val="00613FA2"/>
    <w:rsid w:val="00613FFC"/>
    <w:rsid w:val="00614031"/>
    <w:rsid w:val="00614059"/>
    <w:rsid w:val="006140AD"/>
    <w:rsid w:val="0061416E"/>
    <w:rsid w:val="006142BC"/>
    <w:rsid w:val="006142D9"/>
    <w:rsid w:val="006142EF"/>
    <w:rsid w:val="00614354"/>
    <w:rsid w:val="00614394"/>
    <w:rsid w:val="00614399"/>
    <w:rsid w:val="006143F6"/>
    <w:rsid w:val="00614431"/>
    <w:rsid w:val="006144DC"/>
    <w:rsid w:val="00614575"/>
    <w:rsid w:val="006145F2"/>
    <w:rsid w:val="0061461C"/>
    <w:rsid w:val="00614636"/>
    <w:rsid w:val="00614678"/>
    <w:rsid w:val="006146F5"/>
    <w:rsid w:val="006147B9"/>
    <w:rsid w:val="0061480D"/>
    <w:rsid w:val="00614816"/>
    <w:rsid w:val="006148EF"/>
    <w:rsid w:val="00614924"/>
    <w:rsid w:val="00614A34"/>
    <w:rsid w:val="00614A50"/>
    <w:rsid w:val="00614A6A"/>
    <w:rsid w:val="00614BA3"/>
    <w:rsid w:val="00614BF2"/>
    <w:rsid w:val="00614C08"/>
    <w:rsid w:val="00614C6E"/>
    <w:rsid w:val="00614C70"/>
    <w:rsid w:val="00614CC4"/>
    <w:rsid w:val="00614CF6"/>
    <w:rsid w:val="00614D1B"/>
    <w:rsid w:val="00614E07"/>
    <w:rsid w:val="00614E49"/>
    <w:rsid w:val="00614E6B"/>
    <w:rsid w:val="00614EC1"/>
    <w:rsid w:val="00614EDF"/>
    <w:rsid w:val="00614EFD"/>
    <w:rsid w:val="00614FAB"/>
    <w:rsid w:val="00615021"/>
    <w:rsid w:val="0061504A"/>
    <w:rsid w:val="00615084"/>
    <w:rsid w:val="00615101"/>
    <w:rsid w:val="00615325"/>
    <w:rsid w:val="00615352"/>
    <w:rsid w:val="0061537F"/>
    <w:rsid w:val="00615498"/>
    <w:rsid w:val="0061551C"/>
    <w:rsid w:val="00615582"/>
    <w:rsid w:val="0061559A"/>
    <w:rsid w:val="006155AB"/>
    <w:rsid w:val="0061560E"/>
    <w:rsid w:val="00615640"/>
    <w:rsid w:val="00615664"/>
    <w:rsid w:val="00615754"/>
    <w:rsid w:val="006157F9"/>
    <w:rsid w:val="00615895"/>
    <w:rsid w:val="006158C1"/>
    <w:rsid w:val="00615952"/>
    <w:rsid w:val="0061597D"/>
    <w:rsid w:val="00615995"/>
    <w:rsid w:val="006159CD"/>
    <w:rsid w:val="006159E4"/>
    <w:rsid w:val="00615A7A"/>
    <w:rsid w:val="00615ABD"/>
    <w:rsid w:val="00615AF7"/>
    <w:rsid w:val="00615B12"/>
    <w:rsid w:val="00615B46"/>
    <w:rsid w:val="00615B79"/>
    <w:rsid w:val="00615BC7"/>
    <w:rsid w:val="00615BE8"/>
    <w:rsid w:val="00615BF5"/>
    <w:rsid w:val="00615C66"/>
    <w:rsid w:val="00615D90"/>
    <w:rsid w:val="00615DD4"/>
    <w:rsid w:val="00615DFF"/>
    <w:rsid w:val="00615E93"/>
    <w:rsid w:val="00615ED1"/>
    <w:rsid w:val="0061602F"/>
    <w:rsid w:val="0061605D"/>
    <w:rsid w:val="006160D9"/>
    <w:rsid w:val="0061612F"/>
    <w:rsid w:val="006162C8"/>
    <w:rsid w:val="00616414"/>
    <w:rsid w:val="0061649B"/>
    <w:rsid w:val="00616523"/>
    <w:rsid w:val="00616571"/>
    <w:rsid w:val="00616667"/>
    <w:rsid w:val="006166F7"/>
    <w:rsid w:val="00616729"/>
    <w:rsid w:val="006167DD"/>
    <w:rsid w:val="00616982"/>
    <w:rsid w:val="00616998"/>
    <w:rsid w:val="00616A0F"/>
    <w:rsid w:val="00616A1D"/>
    <w:rsid w:val="00616A3C"/>
    <w:rsid w:val="00616A45"/>
    <w:rsid w:val="00616B32"/>
    <w:rsid w:val="00616B9D"/>
    <w:rsid w:val="00616BA2"/>
    <w:rsid w:val="00616BC3"/>
    <w:rsid w:val="00616BD6"/>
    <w:rsid w:val="00616C5A"/>
    <w:rsid w:val="00616C9E"/>
    <w:rsid w:val="00616DFF"/>
    <w:rsid w:val="00616E4C"/>
    <w:rsid w:val="00616E5C"/>
    <w:rsid w:val="00616EE0"/>
    <w:rsid w:val="00616F55"/>
    <w:rsid w:val="00617088"/>
    <w:rsid w:val="00617097"/>
    <w:rsid w:val="006170BA"/>
    <w:rsid w:val="00617128"/>
    <w:rsid w:val="00617136"/>
    <w:rsid w:val="00617157"/>
    <w:rsid w:val="006171C3"/>
    <w:rsid w:val="0061720B"/>
    <w:rsid w:val="00617265"/>
    <w:rsid w:val="00617330"/>
    <w:rsid w:val="00617405"/>
    <w:rsid w:val="00617529"/>
    <w:rsid w:val="00617580"/>
    <w:rsid w:val="00617598"/>
    <w:rsid w:val="006175B4"/>
    <w:rsid w:val="006175EE"/>
    <w:rsid w:val="0061769C"/>
    <w:rsid w:val="006176E8"/>
    <w:rsid w:val="0061770B"/>
    <w:rsid w:val="00617835"/>
    <w:rsid w:val="0061786D"/>
    <w:rsid w:val="00617924"/>
    <w:rsid w:val="00617AAB"/>
    <w:rsid w:val="00617B1D"/>
    <w:rsid w:val="00617C43"/>
    <w:rsid w:val="00617C53"/>
    <w:rsid w:val="00617C7D"/>
    <w:rsid w:val="00617D10"/>
    <w:rsid w:val="00617DED"/>
    <w:rsid w:val="00617E09"/>
    <w:rsid w:val="00617E34"/>
    <w:rsid w:val="00617ECE"/>
    <w:rsid w:val="00617EEF"/>
    <w:rsid w:val="00617F02"/>
    <w:rsid w:val="00617F40"/>
    <w:rsid w:val="00617F8E"/>
    <w:rsid w:val="00617FE4"/>
    <w:rsid w:val="00620096"/>
    <w:rsid w:val="0062009D"/>
    <w:rsid w:val="00620107"/>
    <w:rsid w:val="0062012C"/>
    <w:rsid w:val="006201D4"/>
    <w:rsid w:val="00620205"/>
    <w:rsid w:val="00620234"/>
    <w:rsid w:val="0062027D"/>
    <w:rsid w:val="006204D8"/>
    <w:rsid w:val="00620712"/>
    <w:rsid w:val="006207B1"/>
    <w:rsid w:val="00620879"/>
    <w:rsid w:val="006208C6"/>
    <w:rsid w:val="006208EB"/>
    <w:rsid w:val="0062099A"/>
    <w:rsid w:val="006209DD"/>
    <w:rsid w:val="00620AB5"/>
    <w:rsid w:val="00620AF3"/>
    <w:rsid w:val="00620B10"/>
    <w:rsid w:val="00620B44"/>
    <w:rsid w:val="00620B72"/>
    <w:rsid w:val="00620D80"/>
    <w:rsid w:val="00620DC2"/>
    <w:rsid w:val="00620F7C"/>
    <w:rsid w:val="0062112A"/>
    <w:rsid w:val="0062112C"/>
    <w:rsid w:val="0062114D"/>
    <w:rsid w:val="0062117F"/>
    <w:rsid w:val="00621190"/>
    <w:rsid w:val="006211C9"/>
    <w:rsid w:val="00621278"/>
    <w:rsid w:val="006212A4"/>
    <w:rsid w:val="006212D9"/>
    <w:rsid w:val="006212F6"/>
    <w:rsid w:val="006213A3"/>
    <w:rsid w:val="006214F8"/>
    <w:rsid w:val="00621583"/>
    <w:rsid w:val="006215C1"/>
    <w:rsid w:val="00621642"/>
    <w:rsid w:val="006216C4"/>
    <w:rsid w:val="006216FC"/>
    <w:rsid w:val="00621746"/>
    <w:rsid w:val="006217C7"/>
    <w:rsid w:val="00621834"/>
    <w:rsid w:val="00621899"/>
    <w:rsid w:val="00621926"/>
    <w:rsid w:val="00621959"/>
    <w:rsid w:val="00621A1E"/>
    <w:rsid w:val="00621AC9"/>
    <w:rsid w:val="00621AD1"/>
    <w:rsid w:val="00621B28"/>
    <w:rsid w:val="00621B5D"/>
    <w:rsid w:val="00621DB4"/>
    <w:rsid w:val="00621E10"/>
    <w:rsid w:val="00621FB5"/>
    <w:rsid w:val="00621FC0"/>
    <w:rsid w:val="00621FDD"/>
    <w:rsid w:val="00622008"/>
    <w:rsid w:val="0062204A"/>
    <w:rsid w:val="006220C8"/>
    <w:rsid w:val="00622252"/>
    <w:rsid w:val="00622267"/>
    <w:rsid w:val="00622310"/>
    <w:rsid w:val="0062235A"/>
    <w:rsid w:val="006223E8"/>
    <w:rsid w:val="006224A2"/>
    <w:rsid w:val="00622519"/>
    <w:rsid w:val="00622589"/>
    <w:rsid w:val="00622620"/>
    <w:rsid w:val="00622626"/>
    <w:rsid w:val="00622712"/>
    <w:rsid w:val="00622745"/>
    <w:rsid w:val="00622772"/>
    <w:rsid w:val="00622840"/>
    <w:rsid w:val="006228E3"/>
    <w:rsid w:val="0062294C"/>
    <w:rsid w:val="00622A0F"/>
    <w:rsid w:val="00622AB6"/>
    <w:rsid w:val="00622AB7"/>
    <w:rsid w:val="00622B87"/>
    <w:rsid w:val="00622C2C"/>
    <w:rsid w:val="00622C85"/>
    <w:rsid w:val="00622D0C"/>
    <w:rsid w:val="00622D9D"/>
    <w:rsid w:val="00622DD5"/>
    <w:rsid w:val="00622E26"/>
    <w:rsid w:val="00622ED7"/>
    <w:rsid w:val="00622EE6"/>
    <w:rsid w:val="00622FD7"/>
    <w:rsid w:val="00623212"/>
    <w:rsid w:val="00623279"/>
    <w:rsid w:val="0062327E"/>
    <w:rsid w:val="00623303"/>
    <w:rsid w:val="00623404"/>
    <w:rsid w:val="00623449"/>
    <w:rsid w:val="006234AA"/>
    <w:rsid w:val="006234BE"/>
    <w:rsid w:val="00623528"/>
    <w:rsid w:val="0062353D"/>
    <w:rsid w:val="006235FA"/>
    <w:rsid w:val="0062362F"/>
    <w:rsid w:val="006236B7"/>
    <w:rsid w:val="006236D8"/>
    <w:rsid w:val="006236F1"/>
    <w:rsid w:val="0062375C"/>
    <w:rsid w:val="00623768"/>
    <w:rsid w:val="006237F0"/>
    <w:rsid w:val="00623944"/>
    <w:rsid w:val="0062397C"/>
    <w:rsid w:val="00623992"/>
    <w:rsid w:val="006239C6"/>
    <w:rsid w:val="00623A21"/>
    <w:rsid w:val="00623D17"/>
    <w:rsid w:val="00623D26"/>
    <w:rsid w:val="00623D3B"/>
    <w:rsid w:val="00623E6D"/>
    <w:rsid w:val="00623F7F"/>
    <w:rsid w:val="00623FB5"/>
    <w:rsid w:val="00623FD9"/>
    <w:rsid w:val="00624021"/>
    <w:rsid w:val="00624051"/>
    <w:rsid w:val="006240C4"/>
    <w:rsid w:val="0062416B"/>
    <w:rsid w:val="006242E8"/>
    <w:rsid w:val="00624378"/>
    <w:rsid w:val="00624387"/>
    <w:rsid w:val="006243E2"/>
    <w:rsid w:val="00624484"/>
    <w:rsid w:val="0062469B"/>
    <w:rsid w:val="006246EC"/>
    <w:rsid w:val="0062471E"/>
    <w:rsid w:val="0062472B"/>
    <w:rsid w:val="00624757"/>
    <w:rsid w:val="0062486F"/>
    <w:rsid w:val="0062497E"/>
    <w:rsid w:val="006249AF"/>
    <w:rsid w:val="006249DE"/>
    <w:rsid w:val="00624A41"/>
    <w:rsid w:val="00624A78"/>
    <w:rsid w:val="00624AA0"/>
    <w:rsid w:val="00624AA5"/>
    <w:rsid w:val="00624B43"/>
    <w:rsid w:val="00624BB4"/>
    <w:rsid w:val="00624BDF"/>
    <w:rsid w:val="00624DC2"/>
    <w:rsid w:val="00624DEB"/>
    <w:rsid w:val="00624E19"/>
    <w:rsid w:val="00624E5D"/>
    <w:rsid w:val="00624FFE"/>
    <w:rsid w:val="006250B1"/>
    <w:rsid w:val="0062520A"/>
    <w:rsid w:val="00625225"/>
    <w:rsid w:val="00625387"/>
    <w:rsid w:val="006253E2"/>
    <w:rsid w:val="006254E4"/>
    <w:rsid w:val="006254EC"/>
    <w:rsid w:val="00625561"/>
    <w:rsid w:val="00625564"/>
    <w:rsid w:val="00625595"/>
    <w:rsid w:val="0062567D"/>
    <w:rsid w:val="006256D1"/>
    <w:rsid w:val="00625701"/>
    <w:rsid w:val="00625793"/>
    <w:rsid w:val="00625796"/>
    <w:rsid w:val="006257B2"/>
    <w:rsid w:val="00625874"/>
    <w:rsid w:val="006258D2"/>
    <w:rsid w:val="00625940"/>
    <w:rsid w:val="0062598B"/>
    <w:rsid w:val="0062599A"/>
    <w:rsid w:val="00625AF3"/>
    <w:rsid w:val="00625B84"/>
    <w:rsid w:val="00625BAD"/>
    <w:rsid w:val="00625BB3"/>
    <w:rsid w:val="00625C46"/>
    <w:rsid w:val="00625C88"/>
    <w:rsid w:val="00625CFB"/>
    <w:rsid w:val="00625D1F"/>
    <w:rsid w:val="00625E43"/>
    <w:rsid w:val="00625E92"/>
    <w:rsid w:val="00625EDA"/>
    <w:rsid w:val="00625FB2"/>
    <w:rsid w:val="00625FD8"/>
    <w:rsid w:val="00626034"/>
    <w:rsid w:val="006261DA"/>
    <w:rsid w:val="00626210"/>
    <w:rsid w:val="00626333"/>
    <w:rsid w:val="0062633E"/>
    <w:rsid w:val="00626405"/>
    <w:rsid w:val="0062643E"/>
    <w:rsid w:val="00626442"/>
    <w:rsid w:val="00626449"/>
    <w:rsid w:val="0062649E"/>
    <w:rsid w:val="006265C0"/>
    <w:rsid w:val="006265CA"/>
    <w:rsid w:val="006265DB"/>
    <w:rsid w:val="006266E1"/>
    <w:rsid w:val="006266FD"/>
    <w:rsid w:val="006267C7"/>
    <w:rsid w:val="00626857"/>
    <w:rsid w:val="0062687A"/>
    <w:rsid w:val="00626983"/>
    <w:rsid w:val="00626AB2"/>
    <w:rsid w:val="00626AE4"/>
    <w:rsid w:val="00626BDC"/>
    <w:rsid w:val="00626C14"/>
    <w:rsid w:val="00626C2C"/>
    <w:rsid w:val="00626D1F"/>
    <w:rsid w:val="00626D53"/>
    <w:rsid w:val="00626D77"/>
    <w:rsid w:val="00626DA2"/>
    <w:rsid w:val="00626E13"/>
    <w:rsid w:val="00626EEA"/>
    <w:rsid w:val="00626F4D"/>
    <w:rsid w:val="00626F50"/>
    <w:rsid w:val="00626F7A"/>
    <w:rsid w:val="00626FC6"/>
    <w:rsid w:val="00627009"/>
    <w:rsid w:val="00627052"/>
    <w:rsid w:val="006270AE"/>
    <w:rsid w:val="006270F9"/>
    <w:rsid w:val="00627138"/>
    <w:rsid w:val="00627146"/>
    <w:rsid w:val="006271A9"/>
    <w:rsid w:val="006272B8"/>
    <w:rsid w:val="0062746B"/>
    <w:rsid w:val="00627490"/>
    <w:rsid w:val="006274C1"/>
    <w:rsid w:val="006274C8"/>
    <w:rsid w:val="006274EE"/>
    <w:rsid w:val="00627522"/>
    <w:rsid w:val="00627529"/>
    <w:rsid w:val="0062755E"/>
    <w:rsid w:val="0062762A"/>
    <w:rsid w:val="00627684"/>
    <w:rsid w:val="0062775D"/>
    <w:rsid w:val="00627859"/>
    <w:rsid w:val="00627A89"/>
    <w:rsid w:val="00627C4D"/>
    <w:rsid w:val="00627C57"/>
    <w:rsid w:val="00627D06"/>
    <w:rsid w:val="00627D21"/>
    <w:rsid w:val="00627DBA"/>
    <w:rsid w:val="00627F7A"/>
    <w:rsid w:val="00627FEF"/>
    <w:rsid w:val="00627FFA"/>
    <w:rsid w:val="00630052"/>
    <w:rsid w:val="006300E0"/>
    <w:rsid w:val="00630129"/>
    <w:rsid w:val="00630178"/>
    <w:rsid w:val="0063018A"/>
    <w:rsid w:val="006301BB"/>
    <w:rsid w:val="006302DF"/>
    <w:rsid w:val="006302ED"/>
    <w:rsid w:val="00630460"/>
    <w:rsid w:val="00630481"/>
    <w:rsid w:val="00630483"/>
    <w:rsid w:val="006304C9"/>
    <w:rsid w:val="00630623"/>
    <w:rsid w:val="006306BD"/>
    <w:rsid w:val="006306EB"/>
    <w:rsid w:val="00630702"/>
    <w:rsid w:val="0063078C"/>
    <w:rsid w:val="006307D2"/>
    <w:rsid w:val="00630805"/>
    <w:rsid w:val="00630834"/>
    <w:rsid w:val="00630843"/>
    <w:rsid w:val="00630874"/>
    <w:rsid w:val="00630894"/>
    <w:rsid w:val="006308CC"/>
    <w:rsid w:val="00630918"/>
    <w:rsid w:val="006309CB"/>
    <w:rsid w:val="006309E3"/>
    <w:rsid w:val="00630B7C"/>
    <w:rsid w:val="00630B8C"/>
    <w:rsid w:val="00630B96"/>
    <w:rsid w:val="00630C31"/>
    <w:rsid w:val="00630C83"/>
    <w:rsid w:val="00630D1C"/>
    <w:rsid w:val="00630E57"/>
    <w:rsid w:val="00630E77"/>
    <w:rsid w:val="00630EC9"/>
    <w:rsid w:val="006310CB"/>
    <w:rsid w:val="006312BC"/>
    <w:rsid w:val="00631412"/>
    <w:rsid w:val="006314C8"/>
    <w:rsid w:val="0063157C"/>
    <w:rsid w:val="006315F6"/>
    <w:rsid w:val="006316C0"/>
    <w:rsid w:val="00631745"/>
    <w:rsid w:val="00631779"/>
    <w:rsid w:val="006317B4"/>
    <w:rsid w:val="006317BC"/>
    <w:rsid w:val="00631912"/>
    <w:rsid w:val="00631AD5"/>
    <w:rsid w:val="00631B0E"/>
    <w:rsid w:val="00631BA2"/>
    <w:rsid w:val="00631BBA"/>
    <w:rsid w:val="00631C51"/>
    <w:rsid w:val="00631D07"/>
    <w:rsid w:val="00631D26"/>
    <w:rsid w:val="00631E46"/>
    <w:rsid w:val="00631FEE"/>
    <w:rsid w:val="0063202F"/>
    <w:rsid w:val="0063206A"/>
    <w:rsid w:val="00632412"/>
    <w:rsid w:val="0063243A"/>
    <w:rsid w:val="00632482"/>
    <w:rsid w:val="006324B4"/>
    <w:rsid w:val="006324F9"/>
    <w:rsid w:val="00632506"/>
    <w:rsid w:val="00632521"/>
    <w:rsid w:val="0063252C"/>
    <w:rsid w:val="0063256F"/>
    <w:rsid w:val="00632625"/>
    <w:rsid w:val="0063262D"/>
    <w:rsid w:val="006326AD"/>
    <w:rsid w:val="006326CB"/>
    <w:rsid w:val="0063273F"/>
    <w:rsid w:val="00632756"/>
    <w:rsid w:val="006327C0"/>
    <w:rsid w:val="00632832"/>
    <w:rsid w:val="00632835"/>
    <w:rsid w:val="00632837"/>
    <w:rsid w:val="00632861"/>
    <w:rsid w:val="00632865"/>
    <w:rsid w:val="0063287E"/>
    <w:rsid w:val="0063289C"/>
    <w:rsid w:val="00632975"/>
    <w:rsid w:val="006329B3"/>
    <w:rsid w:val="006329CA"/>
    <w:rsid w:val="00632A6E"/>
    <w:rsid w:val="00632A72"/>
    <w:rsid w:val="00632ACD"/>
    <w:rsid w:val="00632B25"/>
    <w:rsid w:val="00632B2A"/>
    <w:rsid w:val="00632BE9"/>
    <w:rsid w:val="00632C72"/>
    <w:rsid w:val="00632CE3"/>
    <w:rsid w:val="00632D01"/>
    <w:rsid w:val="00632D4D"/>
    <w:rsid w:val="00632D86"/>
    <w:rsid w:val="00632DB2"/>
    <w:rsid w:val="00632DFC"/>
    <w:rsid w:val="00632E32"/>
    <w:rsid w:val="00632F20"/>
    <w:rsid w:val="00632F52"/>
    <w:rsid w:val="00632FD0"/>
    <w:rsid w:val="0063327A"/>
    <w:rsid w:val="006332A4"/>
    <w:rsid w:val="00633345"/>
    <w:rsid w:val="0063341E"/>
    <w:rsid w:val="0063353D"/>
    <w:rsid w:val="006336E8"/>
    <w:rsid w:val="00633710"/>
    <w:rsid w:val="00633798"/>
    <w:rsid w:val="006337E9"/>
    <w:rsid w:val="00633803"/>
    <w:rsid w:val="0063383E"/>
    <w:rsid w:val="00633857"/>
    <w:rsid w:val="0063386B"/>
    <w:rsid w:val="006339F8"/>
    <w:rsid w:val="00633A2D"/>
    <w:rsid w:val="00633BAF"/>
    <w:rsid w:val="00633BFC"/>
    <w:rsid w:val="00633DB4"/>
    <w:rsid w:val="00633EC9"/>
    <w:rsid w:val="00633EDC"/>
    <w:rsid w:val="00633F33"/>
    <w:rsid w:val="00633F9C"/>
    <w:rsid w:val="00633FDC"/>
    <w:rsid w:val="0063401D"/>
    <w:rsid w:val="00634079"/>
    <w:rsid w:val="00634080"/>
    <w:rsid w:val="0063410E"/>
    <w:rsid w:val="0063412C"/>
    <w:rsid w:val="00634148"/>
    <w:rsid w:val="00634212"/>
    <w:rsid w:val="0063425B"/>
    <w:rsid w:val="0063425E"/>
    <w:rsid w:val="006342C4"/>
    <w:rsid w:val="006343B3"/>
    <w:rsid w:val="006343E4"/>
    <w:rsid w:val="006344E8"/>
    <w:rsid w:val="0063451B"/>
    <w:rsid w:val="00634585"/>
    <w:rsid w:val="006345A0"/>
    <w:rsid w:val="00634621"/>
    <w:rsid w:val="006346C7"/>
    <w:rsid w:val="0063473F"/>
    <w:rsid w:val="00634795"/>
    <w:rsid w:val="006347D2"/>
    <w:rsid w:val="006347D8"/>
    <w:rsid w:val="006348FA"/>
    <w:rsid w:val="006348FF"/>
    <w:rsid w:val="00634A79"/>
    <w:rsid w:val="00634AB9"/>
    <w:rsid w:val="00634B7A"/>
    <w:rsid w:val="00634B98"/>
    <w:rsid w:val="00634C84"/>
    <w:rsid w:val="00634DCB"/>
    <w:rsid w:val="00634E45"/>
    <w:rsid w:val="00634E8E"/>
    <w:rsid w:val="00634F0D"/>
    <w:rsid w:val="00634F8E"/>
    <w:rsid w:val="00634FC9"/>
    <w:rsid w:val="00634FD2"/>
    <w:rsid w:val="0063509A"/>
    <w:rsid w:val="006350A0"/>
    <w:rsid w:val="006350AA"/>
    <w:rsid w:val="006351C4"/>
    <w:rsid w:val="00635254"/>
    <w:rsid w:val="0063529E"/>
    <w:rsid w:val="0063533D"/>
    <w:rsid w:val="00635391"/>
    <w:rsid w:val="00635401"/>
    <w:rsid w:val="00635445"/>
    <w:rsid w:val="006354A9"/>
    <w:rsid w:val="006354E3"/>
    <w:rsid w:val="00635634"/>
    <w:rsid w:val="006356DB"/>
    <w:rsid w:val="0063574B"/>
    <w:rsid w:val="0063577D"/>
    <w:rsid w:val="00635809"/>
    <w:rsid w:val="00635815"/>
    <w:rsid w:val="006358FA"/>
    <w:rsid w:val="00635906"/>
    <w:rsid w:val="00635924"/>
    <w:rsid w:val="00635A28"/>
    <w:rsid w:val="00635B21"/>
    <w:rsid w:val="00635B5B"/>
    <w:rsid w:val="00635B73"/>
    <w:rsid w:val="00635C0F"/>
    <w:rsid w:val="00635C7D"/>
    <w:rsid w:val="00635C87"/>
    <w:rsid w:val="00635CA1"/>
    <w:rsid w:val="00635CB9"/>
    <w:rsid w:val="00635CD5"/>
    <w:rsid w:val="00635D5E"/>
    <w:rsid w:val="00635E0F"/>
    <w:rsid w:val="00635E2E"/>
    <w:rsid w:val="00635F8B"/>
    <w:rsid w:val="00635FB8"/>
    <w:rsid w:val="00636016"/>
    <w:rsid w:val="00636068"/>
    <w:rsid w:val="006360E5"/>
    <w:rsid w:val="006361DD"/>
    <w:rsid w:val="00636250"/>
    <w:rsid w:val="0063630C"/>
    <w:rsid w:val="00636340"/>
    <w:rsid w:val="00636450"/>
    <w:rsid w:val="006364C6"/>
    <w:rsid w:val="0063652F"/>
    <w:rsid w:val="0063656F"/>
    <w:rsid w:val="006365E8"/>
    <w:rsid w:val="0063668D"/>
    <w:rsid w:val="00636720"/>
    <w:rsid w:val="00636725"/>
    <w:rsid w:val="00636731"/>
    <w:rsid w:val="00636755"/>
    <w:rsid w:val="00636805"/>
    <w:rsid w:val="00636855"/>
    <w:rsid w:val="0063685D"/>
    <w:rsid w:val="0063697A"/>
    <w:rsid w:val="00636995"/>
    <w:rsid w:val="00636A76"/>
    <w:rsid w:val="00636A82"/>
    <w:rsid w:val="00636A97"/>
    <w:rsid w:val="00636BAD"/>
    <w:rsid w:val="00636C32"/>
    <w:rsid w:val="00636CA9"/>
    <w:rsid w:val="00636CF8"/>
    <w:rsid w:val="00636D26"/>
    <w:rsid w:val="00636D6C"/>
    <w:rsid w:val="00636D73"/>
    <w:rsid w:val="00636D89"/>
    <w:rsid w:val="00636DCB"/>
    <w:rsid w:val="00636E97"/>
    <w:rsid w:val="00636F29"/>
    <w:rsid w:val="00636F35"/>
    <w:rsid w:val="00637047"/>
    <w:rsid w:val="0063708B"/>
    <w:rsid w:val="006370B7"/>
    <w:rsid w:val="0063714B"/>
    <w:rsid w:val="00637254"/>
    <w:rsid w:val="00637321"/>
    <w:rsid w:val="00637359"/>
    <w:rsid w:val="0063738D"/>
    <w:rsid w:val="006373BC"/>
    <w:rsid w:val="006373F9"/>
    <w:rsid w:val="00637438"/>
    <w:rsid w:val="006374CD"/>
    <w:rsid w:val="00637663"/>
    <w:rsid w:val="0063769B"/>
    <w:rsid w:val="006376CF"/>
    <w:rsid w:val="006376EB"/>
    <w:rsid w:val="0063790D"/>
    <w:rsid w:val="0063792D"/>
    <w:rsid w:val="00637994"/>
    <w:rsid w:val="006379D6"/>
    <w:rsid w:val="006379E8"/>
    <w:rsid w:val="00637A1F"/>
    <w:rsid w:val="00637C25"/>
    <w:rsid w:val="00637C44"/>
    <w:rsid w:val="00637D6E"/>
    <w:rsid w:val="00637DB4"/>
    <w:rsid w:val="00637DBD"/>
    <w:rsid w:val="00637DFC"/>
    <w:rsid w:val="00637F71"/>
    <w:rsid w:val="00637FB6"/>
    <w:rsid w:val="006401C5"/>
    <w:rsid w:val="006401CC"/>
    <w:rsid w:val="0064038D"/>
    <w:rsid w:val="00640456"/>
    <w:rsid w:val="00640469"/>
    <w:rsid w:val="0064052D"/>
    <w:rsid w:val="00640535"/>
    <w:rsid w:val="00640601"/>
    <w:rsid w:val="0064061D"/>
    <w:rsid w:val="00640637"/>
    <w:rsid w:val="00640673"/>
    <w:rsid w:val="0064076F"/>
    <w:rsid w:val="0064078F"/>
    <w:rsid w:val="0064086E"/>
    <w:rsid w:val="006409EC"/>
    <w:rsid w:val="00640A0F"/>
    <w:rsid w:val="00640B9B"/>
    <w:rsid w:val="00640BCE"/>
    <w:rsid w:val="00640BDB"/>
    <w:rsid w:val="00640C2B"/>
    <w:rsid w:val="00640C77"/>
    <w:rsid w:val="00640CF9"/>
    <w:rsid w:val="00640D0C"/>
    <w:rsid w:val="00640DFB"/>
    <w:rsid w:val="00640F1E"/>
    <w:rsid w:val="00640F7A"/>
    <w:rsid w:val="00640F7F"/>
    <w:rsid w:val="00640FAC"/>
    <w:rsid w:val="00640FE9"/>
    <w:rsid w:val="00641028"/>
    <w:rsid w:val="00641150"/>
    <w:rsid w:val="006411BF"/>
    <w:rsid w:val="006411F5"/>
    <w:rsid w:val="00641255"/>
    <w:rsid w:val="006412BE"/>
    <w:rsid w:val="0064137D"/>
    <w:rsid w:val="006413A5"/>
    <w:rsid w:val="00641488"/>
    <w:rsid w:val="00641591"/>
    <w:rsid w:val="0064166D"/>
    <w:rsid w:val="006417AA"/>
    <w:rsid w:val="006417CF"/>
    <w:rsid w:val="006417DB"/>
    <w:rsid w:val="006418E5"/>
    <w:rsid w:val="00641A06"/>
    <w:rsid w:val="00641A5C"/>
    <w:rsid w:val="00641B09"/>
    <w:rsid w:val="00641B0E"/>
    <w:rsid w:val="00641B32"/>
    <w:rsid w:val="00641C13"/>
    <w:rsid w:val="00641C31"/>
    <w:rsid w:val="00641C7C"/>
    <w:rsid w:val="00641CA6"/>
    <w:rsid w:val="00641D6D"/>
    <w:rsid w:val="00641E3E"/>
    <w:rsid w:val="006420B0"/>
    <w:rsid w:val="00642153"/>
    <w:rsid w:val="00642196"/>
    <w:rsid w:val="0064238E"/>
    <w:rsid w:val="0064242B"/>
    <w:rsid w:val="006424CA"/>
    <w:rsid w:val="00642726"/>
    <w:rsid w:val="006427CC"/>
    <w:rsid w:val="00642809"/>
    <w:rsid w:val="00642866"/>
    <w:rsid w:val="0064291C"/>
    <w:rsid w:val="00642A16"/>
    <w:rsid w:val="00642A8E"/>
    <w:rsid w:val="00642B0D"/>
    <w:rsid w:val="00642B1B"/>
    <w:rsid w:val="00642B4A"/>
    <w:rsid w:val="00642B6B"/>
    <w:rsid w:val="00642C21"/>
    <w:rsid w:val="00642D6C"/>
    <w:rsid w:val="00642D7D"/>
    <w:rsid w:val="00642EFE"/>
    <w:rsid w:val="00642F4C"/>
    <w:rsid w:val="00642FBF"/>
    <w:rsid w:val="00642FC2"/>
    <w:rsid w:val="00642FC3"/>
    <w:rsid w:val="00643162"/>
    <w:rsid w:val="00643213"/>
    <w:rsid w:val="006432A0"/>
    <w:rsid w:val="0064330B"/>
    <w:rsid w:val="00643338"/>
    <w:rsid w:val="006433D7"/>
    <w:rsid w:val="00643417"/>
    <w:rsid w:val="00643492"/>
    <w:rsid w:val="006434C3"/>
    <w:rsid w:val="006434D7"/>
    <w:rsid w:val="00643528"/>
    <w:rsid w:val="0064353D"/>
    <w:rsid w:val="00643574"/>
    <w:rsid w:val="006435B0"/>
    <w:rsid w:val="00643677"/>
    <w:rsid w:val="006436CD"/>
    <w:rsid w:val="006436D2"/>
    <w:rsid w:val="00643806"/>
    <w:rsid w:val="00643849"/>
    <w:rsid w:val="0064385F"/>
    <w:rsid w:val="00643896"/>
    <w:rsid w:val="00643AAC"/>
    <w:rsid w:val="00643ABF"/>
    <w:rsid w:val="00643AC4"/>
    <w:rsid w:val="00643AC6"/>
    <w:rsid w:val="00643AEA"/>
    <w:rsid w:val="00643B55"/>
    <w:rsid w:val="00643B79"/>
    <w:rsid w:val="00643C01"/>
    <w:rsid w:val="00643C99"/>
    <w:rsid w:val="00643CC1"/>
    <w:rsid w:val="00643E8F"/>
    <w:rsid w:val="00643EDA"/>
    <w:rsid w:val="00643EE6"/>
    <w:rsid w:val="00643F38"/>
    <w:rsid w:val="00643FDB"/>
    <w:rsid w:val="00643FDD"/>
    <w:rsid w:val="00643FE8"/>
    <w:rsid w:val="00644016"/>
    <w:rsid w:val="00644146"/>
    <w:rsid w:val="00644187"/>
    <w:rsid w:val="0064425F"/>
    <w:rsid w:val="006442AF"/>
    <w:rsid w:val="0064440E"/>
    <w:rsid w:val="00644423"/>
    <w:rsid w:val="00644458"/>
    <w:rsid w:val="006444E4"/>
    <w:rsid w:val="00644561"/>
    <w:rsid w:val="00644593"/>
    <w:rsid w:val="006445BF"/>
    <w:rsid w:val="006445E6"/>
    <w:rsid w:val="006445FD"/>
    <w:rsid w:val="00644630"/>
    <w:rsid w:val="0064469C"/>
    <w:rsid w:val="006446A3"/>
    <w:rsid w:val="0064470A"/>
    <w:rsid w:val="0064485A"/>
    <w:rsid w:val="00644993"/>
    <w:rsid w:val="006449D3"/>
    <w:rsid w:val="006449D5"/>
    <w:rsid w:val="00644A4F"/>
    <w:rsid w:val="00644C7E"/>
    <w:rsid w:val="00644CA8"/>
    <w:rsid w:val="00644CB3"/>
    <w:rsid w:val="00644D61"/>
    <w:rsid w:val="00644D94"/>
    <w:rsid w:val="00644F0E"/>
    <w:rsid w:val="00644FBD"/>
    <w:rsid w:val="00645018"/>
    <w:rsid w:val="00645068"/>
    <w:rsid w:val="00645076"/>
    <w:rsid w:val="006450F2"/>
    <w:rsid w:val="0064514A"/>
    <w:rsid w:val="006452BC"/>
    <w:rsid w:val="006452FE"/>
    <w:rsid w:val="0064535E"/>
    <w:rsid w:val="00645424"/>
    <w:rsid w:val="006454DB"/>
    <w:rsid w:val="00645537"/>
    <w:rsid w:val="006455F6"/>
    <w:rsid w:val="006456AF"/>
    <w:rsid w:val="006456CF"/>
    <w:rsid w:val="006456F7"/>
    <w:rsid w:val="00645751"/>
    <w:rsid w:val="00645760"/>
    <w:rsid w:val="00645829"/>
    <w:rsid w:val="00645868"/>
    <w:rsid w:val="00645871"/>
    <w:rsid w:val="0064589A"/>
    <w:rsid w:val="0064593A"/>
    <w:rsid w:val="00645A16"/>
    <w:rsid w:val="00645B03"/>
    <w:rsid w:val="00645B66"/>
    <w:rsid w:val="00645BB3"/>
    <w:rsid w:val="00645BD7"/>
    <w:rsid w:val="00645C23"/>
    <w:rsid w:val="00645CC9"/>
    <w:rsid w:val="00645CD5"/>
    <w:rsid w:val="00645CEC"/>
    <w:rsid w:val="00645D37"/>
    <w:rsid w:val="00645E38"/>
    <w:rsid w:val="00645E80"/>
    <w:rsid w:val="00645E86"/>
    <w:rsid w:val="00645ECA"/>
    <w:rsid w:val="00645EDB"/>
    <w:rsid w:val="00646074"/>
    <w:rsid w:val="006460CC"/>
    <w:rsid w:val="00646321"/>
    <w:rsid w:val="00646323"/>
    <w:rsid w:val="0064642D"/>
    <w:rsid w:val="006464DE"/>
    <w:rsid w:val="00646571"/>
    <w:rsid w:val="006465A4"/>
    <w:rsid w:val="006465F0"/>
    <w:rsid w:val="00646616"/>
    <w:rsid w:val="00646652"/>
    <w:rsid w:val="006466A7"/>
    <w:rsid w:val="0064675D"/>
    <w:rsid w:val="00646772"/>
    <w:rsid w:val="0064678A"/>
    <w:rsid w:val="006467E4"/>
    <w:rsid w:val="00646813"/>
    <w:rsid w:val="00646891"/>
    <w:rsid w:val="0064689A"/>
    <w:rsid w:val="0064696B"/>
    <w:rsid w:val="00646AB9"/>
    <w:rsid w:val="00646B07"/>
    <w:rsid w:val="00646B1B"/>
    <w:rsid w:val="00646BE7"/>
    <w:rsid w:val="00646BF1"/>
    <w:rsid w:val="00646BF4"/>
    <w:rsid w:val="00646CB5"/>
    <w:rsid w:val="00646D27"/>
    <w:rsid w:val="00646D67"/>
    <w:rsid w:val="00646EB1"/>
    <w:rsid w:val="00646EB9"/>
    <w:rsid w:val="00646F91"/>
    <w:rsid w:val="00646FAE"/>
    <w:rsid w:val="0064700E"/>
    <w:rsid w:val="00647072"/>
    <w:rsid w:val="0064708D"/>
    <w:rsid w:val="00647093"/>
    <w:rsid w:val="006470FE"/>
    <w:rsid w:val="00647194"/>
    <w:rsid w:val="00647260"/>
    <w:rsid w:val="00647462"/>
    <w:rsid w:val="0064747D"/>
    <w:rsid w:val="006474C9"/>
    <w:rsid w:val="006474D1"/>
    <w:rsid w:val="006476A4"/>
    <w:rsid w:val="006476C6"/>
    <w:rsid w:val="00647753"/>
    <w:rsid w:val="00647760"/>
    <w:rsid w:val="00647789"/>
    <w:rsid w:val="00647877"/>
    <w:rsid w:val="006478C7"/>
    <w:rsid w:val="006478F2"/>
    <w:rsid w:val="0064791B"/>
    <w:rsid w:val="00647970"/>
    <w:rsid w:val="006479FC"/>
    <w:rsid w:val="00647AE1"/>
    <w:rsid w:val="00647B9E"/>
    <w:rsid w:val="00647C3B"/>
    <w:rsid w:val="00647C87"/>
    <w:rsid w:val="00647CD7"/>
    <w:rsid w:val="00647D25"/>
    <w:rsid w:val="00647D44"/>
    <w:rsid w:val="00647E51"/>
    <w:rsid w:val="00647EEE"/>
    <w:rsid w:val="00647F19"/>
    <w:rsid w:val="00647F25"/>
    <w:rsid w:val="00647F3C"/>
    <w:rsid w:val="00647FED"/>
    <w:rsid w:val="00650004"/>
    <w:rsid w:val="0065004D"/>
    <w:rsid w:val="00650051"/>
    <w:rsid w:val="00650052"/>
    <w:rsid w:val="00650110"/>
    <w:rsid w:val="0065011A"/>
    <w:rsid w:val="00650209"/>
    <w:rsid w:val="00650232"/>
    <w:rsid w:val="00650293"/>
    <w:rsid w:val="006502C4"/>
    <w:rsid w:val="00650456"/>
    <w:rsid w:val="00650572"/>
    <w:rsid w:val="006507D0"/>
    <w:rsid w:val="0065084E"/>
    <w:rsid w:val="006508A0"/>
    <w:rsid w:val="006509E4"/>
    <w:rsid w:val="00650ABA"/>
    <w:rsid w:val="00650C64"/>
    <w:rsid w:val="00650CC3"/>
    <w:rsid w:val="00650CDB"/>
    <w:rsid w:val="00650CDE"/>
    <w:rsid w:val="00650CEE"/>
    <w:rsid w:val="00650CF1"/>
    <w:rsid w:val="00650E21"/>
    <w:rsid w:val="00650EB7"/>
    <w:rsid w:val="00650F39"/>
    <w:rsid w:val="00651063"/>
    <w:rsid w:val="00651096"/>
    <w:rsid w:val="00651141"/>
    <w:rsid w:val="006511E6"/>
    <w:rsid w:val="00651215"/>
    <w:rsid w:val="0065123A"/>
    <w:rsid w:val="00651290"/>
    <w:rsid w:val="00651398"/>
    <w:rsid w:val="00651401"/>
    <w:rsid w:val="00651406"/>
    <w:rsid w:val="0065141C"/>
    <w:rsid w:val="006514A9"/>
    <w:rsid w:val="0065155C"/>
    <w:rsid w:val="006515A3"/>
    <w:rsid w:val="006515D4"/>
    <w:rsid w:val="00651668"/>
    <w:rsid w:val="006516A8"/>
    <w:rsid w:val="00651708"/>
    <w:rsid w:val="00651754"/>
    <w:rsid w:val="006517D3"/>
    <w:rsid w:val="00651811"/>
    <w:rsid w:val="00651917"/>
    <w:rsid w:val="00651987"/>
    <w:rsid w:val="006519B6"/>
    <w:rsid w:val="006519E9"/>
    <w:rsid w:val="00651AAA"/>
    <w:rsid w:val="00651BEA"/>
    <w:rsid w:val="00651C6C"/>
    <w:rsid w:val="00651D5A"/>
    <w:rsid w:val="00651D7A"/>
    <w:rsid w:val="00651E52"/>
    <w:rsid w:val="00651ECE"/>
    <w:rsid w:val="00651F62"/>
    <w:rsid w:val="00651F71"/>
    <w:rsid w:val="00651F95"/>
    <w:rsid w:val="006520DC"/>
    <w:rsid w:val="0065213D"/>
    <w:rsid w:val="0065226E"/>
    <w:rsid w:val="006522CF"/>
    <w:rsid w:val="00652315"/>
    <w:rsid w:val="006523B9"/>
    <w:rsid w:val="00652532"/>
    <w:rsid w:val="006526A3"/>
    <w:rsid w:val="006526F7"/>
    <w:rsid w:val="0065272D"/>
    <w:rsid w:val="00652751"/>
    <w:rsid w:val="0065280F"/>
    <w:rsid w:val="006528E5"/>
    <w:rsid w:val="00652A83"/>
    <w:rsid w:val="00652A84"/>
    <w:rsid w:val="00652ACA"/>
    <w:rsid w:val="00652B20"/>
    <w:rsid w:val="00652B5C"/>
    <w:rsid w:val="00652B7F"/>
    <w:rsid w:val="00652B9A"/>
    <w:rsid w:val="00652BB5"/>
    <w:rsid w:val="00652BF3"/>
    <w:rsid w:val="00652C1B"/>
    <w:rsid w:val="00652CD8"/>
    <w:rsid w:val="00652CEE"/>
    <w:rsid w:val="00652DA1"/>
    <w:rsid w:val="00652E33"/>
    <w:rsid w:val="00652EAC"/>
    <w:rsid w:val="00652F1B"/>
    <w:rsid w:val="00652F29"/>
    <w:rsid w:val="00652F65"/>
    <w:rsid w:val="00652F81"/>
    <w:rsid w:val="00652F95"/>
    <w:rsid w:val="00653035"/>
    <w:rsid w:val="0065304A"/>
    <w:rsid w:val="006530A4"/>
    <w:rsid w:val="006530D8"/>
    <w:rsid w:val="0065322C"/>
    <w:rsid w:val="0065326D"/>
    <w:rsid w:val="00653290"/>
    <w:rsid w:val="00653301"/>
    <w:rsid w:val="0065335D"/>
    <w:rsid w:val="0065340A"/>
    <w:rsid w:val="006534BD"/>
    <w:rsid w:val="00653530"/>
    <w:rsid w:val="00653850"/>
    <w:rsid w:val="00653876"/>
    <w:rsid w:val="00653894"/>
    <w:rsid w:val="00653953"/>
    <w:rsid w:val="0065399B"/>
    <w:rsid w:val="0065399C"/>
    <w:rsid w:val="006539D1"/>
    <w:rsid w:val="00653A62"/>
    <w:rsid w:val="00653B65"/>
    <w:rsid w:val="00653B72"/>
    <w:rsid w:val="00653BFF"/>
    <w:rsid w:val="00653C6B"/>
    <w:rsid w:val="00653C93"/>
    <w:rsid w:val="00653E4A"/>
    <w:rsid w:val="00653EC3"/>
    <w:rsid w:val="00654087"/>
    <w:rsid w:val="006540D9"/>
    <w:rsid w:val="006540EC"/>
    <w:rsid w:val="00654146"/>
    <w:rsid w:val="006541B2"/>
    <w:rsid w:val="00654229"/>
    <w:rsid w:val="0065427C"/>
    <w:rsid w:val="00654316"/>
    <w:rsid w:val="0065436C"/>
    <w:rsid w:val="00654403"/>
    <w:rsid w:val="006544B5"/>
    <w:rsid w:val="006544C8"/>
    <w:rsid w:val="006544F4"/>
    <w:rsid w:val="0065457A"/>
    <w:rsid w:val="00654583"/>
    <w:rsid w:val="00654588"/>
    <w:rsid w:val="006545ED"/>
    <w:rsid w:val="0065467F"/>
    <w:rsid w:val="00654960"/>
    <w:rsid w:val="00654A1D"/>
    <w:rsid w:val="00654AC5"/>
    <w:rsid w:val="00654B30"/>
    <w:rsid w:val="00654B53"/>
    <w:rsid w:val="00654B97"/>
    <w:rsid w:val="00654C02"/>
    <w:rsid w:val="00654CE4"/>
    <w:rsid w:val="00654DDF"/>
    <w:rsid w:val="00654EC1"/>
    <w:rsid w:val="00655073"/>
    <w:rsid w:val="006550A8"/>
    <w:rsid w:val="006550E5"/>
    <w:rsid w:val="006550EC"/>
    <w:rsid w:val="00655192"/>
    <w:rsid w:val="006551BB"/>
    <w:rsid w:val="00655229"/>
    <w:rsid w:val="00655232"/>
    <w:rsid w:val="00655239"/>
    <w:rsid w:val="00655288"/>
    <w:rsid w:val="006552AE"/>
    <w:rsid w:val="006553DE"/>
    <w:rsid w:val="006555CF"/>
    <w:rsid w:val="0065566F"/>
    <w:rsid w:val="006556A1"/>
    <w:rsid w:val="00655733"/>
    <w:rsid w:val="00655765"/>
    <w:rsid w:val="0065577B"/>
    <w:rsid w:val="00655797"/>
    <w:rsid w:val="006557AC"/>
    <w:rsid w:val="006557DF"/>
    <w:rsid w:val="00655810"/>
    <w:rsid w:val="00655853"/>
    <w:rsid w:val="006558E8"/>
    <w:rsid w:val="00655903"/>
    <w:rsid w:val="00655926"/>
    <w:rsid w:val="0065593B"/>
    <w:rsid w:val="00655982"/>
    <w:rsid w:val="00655A2A"/>
    <w:rsid w:val="00655B19"/>
    <w:rsid w:val="00655B80"/>
    <w:rsid w:val="00655C1F"/>
    <w:rsid w:val="00655C20"/>
    <w:rsid w:val="00655C3C"/>
    <w:rsid w:val="00655DC2"/>
    <w:rsid w:val="00655F45"/>
    <w:rsid w:val="00655F4A"/>
    <w:rsid w:val="00655FD8"/>
    <w:rsid w:val="006560F4"/>
    <w:rsid w:val="00656172"/>
    <w:rsid w:val="00656186"/>
    <w:rsid w:val="006561A9"/>
    <w:rsid w:val="0065625C"/>
    <w:rsid w:val="00656291"/>
    <w:rsid w:val="006562EA"/>
    <w:rsid w:val="00656370"/>
    <w:rsid w:val="00656396"/>
    <w:rsid w:val="00656434"/>
    <w:rsid w:val="00656502"/>
    <w:rsid w:val="00656507"/>
    <w:rsid w:val="0065654C"/>
    <w:rsid w:val="006565BA"/>
    <w:rsid w:val="0065663E"/>
    <w:rsid w:val="006566C9"/>
    <w:rsid w:val="00656732"/>
    <w:rsid w:val="00656782"/>
    <w:rsid w:val="006567B8"/>
    <w:rsid w:val="00656826"/>
    <w:rsid w:val="0065690C"/>
    <w:rsid w:val="00656A67"/>
    <w:rsid w:val="00656ACB"/>
    <w:rsid w:val="00656BEE"/>
    <w:rsid w:val="00656CA7"/>
    <w:rsid w:val="00656D7B"/>
    <w:rsid w:val="00656DEE"/>
    <w:rsid w:val="00656DFC"/>
    <w:rsid w:val="00656E32"/>
    <w:rsid w:val="00656E79"/>
    <w:rsid w:val="00656E98"/>
    <w:rsid w:val="00656FD1"/>
    <w:rsid w:val="0065700C"/>
    <w:rsid w:val="0065703C"/>
    <w:rsid w:val="00657106"/>
    <w:rsid w:val="006571A1"/>
    <w:rsid w:val="006571E5"/>
    <w:rsid w:val="0065727A"/>
    <w:rsid w:val="00657295"/>
    <w:rsid w:val="0065729D"/>
    <w:rsid w:val="006573BD"/>
    <w:rsid w:val="006573D4"/>
    <w:rsid w:val="006574EC"/>
    <w:rsid w:val="006574EE"/>
    <w:rsid w:val="00657506"/>
    <w:rsid w:val="00657677"/>
    <w:rsid w:val="006577AC"/>
    <w:rsid w:val="00657893"/>
    <w:rsid w:val="006578D6"/>
    <w:rsid w:val="006578F7"/>
    <w:rsid w:val="006578F8"/>
    <w:rsid w:val="006578F9"/>
    <w:rsid w:val="0065794C"/>
    <w:rsid w:val="0065799F"/>
    <w:rsid w:val="006579E3"/>
    <w:rsid w:val="00657A16"/>
    <w:rsid w:val="00657A9E"/>
    <w:rsid w:val="00657AA6"/>
    <w:rsid w:val="00657B26"/>
    <w:rsid w:val="00657B34"/>
    <w:rsid w:val="00657B7F"/>
    <w:rsid w:val="00657C5C"/>
    <w:rsid w:val="00657C6F"/>
    <w:rsid w:val="00657DC6"/>
    <w:rsid w:val="00657EB2"/>
    <w:rsid w:val="00657EDF"/>
    <w:rsid w:val="00657F08"/>
    <w:rsid w:val="00657FFB"/>
    <w:rsid w:val="0066005A"/>
    <w:rsid w:val="00660065"/>
    <w:rsid w:val="0066012B"/>
    <w:rsid w:val="00660152"/>
    <w:rsid w:val="00660170"/>
    <w:rsid w:val="0066018E"/>
    <w:rsid w:val="006601F0"/>
    <w:rsid w:val="00660257"/>
    <w:rsid w:val="00660356"/>
    <w:rsid w:val="00660386"/>
    <w:rsid w:val="00660429"/>
    <w:rsid w:val="00660608"/>
    <w:rsid w:val="0066065D"/>
    <w:rsid w:val="00660707"/>
    <w:rsid w:val="0066075E"/>
    <w:rsid w:val="006607CE"/>
    <w:rsid w:val="006607D7"/>
    <w:rsid w:val="0066090F"/>
    <w:rsid w:val="0066091A"/>
    <w:rsid w:val="0066098B"/>
    <w:rsid w:val="00660AC8"/>
    <w:rsid w:val="00660B5D"/>
    <w:rsid w:val="00660B8E"/>
    <w:rsid w:val="00660C21"/>
    <w:rsid w:val="00660CC1"/>
    <w:rsid w:val="00660CED"/>
    <w:rsid w:val="00660D12"/>
    <w:rsid w:val="00660D1D"/>
    <w:rsid w:val="00660D30"/>
    <w:rsid w:val="00660E23"/>
    <w:rsid w:val="00660E4D"/>
    <w:rsid w:val="00660E7C"/>
    <w:rsid w:val="00660EC7"/>
    <w:rsid w:val="00661017"/>
    <w:rsid w:val="0066101C"/>
    <w:rsid w:val="0066119F"/>
    <w:rsid w:val="006611CF"/>
    <w:rsid w:val="0066127A"/>
    <w:rsid w:val="00661331"/>
    <w:rsid w:val="00661355"/>
    <w:rsid w:val="006613B2"/>
    <w:rsid w:val="006613B9"/>
    <w:rsid w:val="00661412"/>
    <w:rsid w:val="006614AE"/>
    <w:rsid w:val="00661585"/>
    <w:rsid w:val="006615DC"/>
    <w:rsid w:val="006615E8"/>
    <w:rsid w:val="00661650"/>
    <w:rsid w:val="0066165A"/>
    <w:rsid w:val="00661870"/>
    <w:rsid w:val="0066187E"/>
    <w:rsid w:val="0066198A"/>
    <w:rsid w:val="006619BA"/>
    <w:rsid w:val="006619C7"/>
    <w:rsid w:val="006619C9"/>
    <w:rsid w:val="00661AA6"/>
    <w:rsid w:val="00661B32"/>
    <w:rsid w:val="00661B5F"/>
    <w:rsid w:val="00661B7D"/>
    <w:rsid w:val="00661BF2"/>
    <w:rsid w:val="00661CF6"/>
    <w:rsid w:val="00661F6D"/>
    <w:rsid w:val="00661F8F"/>
    <w:rsid w:val="00661FD2"/>
    <w:rsid w:val="00662042"/>
    <w:rsid w:val="0066206B"/>
    <w:rsid w:val="006620B2"/>
    <w:rsid w:val="00662172"/>
    <w:rsid w:val="00662176"/>
    <w:rsid w:val="006623D1"/>
    <w:rsid w:val="006623D9"/>
    <w:rsid w:val="0066243E"/>
    <w:rsid w:val="00662477"/>
    <w:rsid w:val="00662516"/>
    <w:rsid w:val="0066267B"/>
    <w:rsid w:val="0066274C"/>
    <w:rsid w:val="00662888"/>
    <w:rsid w:val="006628B7"/>
    <w:rsid w:val="00662977"/>
    <w:rsid w:val="006629AF"/>
    <w:rsid w:val="00662A87"/>
    <w:rsid w:val="00662A9C"/>
    <w:rsid w:val="00662ACB"/>
    <w:rsid w:val="00662AF9"/>
    <w:rsid w:val="00662B75"/>
    <w:rsid w:val="00662C5F"/>
    <w:rsid w:val="00662D4E"/>
    <w:rsid w:val="00662FA6"/>
    <w:rsid w:val="00663077"/>
    <w:rsid w:val="006630AF"/>
    <w:rsid w:val="006630DC"/>
    <w:rsid w:val="00663111"/>
    <w:rsid w:val="0066324F"/>
    <w:rsid w:val="0066327E"/>
    <w:rsid w:val="00663289"/>
    <w:rsid w:val="006632BD"/>
    <w:rsid w:val="006633BA"/>
    <w:rsid w:val="00663411"/>
    <w:rsid w:val="0066343E"/>
    <w:rsid w:val="00663452"/>
    <w:rsid w:val="00663470"/>
    <w:rsid w:val="006634C6"/>
    <w:rsid w:val="006634CD"/>
    <w:rsid w:val="0066351B"/>
    <w:rsid w:val="0066355C"/>
    <w:rsid w:val="006636A2"/>
    <w:rsid w:val="006636DE"/>
    <w:rsid w:val="006637B4"/>
    <w:rsid w:val="006637CA"/>
    <w:rsid w:val="00663902"/>
    <w:rsid w:val="00663947"/>
    <w:rsid w:val="00663965"/>
    <w:rsid w:val="00663B60"/>
    <w:rsid w:val="00663BF3"/>
    <w:rsid w:val="00663C84"/>
    <w:rsid w:val="00663C94"/>
    <w:rsid w:val="00663CCB"/>
    <w:rsid w:val="00663CEB"/>
    <w:rsid w:val="00663D02"/>
    <w:rsid w:val="00663D71"/>
    <w:rsid w:val="00663E07"/>
    <w:rsid w:val="00663E43"/>
    <w:rsid w:val="00663EA7"/>
    <w:rsid w:val="00663EBD"/>
    <w:rsid w:val="00663F19"/>
    <w:rsid w:val="00663F3A"/>
    <w:rsid w:val="00663F9A"/>
    <w:rsid w:val="00664067"/>
    <w:rsid w:val="006640D0"/>
    <w:rsid w:val="00664149"/>
    <w:rsid w:val="0066418B"/>
    <w:rsid w:val="006641D3"/>
    <w:rsid w:val="00664209"/>
    <w:rsid w:val="0066429B"/>
    <w:rsid w:val="0066435E"/>
    <w:rsid w:val="006643B1"/>
    <w:rsid w:val="006643B3"/>
    <w:rsid w:val="00664414"/>
    <w:rsid w:val="006644B1"/>
    <w:rsid w:val="00664557"/>
    <w:rsid w:val="0066459E"/>
    <w:rsid w:val="0066468C"/>
    <w:rsid w:val="0066479B"/>
    <w:rsid w:val="0066489B"/>
    <w:rsid w:val="006648D7"/>
    <w:rsid w:val="0066497A"/>
    <w:rsid w:val="006649B8"/>
    <w:rsid w:val="006649F2"/>
    <w:rsid w:val="00664A36"/>
    <w:rsid w:val="00664A5F"/>
    <w:rsid w:val="00664BC1"/>
    <w:rsid w:val="00664BEE"/>
    <w:rsid w:val="00664C28"/>
    <w:rsid w:val="00664C39"/>
    <w:rsid w:val="00664C3C"/>
    <w:rsid w:val="00664CAA"/>
    <w:rsid w:val="00664D1B"/>
    <w:rsid w:val="00664DAA"/>
    <w:rsid w:val="00664E49"/>
    <w:rsid w:val="00664E4E"/>
    <w:rsid w:val="00664E8B"/>
    <w:rsid w:val="00664F96"/>
    <w:rsid w:val="006650CC"/>
    <w:rsid w:val="00665202"/>
    <w:rsid w:val="00665307"/>
    <w:rsid w:val="0066534C"/>
    <w:rsid w:val="00665387"/>
    <w:rsid w:val="00665458"/>
    <w:rsid w:val="00665498"/>
    <w:rsid w:val="00665551"/>
    <w:rsid w:val="0066564A"/>
    <w:rsid w:val="00665697"/>
    <w:rsid w:val="006656E4"/>
    <w:rsid w:val="006657D4"/>
    <w:rsid w:val="0066581C"/>
    <w:rsid w:val="006658F2"/>
    <w:rsid w:val="0066595D"/>
    <w:rsid w:val="006659AF"/>
    <w:rsid w:val="006659FD"/>
    <w:rsid w:val="00665A36"/>
    <w:rsid w:val="00665A3C"/>
    <w:rsid w:val="00665ADF"/>
    <w:rsid w:val="00665AF4"/>
    <w:rsid w:val="00665B2A"/>
    <w:rsid w:val="00665B2E"/>
    <w:rsid w:val="00665B3A"/>
    <w:rsid w:val="00665B8C"/>
    <w:rsid w:val="00665B9E"/>
    <w:rsid w:val="00665BBF"/>
    <w:rsid w:val="00665CE0"/>
    <w:rsid w:val="00665DC9"/>
    <w:rsid w:val="00665DD2"/>
    <w:rsid w:val="00665F06"/>
    <w:rsid w:val="00665F75"/>
    <w:rsid w:val="00665F87"/>
    <w:rsid w:val="00665FA0"/>
    <w:rsid w:val="00665FF7"/>
    <w:rsid w:val="006660A3"/>
    <w:rsid w:val="006660C8"/>
    <w:rsid w:val="006661EC"/>
    <w:rsid w:val="006661F4"/>
    <w:rsid w:val="006662E4"/>
    <w:rsid w:val="00666446"/>
    <w:rsid w:val="0066646A"/>
    <w:rsid w:val="006664D1"/>
    <w:rsid w:val="0066652D"/>
    <w:rsid w:val="0066658A"/>
    <w:rsid w:val="006666E0"/>
    <w:rsid w:val="00666711"/>
    <w:rsid w:val="00666794"/>
    <w:rsid w:val="00666798"/>
    <w:rsid w:val="0066680F"/>
    <w:rsid w:val="006669D8"/>
    <w:rsid w:val="006669EB"/>
    <w:rsid w:val="00666A7F"/>
    <w:rsid w:val="00666B31"/>
    <w:rsid w:val="00666B9C"/>
    <w:rsid w:val="00666C12"/>
    <w:rsid w:val="00666C18"/>
    <w:rsid w:val="00666CD8"/>
    <w:rsid w:val="00666CED"/>
    <w:rsid w:val="00666D34"/>
    <w:rsid w:val="00666DB9"/>
    <w:rsid w:val="00666E22"/>
    <w:rsid w:val="00666EB5"/>
    <w:rsid w:val="00666F80"/>
    <w:rsid w:val="00666F95"/>
    <w:rsid w:val="00666FB1"/>
    <w:rsid w:val="00666FF7"/>
    <w:rsid w:val="0066718A"/>
    <w:rsid w:val="006672BB"/>
    <w:rsid w:val="00667344"/>
    <w:rsid w:val="00667425"/>
    <w:rsid w:val="00667443"/>
    <w:rsid w:val="0066755A"/>
    <w:rsid w:val="006675A6"/>
    <w:rsid w:val="00667640"/>
    <w:rsid w:val="00667761"/>
    <w:rsid w:val="006677F1"/>
    <w:rsid w:val="00667811"/>
    <w:rsid w:val="00667819"/>
    <w:rsid w:val="0066783D"/>
    <w:rsid w:val="00667910"/>
    <w:rsid w:val="00667979"/>
    <w:rsid w:val="006679A6"/>
    <w:rsid w:val="006679A9"/>
    <w:rsid w:val="006679F8"/>
    <w:rsid w:val="00667A4F"/>
    <w:rsid w:val="00667AEC"/>
    <w:rsid w:val="00667AF1"/>
    <w:rsid w:val="00667B23"/>
    <w:rsid w:val="00667B82"/>
    <w:rsid w:val="00667B9A"/>
    <w:rsid w:val="00667BD9"/>
    <w:rsid w:val="00667BF2"/>
    <w:rsid w:val="00667C08"/>
    <w:rsid w:val="00667CAD"/>
    <w:rsid w:val="00667D63"/>
    <w:rsid w:val="00667D76"/>
    <w:rsid w:val="00667E1F"/>
    <w:rsid w:val="00667E62"/>
    <w:rsid w:val="00667EC6"/>
    <w:rsid w:val="00667FC0"/>
    <w:rsid w:val="00667FFC"/>
    <w:rsid w:val="00670075"/>
    <w:rsid w:val="00670118"/>
    <w:rsid w:val="00670175"/>
    <w:rsid w:val="00670213"/>
    <w:rsid w:val="0067028A"/>
    <w:rsid w:val="00670301"/>
    <w:rsid w:val="00670409"/>
    <w:rsid w:val="00670431"/>
    <w:rsid w:val="0067058B"/>
    <w:rsid w:val="006705F7"/>
    <w:rsid w:val="00670645"/>
    <w:rsid w:val="0067064C"/>
    <w:rsid w:val="00670650"/>
    <w:rsid w:val="00670651"/>
    <w:rsid w:val="00670754"/>
    <w:rsid w:val="0067078D"/>
    <w:rsid w:val="006708F5"/>
    <w:rsid w:val="0067094F"/>
    <w:rsid w:val="00670993"/>
    <w:rsid w:val="006709FE"/>
    <w:rsid w:val="00670ABD"/>
    <w:rsid w:val="00670D14"/>
    <w:rsid w:val="00670E34"/>
    <w:rsid w:val="00670E4C"/>
    <w:rsid w:val="00670ED6"/>
    <w:rsid w:val="0067105C"/>
    <w:rsid w:val="006710C1"/>
    <w:rsid w:val="006710F9"/>
    <w:rsid w:val="00671245"/>
    <w:rsid w:val="00671296"/>
    <w:rsid w:val="00671393"/>
    <w:rsid w:val="006713BB"/>
    <w:rsid w:val="00671427"/>
    <w:rsid w:val="00671455"/>
    <w:rsid w:val="00671468"/>
    <w:rsid w:val="00671486"/>
    <w:rsid w:val="006714E9"/>
    <w:rsid w:val="00671606"/>
    <w:rsid w:val="00671612"/>
    <w:rsid w:val="006717C2"/>
    <w:rsid w:val="006717D7"/>
    <w:rsid w:val="00671807"/>
    <w:rsid w:val="0067183D"/>
    <w:rsid w:val="006718A0"/>
    <w:rsid w:val="006718FA"/>
    <w:rsid w:val="0067190E"/>
    <w:rsid w:val="006719E5"/>
    <w:rsid w:val="00671A09"/>
    <w:rsid w:val="00671AD8"/>
    <w:rsid w:val="00671B55"/>
    <w:rsid w:val="00671C18"/>
    <w:rsid w:val="00671C81"/>
    <w:rsid w:val="00671CFE"/>
    <w:rsid w:val="00671D65"/>
    <w:rsid w:val="00671E19"/>
    <w:rsid w:val="00671FB9"/>
    <w:rsid w:val="00671FE4"/>
    <w:rsid w:val="00671FF6"/>
    <w:rsid w:val="0067200A"/>
    <w:rsid w:val="0067205A"/>
    <w:rsid w:val="00672079"/>
    <w:rsid w:val="006720A8"/>
    <w:rsid w:val="00672125"/>
    <w:rsid w:val="006722CB"/>
    <w:rsid w:val="006724A7"/>
    <w:rsid w:val="006724F9"/>
    <w:rsid w:val="00672534"/>
    <w:rsid w:val="006725F4"/>
    <w:rsid w:val="006726CE"/>
    <w:rsid w:val="00672740"/>
    <w:rsid w:val="00672778"/>
    <w:rsid w:val="006727A3"/>
    <w:rsid w:val="006727BE"/>
    <w:rsid w:val="00672835"/>
    <w:rsid w:val="00672846"/>
    <w:rsid w:val="006728A0"/>
    <w:rsid w:val="0067290B"/>
    <w:rsid w:val="00672951"/>
    <w:rsid w:val="00672A35"/>
    <w:rsid w:val="00672A79"/>
    <w:rsid w:val="00672B62"/>
    <w:rsid w:val="00672B64"/>
    <w:rsid w:val="00672C0B"/>
    <w:rsid w:val="00672CB2"/>
    <w:rsid w:val="00672CCB"/>
    <w:rsid w:val="00672D5B"/>
    <w:rsid w:val="00672D8C"/>
    <w:rsid w:val="00672F90"/>
    <w:rsid w:val="0067305B"/>
    <w:rsid w:val="0067318C"/>
    <w:rsid w:val="006732C8"/>
    <w:rsid w:val="006733C2"/>
    <w:rsid w:val="0067382A"/>
    <w:rsid w:val="0067386D"/>
    <w:rsid w:val="00673897"/>
    <w:rsid w:val="00673932"/>
    <w:rsid w:val="00673965"/>
    <w:rsid w:val="00673AC3"/>
    <w:rsid w:val="00673AFD"/>
    <w:rsid w:val="00673B05"/>
    <w:rsid w:val="00673B09"/>
    <w:rsid w:val="00673BA2"/>
    <w:rsid w:val="00673C53"/>
    <w:rsid w:val="00673C9C"/>
    <w:rsid w:val="00673D4A"/>
    <w:rsid w:val="00673D60"/>
    <w:rsid w:val="00673DAE"/>
    <w:rsid w:val="00673DC0"/>
    <w:rsid w:val="00673DFB"/>
    <w:rsid w:val="00673E42"/>
    <w:rsid w:val="00673E5F"/>
    <w:rsid w:val="00673F0E"/>
    <w:rsid w:val="00673F2F"/>
    <w:rsid w:val="00673F5F"/>
    <w:rsid w:val="00673F65"/>
    <w:rsid w:val="006741D2"/>
    <w:rsid w:val="006741EA"/>
    <w:rsid w:val="006742BF"/>
    <w:rsid w:val="006742DA"/>
    <w:rsid w:val="006742DE"/>
    <w:rsid w:val="006742FD"/>
    <w:rsid w:val="00674333"/>
    <w:rsid w:val="006743C9"/>
    <w:rsid w:val="006743F2"/>
    <w:rsid w:val="0067441E"/>
    <w:rsid w:val="00674436"/>
    <w:rsid w:val="00674470"/>
    <w:rsid w:val="006744D4"/>
    <w:rsid w:val="006744E9"/>
    <w:rsid w:val="006745BD"/>
    <w:rsid w:val="006745F3"/>
    <w:rsid w:val="00674687"/>
    <w:rsid w:val="006746D3"/>
    <w:rsid w:val="006747C9"/>
    <w:rsid w:val="00674808"/>
    <w:rsid w:val="006748E8"/>
    <w:rsid w:val="0067498F"/>
    <w:rsid w:val="00674990"/>
    <w:rsid w:val="00674A52"/>
    <w:rsid w:val="00674BC7"/>
    <w:rsid w:val="00674C03"/>
    <w:rsid w:val="00674C1B"/>
    <w:rsid w:val="00674D7D"/>
    <w:rsid w:val="00674DF1"/>
    <w:rsid w:val="00674EC6"/>
    <w:rsid w:val="00674ECD"/>
    <w:rsid w:val="00674F63"/>
    <w:rsid w:val="00674FCF"/>
    <w:rsid w:val="00675011"/>
    <w:rsid w:val="0067511F"/>
    <w:rsid w:val="0067520E"/>
    <w:rsid w:val="0067525D"/>
    <w:rsid w:val="006752A0"/>
    <w:rsid w:val="006752E1"/>
    <w:rsid w:val="006753D6"/>
    <w:rsid w:val="00675492"/>
    <w:rsid w:val="006754AD"/>
    <w:rsid w:val="00675515"/>
    <w:rsid w:val="00675594"/>
    <w:rsid w:val="00675618"/>
    <w:rsid w:val="00675692"/>
    <w:rsid w:val="006756CD"/>
    <w:rsid w:val="00675719"/>
    <w:rsid w:val="006757BA"/>
    <w:rsid w:val="006757E6"/>
    <w:rsid w:val="006757F0"/>
    <w:rsid w:val="00675886"/>
    <w:rsid w:val="0067589C"/>
    <w:rsid w:val="00675907"/>
    <w:rsid w:val="006759B8"/>
    <w:rsid w:val="00675A46"/>
    <w:rsid w:val="00675A6C"/>
    <w:rsid w:val="00675B41"/>
    <w:rsid w:val="00675BFF"/>
    <w:rsid w:val="00675C06"/>
    <w:rsid w:val="00675C47"/>
    <w:rsid w:val="00675C7F"/>
    <w:rsid w:val="00675C94"/>
    <w:rsid w:val="00675D5A"/>
    <w:rsid w:val="00675D91"/>
    <w:rsid w:val="00675DB2"/>
    <w:rsid w:val="00676052"/>
    <w:rsid w:val="006760C7"/>
    <w:rsid w:val="006760F2"/>
    <w:rsid w:val="006760F7"/>
    <w:rsid w:val="00676185"/>
    <w:rsid w:val="006762E8"/>
    <w:rsid w:val="0067634C"/>
    <w:rsid w:val="00676368"/>
    <w:rsid w:val="0067649C"/>
    <w:rsid w:val="0067651E"/>
    <w:rsid w:val="0067652D"/>
    <w:rsid w:val="0067656A"/>
    <w:rsid w:val="006765D3"/>
    <w:rsid w:val="00676636"/>
    <w:rsid w:val="006766E4"/>
    <w:rsid w:val="006766EA"/>
    <w:rsid w:val="00676771"/>
    <w:rsid w:val="00676806"/>
    <w:rsid w:val="0067681A"/>
    <w:rsid w:val="006768BD"/>
    <w:rsid w:val="00676916"/>
    <w:rsid w:val="006769AE"/>
    <w:rsid w:val="006769F4"/>
    <w:rsid w:val="00676AD5"/>
    <w:rsid w:val="00676B61"/>
    <w:rsid w:val="00676BB4"/>
    <w:rsid w:val="00676BC6"/>
    <w:rsid w:val="00676C3E"/>
    <w:rsid w:val="00676C46"/>
    <w:rsid w:val="00676C88"/>
    <w:rsid w:val="00676DB5"/>
    <w:rsid w:val="00676E33"/>
    <w:rsid w:val="00676E34"/>
    <w:rsid w:val="00676E8C"/>
    <w:rsid w:val="00676E94"/>
    <w:rsid w:val="00676EC8"/>
    <w:rsid w:val="00676F78"/>
    <w:rsid w:val="00677071"/>
    <w:rsid w:val="00677130"/>
    <w:rsid w:val="00677347"/>
    <w:rsid w:val="00677369"/>
    <w:rsid w:val="0067740E"/>
    <w:rsid w:val="00677414"/>
    <w:rsid w:val="0067759F"/>
    <w:rsid w:val="0067760A"/>
    <w:rsid w:val="0067772C"/>
    <w:rsid w:val="006777A2"/>
    <w:rsid w:val="006777C3"/>
    <w:rsid w:val="00677809"/>
    <w:rsid w:val="006778E3"/>
    <w:rsid w:val="00677931"/>
    <w:rsid w:val="00677999"/>
    <w:rsid w:val="006779A5"/>
    <w:rsid w:val="006779DE"/>
    <w:rsid w:val="00677A0E"/>
    <w:rsid w:val="00677A9C"/>
    <w:rsid w:val="00677C71"/>
    <w:rsid w:val="00677CAF"/>
    <w:rsid w:val="00677D0B"/>
    <w:rsid w:val="00677D48"/>
    <w:rsid w:val="00677DA5"/>
    <w:rsid w:val="00677DDB"/>
    <w:rsid w:val="00680051"/>
    <w:rsid w:val="00680122"/>
    <w:rsid w:val="0068018C"/>
    <w:rsid w:val="0068018D"/>
    <w:rsid w:val="00680229"/>
    <w:rsid w:val="00680276"/>
    <w:rsid w:val="0068029B"/>
    <w:rsid w:val="0068030A"/>
    <w:rsid w:val="0068035E"/>
    <w:rsid w:val="006803EA"/>
    <w:rsid w:val="00680404"/>
    <w:rsid w:val="006804AD"/>
    <w:rsid w:val="0068052E"/>
    <w:rsid w:val="0068054F"/>
    <w:rsid w:val="00680557"/>
    <w:rsid w:val="006805BD"/>
    <w:rsid w:val="00680654"/>
    <w:rsid w:val="0068072C"/>
    <w:rsid w:val="00680796"/>
    <w:rsid w:val="006809EB"/>
    <w:rsid w:val="006809EC"/>
    <w:rsid w:val="00680B82"/>
    <w:rsid w:val="00680DBB"/>
    <w:rsid w:val="00680DDE"/>
    <w:rsid w:val="00680E0F"/>
    <w:rsid w:val="00680E20"/>
    <w:rsid w:val="00680F40"/>
    <w:rsid w:val="00680FA0"/>
    <w:rsid w:val="00681067"/>
    <w:rsid w:val="006810ED"/>
    <w:rsid w:val="0068110A"/>
    <w:rsid w:val="0068112C"/>
    <w:rsid w:val="0068119F"/>
    <w:rsid w:val="006811BB"/>
    <w:rsid w:val="006812E4"/>
    <w:rsid w:val="0068135C"/>
    <w:rsid w:val="006813B6"/>
    <w:rsid w:val="0068146B"/>
    <w:rsid w:val="006814A0"/>
    <w:rsid w:val="006814DD"/>
    <w:rsid w:val="00681526"/>
    <w:rsid w:val="006815C9"/>
    <w:rsid w:val="006815E4"/>
    <w:rsid w:val="006817E8"/>
    <w:rsid w:val="006819BB"/>
    <w:rsid w:val="006819FD"/>
    <w:rsid w:val="00681A5D"/>
    <w:rsid w:val="00681A9D"/>
    <w:rsid w:val="00681AE6"/>
    <w:rsid w:val="00681C6F"/>
    <w:rsid w:val="00681CE3"/>
    <w:rsid w:val="00681DC4"/>
    <w:rsid w:val="00681DD8"/>
    <w:rsid w:val="00681DF2"/>
    <w:rsid w:val="00681DFC"/>
    <w:rsid w:val="00681EA3"/>
    <w:rsid w:val="00681EA9"/>
    <w:rsid w:val="00681F27"/>
    <w:rsid w:val="00681F2B"/>
    <w:rsid w:val="00682001"/>
    <w:rsid w:val="0068200F"/>
    <w:rsid w:val="006820A5"/>
    <w:rsid w:val="0068228C"/>
    <w:rsid w:val="006822DF"/>
    <w:rsid w:val="006822E8"/>
    <w:rsid w:val="00682336"/>
    <w:rsid w:val="006823AC"/>
    <w:rsid w:val="0068244C"/>
    <w:rsid w:val="00682485"/>
    <w:rsid w:val="006824BD"/>
    <w:rsid w:val="0068266B"/>
    <w:rsid w:val="00682766"/>
    <w:rsid w:val="00682828"/>
    <w:rsid w:val="006828B7"/>
    <w:rsid w:val="00682958"/>
    <w:rsid w:val="00682A3D"/>
    <w:rsid w:val="00682AE9"/>
    <w:rsid w:val="00682B45"/>
    <w:rsid w:val="00682B5E"/>
    <w:rsid w:val="00682B69"/>
    <w:rsid w:val="00682B87"/>
    <w:rsid w:val="00682C09"/>
    <w:rsid w:val="00682C4C"/>
    <w:rsid w:val="00682DBB"/>
    <w:rsid w:val="00682DEA"/>
    <w:rsid w:val="00682E04"/>
    <w:rsid w:val="00682E21"/>
    <w:rsid w:val="00682E6E"/>
    <w:rsid w:val="00682ECF"/>
    <w:rsid w:val="00682EFB"/>
    <w:rsid w:val="00682F2F"/>
    <w:rsid w:val="0068303F"/>
    <w:rsid w:val="0068312E"/>
    <w:rsid w:val="0068326A"/>
    <w:rsid w:val="006832AF"/>
    <w:rsid w:val="006832BE"/>
    <w:rsid w:val="006832DD"/>
    <w:rsid w:val="00683448"/>
    <w:rsid w:val="0068347F"/>
    <w:rsid w:val="0068356C"/>
    <w:rsid w:val="0068366E"/>
    <w:rsid w:val="0068380D"/>
    <w:rsid w:val="0068398E"/>
    <w:rsid w:val="00683993"/>
    <w:rsid w:val="006839EB"/>
    <w:rsid w:val="00683A97"/>
    <w:rsid w:val="00683AC2"/>
    <w:rsid w:val="00683C05"/>
    <w:rsid w:val="00683C8B"/>
    <w:rsid w:val="00683CD2"/>
    <w:rsid w:val="00683E18"/>
    <w:rsid w:val="00683EB8"/>
    <w:rsid w:val="00683F16"/>
    <w:rsid w:val="00683F8B"/>
    <w:rsid w:val="00683FB3"/>
    <w:rsid w:val="00683FC4"/>
    <w:rsid w:val="00684247"/>
    <w:rsid w:val="00684274"/>
    <w:rsid w:val="00684423"/>
    <w:rsid w:val="006844AF"/>
    <w:rsid w:val="006845CB"/>
    <w:rsid w:val="0068469A"/>
    <w:rsid w:val="006846F6"/>
    <w:rsid w:val="00684723"/>
    <w:rsid w:val="006848C2"/>
    <w:rsid w:val="00684914"/>
    <w:rsid w:val="00684ADA"/>
    <w:rsid w:val="00684B55"/>
    <w:rsid w:val="00684B5D"/>
    <w:rsid w:val="00684C90"/>
    <w:rsid w:val="00684D28"/>
    <w:rsid w:val="00684D36"/>
    <w:rsid w:val="00684DA1"/>
    <w:rsid w:val="00684E3B"/>
    <w:rsid w:val="00684E42"/>
    <w:rsid w:val="00684E85"/>
    <w:rsid w:val="00684ED1"/>
    <w:rsid w:val="00684FBC"/>
    <w:rsid w:val="00685032"/>
    <w:rsid w:val="006850B3"/>
    <w:rsid w:val="00685229"/>
    <w:rsid w:val="0068540B"/>
    <w:rsid w:val="0068550B"/>
    <w:rsid w:val="00685570"/>
    <w:rsid w:val="00685647"/>
    <w:rsid w:val="0068578D"/>
    <w:rsid w:val="006857C5"/>
    <w:rsid w:val="006857E1"/>
    <w:rsid w:val="006857F0"/>
    <w:rsid w:val="00685884"/>
    <w:rsid w:val="006858BF"/>
    <w:rsid w:val="006859A3"/>
    <w:rsid w:val="00685A32"/>
    <w:rsid w:val="00685C04"/>
    <w:rsid w:val="00685C74"/>
    <w:rsid w:val="00685CA7"/>
    <w:rsid w:val="00685CF9"/>
    <w:rsid w:val="00685D9D"/>
    <w:rsid w:val="00685DA2"/>
    <w:rsid w:val="00685DD6"/>
    <w:rsid w:val="00685E1B"/>
    <w:rsid w:val="00685E7E"/>
    <w:rsid w:val="00685EB3"/>
    <w:rsid w:val="00685F65"/>
    <w:rsid w:val="00685FB7"/>
    <w:rsid w:val="00685FF2"/>
    <w:rsid w:val="00685FFC"/>
    <w:rsid w:val="0068619F"/>
    <w:rsid w:val="00686233"/>
    <w:rsid w:val="0068626D"/>
    <w:rsid w:val="00686306"/>
    <w:rsid w:val="00686353"/>
    <w:rsid w:val="006863C6"/>
    <w:rsid w:val="006864B8"/>
    <w:rsid w:val="00686514"/>
    <w:rsid w:val="0068651E"/>
    <w:rsid w:val="00686581"/>
    <w:rsid w:val="006865FD"/>
    <w:rsid w:val="00686671"/>
    <w:rsid w:val="006866DC"/>
    <w:rsid w:val="006868F9"/>
    <w:rsid w:val="006869F2"/>
    <w:rsid w:val="00686C66"/>
    <w:rsid w:val="00686CDC"/>
    <w:rsid w:val="00686CE2"/>
    <w:rsid w:val="00686CE8"/>
    <w:rsid w:val="00686CE9"/>
    <w:rsid w:val="00686D7A"/>
    <w:rsid w:val="00686E45"/>
    <w:rsid w:val="00686EE7"/>
    <w:rsid w:val="0068700E"/>
    <w:rsid w:val="0068709B"/>
    <w:rsid w:val="006870F0"/>
    <w:rsid w:val="006870FA"/>
    <w:rsid w:val="0068710C"/>
    <w:rsid w:val="00687194"/>
    <w:rsid w:val="006871A2"/>
    <w:rsid w:val="0068720E"/>
    <w:rsid w:val="0068725A"/>
    <w:rsid w:val="006872CD"/>
    <w:rsid w:val="00687308"/>
    <w:rsid w:val="0068752D"/>
    <w:rsid w:val="0068753E"/>
    <w:rsid w:val="006877C5"/>
    <w:rsid w:val="006877CD"/>
    <w:rsid w:val="006877F3"/>
    <w:rsid w:val="00687874"/>
    <w:rsid w:val="006879C8"/>
    <w:rsid w:val="00687A58"/>
    <w:rsid w:val="00687A7D"/>
    <w:rsid w:val="00687B94"/>
    <w:rsid w:val="00687B9A"/>
    <w:rsid w:val="00687CC6"/>
    <w:rsid w:val="00687CDA"/>
    <w:rsid w:val="00687D08"/>
    <w:rsid w:val="00687D8E"/>
    <w:rsid w:val="00687DB2"/>
    <w:rsid w:val="00687E73"/>
    <w:rsid w:val="00687E8B"/>
    <w:rsid w:val="00687E9C"/>
    <w:rsid w:val="00687F87"/>
    <w:rsid w:val="00687FB2"/>
    <w:rsid w:val="00687FC4"/>
    <w:rsid w:val="00687FEF"/>
    <w:rsid w:val="00690075"/>
    <w:rsid w:val="006900C1"/>
    <w:rsid w:val="006900C4"/>
    <w:rsid w:val="0069014F"/>
    <w:rsid w:val="00690175"/>
    <w:rsid w:val="006901E6"/>
    <w:rsid w:val="00690210"/>
    <w:rsid w:val="0069024A"/>
    <w:rsid w:val="006902F1"/>
    <w:rsid w:val="00690332"/>
    <w:rsid w:val="006903C0"/>
    <w:rsid w:val="0069041C"/>
    <w:rsid w:val="006904A7"/>
    <w:rsid w:val="006904CA"/>
    <w:rsid w:val="0069063D"/>
    <w:rsid w:val="00690671"/>
    <w:rsid w:val="00690678"/>
    <w:rsid w:val="006909AC"/>
    <w:rsid w:val="006909DD"/>
    <w:rsid w:val="00690A75"/>
    <w:rsid w:val="00690AC7"/>
    <w:rsid w:val="00690B16"/>
    <w:rsid w:val="00690CDD"/>
    <w:rsid w:val="00690E7B"/>
    <w:rsid w:val="00690E94"/>
    <w:rsid w:val="00690ED5"/>
    <w:rsid w:val="00690F27"/>
    <w:rsid w:val="00690F37"/>
    <w:rsid w:val="00690FD8"/>
    <w:rsid w:val="00691022"/>
    <w:rsid w:val="0069102B"/>
    <w:rsid w:val="006910E5"/>
    <w:rsid w:val="00691153"/>
    <w:rsid w:val="006912F1"/>
    <w:rsid w:val="00691404"/>
    <w:rsid w:val="00691490"/>
    <w:rsid w:val="00691515"/>
    <w:rsid w:val="006915E0"/>
    <w:rsid w:val="00691640"/>
    <w:rsid w:val="006916A5"/>
    <w:rsid w:val="006916FD"/>
    <w:rsid w:val="0069179E"/>
    <w:rsid w:val="006917C0"/>
    <w:rsid w:val="00691883"/>
    <w:rsid w:val="006918A4"/>
    <w:rsid w:val="006918F1"/>
    <w:rsid w:val="00691913"/>
    <w:rsid w:val="00691964"/>
    <w:rsid w:val="006919B5"/>
    <w:rsid w:val="00691A2B"/>
    <w:rsid w:val="00691B1C"/>
    <w:rsid w:val="00691C28"/>
    <w:rsid w:val="00691CC6"/>
    <w:rsid w:val="00691D2A"/>
    <w:rsid w:val="00691D85"/>
    <w:rsid w:val="00691D86"/>
    <w:rsid w:val="00691DAD"/>
    <w:rsid w:val="00691DCA"/>
    <w:rsid w:val="00691E4D"/>
    <w:rsid w:val="00691E83"/>
    <w:rsid w:val="00691EB2"/>
    <w:rsid w:val="00691F22"/>
    <w:rsid w:val="00691F66"/>
    <w:rsid w:val="00691FCA"/>
    <w:rsid w:val="00692065"/>
    <w:rsid w:val="0069216D"/>
    <w:rsid w:val="00692172"/>
    <w:rsid w:val="0069222E"/>
    <w:rsid w:val="006922A6"/>
    <w:rsid w:val="0069230C"/>
    <w:rsid w:val="00692341"/>
    <w:rsid w:val="00692417"/>
    <w:rsid w:val="0069253A"/>
    <w:rsid w:val="00692550"/>
    <w:rsid w:val="006925FB"/>
    <w:rsid w:val="006926BF"/>
    <w:rsid w:val="00692771"/>
    <w:rsid w:val="006927A8"/>
    <w:rsid w:val="00692802"/>
    <w:rsid w:val="00692839"/>
    <w:rsid w:val="00692A3B"/>
    <w:rsid w:val="00692C29"/>
    <w:rsid w:val="00692CCE"/>
    <w:rsid w:val="00692CD7"/>
    <w:rsid w:val="00692E44"/>
    <w:rsid w:val="00692E69"/>
    <w:rsid w:val="00692F78"/>
    <w:rsid w:val="00692FF5"/>
    <w:rsid w:val="0069301A"/>
    <w:rsid w:val="00693025"/>
    <w:rsid w:val="0069304C"/>
    <w:rsid w:val="0069306B"/>
    <w:rsid w:val="0069311B"/>
    <w:rsid w:val="0069315F"/>
    <w:rsid w:val="006931A9"/>
    <w:rsid w:val="006931CB"/>
    <w:rsid w:val="006931FB"/>
    <w:rsid w:val="00693223"/>
    <w:rsid w:val="0069333A"/>
    <w:rsid w:val="006933F6"/>
    <w:rsid w:val="00693690"/>
    <w:rsid w:val="00693719"/>
    <w:rsid w:val="00693798"/>
    <w:rsid w:val="006937A3"/>
    <w:rsid w:val="006937BD"/>
    <w:rsid w:val="00693808"/>
    <w:rsid w:val="00693843"/>
    <w:rsid w:val="00693885"/>
    <w:rsid w:val="0069392B"/>
    <w:rsid w:val="00693A0D"/>
    <w:rsid w:val="00693B12"/>
    <w:rsid w:val="00693B14"/>
    <w:rsid w:val="00693B16"/>
    <w:rsid w:val="00693B51"/>
    <w:rsid w:val="00693B52"/>
    <w:rsid w:val="00693B67"/>
    <w:rsid w:val="00693BF9"/>
    <w:rsid w:val="00693C50"/>
    <w:rsid w:val="00693CE3"/>
    <w:rsid w:val="00693D0C"/>
    <w:rsid w:val="00693D25"/>
    <w:rsid w:val="00693DC4"/>
    <w:rsid w:val="00693DFB"/>
    <w:rsid w:val="00693E78"/>
    <w:rsid w:val="00693EAF"/>
    <w:rsid w:val="00693F2A"/>
    <w:rsid w:val="00693FB2"/>
    <w:rsid w:val="006940E2"/>
    <w:rsid w:val="00694114"/>
    <w:rsid w:val="00694166"/>
    <w:rsid w:val="00694172"/>
    <w:rsid w:val="006941A5"/>
    <w:rsid w:val="0069421C"/>
    <w:rsid w:val="006942A2"/>
    <w:rsid w:val="0069431A"/>
    <w:rsid w:val="006943C5"/>
    <w:rsid w:val="006943DD"/>
    <w:rsid w:val="0069440D"/>
    <w:rsid w:val="00694442"/>
    <w:rsid w:val="006944C8"/>
    <w:rsid w:val="006944E4"/>
    <w:rsid w:val="006944F4"/>
    <w:rsid w:val="0069457B"/>
    <w:rsid w:val="006945BA"/>
    <w:rsid w:val="006945D8"/>
    <w:rsid w:val="00694639"/>
    <w:rsid w:val="006946B1"/>
    <w:rsid w:val="006946C7"/>
    <w:rsid w:val="0069479A"/>
    <w:rsid w:val="00694826"/>
    <w:rsid w:val="006948E8"/>
    <w:rsid w:val="0069497D"/>
    <w:rsid w:val="006949D4"/>
    <w:rsid w:val="00694A30"/>
    <w:rsid w:val="00694B29"/>
    <w:rsid w:val="00694B3F"/>
    <w:rsid w:val="00694B47"/>
    <w:rsid w:val="00694B9B"/>
    <w:rsid w:val="00694D19"/>
    <w:rsid w:val="00694DA0"/>
    <w:rsid w:val="00694E18"/>
    <w:rsid w:val="00694E71"/>
    <w:rsid w:val="00694F00"/>
    <w:rsid w:val="00694F63"/>
    <w:rsid w:val="00694FF3"/>
    <w:rsid w:val="0069506B"/>
    <w:rsid w:val="0069514F"/>
    <w:rsid w:val="00695250"/>
    <w:rsid w:val="006952BA"/>
    <w:rsid w:val="00695347"/>
    <w:rsid w:val="006953DB"/>
    <w:rsid w:val="006953DD"/>
    <w:rsid w:val="0069546A"/>
    <w:rsid w:val="0069548B"/>
    <w:rsid w:val="006954E6"/>
    <w:rsid w:val="0069557F"/>
    <w:rsid w:val="006955A6"/>
    <w:rsid w:val="00695616"/>
    <w:rsid w:val="0069568F"/>
    <w:rsid w:val="00695864"/>
    <w:rsid w:val="0069586B"/>
    <w:rsid w:val="006958BC"/>
    <w:rsid w:val="006958D5"/>
    <w:rsid w:val="00695947"/>
    <w:rsid w:val="006959AF"/>
    <w:rsid w:val="00695A0F"/>
    <w:rsid w:val="00695A29"/>
    <w:rsid w:val="00695B2C"/>
    <w:rsid w:val="00695B43"/>
    <w:rsid w:val="00695B44"/>
    <w:rsid w:val="00695BAE"/>
    <w:rsid w:val="00695CB2"/>
    <w:rsid w:val="00695D71"/>
    <w:rsid w:val="00695E0A"/>
    <w:rsid w:val="00695E19"/>
    <w:rsid w:val="00695E46"/>
    <w:rsid w:val="00695E64"/>
    <w:rsid w:val="00695EB4"/>
    <w:rsid w:val="00695F62"/>
    <w:rsid w:val="00695FC9"/>
    <w:rsid w:val="00696033"/>
    <w:rsid w:val="0069613F"/>
    <w:rsid w:val="0069616B"/>
    <w:rsid w:val="0069618D"/>
    <w:rsid w:val="006961E1"/>
    <w:rsid w:val="0069621D"/>
    <w:rsid w:val="00696273"/>
    <w:rsid w:val="006962C4"/>
    <w:rsid w:val="006962CB"/>
    <w:rsid w:val="006962E4"/>
    <w:rsid w:val="00696325"/>
    <w:rsid w:val="00696339"/>
    <w:rsid w:val="0069640E"/>
    <w:rsid w:val="00696411"/>
    <w:rsid w:val="00696446"/>
    <w:rsid w:val="006964B2"/>
    <w:rsid w:val="00696526"/>
    <w:rsid w:val="006965E2"/>
    <w:rsid w:val="0069662F"/>
    <w:rsid w:val="0069665C"/>
    <w:rsid w:val="00696752"/>
    <w:rsid w:val="00696786"/>
    <w:rsid w:val="00696860"/>
    <w:rsid w:val="006968CF"/>
    <w:rsid w:val="0069699B"/>
    <w:rsid w:val="006969B4"/>
    <w:rsid w:val="00696AE7"/>
    <w:rsid w:val="00696B38"/>
    <w:rsid w:val="00696B68"/>
    <w:rsid w:val="00696CC9"/>
    <w:rsid w:val="00696CEA"/>
    <w:rsid w:val="00696DBD"/>
    <w:rsid w:val="00696E17"/>
    <w:rsid w:val="00696E19"/>
    <w:rsid w:val="00696EC5"/>
    <w:rsid w:val="00696F0B"/>
    <w:rsid w:val="00696FCA"/>
    <w:rsid w:val="0069707E"/>
    <w:rsid w:val="006970F4"/>
    <w:rsid w:val="00697162"/>
    <w:rsid w:val="006971F6"/>
    <w:rsid w:val="006971FD"/>
    <w:rsid w:val="00697289"/>
    <w:rsid w:val="006972D1"/>
    <w:rsid w:val="00697350"/>
    <w:rsid w:val="006974C8"/>
    <w:rsid w:val="0069756B"/>
    <w:rsid w:val="00697581"/>
    <w:rsid w:val="00697648"/>
    <w:rsid w:val="00697766"/>
    <w:rsid w:val="0069779A"/>
    <w:rsid w:val="00697871"/>
    <w:rsid w:val="0069791C"/>
    <w:rsid w:val="00697A6B"/>
    <w:rsid w:val="00697AA2"/>
    <w:rsid w:val="00697AAF"/>
    <w:rsid w:val="00697ABD"/>
    <w:rsid w:val="00697B05"/>
    <w:rsid w:val="00697B10"/>
    <w:rsid w:val="00697B74"/>
    <w:rsid w:val="00697BE8"/>
    <w:rsid w:val="00697C17"/>
    <w:rsid w:val="00697CB0"/>
    <w:rsid w:val="00697D08"/>
    <w:rsid w:val="00697D81"/>
    <w:rsid w:val="00697DB9"/>
    <w:rsid w:val="00697E0D"/>
    <w:rsid w:val="00697E31"/>
    <w:rsid w:val="00697E55"/>
    <w:rsid w:val="00697E86"/>
    <w:rsid w:val="00697F37"/>
    <w:rsid w:val="00697F77"/>
    <w:rsid w:val="00697F84"/>
    <w:rsid w:val="0069E5A8"/>
    <w:rsid w:val="006A0069"/>
    <w:rsid w:val="006A00B7"/>
    <w:rsid w:val="006A00CC"/>
    <w:rsid w:val="006A00D4"/>
    <w:rsid w:val="006A02AE"/>
    <w:rsid w:val="006A0318"/>
    <w:rsid w:val="006A03E2"/>
    <w:rsid w:val="006A0412"/>
    <w:rsid w:val="006A051C"/>
    <w:rsid w:val="006A0565"/>
    <w:rsid w:val="006A05DD"/>
    <w:rsid w:val="006A0614"/>
    <w:rsid w:val="006A0649"/>
    <w:rsid w:val="006A0719"/>
    <w:rsid w:val="006A075D"/>
    <w:rsid w:val="006A08B9"/>
    <w:rsid w:val="006A0917"/>
    <w:rsid w:val="006A0946"/>
    <w:rsid w:val="006A09A0"/>
    <w:rsid w:val="006A09B7"/>
    <w:rsid w:val="006A0A77"/>
    <w:rsid w:val="006A0AB5"/>
    <w:rsid w:val="006A0B25"/>
    <w:rsid w:val="006A0BD6"/>
    <w:rsid w:val="006A0C5D"/>
    <w:rsid w:val="006A0C67"/>
    <w:rsid w:val="006A0CEB"/>
    <w:rsid w:val="006A0D74"/>
    <w:rsid w:val="006A0E20"/>
    <w:rsid w:val="006A0E4A"/>
    <w:rsid w:val="006A0EE9"/>
    <w:rsid w:val="006A0FBA"/>
    <w:rsid w:val="006A0FF4"/>
    <w:rsid w:val="006A1052"/>
    <w:rsid w:val="006A10B7"/>
    <w:rsid w:val="006A11E4"/>
    <w:rsid w:val="006A125E"/>
    <w:rsid w:val="006A13AA"/>
    <w:rsid w:val="006A14CF"/>
    <w:rsid w:val="006A1700"/>
    <w:rsid w:val="006A1767"/>
    <w:rsid w:val="006A18F2"/>
    <w:rsid w:val="006A1963"/>
    <w:rsid w:val="006A1998"/>
    <w:rsid w:val="006A1A1A"/>
    <w:rsid w:val="006A1B00"/>
    <w:rsid w:val="006A1B51"/>
    <w:rsid w:val="006A1B94"/>
    <w:rsid w:val="006A1BA3"/>
    <w:rsid w:val="006A1C88"/>
    <w:rsid w:val="006A1CAC"/>
    <w:rsid w:val="006A1D44"/>
    <w:rsid w:val="006A1E4B"/>
    <w:rsid w:val="006A1E6E"/>
    <w:rsid w:val="006A1EF1"/>
    <w:rsid w:val="006A1F7F"/>
    <w:rsid w:val="006A2054"/>
    <w:rsid w:val="006A2091"/>
    <w:rsid w:val="006A2137"/>
    <w:rsid w:val="006A2148"/>
    <w:rsid w:val="006A2202"/>
    <w:rsid w:val="006A220F"/>
    <w:rsid w:val="006A222D"/>
    <w:rsid w:val="006A2265"/>
    <w:rsid w:val="006A22D9"/>
    <w:rsid w:val="006A2316"/>
    <w:rsid w:val="006A23D4"/>
    <w:rsid w:val="006A23E0"/>
    <w:rsid w:val="006A23E8"/>
    <w:rsid w:val="006A240F"/>
    <w:rsid w:val="006A248E"/>
    <w:rsid w:val="006A25D3"/>
    <w:rsid w:val="006A2622"/>
    <w:rsid w:val="006A26E4"/>
    <w:rsid w:val="006A27AE"/>
    <w:rsid w:val="006A2955"/>
    <w:rsid w:val="006A296C"/>
    <w:rsid w:val="006A29BF"/>
    <w:rsid w:val="006A29FE"/>
    <w:rsid w:val="006A2A25"/>
    <w:rsid w:val="006A2A95"/>
    <w:rsid w:val="006A2B58"/>
    <w:rsid w:val="006A2BD0"/>
    <w:rsid w:val="006A2BEA"/>
    <w:rsid w:val="006A2C5E"/>
    <w:rsid w:val="006A2CF7"/>
    <w:rsid w:val="006A2DAF"/>
    <w:rsid w:val="006A2DD9"/>
    <w:rsid w:val="006A2E30"/>
    <w:rsid w:val="006A2F66"/>
    <w:rsid w:val="006A31D3"/>
    <w:rsid w:val="006A31E3"/>
    <w:rsid w:val="006A326E"/>
    <w:rsid w:val="006A328A"/>
    <w:rsid w:val="006A32B2"/>
    <w:rsid w:val="006A32CC"/>
    <w:rsid w:val="006A32CD"/>
    <w:rsid w:val="006A32FB"/>
    <w:rsid w:val="006A3495"/>
    <w:rsid w:val="006A3598"/>
    <w:rsid w:val="006A35AB"/>
    <w:rsid w:val="006A35CF"/>
    <w:rsid w:val="006A3686"/>
    <w:rsid w:val="006A372B"/>
    <w:rsid w:val="006A38C9"/>
    <w:rsid w:val="006A3A16"/>
    <w:rsid w:val="006A3A66"/>
    <w:rsid w:val="006A3A6E"/>
    <w:rsid w:val="006A3A89"/>
    <w:rsid w:val="006A3B13"/>
    <w:rsid w:val="006A3BAA"/>
    <w:rsid w:val="006A3C12"/>
    <w:rsid w:val="006A3C5B"/>
    <w:rsid w:val="006A3D0A"/>
    <w:rsid w:val="006A3D77"/>
    <w:rsid w:val="006A3EA7"/>
    <w:rsid w:val="006A3F13"/>
    <w:rsid w:val="006A3F62"/>
    <w:rsid w:val="006A4057"/>
    <w:rsid w:val="006A410F"/>
    <w:rsid w:val="006A428B"/>
    <w:rsid w:val="006A42A8"/>
    <w:rsid w:val="006A435A"/>
    <w:rsid w:val="006A4455"/>
    <w:rsid w:val="006A4512"/>
    <w:rsid w:val="006A454F"/>
    <w:rsid w:val="006A460C"/>
    <w:rsid w:val="006A4654"/>
    <w:rsid w:val="006A4709"/>
    <w:rsid w:val="006A471B"/>
    <w:rsid w:val="006A4828"/>
    <w:rsid w:val="006A486F"/>
    <w:rsid w:val="006A4A06"/>
    <w:rsid w:val="006A4A90"/>
    <w:rsid w:val="006A4AAD"/>
    <w:rsid w:val="006A4B24"/>
    <w:rsid w:val="006A4BE1"/>
    <w:rsid w:val="006A4C39"/>
    <w:rsid w:val="006A4CDB"/>
    <w:rsid w:val="006A4DD9"/>
    <w:rsid w:val="006A4E4E"/>
    <w:rsid w:val="006A4ED9"/>
    <w:rsid w:val="006A4F12"/>
    <w:rsid w:val="006A4F4E"/>
    <w:rsid w:val="006A4FB8"/>
    <w:rsid w:val="006A5009"/>
    <w:rsid w:val="006A502F"/>
    <w:rsid w:val="006A50AB"/>
    <w:rsid w:val="006A5111"/>
    <w:rsid w:val="006A5130"/>
    <w:rsid w:val="006A5154"/>
    <w:rsid w:val="006A5242"/>
    <w:rsid w:val="006A5296"/>
    <w:rsid w:val="006A52A8"/>
    <w:rsid w:val="006A52F8"/>
    <w:rsid w:val="006A531A"/>
    <w:rsid w:val="006A5330"/>
    <w:rsid w:val="006A535A"/>
    <w:rsid w:val="006A54E3"/>
    <w:rsid w:val="006A5500"/>
    <w:rsid w:val="006A551E"/>
    <w:rsid w:val="006A565C"/>
    <w:rsid w:val="006A576B"/>
    <w:rsid w:val="006A5A8D"/>
    <w:rsid w:val="006A5B79"/>
    <w:rsid w:val="006A5BE6"/>
    <w:rsid w:val="006A5C5C"/>
    <w:rsid w:val="006A5C9E"/>
    <w:rsid w:val="006A5CFC"/>
    <w:rsid w:val="006A5E23"/>
    <w:rsid w:val="006A5E27"/>
    <w:rsid w:val="006A5E48"/>
    <w:rsid w:val="006A5E9E"/>
    <w:rsid w:val="006A5EA2"/>
    <w:rsid w:val="006A5EFA"/>
    <w:rsid w:val="006A5F08"/>
    <w:rsid w:val="006A5F37"/>
    <w:rsid w:val="006A6152"/>
    <w:rsid w:val="006A6194"/>
    <w:rsid w:val="006A61A0"/>
    <w:rsid w:val="006A6212"/>
    <w:rsid w:val="006A62AE"/>
    <w:rsid w:val="006A62C6"/>
    <w:rsid w:val="006A63FF"/>
    <w:rsid w:val="006A6508"/>
    <w:rsid w:val="006A653D"/>
    <w:rsid w:val="006A658B"/>
    <w:rsid w:val="006A65A3"/>
    <w:rsid w:val="006A65B7"/>
    <w:rsid w:val="006A65C0"/>
    <w:rsid w:val="006A65C6"/>
    <w:rsid w:val="006A65F2"/>
    <w:rsid w:val="006A65FD"/>
    <w:rsid w:val="006A6645"/>
    <w:rsid w:val="006A66ED"/>
    <w:rsid w:val="006A6706"/>
    <w:rsid w:val="006A6712"/>
    <w:rsid w:val="006A673E"/>
    <w:rsid w:val="006A695B"/>
    <w:rsid w:val="006A6A18"/>
    <w:rsid w:val="006A6A32"/>
    <w:rsid w:val="006A6A53"/>
    <w:rsid w:val="006A6B65"/>
    <w:rsid w:val="006A6B7B"/>
    <w:rsid w:val="006A6C92"/>
    <w:rsid w:val="006A6CCF"/>
    <w:rsid w:val="006A6D27"/>
    <w:rsid w:val="006A6D38"/>
    <w:rsid w:val="006A6DCF"/>
    <w:rsid w:val="006A6DFD"/>
    <w:rsid w:val="006A6E27"/>
    <w:rsid w:val="006A6E32"/>
    <w:rsid w:val="006A6EC0"/>
    <w:rsid w:val="006A6ED7"/>
    <w:rsid w:val="006A6F53"/>
    <w:rsid w:val="006A706B"/>
    <w:rsid w:val="006A70CE"/>
    <w:rsid w:val="006A7187"/>
    <w:rsid w:val="006A719B"/>
    <w:rsid w:val="006A7342"/>
    <w:rsid w:val="006A7484"/>
    <w:rsid w:val="006A74B1"/>
    <w:rsid w:val="006A75B8"/>
    <w:rsid w:val="006A7611"/>
    <w:rsid w:val="006A76C6"/>
    <w:rsid w:val="006A76EB"/>
    <w:rsid w:val="006A76FF"/>
    <w:rsid w:val="006A7744"/>
    <w:rsid w:val="006A7787"/>
    <w:rsid w:val="006A78FE"/>
    <w:rsid w:val="006A791C"/>
    <w:rsid w:val="006A7948"/>
    <w:rsid w:val="006A798C"/>
    <w:rsid w:val="006A7A08"/>
    <w:rsid w:val="006A7A0F"/>
    <w:rsid w:val="006A7A35"/>
    <w:rsid w:val="006A7A79"/>
    <w:rsid w:val="006A7AA5"/>
    <w:rsid w:val="006A7B1F"/>
    <w:rsid w:val="006A7B5C"/>
    <w:rsid w:val="006A7C13"/>
    <w:rsid w:val="006A7C1A"/>
    <w:rsid w:val="006A7C54"/>
    <w:rsid w:val="006A7CAF"/>
    <w:rsid w:val="006A7CCE"/>
    <w:rsid w:val="006A7D4E"/>
    <w:rsid w:val="006A7DA3"/>
    <w:rsid w:val="006A7E1A"/>
    <w:rsid w:val="006A7E94"/>
    <w:rsid w:val="006A7EB4"/>
    <w:rsid w:val="006A7F01"/>
    <w:rsid w:val="006A7F39"/>
    <w:rsid w:val="006A7F8A"/>
    <w:rsid w:val="006B029C"/>
    <w:rsid w:val="006B0303"/>
    <w:rsid w:val="006B031C"/>
    <w:rsid w:val="006B03CE"/>
    <w:rsid w:val="006B0410"/>
    <w:rsid w:val="006B0472"/>
    <w:rsid w:val="006B04FD"/>
    <w:rsid w:val="006B0529"/>
    <w:rsid w:val="006B0608"/>
    <w:rsid w:val="006B06B2"/>
    <w:rsid w:val="006B0716"/>
    <w:rsid w:val="006B0789"/>
    <w:rsid w:val="006B07FF"/>
    <w:rsid w:val="006B0804"/>
    <w:rsid w:val="006B08BE"/>
    <w:rsid w:val="006B0984"/>
    <w:rsid w:val="006B0A33"/>
    <w:rsid w:val="006B0B14"/>
    <w:rsid w:val="006B0B4C"/>
    <w:rsid w:val="006B0B78"/>
    <w:rsid w:val="006B0B91"/>
    <w:rsid w:val="006B0C10"/>
    <w:rsid w:val="006B0C2E"/>
    <w:rsid w:val="006B0E3F"/>
    <w:rsid w:val="006B0E40"/>
    <w:rsid w:val="006B0E58"/>
    <w:rsid w:val="006B0E59"/>
    <w:rsid w:val="006B0E5A"/>
    <w:rsid w:val="006B0E7B"/>
    <w:rsid w:val="006B0E89"/>
    <w:rsid w:val="006B0EAD"/>
    <w:rsid w:val="006B0EF9"/>
    <w:rsid w:val="006B0F29"/>
    <w:rsid w:val="006B102A"/>
    <w:rsid w:val="006B1071"/>
    <w:rsid w:val="006B10A8"/>
    <w:rsid w:val="006B10C0"/>
    <w:rsid w:val="006B110E"/>
    <w:rsid w:val="006B1179"/>
    <w:rsid w:val="006B1229"/>
    <w:rsid w:val="006B1279"/>
    <w:rsid w:val="006B12EA"/>
    <w:rsid w:val="006B1353"/>
    <w:rsid w:val="006B13F8"/>
    <w:rsid w:val="006B1429"/>
    <w:rsid w:val="006B143B"/>
    <w:rsid w:val="006B1528"/>
    <w:rsid w:val="006B161C"/>
    <w:rsid w:val="006B1722"/>
    <w:rsid w:val="006B1783"/>
    <w:rsid w:val="006B17A3"/>
    <w:rsid w:val="006B186C"/>
    <w:rsid w:val="006B187C"/>
    <w:rsid w:val="006B189F"/>
    <w:rsid w:val="006B19B6"/>
    <w:rsid w:val="006B1A5D"/>
    <w:rsid w:val="006B1A68"/>
    <w:rsid w:val="006B1AD5"/>
    <w:rsid w:val="006B1BA7"/>
    <w:rsid w:val="006B1BEC"/>
    <w:rsid w:val="006B1BF7"/>
    <w:rsid w:val="006B1BFA"/>
    <w:rsid w:val="006B1C74"/>
    <w:rsid w:val="006B1CD4"/>
    <w:rsid w:val="006B1CEC"/>
    <w:rsid w:val="006B1D6D"/>
    <w:rsid w:val="006B1D91"/>
    <w:rsid w:val="006B1DDD"/>
    <w:rsid w:val="006B1E4D"/>
    <w:rsid w:val="006B1EA5"/>
    <w:rsid w:val="006B1F8F"/>
    <w:rsid w:val="006B203C"/>
    <w:rsid w:val="006B209F"/>
    <w:rsid w:val="006B20A6"/>
    <w:rsid w:val="006B20B4"/>
    <w:rsid w:val="006B20D5"/>
    <w:rsid w:val="006B218D"/>
    <w:rsid w:val="006B21B0"/>
    <w:rsid w:val="006B21B6"/>
    <w:rsid w:val="006B2232"/>
    <w:rsid w:val="006B22B8"/>
    <w:rsid w:val="006B2350"/>
    <w:rsid w:val="006B23B7"/>
    <w:rsid w:val="006B2434"/>
    <w:rsid w:val="006B2452"/>
    <w:rsid w:val="006B2496"/>
    <w:rsid w:val="006B24E6"/>
    <w:rsid w:val="006B2567"/>
    <w:rsid w:val="006B25D3"/>
    <w:rsid w:val="006B2655"/>
    <w:rsid w:val="006B2702"/>
    <w:rsid w:val="006B29C9"/>
    <w:rsid w:val="006B29E7"/>
    <w:rsid w:val="006B2B87"/>
    <w:rsid w:val="006B2C14"/>
    <w:rsid w:val="006B2C2B"/>
    <w:rsid w:val="006B2C9B"/>
    <w:rsid w:val="006B2CB0"/>
    <w:rsid w:val="006B2F03"/>
    <w:rsid w:val="006B2F2F"/>
    <w:rsid w:val="006B2F3D"/>
    <w:rsid w:val="006B2FFF"/>
    <w:rsid w:val="006B30AB"/>
    <w:rsid w:val="006B31BB"/>
    <w:rsid w:val="006B3214"/>
    <w:rsid w:val="006B3294"/>
    <w:rsid w:val="006B3353"/>
    <w:rsid w:val="006B335D"/>
    <w:rsid w:val="006B344F"/>
    <w:rsid w:val="006B34BA"/>
    <w:rsid w:val="006B34DB"/>
    <w:rsid w:val="006B3505"/>
    <w:rsid w:val="006B3560"/>
    <w:rsid w:val="006B3594"/>
    <w:rsid w:val="006B370B"/>
    <w:rsid w:val="006B37ED"/>
    <w:rsid w:val="006B37FB"/>
    <w:rsid w:val="006B385B"/>
    <w:rsid w:val="006B39BA"/>
    <w:rsid w:val="006B39BB"/>
    <w:rsid w:val="006B3A03"/>
    <w:rsid w:val="006B3AD8"/>
    <w:rsid w:val="006B3B57"/>
    <w:rsid w:val="006B3B8A"/>
    <w:rsid w:val="006B3C3C"/>
    <w:rsid w:val="006B3CDC"/>
    <w:rsid w:val="006B3D17"/>
    <w:rsid w:val="006B3E89"/>
    <w:rsid w:val="006B3E8B"/>
    <w:rsid w:val="006B3EC4"/>
    <w:rsid w:val="006B3F9C"/>
    <w:rsid w:val="006B3FAD"/>
    <w:rsid w:val="006B3FE3"/>
    <w:rsid w:val="006B40DE"/>
    <w:rsid w:val="006B40EB"/>
    <w:rsid w:val="006B4147"/>
    <w:rsid w:val="006B4230"/>
    <w:rsid w:val="006B425A"/>
    <w:rsid w:val="006B42A6"/>
    <w:rsid w:val="006B43E3"/>
    <w:rsid w:val="006B4454"/>
    <w:rsid w:val="006B4573"/>
    <w:rsid w:val="006B4602"/>
    <w:rsid w:val="006B4612"/>
    <w:rsid w:val="006B470A"/>
    <w:rsid w:val="006B4795"/>
    <w:rsid w:val="006B485A"/>
    <w:rsid w:val="006B48DE"/>
    <w:rsid w:val="006B4926"/>
    <w:rsid w:val="006B4938"/>
    <w:rsid w:val="006B4949"/>
    <w:rsid w:val="006B4A3E"/>
    <w:rsid w:val="006B4A84"/>
    <w:rsid w:val="006B4B24"/>
    <w:rsid w:val="006B4C16"/>
    <w:rsid w:val="006B4C31"/>
    <w:rsid w:val="006B4DB2"/>
    <w:rsid w:val="006B4E44"/>
    <w:rsid w:val="006B4E4B"/>
    <w:rsid w:val="006B5012"/>
    <w:rsid w:val="006B5081"/>
    <w:rsid w:val="006B513A"/>
    <w:rsid w:val="006B51D4"/>
    <w:rsid w:val="006B51DB"/>
    <w:rsid w:val="006B5238"/>
    <w:rsid w:val="006B5297"/>
    <w:rsid w:val="006B52A3"/>
    <w:rsid w:val="006B52C4"/>
    <w:rsid w:val="006B541A"/>
    <w:rsid w:val="006B5541"/>
    <w:rsid w:val="006B5615"/>
    <w:rsid w:val="006B562F"/>
    <w:rsid w:val="006B5636"/>
    <w:rsid w:val="006B56B3"/>
    <w:rsid w:val="006B5720"/>
    <w:rsid w:val="006B572B"/>
    <w:rsid w:val="006B5767"/>
    <w:rsid w:val="006B5770"/>
    <w:rsid w:val="006B57B9"/>
    <w:rsid w:val="006B57FC"/>
    <w:rsid w:val="006B58A1"/>
    <w:rsid w:val="006B592C"/>
    <w:rsid w:val="006B5934"/>
    <w:rsid w:val="006B59A4"/>
    <w:rsid w:val="006B5A2F"/>
    <w:rsid w:val="006B5B06"/>
    <w:rsid w:val="006B5BF5"/>
    <w:rsid w:val="006B5DC3"/>
    <w:rsid w:val="006B5E7A"/>
    <w:rsid w:val="006B5F15"/>
    <w:rsid w:val="006B5F80"/>
    <w:rsid w:val="006B5FC3"/>
    <w:rsid w:val="006B5FF7"/>
    <w:rsid w:val="006B603A"/>
    <w:rsid w:val="006B6086"/>
    <w:rsid w:val="006B60F8"/>
    <w:rsid w:val="006B6110"/>
    <w:rsid w:val="006B617C"/>
    <w:rsid w:val="006B6241"/>
    <w:rsid w:val="006B637D"/>
    <w:rsid w:val="006B6490"/>
    <w:rsid w:val="006B6493"/>
    <w:rsid w:val="006B6525"/>
    <w:rsid w:val="006B6561"/>
    <w:rsid w:val="006B657D"/>
    <w:rsid w:val="006B66DC"/>
    <w:rsid w:val="006B68D1"/>
    <w:rsid w:val="006B695A"/>
    <w:rsid w:val="006B6976"/>
    <w:rsid w:val="006B6A6D"/>
    <w:rsid w:val="006B6A82"/>
    <w:rsid w:val="006B6B3D"/>
    <w:rsid w:val="006B6B48"/>
    <w:rsid w:val="006B6B6B"/>
    <w:rsid w:val="006B6BC1"/>
    <w:rsid w:val="006B6C4B"/>
    <w:rsid w:val="006B6C84"/>
    <w:rsid w:val="006B6D6D"/>
    <w:rsid w:val="006B6DDC"/>
    <w:rsid w:val="006B6E60"/>
    <w:rsid w:val="006B6E67"/>
    <w:rsid w:val="006B6EB2"/>
    <w:rsid w:val="006B6EE8"/>
    <w:rsid w:val="006B6F0D"/>
    <w:rsid w:val="006B6F6A"/>
    <w:rsid w:val="006B6FAD"/>
    <w:rsid w:val="006B6FC0"/>
    <w:rsid w:val="006B6FE7"/>
    <w:rsid w:val="006B6FF3"/>
    <w:rsid w:val="006B7081"/>
    <w:rsid w:val="006B7188"/>
    <w:rsid w:val="006B71F6"/>
    <w:rsid w:val="006B73AA"/>
    <w:rsid w:val="006B73BB"/>
    <w:rsid w:val="006B73CA"/>
    <w:rsid w:val="006B73F2"/>
    <w:rsid w:val="006B741A"/>
    <w:rsid w:val="006B765D"/>
    <w:rsid w:val="006B773D"/>
    <w:rsid w:val="006B77C7"/>
    <w:rsid w:val="006B77DD"/>
    <w:rsid w:val="006B7847"/>
    <w:rsid w:val="006B796F"/>
    <w:rsid w:val="006B79BB"/>
    <w:rsid w:val="006B7A95"/>
    <w:rsid w:val="006B7B35"/>
    <w:rsid w:val="006B7BA4"/>
    <w:rsid w:val="006B7BB6"/>
    <w:rsid w:val="006B7C09"/>
    <w:rsid w:val="006B7C54"/>
    <w:rsid w:val="006B7CE7"/>
    <w:rsid w:val="006B7D8F"/>
    <w:rsid w:val="006B7DA6"/>
    <w:rsid w:val="006B7DB7"/>
    <w:rsid w:val="006B7E5D"/>
    <w:rsid w:val="006B7F0E"/>
    <w:rsid w:val="006B7F19"/>
    <w:rsid w:val="006B7F1A"/>
    <w:rsid w:val="006B7F45"/>
    <w:rsid w:val="006B7FE2"/>
    <w:rsid w:val="006C0035"/>
    <w:rsid w:val="006C0045"/>
    <w:rsid w:val="006C0139"/>
    <w:rsid w:val="006C01F4"/>
    <w:rsid w:val="006C021C"/>
    <w:rsid w:val="006C0376"/>
    <w:rsid w:val="006C03DF"/>
    <w:rsid w:val="006C04C3"/>
    <w:rsid w:val="006C0507"/>
    <w:rsid w:val="006C054E"/>
    <w:rsid w:val="006C0593"/>
    <w:rsid w:val="006C0632"/>
    <w:rsid w:val="006C063C"/>
    <w:rsid w:val="006C07C3"/>
    <w:rsid w:val="006C0893"/>
    <w:rsid w:val="006C08D0"/>
    <w:rsid w:val="006C08EB"/>
    <w:rsid w:val="006C098D"/>
    <w:rsid w:val="006C0A47"/>
    <w:rsid w:val="006C0B6A"/>
    <w:rsid w:val="006C0B6E"/>
    <w:rsid w:val="006C0BC4"/>
    <w:rsid w:val="006C0CEE"/>
    <w:rsid w:val="006C0D11"/>
    <w:rsid w:val="006C0D19"/>
    <w:rsid w:val="006C0D64"/>
    <w:rsid w:val="006C0DF6"/>
    <w:rsid w:val="006C0E4B"/>
    <w:rsid w:val="006C0E81"/>
    <w:rsid w:val="006C0EE5"/>
    <w:rsid w:val="006C101A"/>
    <w:rsid w:val="006C10D4"/>
    <w:rsid w:val="006C1185"/>
    <w:rsid w:val="006C11BE"/>
    <w:rsid w:val="006C1326"/>
    <w:rsid w:val="006C14A7"/>
    <w:rsid w:val="006C14FD"/>
    <w:rsid w:val="006C1533"/>
    <w:rsid w:val="006C159A"/>
    <w:rsid w:val="006C1647"/>
    <w:rsid w:val="006C166C"/>
    <w:rsid w:val="006C1756"/>
    <w:rsid w:val="006C1761"/>
    <w:rsid w:val="006C19EA"/>
    <w:rsid w:val="006C1B8C"/>
    <w:rsid w:val="006C1BB1"/>
    <w:rsid w:val="006C1C1F"/>
    <w:rsid w:val="006C1CD4"/>
    <w:rsid w:val="006C1D81"/>
    <w:rsid w:val="006C1DC8"/>
    <w:rsid w:val="006C1DD2"/>
    <w:rsid w:val="006C1E27"/>
    <w:rsid w:val="006C1EDC"/>
    <w:rsid w:val="006C1EE6"/>
    <w:rsid w:val="006C1F73"/>
    <w:rsid w:val="006C1F78"/>
    <w:rsid w:val="006C2007"/>
    <w:rsid w:val="006C212F"/>
    <w:rsid w:val="006C2146"/>
    <w:rsid w:val="006C21AF"/>
    <w:rsid w:val="006C21C7"/>
    <w:rsid w:val="006C2241"/>
    <w:rsid w:val="006C22C3"/>
    <w:rsid w:val="006C22C5"/>
    <w:rsid w:val="006C22FC"/>
    <w:rsid w:val="006C230C"/>
    <w:rsid w:val="006C2315"/>
    <w:rsid w:val="006C2318"/>
    <w:rsid w:val="006C23D7"/>
    <w:rsid w:val="006C23E7"/>
    <w:rsid w:val="006C2432"/>
    <w:rsid w:val="006C2490"/>
    <w:rsid w:val="006C24C8"/>
    <w:rsid w:val="006C2588"/>
    <w:rsid w:val="006C25C6"/>
    <w:rsid w:val="006C2786"/>
    <w:rsid w:val="006C27A4"/>
    <w:rsid w:val="006C27C1"/>
    <w:rsid w:val="006C27F6"/>
    <w:rsid w:val="006C283A"/>
    <w:rsid w:val="006C28EA"/>
    <w:rsid w:val="006C2925"/>
    <w:rsid w:val="006C29E5"/>
    <w:rsid w:val="006C2A03"/>
    <w:rsid w:val="006C2AAF"/>
    <w:rsid w:val="006C2B1D"/>
    <w:rsid w:val="006C2B93"/>
    <w:rsid w:val="006C2B9B"/>
    <w:rsid w:val="006C2CB7"/>
    <w:rsid w:val="006C2CBD"/>
    <w:rsid w:val="006C2CBE"/>
    <w:rsid w:val="006C2D50"/>
    <w:rsid w:val="006C2E40"/>
    <w:rsid w:val="006C2F21"/>
    <w:rsid w:val="006C2F48"/>
    <w:rsid w:val="006C2F94"/>
    <w:rsid w:val="006C31C1"/>
    <w:rsid w:val="006C31D6"/>
    <w:rsid w:val="006C3220"/>
    <w:rsid w:val="006C32B0"/>
    <w:rsid w:val="006C333A"/>
    <w:rsid w:val="006C3375"/>
    <w:rsid w:val="006C337B"/>
    <w:rsid w:val="006C3399"/>
    <w:rsid w:val="006C3443"/>
    <w:rsid w:val="006C349C"/>
    <w:rsid w:val="006C34A8"/>
    <w:rsid w:val="006C35A2"/>
    <w:rsid w:val="006C35BF"/>
    <w:rsid w:val="006C369B"/>
    <w:rsid w:val="006C3751"/>
    <w:rsid w:val="006C3813"/>
    <w:rsid w:val="006C38D5"/>
    <w:rsid w:val="006C38DD"/>
    <w:rsid w:val="006C3937"/>
    <w:rsid w:val="006C3C6C"/>
    <w:rsid w:val="006C3C75"/>
    <w:rsid w:val="006C3C9D"/>
    <w:rsid w:val="006C3CA3"/>
    <w:rsid w:val="006C3D5E"/>
    <w:rsid w:val="006C3F08"/>
    <w:rsid w:val="006C3F0A"/>
    <w:rsid w:val="006C3F65"/>
    <w:rsid w:val="006C4025"/>
    <w:rsid w:val="006C403C"/>
    <w:rsid w:val="006C41C7"/>
    <w:rsid w:val="006C41E7"/>
    <w:rsid w:val="006C4220"/>
    <w:rsid w:val="006C424E"/>
    <w:rsid w:val="006C4271"/>
    <w:rsid w:val="006C4290"/>
    <w:rsid w:val="006C42A0"/>
    <w:rsid w:val="006C445B"/>
    <w:rsid w:val="006C4558"/>
    <w:rsid w:val="006C456D"/>
    <w:rsid w:val="006C45C4"/>
    <w:rsid w:val="006C4692"/>
    <w:rsid w:val="006C4865"/>
    <w:rsid w:val="006C487E"/>
    <w:rsid w:val="006C488C"/>
    <w:rsid w:val="006C48FF"/>
    <w:rsid w:val="006C496F"/>
    <w:rsid w:val="006C49D4"/>
    <w:rsid w:val="006C4AE5"/>
    <w:rsid w:val="006C4B4A"/>
    <w:rsid w:val="006C4CB2"/>
    <w:rsid w:val="006C4DE7"/>
    <w:rsid w:val="006C4DED"/>
    <w:rsid w:val="006C4E10"/>
    <w:rsid w:val="006C4E9D"/>
    <w:rsid w:val="006C5040"/>
    <w:rsid w:val="006C5046"/>
    <w:rsid w:val="006C504E"/>
    <w:rsid w:val="006C50A3"/>
    <w:rsid w:val="006C50E1"/>
    <w:rsid w:val="006C5106"/>
    <w:rsid w:val="006C5238"/>
    <w:rsid w:val="006C524D"/>
    <w:rsid w:val="006C528F"/>
    <w:rsid w:val="006C52A8"/>
    <w:rsid w:val="006C5385"/>
    <w:rsid w:val="006C5408"/>
    <w:rsid w:val="006C548B"/>
    <w:rsid w:val="006C5523"/>
    <w:rsid w:val="006C5536"/>
    <w:rsid w:val="006C55E4"/>
    <w:rsid w:val="006C560A"/>
    <w:rsid w:val="006C577A"/>
    <w:rsid w:val="006C57F1"/>
    <w:rsid w:val="006C58EE"/>
    <w:rsid w:val="006C5954"/>
    <w:rsid w:val="006C5987"/>
    <w:rsid w:val="006C59A8"/>
    <w:rsid w:val="006C59B1"/>
    <w:rsid w:val="006C59DC"/>
    <w:rsid w:val="006C5A96"/>
    <w:rsid w:val="006C5C8B"/>
    <w:rsid w:val="006C5CFB"/>
    <w:rsid w:val="006C5D4C"/>
    <w:rsid w:val="006C5DEC"/>
    <w:rsid w:val="006C5EBF"/>
    <w:rsid w:val="006C60B0"/>
    <w:rsid w:val="006C6130"/>
    <w:rsid w:val="006C613A"/>
    <w:rsid w:val="006C6197"/>
    <w:rsid w:val="006C6248"/>
    <w:rsid w:val="006C6255"/>
    <w:rsid w:val="006C62DB"/>
    <w:rsid w:val="006C63A3"/>
    <w:rsid w:val="006C6512"/>
    <w:rsid w:val="006C6605"/>
    <w:rsid w:val="006C66B5"/>
    <w:rsid w:val="006C66FE"/>
    <w:rsid w:val="006C6718"/>
    <w:rsid w:val="006C6726"/>
    <w:rsid w:val="006C67A0"/>
    <w:rsid w:val="006C69B6"/>
    <w:rsid w:val="006C69DB"/>
    <w:rsid w:val="006C6AE2"/>
    <w:rsid w:val="006C6B95"/>
    <w:rsid w:val="006C6B9C"/>
    <w:rsid w:val="006C6BC8"/>
    <w:rsid w:val="006C6C2D"/>
    <w:rsid w:val="006C6CA1"/>
    <w:rsid w:val="006C6CBA"/>
    <w:rsid w:val="006C6D97"/>
    <w:rsid w:val="006C6DB6"/>
    <w:rsid w:val="006C6E29"/>
    <w:rsid w:val="006C6F1E"/>
    <w:rsid w:val="006C6F7B"/>
    <w:rsid w:val="006C7021"/>
    <w:rsid w:val="006C703E"/>
    <w:rsid w:val="006C7077"/>
    <w:rsid w:val="006C70B8"/>
    <w:rsid w:val="006C714D"/>
    <w:rsid w:val="006C71AD"/>
    <w:rsid w:val="006C71C1"/>
    <w:rsid w:val="006C71CB"/>
    <w:rsid w:val="006C72AB"/>
    <w:rsid w:val="006C730D"/>
    <w:rsid w:val="006C74BC"/>
    <w:rsid w:val="006C74D7"/>
    <w:rsid w:val="006C768D"/>
    <w:rsid w:val="006C770E"/>
    <w:rsid w:val="006C77C7"/>
    <w:rsid w:val="006C7824"/>
    <w:rsid w:val="006C792D"/>
    <w:rsid w:val="006C793B"/>
    <w:rsid w:val="006C7949"/>
    <w:rsid w:val="006C794F"/>
    <w:rsid w:val="006C7991"/>
    <w:rsid w:val="006C79AC"/>
    <w:rsid w:val="006C7A2E"/>
    <w:rsid w:val="006C7A98"/>
    <w:rsid w:val="006C7AAD"/>
    <w:rsid w:val="006C7AC2"/>
    <w:rsid w:val="006C7AE0"/>
    <w:rsid w:val="006C7B26"/>
    <w:rsid w:val="006C7B6B"/>
    <w:rsid w:val="006C7B8C"/>
    <w:rsid w:val="006C7C30"/>
    <w:rsid w:val="006C7C3C"/>
    <w:rsid w:val="006C7C65"/>
    <w:rsid w:val="006C7C90"/>
    <w:rsid w:val="006C7CE5"/>
    <w:rsid w:val="006C7D0B"/>
    <w:rsid w:val="006C7DB8"/>
    <w:rsid w:val="006C7F6D"/>
    <w:rsid w:val="006C7F92"/>
    <w:rsid w:val="006C7FF7"/>
    <w:rsid w:val="006D0009"/>
    <w:rsid w:val="006D0011"/>
    <w:rsid w:val="006D0169"/>
    <w:rsid w:val="006D0221"/>
    <w:rsid w:val="006D0286"/>
    <w:rsid w:val="006D036E"/>
    <w:rsid w:val="006D03AF"/>
    <w:rsid w:val="006D03B3"/>
    <w:rsid w:val="006D03EC"/>
    <w:rsid w:val="006D040D"/>
    <w:rsid w:val="006D0601"/>
    <w:rsid w:val="006D065D"/>
    <w:rsid w:val="006D06ED"/>
    <w:rsid w:val="006D0743"/>
    <w:rsid w:val="006D086A"/>
    <w:rsid w:val="006D08F3"/>
    <w:rsid w:val="006D0A1E"/>
    <w:rsid w:val="006D0AB1"/>
    <w:rsid w:val="006D0B14"/>
    <w:rsid w:val="006D0B96"/>
    <w:rsid w:val="006D0C28"/>
    <w:rsid w:val="006D0C2D"/>
    <w:rsid w:val="006D0C62"/>
    <w:rsid w:val="006D0C64"/>
    <w:rsid w:val="006D0E8C"/>
    <w:rsid w:val="006D0E91"/>
    <w:rsid w:val="006D0EDB"/>
    <w:rsid w:val="006D0F26"/>
    <w:rsid w:val="006D0FBC"/>
    <w:rsid w:val="006D1145"/>
    <w:rsid w:val="006D11C1"/>
    <w:rsid w:val="006D1394"/>
    <w:rsid w:val="006D1442"/>
    <w:rsid w:val="006D14E3"/>
    <w:rsid w:val="006D15B3"/>
    <w:rsid w:val="006D15ED"/>
    <w:rsid w:val="006D15F7"/>
    <w:rsid w:val="006D162E"/>
    <w:rsid w:val="006D1720"/>
    <w:rsid w:val="006D1740"/>
    <w:rsid w:val="006D17A3"/>
    <w:rsid w:val="006D182F"/>
    <w:rsid w:val="006D195D"/>
    <w:rsid w:val="006D1A03"/>
    <w:rsid w:val="006D1A7F"/>
    <w:rsid w:val="006D1AEB"/>
    <w:rsid w:val="006D1AF0"/>
    <w:rsid w:val="006D1B97"/>
    <w:rsid w:val="006D1C37"/>
    <w:rsid w:val="006D1D20"/>
    <w:rsid w:val="006D1E06"/>
    <w:rsid w:val="006D1E7D"/>
    <w:rsid w:val="006D1EB4"/>
    <w:rsid w:val="006D1F0B"/>
    <w:rsid w:val="006D1F4F"/>
    <w:rsid w:val="006D1F82"/>
    <w:rsid w:val="006D2002"/>
    <w:rsid w:val="006D208D"/>
    <w:rsid w:val="006D20BA"/>
    <w:rsid w:val="006D20D0"/>
    <w:rsid w:val="006D20D8"/>
    <w:rsid w:val="006D213F"/>
    <w:rsid w:val="006D217D"/>
    <w:rsid w:val="006D21CC"/>
    <w:rsid w:val="006D224A"/>
    <w:rsid w:val="006D2268"/>
    <w:rsid w:val="006D2432"/>
    <w:rsid w:val="006D244D"/>
    <w:rsid w:val="006D2464"/>
    <w:rsid w:val="006D24DE"/>
    <w:rsid w:val="006D2677"/>
    <w:rsid w:val="006D26D6"/>
    <w:rsid w:val="006D2781"/>
    <w:rsid w:val="006D27D0"/>
    <w:rsid w:val="006D281E"/>
    <w:rsid w:val="006D2820"/>
    <w:rsid w:val="006D2835"/>
    <w:rsid w:val="006D2869"/>
    <w:rsid w:val="006D29BA"/>
    <w:rsid w:val="006D2A52"/>
    <w:rsid w:val="006D2AD4"/>
    <w:rsid w:val="006D2C9D"/>
    <w:rsid w:val="006D2D6B"/>
    <w:rsid w:val="006D2E37"/>
    <w:rsid w:val="006D2E74"/>
    <w:rsid w:val="006D2E81"/>
    <w:rsid w:val="006D2EBF"/>
    <w:rsid w:val="006D2EC4"/>
    <w:rsid w:val="006D2EFF"/>
    <w:rsid w:val="006D2F10"/>
    <w:rsid w:val="006D3177"/>
    <w:rsid w:val="006D31DE"/>
    <w:rsid w:val="006D3302"/>
    <w:rsid w:val="006D3348"/>
    <w:rsid w:val="006D3533"/>
    <w:rsid w:val="006D35FE"/>
    <w:rsid w:val="006D360C"/>
    <w:rsid w:val="006D36A1"/>
    <w:rsid w:val="006D371B"/>
    <w:rsid w:val="006D3753"/>
    <w:rsid w:val="006D37B9"/>
    <w:rsid w:val="006D3885"/>
    <w:rsid w:val="006D39ED"/>
    <w:rsid w:val="006D3A42"/>
    <w:rsid w:val="006D3B3B"/>
    <w:rsid w:val="006D3BED"/>
    <w:rsid w:val="006D3C32"/>
    <w:rsid w:val="006D3E4F"/>
    <w:rsid w:val="006D3E5A"/>
    <w:rsid w:val="006D3E9F"/>
    <w:rsid w:val="006D3EC8"/>
    <w:rsid w:val="006D3F48"/>
    <w:rsid w:val="006D3F7E"/>
    <w:rsid w:val="006D3FD2"/>
    <w:rsid w:val="006D421E"/>
    <w:rsid w:val="006D4242"/>
    <w:rsid w:val="006D4243"/>
    <w:rsid w:val="006D426E"/>
    <w:rsid w:val="006D42A3"/>
    <w:rsid w:val="006D42FD"/>
    <w:rsid w:val="006D44A5"/>
    <w:rsid w:val="006D44AF"/>
    <w:rsid w:val="006D4526"/>
    <w:rsid w:val="006D4536"/>
    <w:rsid w:val="006D457A"/>
    <w:rsid w:val="006D458C"/>
    <w:rsid w:val="006D45D3"/>
    <w:rsid w:val="006D4672"/>
    <w:rsid w:val="006D46A8"/>
    <w:rsid w:val="006D46DF"/>
    <w:rsid w:val="006D48AC"/>
    <w:rsid w:val="006D48DD"/>
    <w:rsid w:val="006D48FE"/>
    <w:rsid w:val="006D4943"/>
    <w:rsid w:val="006D49BF"/>
    <w:rsid w:val="006D4A77"/>
    <w:rsid w:val="006D4A88"/>
    <w:rsid w:val="006D4A96"/>
    <w:rsid w:val="006D4ADC"/>
    <w:rsid w:val="006D4B01"/>
    <w:rsid w:val="006D4B73"/>
    <w:rsid w:val="006D4B92"/>
    <w:rsid w:val="006D4BE2"/>
    <w:rsid w:val="006D4C2F"/>
    <w:rsid w:val="006D4C45"/>
    <w:rsid w:val="006D4C4E"/>
    <w:rsid w:val="006D4CA4"/>
    <w:rsid w:val="006D4D25"/>
    <w:rsid w:val="006D4DC1"/>
    <w:rsid w:val="006D4DE8"/>
    <w:rsid w:val="006D4EBD"/>
    <w:rsid w:val="006D4F6D"/>
    <w:rsid w:val="006D507E"/>
    <w:rsid w:val="006D50F1"/>
    <w:rsid w:val="006D5139"/>
    <w:rsid w:val="006D519B"/>
    <w:rsid w:val="006D5234"/>
    <w:rsid w:val="006D5271"/>
    <w:rsid w:val="006D536A"/>
    <w:rsid w:val="006D562F"/>
    <w:rsid w:val="006D563C"/>
    <w:rsid w:val="006D5651"/>
    <w:rsid w:val="006D5788"/>
    <w:rsid w:val="006D584C"/>
    <w:rsid w:val="006D585A"/>
    <w:rsid w:val="006D5876"/>
    <w:rsid w:val="006D58B1"/>
    <w:rsid w:val="006D5946"/>
    <w:rsid w:val="006D5AAB"/>
    <w:rsid w:val="006D5C81"/>
    <w:rsid w:val="006D5D5F"/>
    <w:rsid w:val="006D5E2F"/>
    <w:rsid w:val="006D5E31"/>
    <w:rsid w:val="006D5E78"/>
    <w:rsid w:val="006D5EF5"/>
    <w:rsid w:val="006D5F17"/>
    <w:rsid w:val="006D5F58"/>
    <w:rsid w:val="006D5F97"/>
    <w:rsid w:val="006D5FB4"/>
    <w:rsid w:val="006D5FC7"/>
    <w:rsid w:val="006D5FE1"/>
    <w:rsid w:val="006D605D"/>
    <w:rsid w:val="006D608C"/>
    <w:rsid w:val="006D60BE"/>
    <w:rsid w:val="006D612A"/>
    <w:rsid w:val="006D61DF"/>
    <w:rsid w:val="006D61FF"/>
    <w:rsid w:val="006D6321"/>
    <w:rsid w:val="006D638B"/>
    <w:rsid w:val="006D6520"/>
    <w:rsid w:val="006D66C2"/>
    <w:rsid w:val="006D670F"/>
    <w:rsid w:val="006D6750"/>
    <w:rsid w:val="006D6789"/>
    <w:rsid w:val="006D6795"/>
    <w:rsid w:val="006D687B"/>
    <w:rsid w:val="006D69F9"/>
    <w:rsid w:val="006D6A70"/>
    <w:rsid w:val="006D6B03"/>
    <w:rsid w:val="006D6C6E"/>
    <w:rsid w:val="006D6D30"/>
    <w:rsid w:val="006D6DB0"/>
    <w:rsid w:val="006D6DD1"/>
    <w:rsid w:val="006D6DFA"/>
    <w:rsid w:val="006D6E1D"/>
    <w:rsid w:val="006D6E65"/>
    <w:rsid w:val="006D6EE2"/>
    <w:rsid w:val="006D6F43"/>
    <w:rsid w:val="006D6F9B"/>
    <w:rsid w:val="006D704B"/>
    <w:rsid w:val="006D70B5"/>
    <w:rsid w:val="006D70FC"/>
    <w:rsid w:val="006D716A"/>
    <w:rsid w:val="006D726D"/>
    <w:rsid w:val="006D72DF"/>
    <w:rsid w:val="006D747E"/>
    <w:rsid w:val="006D7581"/>
    <w:rsid w:val="006D7669"/>
    <w:rsid w:val="006D76BE"/>
    <w:rsid w:val="006D77BB"/>
    <w:rsid w:val="006D77EF"/>
    <w:rsid w:val="006D780C"/>
    <w:rsid w:val="006D7875"/>
    <w:rsid w:val="006D7881"/>
    <w:rsid w:val="006D795B"/>
    <w:rsid w:val="006D79CF"/>
    <w:rsid w:val="006D7A36"/>
    <w:rsid w:val="006D7AA6"/>
    <w:rsid w:val="006D7AE3"/>
    <w:rsid w:val="006D7B11"/>
    <w:rsid w:val="006D7BB8"/>
    <w:rsid w:val="006D7C6F"/>
    <w:rsid w:val="006D7C8C"/>
    <w:rsid w:val="006D7C90"/>
    <w:rsid w:val="006D7CEB"/>
    <w:rsid w:val="006D7CEE"/>
    <w:rsid w:val="006D7D3D"/>
    <w:rsid w:val="006D7D6E"/>
    <w:rsid w:val="006D7F66"/>
    <w:rsid w:val="006D7FDA"/>
    <w:rsid w:val="006E0038"/>
    <w:rsid w:val="006E01DB"/>
    <w:rsid w:val="006E0277"/>
    <w:rsid w:val="006E0367"/>
    <w:rsid w:val="006E042F"/>
    <w:rsid w:val="006E04B7"/>
    <w:rsid w:val="006E05C8"/>
    <w:rsid w:val="006E05F4"/>
    <w:rsid w:val="006E0619"/>
    <w:rsid w:val="006E067D"/>
    <w:rsid w:val="006E06CB"/>
    <w:rsid w:val="006E082E"/>
    <w:rsid w:val="006E0849"/>
    <w:rsid w:val="006E08B7"/>
    <w:rsid w:val="006E08FF"/>
    <w:rsid w:val="006E090C"/>
    <w:rsid w:val="006E09AB"/>
    <w:rsid w:val="006E0BA0"/>
    <w:rsid w:val="006E0C34"/>
    <w:rsid w:val="006E0D6C"/>
    <w:rsid w:val="006E0D85"/>
    <w:rsid w:val="006E0F19"/>
    <w:rsid w:val="006E107D"/>
    <w:rsid w:val="006E107F"/>
    <w:rsid w:val="006E10F7"/>
    <w:rsid w:val="006E112F"/>
    <w:rsid w:val="006E12B1"/>
    <w:rsid w:val="006E146E"/>
    <w:rsid w:val="006E155C"/>
    <w:rsid w:val="006E1597"/>
    <w:rsid w:val="006E1619"/>
    <w:rsid w:val="006E164B"/>
    <w:rsid w:val="006E16EE"/>
    <w:rsid w:val="006E1767"/>
    <w:rsid w:val="006E179D"/>
    <w:rsid w:val="006E17DD"/>
    <w:rsid w:val="006E1804"/>
    <w:rsid w:val="006E1843"/>
    <w:rsid w:val="006E184E"/>
    <w:rsid w:val="006E18B1"/>
    <w:rsid w:val="006E193C"/>
    <w:rsid w:val="006E1977"/>
    <w:rsid w:val="006E1A41"/>
    <w:rsid w:val="006E1A7A"/>
    <w:rsid w:val="006E1AC5"/>
    <w:rsid w:val="006E1B2D"/>
    <w:rsid w:val="006E1B41"/>
    <w:rsid w:val="006E1C11"/>
    <w:rsid w:val="006E1C1D"/>
    <w:rsid w:val="006E1C38"/>
    <w:rsid w:val="006E1C86"/>
    <w:rsid w:val="006E1C9E"/>
    <w:rsid w:val="006E1E93"/>
    <w:rsid w:val="006E1EC0"/>
    <w:rsid w:val="006E1F9B"/>
    <w:rsid w:val="006E1FF2"/>
    <w:rsid w:val="006E2073"/>
    <w:rsid w:val="006E2099"/>
    <w:rsid w:val="006E20CF"/>
    <w:rsid w:val="006E2104"/>
    <w:rsid w:val="006E2122"/>
    <w:rsid w:val="006E2185"/>
    <w:rsid w:val="006E21D4"/>
    <w:rsid w:val="006E21F4"/>
    <w:rsid w:val="006E225A"/>
    <w:rsid w:val="006E22BB"/>
    <w:rsid w:val="006E22DA"/>
    <w:rsid w:val="006E2309"/>
    <w:rsid w:val="006E2321"/>
    <w:rsid w:val="006E238E"/>
    <w:rsid w:val="006E2410"/>
    <w:rsid w:val="006E2477"/>
    <w:rsid w:val="006E24DC"/>
    <w:rsid w:val="006E2534"/>
    <w:rsid w:val="006E25A1"/>
    <w:rsid w:val="006E25C8"/>
    <w:rsid w:val="006E2628"/>
    <w:rsid w:val="006E264B"/>
    <w:rsid w:val="006E26B9"/>
    <w:rsid w:val="006E273A"/>
    <w:rsid w:val="006E2776"/>
    <w:rsid w:val="006E2816"/>
    <w:rsid w:val="006E2873"/>
    <w:rsid w:val="006E28E0"/>
    <w:rsid w:val="006E28E7"/>
    <w:rsid w:val="006E2920"/>
    <w:rsid w:val="006E2934"/>
    <w:rsid w:val="006E2958"/>
    <w:rsid w:val="006E295E"/>
    <w:rsid w:val="006E2AD0"/>
    <w:rsid w:val="006E2AFC"/>
    <w:rsid w:val="006E2B30"/>
    <w:rsid w:val="006E2B3F"/>
    <w:rsid w:val="006E2B6D"/>
    <w:rsid w:val="006E2B87"/>
    <w:rsid w:val="006E2BB3"/>
    <w:rsid w:val="006E2BD2"/>
    <w:rsid w:val="006E2C96"/>
    <w:rsid w:val="006E2CBC"/>
    <w:rsid w:val="006E2D4E"/>
    <w:rsid w:val="006E2D57"/>
    <w:rsid w:val="006E2D67"/>
    <w:rsid w:val="006E2DA9"/>
    <w:rsid w:val="006E2DF2"/>
    <w:rsid w:val="006E2DF7"/>
    <w:rsid w:val="006E2E24"/>
    <w:rsid w:val="006E2E63"/>
    <w:rsid w:val="006E2F9D"/>
    <w:rsid w:val="006E306C"/>
    <w:rsid w:val="006E30DA"/>
    <w:rsid w:val="006E3129"/>
    <w:rsid w:val="006E31CE"/>
    <w:rsid w:val="006E32E1"/>
    <w:rsid w:val="006E3306"/>
    <w:rsid w:val="006E3314"/>
    <w:rsid w:val="006E3316"/>
    <w:rsid w:val="006E3375"/>
    <w:rsid w:val="006E337E"/>
    <w:rsid w:val="006E34D9"/>
    <w:rsid w:val="006E3612"/>
    <w:rsid w:val="006E3627"/>
    <w:rsid w:val="006E377B"/>
    <w:rsid w:val="006E3831"/>
    <w:rsid w:val="006E383E"/>
    <w:rsid w:val="006E3917"/>
    <w:rsid w:val="006E39DD"/>
    <w:rsid w:val="006E3A40"/>
    <w:rsid w:val="006E3A71"/>
    <w:rsid w:val="006E3B0D"/>
    <w:rsid w:val="006E3B2D"/>
    <w:rsid w:val="006E3B6A"/>
    <w:rsid w:val="006E3BEF"/>
    <w:rsid w:val="006E3C61"/>
    <w:rsid w:val="006E3CFC"/>
    <w:rsid w:val="006E3D30"/>
    <w:rsid w:val="006E3D54"/>
    <w:rsid w:val="006E3D67"/>
    <w:rsid w:val="006E3DEB"/>
    <w:rsid w:val="006E3F18"/>
    <w:rsid w:val="006E3F4E"/>
    <w:rsid w:val="006E3F9A"/>
    <w:rsid w:val="006E3FCE"/>
    <w:rsid w:val="006E3FFB"/>
    <w:rsid w:val="006E4018"/>
    <w:rsid w:val="006E403A"/>
    <w:rsid w:val="006E4075"/>
    <w:rsid w:val="006E4115"/>
    <w:rsid w:val="006E4229"/>
    <w:rsid w:val="006E4275"/>
    <w:rsid w:val="006E4280"/>
    <w:rsid w:val="006E429A"/>
    <w:rsid w:val="006E42B3"/>
    <w:rsid w:val="006E42D2"/>
    <w:rsid w:val="006E4300"/>
    <w:rsid w:val="006E433F"/>
    <w:rsid w:val="006E434C"/>
    <w:rsid w:val="006E434F"/>
    <w:rsid w:val="006E43BD"/>
    <w:rsid w:val="006E43D6"/>
    <w:rsid w:val="006E446C"/>
    <w:rsid w:val="006E446E"/>
    <w:rsid w:val="006E4645"/>
    <w:rsid w:val="006E466D"/>
    <w:rsid w:val="006E46D4"/>
    <w:rsid w:val="006E46E2"/>
    <w:rsid w:val="006E46E5"/>
    <w:rsid w:val="006E4753"/>
    <w:rsid w:val="006E4948"/>
    <w:rsid w:val="006E49D2"/>
    <w:rsid w:val="006E4ADA"/>
    <w:rsid w:val="006E4B2F"/>
    <w:rsid w:val="006E4B5F"/>
    <w:rsid w:val="006E4B7E"/>
    <w:rsid w:val="006E4D4C"/>
    <w:rsid w:val="006E4E28"/>
    <w:rsid w:val="006E4E5F"/>
    <w:rsid w:val="006E4F04"/>
    <w:rsid w:val="006E4F8C"/>
    <w:rsid w:val="006E4F91"/>
    <w:rsid w:val="006E50CF"/>
    <w:rsid w:val="006E50DF"/>
    <w:rsid w:val="006E5113"/>
    <w:rsid w:val="006E5236"/>
    <w:rsid w:val="006E5247"/>
    <w:rsid w:val="006E5270"/>
    <w:rsid w:val="006E52FF"/>
    <w:rsid w:val="006E5342"/>
    <w:rsid w:val="006E53FB"/>
    <w:rsid w:val="006E54DE"/>
    <w:rsid w:val="006E5510"/>
    <w:rsid w:val="006E5524"/>
    <w:rsid w:val="006E5556"/>
    <w:rsid w:val="006E55CF"/>
    <w:rsid w:val="006E560F"/>
    <w:rsid w:val="006E563D"/>
    <w:rsid w:val="006E5680"/>
    <w:rsid w:val="006E572D"/>
    <w:rsid w:val="006E5730"/>
    <w:rsid w:val="006E575A"/>
    <w:rsid w:val="006E57F7"/>
    <w:rsid w:val="006E583F"/>
    <w:rsid w:val="006E5900"/>
    <w:rsid w:val="006E5950"/>
    <w:rsid w:val="006E5A15"/>
    <w:rsid w:val="006E5B27"/>
    <w:rsid w:val="006E5CA8"/>
    <w:rsid w:val="006E5E0B"/>
    <w:rsid w:val="006E5E96"/>
    <w:rsid w:val="006E5EB2"/>
    <w:rsid w:val="006E60A5"/>
    <w:rsid w:val="006E60CF"/>
    <w:rsid w:val="006E613B"/>
    <w:rsid w:val="006E6162"/>
    <w:rsid w:val="006E61CF"/>
    <w:rsid w:val="006E6205"/>
    <w:rsid w:val="006E6267"/>
    <w:rsid w:val="006E631D"/>
    <w:rsid w:val="006E6335"/>
    <w:rsid w:val="006E63EF"/>
    <w:rsid w:val="006E63F9"/>
    <w:rsid w:val="006E6476"/>
    <w:rsid w:val="006E6493"/>
    <w:rsid w:val="006E64FE"/>
    <w:rsid w:val="006E6532"/>
    <w:rsid w:val="006E653C"/>
    <w:rsid w:val="006E656C"/>
    <w:rsid w:val="006E65AA"/>
    <w:rsid w:val="006E661C"/>
    <w:rsid w:val="006E6648"/>
    <w:rsid w:val="006E6680"/>
    <w:rsid w:val="006E6717"/>
    <w:rsid w:val="006E684C"/>
    <w:rsid w:val="006E6861"/>
    <w:rsid w:val="006E688B"/>
    <w:rsid w:val="006E69B1"/>
    <w:rsid w:val="006E6B14"/>
    <w:rsid w:val="006E6B44"/>
    <w:rsid w:val="006E6C8F"/>
    <w:rsid w:val="006E6CC7"/>
    <w:rsid w:val="006E6CF9"/>
    <w:rsid w:val="006E6DAB"/>
    <w:rsid w:val="006E6E02"/>
    <w:rsid w:val="006E6E08"/>
    <w:rsid w:val="006E6EB0"/>
    <w:rsid w:val="006E6F75"/>
    <w:rsid w:val="006E6FF7"/>
    <w:rsid w:val="006E7076"/>
    <w:rsid w:val="006E7116"/>
    <w:rsid w:val="006E7207"/>
    <w:rsid w:val="006E7219"/>
    <w:rsid w:val="006E729F"/>
    <w:rsid w:val="006E72AC"/>
    <w:rsid w:val="006E731A"/>
    <w:rsid w:val="006E738E"/>
    <w:rsid w:val="006E74DB"/>
    <w:rsid w:val="006E7613"/>
    <w:rsid w:val="006E767A"/>
    <w:rsid w:val="006E76AA"/>
    <w:rsid w:val="006E76F2"/>
    <w:rsid w:val="006E77DE"/>
    <w:rsid w:val="006E7815"/>
    <w:rsid w:val="006E78CD"/>
    <w:rsid w:val="006E7A09"/>
    <w:rsid w:val="006E7AB6"/>
    <w:rsid w:val="006E7B01"/>
    <w:rsid w:val="006E7B15"/>
    <w:rsid w:val="006E7B7F"/>
    <w:rsid w:val="006E7B92"/>
    <w:rsid w:val="006E7B98"/>
    <w:rsid w:val="006E7D0F"/>
    <w:rsid w:val="006E7E54"/>
    <w:rsid w:val="006EB554"/>
    <w:rsid w:val="006F00D2"/>
    <w:rsid w:val="006F0173"/>
    <w:rsid w:val="006F02A6"/>
    <w:rsid w:val="006F0311"/>
    <w:rsid w:val="006F0419"/>
    <w:rsid w:val="006F049E"/>
    <w:rsid w:val="006F054D"/>
    <w:rsid w:val="006F0566"/>
    <w:rsid w:val="006F059A"/>
    <w:rsid w:val="006F05CD"/>
    <w:rsid w:val="006F05D8"/>
    <w:rsid w:val="006F05DC"/>
    <w:rsid w:val="006F06E3"/>
    <w:rsid w:val="006F0729"/>
    <w:rsid w:val="006F0844"/>
    <w:rsid w:val="006F0B39"/>
    <w:rsid w:val="006F0C77"/>
    <w:rsid w:val="006F0CF2"/>
    <w:rsid w:val="006F0DA7"/>
    <w:rsid w:val="006F0E1F"/>
    <w:rsid w:val="006F0E98"/>
    <w:rsid w:val="006F0EA3"/>
    <w:rsid w:val="006F0FBF"/>
    <w:rsid w:val="006F1090"/>
    <w:rsid w:val="006F112A"/>
    <w:rsid w:val="006F1131"/>
    <w:rsid w:val="006F1154"/>
    <w:rsid w:val="006F11BB"/>
    <w:rsid w:val="006F1270"/>
    <w:rsid w:val="006F12B0"/>
    <w:rsid w:val="006F12B5"/>
    <w:rsid w:val="006F1314"/>
    <w:rsid w:val="006F13BA"/>
    <w:rsid w:val="006F13DD"/>
    <w:rsid w:val="006F1490"/>
    <w:rsid w:val="006F1549"/>
    <w:rsid w:val="006F15B6"/>
    <w:rsid w:val="006F1636"/>
    <w:rsid w:val="006F16BD"/>
    <w:rsid w:val="006F17A2"/>
    <w:rsid w:val="006F1944"/>
    <w:rsid w:val="006F1A45"/>
    <w:rsid w:val="006F1AD9"/>
    <w:rsid w:val="006F1B5A"/>
    <w:rsid w:val="006F1B9B"/>
    <w:rsid w:val="006F1C15"/>
    <w:rsid w:val="006F1C45"/>
    <w:rsid w:val="006F1C59"/>
    <w:rsid w:val="006F1CEB"/>
    <w:rsid w:val="006F1D38"/>
    <w:rsid w:val="006F1D68"/>
    <w:rsid w:val="006F1DB6"/>
    <w:rsid w:val="006F1E89"/>
    <w:rsid w:val="006F1F06"/>
    <w:rsid w:val="006F1F6A"/>
    <w:rsid w:val="006F1FFF"/>
    <w:rsid w:val="006F2108"/>
    <w:rsid w:val="006F217A"/>
    <w:rsid w:val="006F2185"/>
    <w:rsid w:val="006F21BE"/>
    <w:rsid w:val="006F22F9"/>
    <w:rsid w:val="006F25C8"/>
    <w:rsid w:val="006F2637"/>
    <w:rsid w:val="006F2662"/>
    <w:rsid w:val="006F279D"/>
    <w:rsid w:val="006F27E4"/>
    <w:rsid w:val="006F294D"/>
    <w:rsid w:val="006F29B2"/>
    <w:rsid w:val="006F2AA1"/>
    <w:rsid w:val="006F2B71"/>
    <w:rsid w:val="006F2BB7"/>
    <w:rsid w:val="006F2D1B"/>
    <w:rsid w:val="006F2D5A"/>
    <w:rsid w:val="006F2D5C"/>
    <w:rsid w:val="006F2E5F"/>
    <w:rsid w:val="006F2EE7"/>
    <w:rsid w:val="006F2FED"/>
    <w:rsid w:val="006F3030"/>
    <w:rsid w:val="006F3074"/>
    <w:rsid w:val="006F3080"/>
    <w:rsid w:val="006F30B1"/>
    <w:rsid w:val="006F328D"/>
    <w:rsid w:val="006F32D8"/>
    <w:rsid w:val="006F32E5"/>
    <w:rsid w:val="006F3307"/>
    <w:rsid w:val="006F33EC"/>
    <w:rsid w:val="006F347E"/>
    <w:rsid w:val="006F34D0"/>
    <w:rsid w:val="006F357A"/>
    <w:rsid w:val="006F35C6"/>
    <w:rsid w:val="006F371F"/>
    <w:rsid w:val="006F38D0"/>
    <w:rsid w:val="006F39A8"/>
    <w:rsid w:val="006F39AE"/>
    <w:rsid w:val="006F3A12"/>
    <w:rsid w:val="006F3A40"/>
    <w:rsid w:val="006F3B43"/>
    <w:rsid w:val="006F3C12"/>
    <w:rsid w:val="006F3C17"/>
    <w:rsid w:val="006F3C76"/>
    <w:rsid w:val="006F3D04"/>
    <w:rsid w:val="006F3D47"/>
    <w:rsid w:val="006F3DF9"/>
    <w:rsid w:val="006F3FE2"/>
    <w:rsid w:val="006F4003"/>
    <w:rsid w:val="006F40B0"/>
    <w:rsid w:val="006F40B2"/>
    <w:rsid w:val="006F40BB"/>
    <w:rsid w:val="006F40E0"/>
    <w:rsid w:val="006F40FE"/>
    <w:rsid w:val="006F4100"/>
    <w:rsid w:val="006F4117"/>
    <w:rsid w:val="006F4146"/>
    <w:rsid w:val="006F4231"/>
    <w:rsid w:val="006F43AE"/>
    <w:rsid w:val="006F43DC"/>
    <w:rsid w:val="006F44B8"/>
    <w:rsid w:val="006F4549"/>
    <w:rsid w:val="006F45DA"/>
    <w:rsid w:val="006F4662"/>
    <w:rsid w:val="006F4695"/>
    <w:rsid w:val="006F471F"/>
    <w:rsid w:val="006F474C"/>
    <w:rsid w:val="006F4799"/>
    <w:rsid w:val="006F480A"/>
    <w:rsid w:val="006F4872"/>
    <w:rsid w:val="006F48E3"/>
    <w:rsid w:val="006F48FE"/>
    <w:rsid w:val="006F4933"/>
    <w:rsid w:val="006F49C9"/>
    <w:rsid w:val="006F4ADC"/>
    <w:rsid w:val="006F4B28"/>
    <w:rsid w:val="006F4B3E"/>
    <w:rsid w:val="006F4BDB"/>
    <w:rsid w:val="006F4C6A"/>
    <w:rsid w:val="006F4CEA"/>
    <w:rsid w:val="006F4CFA"/>
    <w:rsid w:val="006F4DE9"/>
    <w:rsid w:val="006F4E04"/>
    <w:rsid w:val="006F4F8C"/>
    <w:rsid w:val="006F50BA"/>
    <w:rsid w:val="006F50EA"/>
    <w:rsid w:val="006F510C"/>
    <w:rsid w:val="006F5165"/>
    <w:rsid w:val="006F52D2"/>
    <w:rsid w:val="006F5310"/>
    <w:rsid w:val="006F5500"/>
    <w:rsid w:val="006F5537"/>
    <w:rsid w:val="006F55E4"/>
    <w:rsid w:val="006F5604"/>
    <w:rsid w:val="006F560C"/>
    <w:rsid w:val="006F5617"/>
    <w:rsid w:val="006F5633"/>
    <w:rsid w:val="006F5663"/>
    <w:rsid w:val="006F5698"/>
    <w:rsid w:val="006F56AE"/>
    <w:rsid w:val="006F56AF"/>
    <w:rsid w:val="006F56B2"/>
    <w:rsid w:val="006F56E9"/>
    <w:rsid w:val="006F5822"/>
    <w:rsid w:val="006F58B4"/>
    <w:rsid w:val="006F58C2"/>
    <w:rsid w:val="006F58E3"/>
    <w:rsid w:val="006F5AF7"/>
    <w:rsid w:val="006F5B4E"/>
    <w:rsid w:val="006F5BCB"/>
    <w:rsid w:val="006F5E03"/>
    <w:rsid w:val="006F5E2B"/>
    <w:rsid w:val="006F5E5C"/>
    <w:rsid w:val="006F5E96"/>
    <w:rsid w:val="006F5F4F"/>
    <w:rsid w:val="006F5F5E"/>
    <w:rsid w:val="006F5FA3"/>
    <w:rsid w:val="006F5FB7"/>
    <w:rsid w:val="006F5FDC"/>
    <w:rsid w:val="006F5FF0"/>
    <w:rsid w:val="006F6053"/>
    <w:rsid w:val="006F60A4"/>
    <w:rsid w:val="006F60B1"/>
    <w:rsid w:val="006F60E9"/>
    <w:rsid w:val="006F610A"/>
    <w:rsid w:val="006F6146"/>
    <w:rsid w:val="006F617B"/>
    <w:rsid w:val="006F61CF"/>
    <w:rsid w:val="006F626D"/>
    <w:rsid w:val="006F62D4"/>
    <w:rsid w:val="006F63E2"/>
    <w:rsid w:val="006F6483"/>
    <w:rsid w:val="006F648D"/>
    <w:rsid w:val="006F649B"/>
    <w:rsid w:val="006F65D8"/>
    <w:rsid w:val="006F65E5"/>
    <w:rsid w:val="006F65F2"/>
    <w:rsid w:val="006F6612"/>
    <w:rsid w:val="006F66E5"/>
    <w:rsid w:val="006F6753"/>
    <w:rsid w:val="006F6868"/>
    <w:rsid w:val="006F6889"/>
    <w:rsid w:val="006F695E"/>
    <w:rsid w:val="006F697C"/>
    <w:rsid w:val="006F6A0D"/>
    <w:rsid w:val="006F6AFF"/>
    <w:rsid w:val="006F6B9D"/>
    <w:rsid w:val="006F6CA4"/>
    <w:rsid w:val="006F6CB1"/>
    <w:rsid w:val="006F6CB6"/>
    <w:rsid w:val="006F6EE8"/>
    <w:rsid w:val="006F6F34"/>
    <w:rsid w:val="006F6FBD"/>
    <w:rsid w:val="006F6FBF"/>
    <w:rsid w:val="006F7098"/>
    <w:rsid w:val="006F70F4"/>
    <w:rsid w:val="006F71AA"/>
    <w:rsid w:val="006F7207"/>
    <w:rsid w:val="006F720B"/>
    <w:rsid w:val="006F73C4"/>
    <w:rsid w:val="006F73CC"/>
    <w:rsid w:val="006F74B5"/>
    <w:rsid w:val="006F74D5"/>
    <w:rsid w:val="006F757C"/>
    <w:rsid w:val="006F760D"/>
    <w:rsid w:val="006F7858"/>
    <w:rsid w:val="006F799E"/>
    <w:rsid w:val="006F79F8"/>
    <w:rsid w:val="006F7A38"/>
    <w:rsid w:val="006F7B75"/>
    <w:rsid w:val="006F7B86"/>
    <w:rsid w:val="006F7C01"/>
    <w:rsid w:val="006F7C87"/>
    <w:rsid w:val="006F7D08"/>
    <w:rsid w:val="006F7EC9"/>
    <w:rsid w:val="006F7ED6"/>
    <w:rsid w:val="006F7F2A"/>
    <w:rsid w:val="006F7F6B"/>
    <w:rsid w:val="006F7F9A"/>
    <w:rsid w:val="006F7FB3"/>
    <w:rsid w:val="006F7FE7"/>
    <w:rsid w:val="007000C3"/>
    <w:rsid w:val="007000C9"/>
    <w:rsid w:val="007001A1"/>
    <w:rsid w:val="00700243"/>
    <w:rsid w:val="0070025B"/>
    <w:rsid w:val="007002E6"/>
    <w:rsid w:val="007003A7"/>
    <w:rsid w:val="00700411"/>
    <w:rsid w:val="0070044A"/>
    <w:rsid w:val="007004DC"/>
    <w:rsid w:val="0070052E"/>
    <w:rsid w:val="0070054D"/>
    <w:rsid w:val="0070055C"/>
    <w:rsid w:val="007005CC"/>
    <w:rsid w:val="007005CE"/>
    <w:rsid w:val="007005E5"/>
    <w:rsid w:val="00700611"/>
    <w:rsid w:val="007006B0"/>
    <w:rsid w:val="00700706"/>
    <w:rsid w:val="00700745"/>
    <w:rsid w:val="007007E9"/>
    <w:rsid w:val="00700913"/>
    <w:rsid w:val="0070092A"/>
    <w:rsid w:val="00700970"/>
    <w:rsid w:val="00700A08"/>
    <w:rsid w:val="00700A1C"/>
    <w:rsid w:val="00700AE3"/>
    <w:rsid w:val="00700B44"/>
    <w:rsid w:val="00700BFF"/>
    <w:rsid w:val="00700DC1"/>
    <w:rsid w:val="00700E81"/>
    <w:rsid w:val="00701030"/>
    <w:rsid w:val="00701070"/>
    <w:rsid w:val="00701094"/>
    <w:rsid w:val="00701231"/>
    <w:rsid w:val="00701454"/>
    <w:rsid w:val="007014D5"/>
    <w:rsid w:val="00701685"/>
    <w:rsid w:val="007016A7"/>
    <w:rsid w:val="00701707"/>
    <w:rsid w:val="0070174D"/>
    <w:rsid w:val="007017BC"/>
    <w:rsid w:val="0070180F"/>
    <w:rsid w:val="00701889"/>
    <w:rsid w:val="007018D3"/>
    <w:rsid w:val="0070197B"/>
    <w:rsid w:val="007019DD"/>
    <w:rsid w:val="00701A1C"/>
    <w:rsid w:val="00701B57"/>
    <w:rsid w:val="00701BA1"/>
    <w:rsid w:val="00701C1F"/>
    <w:rsid w:val="00701C80"/>
    <w:rsid w:val="00701CD4"/>
    <w:rsid w:val="00701D39"/>
    <w:rsid w:val="00701D58"/>
    <w:rsid w:val="00701DB0"/>
    <w:rsid w:val="00701E06"/>
    <w:rsid w:val="00701EFA"/>
    <w:rsid w:val="00701F28"/>
    <w:rsid w:val="00701F7E"/>
    <w:rsid w:val="00701FB1"/>
    <w:rsid w:val="0070205F"/>
    <w:rsid w:val="0070209C"/>
    <w:rsid w:val="007020E9"/>
    <w:rsid w:val="0070217B"/>
    <w:rsid w:val="007022BE"/>
    <w:rsid w:val="007022D6"/>
    <w:rsid w:val="0070234F"/>
    <w:rsid w:val="007023AC"/>
    <w:rsid w:val="007023C6"/>
    <w:rsid w:val="007023E3"/>
    <w:rsid w:val="007023F1"/>
    <w:rsid w:val="00702493"/>
    <w:rsid w:val="007024B9"/>
    <w:rsid w:val="00702582"/>
    <w:rsid w:val="00702586"/>
    <w:rsid w:val="0070259A"/>
    <w:rsid w:val="007025B9"/>
    <w:rsid w:val="007025F8"/>
    <w:rsid w:val="0070261D"/>
    <w:rsid w:val="00702672"/>
    <w:rsid w:val="00702811"/>
    <w:rsid w:val="0070283B"/>
    <w:rsid w:val="00702906"/>
    <w:rsid w:val="0070294A"/>
    <w:rsid w:val="0070297D"/>
    <w:rsid w:val="0070299C"/>
    <w:rsid w:val="00702B83"/>
    <w:rsid w:val="00702C03"/>
    <w:rsid w:val="00702CEA"/>
    <w:rsid w:val="00702D95"/>
    <w:rsid w:val="00702E5D"/>
    <w:rsid w:val="00702EC7"/>
    <w:rsid w:val="00702FD8"/>
    <w:rsid w:val="0070310B"/>
    <w:rsid w:val="00703111"/>
    <w:rsid w:val="00703151"/>
    <w:rsid w:val="0070316C"/>
    <w:rsid w:val="007031A1"/>
    <w:rsid w:val="0070330D"/>
    <w:rsid w:val="0070336F"/>
    <w:rsid w:val="007033E2"/>
    <w:rsid w:val="007034F5"/>
    <w:rsid w:val="00703616"/>
    <w:rsid w:val="00703695"/>
    <w:rsid w:val="0070371F"/>
    <w:rsid w:val="00703789"/>
    <w:rsid w:val="007037B4"/>
    <w:rsid w:val="0070380A"/>
    <w:rsid w:val="0070386C"/>
    <w:rsid w:val="00703980"/>
    <w:rsid w:val="00703AC4"/>
    <w:rsid w:val="00703B8F"/>
    <w:rsid w:val="00703BDD"/>
    <w:rsid w:val="00703CAF"/>
    <w:rsid w:val="00703CF0"/>
    <w:rsid w:val="00703E33"/>
    <w:rsid w:val="00703ECC"/>
    <w:rsid w:val="0070416D"/>
    <w:rsid w:val="00704186"/>
    <w:rsid w:val="00704188"/>
    <w:rsid w:val="007041D6"/>
    <w:rsid w:val="00704284"/>
    <w:rsid w:val="007042D0"/>
    <w:rsid w:val="007044AB"/>
    <w:rsid w:val="007044FC"/>
    <w:rsid w:val="0070456F"/>
    <w:rsid w:val="007045AC"/>
    <w:rsid w:val="007045F9"/>
    <w:rsid w:val="00704614"/>
    <w:rsid w:val="00704643"/>
    <w:rsid w:val="0070467B"/>
    <w:rsid w:val="007046D1"/>
    <w:rsid w:val="007046F3"/>
    <w:rsid w:val="00704712"/>
    <w:rsid w:val="007047A3"/>
    <w:rsid w:val="00704950"/>
    <w:rsid w:val="00704A1B"/>
    <w:rsid w:val="00704A50"/>
    <w:rsid w:val="00704A6C"/>
    <w:rsid w:val="00704B8E"/>
    <w:rsid w:val="00704BEA"/>
    <w:rsid w:val="00704C49"/>
    <w:rsid w:val="00704E02"/>
    <w:rsid w:val="00704E7C"/>
    <w:rsid w:val="00704E7D"/>
    <w:rsid w:val="00704EA6"/>
    <w:rsid w:val="00704F28"/>
    <w:rsid w:val="00704F2D"/>
    <w:rsid w:val="00704F94"/>
    <w:rsid w:val="00704FD5"/>
    <w:rsid w:val="00704FFE"/>
    <w:rsid w:val="00705091"/>
    <w:rsid w:val="00705108"/>
    <w:rsid w:val="0070516B"/>
    <w:rsid w:val="007051D2"/>
    <w:rsid w:val="007051D6"/>
    <w:rsid w:val="00705205"/>
    <w:rsid w:val="00705212"/>
    <w:rsid w:val="0070531F"/>
    <w:rsid w:val="00705584"/>
    <w:rsid w:val="0070558B"/>
    <w:rsid w:val="007056C3"/>
    <w:rsid w:val="00705716"/>
    <w:rsid w:val="0070571B"/>
    <w:rsid w:val="00705767"/>
    <w:rsid w:val="007057D3"/>
    <w:rsid w:val="0070582F"/>
    <w:rsid w:val="00705978"/>
    <w:rsid w:val="007059F3"/>
    <w:rsid w:val="00705A0B"/>
    <w:rsid w:val="00705A14"/>
    <w:rsid w:val="00705AB7"/>
    <w:rsid w:val="00705B81"/>
    <w:rsid w:val="00705C16"/>
    <w:rsid w:val="00705C44"/>
    <w:rsid w:val="00705D13"/>
    <w:rsid w:val="00705D29"/>
    <w:rsid w:val="00705DDB"/>
    <w:rsid w:val="00705DFA"/>
    <w:rsid w:val="00705E23"/>
    <w:rsid w:val="00705E25"/>
    <w:rsid w:val="00705EBA"/>
    <w:rsid w:val="00705F72"/>
    <w:rsid w:val="00705FA6"/>
    <w:rsid w:val="00705FBF"/>
    <w:rsid w:val="007060AB"/>
    <w:rsid w:val="007060AC"/>
    <w:rsid w:val="0070610E"/>
    <w:rsid w:val="00706154"/>
    <w:rsid w:val="00706248"/>
    <w:rsid w:val="0070625C"/>
    <w:rsid w:val="00706280"/>
    <w:rsid w:val="00706302"/>
    <w:rsid w:val="0070632A"/>
    <w:rsid w:val="00706409"/>
    <w:rsid w:val="00706454"/>
    <w:rsid w:val="00706474"/>
    <w:rsid w:val="00706545"/>
    <w:rsid w:val="0070661C"/>
    <w:rsid w:val="007066CC"/>
    <w:rsid w:val="007066EE"/>
    <w:rsid w:val="00706779"/>
    <w:rsid w:val="0070678B"/>
    <w:rsid w:val="007067B0"/>
    <w:rsid w:val="00706A3D"/>
    <w:rsid w:val="00706A83"/>
    <w:rsid w:val="00706A85"/>
    <w:rsid w:val="00706AA9"/>
    <w:rsid w:val="00706B12"/>
    <w:rsid w:val="00706B8D"/>
    <w:rsid w:val="00706BB5"/>
    <w:rsid w:val="00706BE5"/>
    <w:rsid w:val="00706C57"/>
    <w:rsid w:val="00706D1E"/>
    <w:rsid w:val="00706DB7"/>
    <w:rsid w:val="00706DEE"/>
    <w:rsid w:val="00706EC1"/>
    <w:rsid w:val="0070709A"/>
    <w:rsid w:val="007070D5"/>
    <w:rsid w:val="007070E2"/>
    <w:rsid w:val="007071A0"/>
    <w:rsid w:val="007071B6"/>
    <w:rsid w:val="007071E1"/>
    <w:rsid w:val="007071EC"/>
    <w:rsid w:val="00707242"/>
    <w:rsid w:val="00707433"/>
    <w:rsid w:val="0070755E"/>
    <w:rsid w:val="00707618"/>
    <w:rsid w:val="00707635"/>
    <w:rsid w:val="0070764C"/>
    <w:rsid w:val="00707782"/>
    <w:rsid w:val="007077A5"/>
    <w:rsid w:val="007077ED"/>
    <w:rsid w:val="00707872"/>
    <w:rsid w:val="00707886"/>
    <w:rsid w:val="007078DE"/>
    <w:rsid w:val="00707915"/>
    <w:rsid w:val="00707943"/>
    <w:rsid w:val="0070795A"/>
    <w:rsid w:val="0070797F"/>
    <w:rsid w:val="00707A6E"/>
    <w:rsid w:val="00707A90"/>
    <w:rsid w:val="00707AA4"/>
    <w:rsid w:val="00707ABB"/>
    <w:rsid w:val="00707ADD"/>
    <w:rsid w:val="00707B24"/>
    <w:rsid w:val="00707B54"/>
    <w:rsid w:val="00707D9E"/>
    <w:rsid w:val="00707DCD"/>
    <w:rsid w:val="00707E63"/>
    <w:rsid w:val="00707EE4"/>
    <w:rsid w:val="00707F02"/>
    <w:rsid w:val="00707F34"/>
    <w:rsid w:val="0070A12C"/>
    <w:rsid w:val="00710061"/>
    <w:rsid w:val="00710085"/>
    <w:rsid w:val="00710157"/>
    <w:rsid w:val="007101A7"/>
    <w:rsid w:val="007101AB"/>
    <w:rsid w:val="007101F5"/>
    <w:rsid w:val="007102D2"/>
    <w:rsid w:val="00710326"/>
    <w:rsid w:val="0071034C"/>
    <w:rsid w:val="0071041D"/>
    <w:rsid w:val="00710490"/>
    <w:rsid w:val="007104B4"/>
    <w:rsid w:val="0071062C"/>
    <w:rsid w:val="00710660"/>
    <w:rsid w:val="00710682"/>
    <w:rsid w:val="007106E8"/>
    <w:rsid w:val="00710702"/>
    <w:rsid w:val="00710819"/>
    <w:rsid w:val="00710A02"/>
    <w:rsid w:val="00710A77"/>
    <w:rsid w:val="00710A99"/>
    <w:rsid w:val="00710AAA"/>
    <w:rsid w:val="00710AE1"/>
    <w:rsid w:val="00710BDA"/>
    <w:rsid w:val="00710CF7"/>
    <w:rsid w:val="00710E3A"/>
    <w:rsid w:val="00710E8D"/>
    <w:rsid w:val="00710F37"/>
    <w:rsid w:val="00710FA9"/>
    <w:rsid w:val="00710FD1"/>
    <w:rsid w:val="00711008"/>
    <w:rsid w:val="0071109F"/>
    <w:rsid w:val="007110A8"/>
    <w:rsid w:val="007110CA"/>
    <w:rsid w:val="007110CD"/>
    <w:rsid w:val="007110E6"/>
    <w:rsid w:val="00711162"/>
    <w:rsid w:val="007112E4"/>
    <w:rsid w:val="007113A1"/>
    <w:rsid w:val="00711484"/>
    <w:rsid w:val="00711529"/>
    <w:rsid w:val="0071153B"/>
    <w:rsid w:val="00711595"/>
    <w:rsid w:val="00711680"/>
    <w:rsid w:val="0071169A"/>
    <w:rsid w:val="007116DB"/>
    <w:rsid w:val="0071170A"/>
    <w:rsid w:val="00711760"/>
    <w:rsid w:val="0071178A"/>
    <w:rsid w:val="00711855"/>
    <w:rsid w:val="007119CE"/>
    <w:rsid w:val="00711A2F"/>
    <w:rsid w:val="00711BC9"/>
    <w:rsid w:val="00711CBC"/>
    <w:rsid w:val="00711D7E"/>
    <w:rsid w:val="00711DAA"/>
    <w:rsid w:val="00711EF9"/>
    <w:rsid w:val="00711EFC"/>
    <w:rsid w:val="00711F1A"/>
    <w:rsid w:val="00711FDC"/>
    <w:rsid w:val="0071200C"/>
    <w:rsid w:val="00712035"/>
    <w:rsid w:val="0071203F"/>
    <w:rsid w:val="00712197"/>
    <w:rsid w:val="00712218"/>
    <w:rsid w:val="0071224F"/>
    <w:rsid w:val="00712282"/>
    <w:rsid w:val="00712306"/>
    <w:rsid w:val="00712338"/>
    <w:rsid w:val="00712365"/>
    <w:rsid w:val="00712497"/>
    <w:rsid w:val="007124C5"/>
    <w:rsid w:val="00712560"/>
    <w:rsid w:val="007125CA"/>
    <w:rsid w:val="007125FD"/>
    <w:rsid w:val="00712710"/>
    <w:rsid w:val="00712745"/>
    <w:rsid w:val="00712791"/>
    <w:rsid w:val="007127FF"/>
    <w:rsid w:val="0071281B"/>
    <w:rsid w:val="0071290E"/>
    <w:rsid w:val="00712920"/>
    <w:rsid w:val="00712AEF"/>
    <w:rsid w:val="00712B2F"/>
    <w:rsid w:val="00712B33"/>
    <w:rsid w:val="00712B40"/>
    <w:rsid w:val="00712B85"/>
    <w:rsid w:val="00712C6E"/>
    <w:rsid w:val="00712E12"/>
    <w:rsid w:val="00712F3E"/>
    <w:rsid w:val="00712FCC"/>
    <w:rsid w:val="00713048"/>
    <w:rsid w:val="007130E8"/>
    <w:rsid w:val="0071318C"/>
    <w:rsid w:val="007131AD"/>
    <w:rsid w:val="007131BA"/>
    <w:rsid w:val="007131EF"/>
    <w:rsid w:val="007131F3"/>
    <w:rsid w:val="007131F4"/>
    <w:rsid w:val="00713232"/>
    <w:rsid w:val="00713315"/>
    <w:rsid w:val="00713459"/>
    <w:rsid w:val="007135F7"/>
    <w:rsid w:val="00713683"/>
    <w:rsid w:val="007136EA"/>
    <w:rsid w:val="00713765"/>
    <w:rsid w:val="007137CD"/>
    <w:rsid w:val="00713810"/>
    <w:rsid w:val="00713856"/>
    <w:rsid w:val="007138D2"/>
    <w:rsid w:val="00713921"/>
    <w:rsid w:val="00713995"/>
    <w:rsid w:val="007139BF"/>
    <w:rsid w:val="00713A56"/>
    <w:rsid w:val="00713B21"/>
    <w:rsid w:val="00713B26"/>
    <w:rsid w:val="00713B7B"/>
    <w:rsid w:val="00713BA9"/>
    <w:rsid w:val="00713BFD"/>
    <w:rsid w:val="00713C58"/>
    <w:rsid w:val="00713CA9"/>
    <w:rsid w:val="00713D17"/>
    <w:rsid w:val="00713ED5"/>
    <w:rsid w:val="00713EE2"/>
    <w:rsid w:val="00713FD5"/>
    <w:rsid w:val="0071423C"/>
    <w:rsid w:val="007142DC"/>
    <w:rsid w:val="00714367"/>
    <w:rsid w:val="007143BE"/>
    <w:rsid w:val="0071442A"/>
    <w:rsid w:val="0071461B"/>
    <w:rsid w:val="00714651"/>
    <w:rsid w:val="00714744"/>
    <w:rsid w:val="00714750"/>
    <w:rsid w:val="0071485F"/>
    <w:rsid w:val="007148BB"/>
    <w:rsid w:val="00714931"/>
    <w:rsid w:val="00714988"/>
    <w:rsid w:val="007149CD"/>
    <w:rsid w:val="00714A8F"/>
    <w:rsid w:val="00714AF4"/>
    <w:rsid w:val="00714B3C"/>
    <w:rsid w:val="00714C05"/>
    <w:rsid w:val="00714C4E"/>
    <w:rsid w:val="00714D48"/>
    <w:rsid w:val="00714D8E"/>
    <w:rsid w:val="00714DB5"/>
    <w:rsid w:val="00714E81"/>
    <w:rsid w:val="00714EAC"/>
    <w:rsid w:val="00714EE7"/>
    <w:rsid w:val="00714EED"/>
    <w:rsid w:val="00714FF9"/>
    <w:rsid w:val="00715050"/>
    <w:rsid w:val="0071508C"/>
    <w:rsid w:val="007150ED"/>
    <w:rsid w:val="00715115"/>
    <w:rsid w:val="007151E2"/>
    <w:rsid w:val="007151FE"/>
    <w:rsid w:val="00715229"/>
    <w:rsid w:val="00715234"/>
    <w:rsid w:val="007152AA"/>
    <w:rsid w:val="007152FB"/>
    <w:rsid w:val="00715341"/>
    <w:rsid w:val="00715466"/>
    <w:rsid w:val="007154BA"/>
    <w:rsid w:val="007154FB"/>
    <w:rsid w:val="00715585"/>
    <w:rsid w:val="00715599"/>
    <w:rsid w:val="007155FA"/>
    <w:rsid w:val="00715653"/>
    <w:rsid w:val="00715955"/>
    <w:rsid w:val="007159DC"/>
    <w:rsid w:val="007159E2"/>
    <w:rsid w:val="00715A68"/>
    <w:rsid w:val="00715A85"/>
    <w:rsid w:val="00715AE2"/>
    <w:rsid w:val="00715B14"/>
    <w:rsid w:val="00715B23"/>
    <w:rsid w:val="00715BB2"/>
    <w:rsid w:val="00715CAB"/>
    <w:rsid w:val="00715D56"/>
    <w:rsid w:val="00715D60"/>
    <w:rsid w:val="00715D90"/>
    <w:rsid w:val="00715E3F"/>
    <w:rsid w:val="00715F49"/>
    <w:rsid w:val="00715F52"/>
    <w:rsid w:val="00715F78"/>
    <w:rsid w:val="00715F84"/>
    <w:rsid w:val="00715FE3"/>
    <w:rsid w:val="00716013"/>
    <w:rsid w:val="0071605A"/>
    <w:rsid w:val="007160E6"/>
    <w:rsid w:val="007161CE"/>
    <w:rsid w:val="00716270"/>
    <w:rsid w:val="007162A0"/>
    <w:rsid w:val="007163D9"/>
    <w:rsid w:val="007163E0"/>
    <w:rsid w:val="007163FA"/>
    <w:rsid w:val="00716414"/>
    <w:rsid w:val="007164F4"/>
    <w:rsid w:val="00716525"/>
    <w:rsid w:val="00716590"/>
    <w:rsid w:val="007165A1"/>
    <w:rsid w:val="00716694"/>
    <w:rsid w:val="0071669E"/>
    <w:rsid w:val="00716789"/>
    <w:rsid w:val="007167FF"/>
    <w:rsid w:val="007168AE"/>
    <w:rsid w:val="007168B9"/>
    <w:rsid w:val="00716A13"/>
    <w:rsid w:val="00716AB7"/>
    <w:rsid w:val="00716B1C"/>
    <w:rsid w:val="00716BC2"/>
    <w:rsid w:val="00716C5F"/>
    <w:rsid w:val="00716D2A"/>
    <w:rsid w:val="00716DDE"/>
    <w:rsid w:val="00716EE1"/>
    <w:rsid w:val="00716F82"/>
    <w:rsid w:val="00716F8F"/>
    <w:rsid w:val="0071707D"/>
    <w:rsid w:val="007171C5"/>
    <w:rsid w:val="007172BC"/>
    <w:rsid w:val="007174D6"/>
    <w:rsid w:val="00717515"/>
    <w:rsid w:val="00717522"/>
    <w:rsid w:val="0071752D"/>
    <w:rsid w:val="0071752E"/>
    <w:rsid w:val="0071753F"/>
    <w:rsid w:val="00717540"/>
    <w:rsid w:val="0071758A"/>
    <w:rsid w:val="007175D2"/>
    <w:rsid w:val="0071765C"/>
    <w:rsid w:val="0071773F"/>
    <w:rsid w:val="00717790"/>
    <w:rsid w:val="007177C4"/>
    <w:rsid w:val="007178A5"/>
    <w:rsid w:val="007178C4"/>
    <w:rsid w:val="007178DA"/>
    <w:rsid w:val="007178DB"/>
    <w:rsid w:val="007178EB"/>
    <w:rsid w:val="007178FD"/>
    <w:rsid w:val="007179A4"/>
    <w:rsid w:val="00717A34"/>
    <w:rsid w:val="00717B16"/>
    <w:rsid w:val="00717B93"/>
    <w:rsid w:val="00717BFB"/>
    <w:rsid w:val="00717C62"/>
    <w:rsid w:val="00717C78"/>
    <w:rsid w:val="00717DA4"/>
    <w:rsid w:val="00717E21"/>
    <w:rsid w:val="00717E55"/>
    <w:rsid w:val="00717F3B"/>
    <w:rsid w:val="00717F6B"/>
    <w:rsid w:val="00720044"/>
    <w:rsid w:val="00720053"/>
    <w:rsid w:val="007201B7"/>
    <w:rsid w:val="00720200"/>
    <w:rsid w:val="0072029E"/>
    <w:rsid w:val="00720473"/>
    <w:rsid w:val="00720542"/>
    <w:rsid w:val="007205D7"/>
    <w:rsid w:val="00720609"/>
    <w:rsid w:val="007206C5"/>
    <w:rsid w:val="0072075B"/>
    <w:rsid w:val="00720795"/>
    <w:rsid w:val="0072081B"/>
    <w:rsid w:val="00720843"/>
    <w:rsid w:val="00720870"/>
    <w:rsid w:val="00720904"/>
    <w:rsid w:val="0072096F"/>
    <w:rsid w:val="007209E5"/>
    <w:rsid w:val="00720A8A"/>
    <w:rsid w:val="00720A9F"/>
    <w:rsid w:val="00720B09"/>
    <w:rsid w:val="00720B56"/>
    <w:rsid w:val="00720BC0"/>
    <w:rsid w:val="00720C1D"/>
    <w:rsid w:val="00720C25"/>
    <w:rsid w:val="00720DC3"/>
    <w:rsid w:val="00720E17"/>
    <w:rsid w:val="00720E3F"/>
    <w:rsid w:val="00720E83"/>
    <w:rsid w:val="00720E88"/>
    <w:rsid w:val="00720ED6"/>
    <w:rsid w:val="007210A6"/>
    <w:rsid w:val="007210E9"/>
    <w:rsid w:val="0072114D"/>
    <w:rsid w:val="0072136D"/>
    <w:rsid w:val="0072149E"/>
    <w:rsid w:val="007215D8"/>
    <w:rsid w:val="007216D4"/>
    <w:rsid w:val="00721706"/>
    <w:rsid w:val="007217D6"/>
    <w:rsid w:val="0072187B"/>
    <w:rsid w:val="00721943"/>
    <w:rsid w:val="00721965"/>
    <w:rsid w:val="00721977"/>
    <w:rsid w:val="00721A28"/>
    <w:rsid w:val="00721B49"/>
    <w:rsid w:val="00721B6C"/>
    <w:rsid w:val="00721C29"/>
    <w:rsid w:val="00721C2F"/>
    <w:rsid w:val="00721C42"/>
    <w:rsid w:val="00721CA0"/>
    <w:rsid w:val="00721D16"/>
    <w:rsid w:val="00721EB1"/>
    <w:rsid w:val="00721F1A"/>
    <w:rsid w:val="00721F5A"/>
    <w:rsid w:val="00721FF4"/>
    <w:rsid w:val="0072205D"/>
    <w:rsid w:val="007220C2"/>
    <w:rsid w:val="00722113"/>
    <w:rsid w:val="00722261"/>
    <w:rsid w:val="00722263"/>
    <w:rsid w:val="00722279"/>
    <w:rsid w:val="00722288"/>
    <w:rsid w:val="007222FF"/>
    <w:rsid w:val="00722395"/>
    <w:rsid w:val="00722437"/>
    <w:rsid w:val="007224E9"/>
    <w:rsid w:val="007224FA"/>
    <w:rsid w:val="00722554"/>
    <w:rsid w:val="00722557"/>
    <w:rsid w:val="0072256E"/>
    <w:rsid w:val="00722717"/>
    <w:rsid w:val="0072276E"/>
    <w:rsid w:val="007227E0"/>
    <w:rsid w:val="007227F7"/>
    <w:rsid w:val="0072280D"/>
    <w:rsid w:val="007228AB"/>
    <w:rsid w:val="007228CC"/>
    <w:rsid w:val="00722940"/>
    <w:rsid w:val="0072299B"/>
    <w:rsid w:val="007229DC"/>
    <w:rsid w:val="00722A09"/>
    <w:rsid w:val="00722A3D"/>
    <w:rsid w:val="00722A6C"/>
    <w:rsid w:val="00722B95"/>
    <w:rsid w:val="00722BED"/>
    <w:rsid w:val="00722D94"/>
    <w:rsid w:val="00722E5B"/>
    <w:rsid w:val="00722E71"/>
    <w:rsid w:val="00722E8D"/>
    <w:rsid w:val="00722EA4"/>
    <w:rsid w:val="00722F07"/>
    <w:rsid w:val="00722F12"/>
    <w:rsid w:val="00722F98"/>
    <w:rsid w:val="00722F9B"/>
    <w:rsid w:val="00723003"/>
    <w:rsid w:val="00723011"/>
    <w:rsid w:val="00723080"/>
    <w:rsid w:val="0072324E"/>
    <w:rsid w:val="007232CF"/>
    <w:rsid w:val="007233CF"/>
    <w:rsid w:val="007233E9"/>
    <w:rsid w:val="0072344B"/>
    <w:rsid w:val="007234B5"/>
    <w:rsid w:val="00723564"/>
    <w:rsid w:val="007235D8"/>
    <w:rsid w:val="007235E8"/>
    <w:rsid w:val="0072360D"/>
    <w:rsid w:val="00723663"/>
    <w:rsid w:val="007236AD"/>
    <w:rsid w:val="007236EE"/>
    <w:rsid w:val="0072374A"/>
    <w:rsid w:val="00723807"/>
    <w:rsid w:val="0072386F"/>
    <w:rsid w:val="007238A7"/>
    <w:rsid w:val="00723A03"/>
    <w:rsid w:val="00723A1C"/>
    <w:rsid w:val="00723A65"/>
    <w:rsid w:val="00723A95"/>
    <w:rsid w:val="00723BE1"/>
    <w:rsid w:val="00723BE3"/>
    <w:rsid w:val="00723C21"/>
    <w:rsid w:val="00723D4F"/>
    <w:rsid w:val="00723D55"/>
    <w:rsid w:val="00723E55"/>
    <w:rsid w:val="00723F04"/>
    <w:rsid w:val="00723FDD"/>
    <w:rsid w:val="00723FE0"/>
    <w:rsid w:val="00724072"/>
    <w:rsid w:val="00724079"/>
    <w:rsid w:val="0072413B"/>
    <w:rsid w:val="0072414E"/>
    <w:rsid w:val="00724276"/>
    <w:rsid w:val="007243B7"/>
    <w:rsid w:val="007243E6"/>
    <w:rsid w:val="007243E7"/>
    <w:rsid w:val="0072445B"/>
    <w:rsid w:val="0072446C"/>
    <w:rsid w:val="007245F8"/>
    <w:rsid w:val="00724615"/>
    <w:rsid w:val="0072465F"/>
    <w:rsid w:val="007246FA"/>
    <w:rsid w:val="0072478B"/>
    <w:rsid w:val="007247E1"/>
    <w:rsid w:val="00724904"/>
    <w:rsid w:val="0072494F"/>
    <w:rsid w:val="00724962"/>
    <w:rsid w:val="00724984"/>
    <w:rsid w:val="007249BA"/>
    <w:rsid w:val="00724B3B"/>
    <w:rsid w:val="00724B73"/>
    <w:rsid w:val="00724BBF"/>
    <w:rsid w:val="00724C17"/>
    <w:rsid w:val="00724CBD"/>
    <w:rsid w:val="00724D5C"/>
    <w:rsid w:val="00724DC3"/>
    <w:rsid w:val="00724E16"/>
    <w:rsid w:val="00724E78"/>
    <w:rsid w:val="00724EEC"/>
    <w:rsid w:val="00724F70"/>
    <w:rsid w:val="00725065"/>
    <w:rsid w:val="00725148"/>
    <w:rsid w:val="00725172"/>
    <w:rsid w:val="007251C2"/>
    <w:rsid w:val="007251FE"/>
    <w:rsid w:val="00725327"/>
    <w:rsid w:val="0072535A"/>
    <w:rsid w:val="0072551B"/>
    <w:rsid w:val="007255B7"/>
    <w:rsid w:val="007255EA"/>
    <w:rsid w:val="007256FE"/>
    <w:rsid w:val="0072570E"/>
    <w:rsid w:val="00725734"/>
    <w:rsid w:val="0072588C"/>
    <w:rsid w:val="0072591B"/>
    <w:rsid w:val="0072595D"/>
    <w:rsid w:val="007259AF"/>
    <w:rsid w:val="00725A71"/>
    <w:rsid w:val="00725B0D"/>
    <w:rsid w:val="00725C65"/>
    <w:rsid w:val="00725E61"/>
    <w:rsid w:val="00725EB0"/>
    <w:rsid w:val="00725F23"/>
    <w:rsid w:val="00725F52"/>
    <w:rsid w:val="00725F63"/>
    <w:rsid w:val="00725FB5"/>
    <w:rsid w:val="00726014"/>
    <w:rsid w:val="0072611C"/>
    <w:rsid w:val="0072612F"/>
    <w:rsid w:val="00726133"/>
    <w:rsid w:val="0072614B"/>
    <w:rsid w:val="00726198"/>
    <w:rsid w:val="007261B9"/>
    <w:rsid w:val="0072622A"/>
    <w:rsid w:val="00726330"/>
    <w:rsid w:val="0072636E"/>
    <w:rsid w:val="00726411"/>
    <w:rsid w:val="00726431"/>
    <w:rsid w:val="007265BF"/>
    <w:rsid w:val="007266FE"/>
    <w:rsid w:val="00726753"/>
    <w:rsid w:val="0072675A"/>
    <w:rsid w:val="00726785"/>
    <w:rsid w:val="007267BC"/>
    <w:rsid w:val="0072680E"/>
    <w:rsid w:val="00726827"/>
    <w:rsid w:val="00726855"/>
    <w:rsid w:val="007268D1"/>
    <w:rsid w:val="007268DE"/>
    <w:rsid w:val="00726989"/>
    <w:rsid w:val="00726A64"/>
    <w:rsid w:val="00726B4F"/>
    <w:rsid w:val="00726B65"/>
    <w:rsid w:val="00726BDB"/>
    <w:rsid w:val="00726CAA"/>
    <w:rsid w:val="00726D06"/>
    <w:rsid w:val="00726DCC"/>
    <w:rsid w:val="00726ECB"/>
    <w:rsid w:val="00726FA4"/>
    <w:rsid w:val="00727019"/>
    <w:rsid w:val="007270A2"/>
    <w:rsid w:val="00727104"/>
    <w:rsid w:val="0072717B"/>
    <w:rsid w:val="00727260"/>
    <w:rsid w:val="00727377"/>
    <w:rsid w:val="007273C8"/>
    <w:rsid w:val="007273FB"/>
    <w:rsid w:val="00727425"/>
    <w:rsid w:val="007274DF"/>
    <w:rsid w:val="00727576"/>
    <w:rsid w:val="00727666"/>
    <w:rsid w:val="00727673"/>
    <w:rsid w:val="007277DC"/>
    <w:rsid w:val="00727847"/>
    <w:rsid w:val="007278FA"/>
    <w:rsid w:val="007279B2"/>
    <w:rsid w:val="00727A1A"/>
    <w:rsid w:val="00727A2D"/>
    <w:rsid w:val="00727A31"/>
    <w:rsid w:val="00727A76"/>
    <w:rsid w:val="00727B68"/>
    <w:rsid w:val="00727C39"/>
    <w:rsid w:val="00727D90"/>
    <w:rsid w:val="00727E0E"/>
    <w:rsid w:val="00727EF2"/>
    <w:rsid w:val="00727F90"/>
    <w:rsid w:val="0073000C"/>
    <w:rsid w:val="0073001A"/>
    <w:rsid w:val="0073006D"/>
    <w:rsid w:val="0073007A"/>
    <w:rsid w:val="0073007F"/>
    <w:rsid w:val="007300E3"/>
    <w:rsid w:val="0073016C"/>
    <w:rsid w:val="00730275"/>
    <w:rsid w:val="007302B2"/>
    <w:rsid w:val="007302DE"/>
    <w:rsid w:val="00730378"/>
    <w:rsid w:val="00730509"/>
    <w:rsid w:val="00730539"/>
    <w:rsid w:val="00730569"/>
    <w:rsid w:val="00730574"/>
    <w:rsid w:val="00730582"/>
    <w:rsid w:val="007305D5"/>
    <w:rsid w:val="00730666"/>
    <w:rsid w:val="00730673"/>
    <w:rsid w:val="0073067F"/>
    <w:rsid w:val="00730680"/>
    <w:rsid w:val="0073068C"/>
    <w:rsid w:val="0073075B"/>
    <w:rsid w:val="0073088B"/>
    <w:rsid w:val="00730925"/>
    <w:rsid w:val="00730981"/>
    <w:rsid w:val="007309D3"/>
    <w:rsid w:val="00730A79"/>
    <w:rsid w:val="00730AFF"/>
    <w:rsid w:val="00730B3A"/>
    <w:rsid w:val="00730B9F"/>
    <w:rsid w:val="00730BED"/>
    <w:rsid w:val="00730C45"/>
    <w:rsid w:val="00730DC0"/>
    <w:rsid w:val="00730F75"/>
    <w:rsid w:val="0073102B"/>
    <w:rsid w:val="007310D0"/>
    <w:rsid w:val="007310FE"/>
    <w:rsid w:val="0073110C"/>
    <w:rsid w:val="00731155"/>
    <w:rsid w:val="007311C4"/>
    <w:rsid w:val="00731206"/>
    <w:rsid w:val="0073120D"/>
    <w:rsid w:val="00731246"/>
    <w:rsid w:val="007312AA"/>
    <w:rsid w:val="007313D6"/>
    <w:rsid w:val="0073143D"/>
    <w:rsid w:val="007314CA"/>
    <w:rsid w:val="007314E7"/>
    <w:rsid w:val="00731541"/>
    <w:rsid w:val="00731573"/>
    <w:rsid w:val="00731635"/>
    <w:rsid w:val="007316BC"/>
    <w:rsid w:val="0073183B"/>
    <w:rsid w:val="0073185A"/>
    <w:rsid w:val="00731895"/>
    <w:rsid w:val="00731A27"/>
    <w:rsid w:val="00731A30"/>
    <w:rsid w:val="00731A38"/>
    <w:rsid w:val="00731AA2"/>
    <w:rsid w:val="00731ACA"/>
    <w:rsid w:val="00731B2B"/>
    <w:rsid w:val="00731B8F"/>
    <w:rsid w:val="00731BE2"/>
    <w:rsid w:val="00731C4E"/>
    <w:rsid w:val="00731DA6"/>
    <w:rsid w:val="00731DA7"/>
    <w:rsid w:val="00731DD4"/>
    <w:rsid w:val="00731E3B"/>
    <w:rsid w:val="00731F87"/>
    <w:rsid w:val="00731F9E"/>
    <w:rsid w:val="00732000"/>
    <w:rsid w:val="0073208E"/>
    <w:rsid w:val="007320B0"/>
    <w:rsid w:val="007320EB"/>
    <w:rsid w:val="00732143"/>
    <w:rsid w:val="0073218F"/>
    <w:rsid w:val="0073238D"/>
    <w:rsid w:val="007323B0"/>
    <w:rsid w:val="007323BE"/>
    <w:rsid w:val="007323C3"/>
    <w:rsid w:val="0073250A"/>
    <w:rsid w:val="007325C3"/>
    <w:rsid w:val="007325CF"/>
    <w:rsid w:val="00732635"/>
    <w:rsid w:val="00732762"/>
    <w:rsid w:val="0073276D"/>
    <w:rsid w:val="0073276E"/>
    <w:rsid w:val="007327E0"/>
    <w:rsid w:val="00732953"/>
    <w:rsid w:val="00732983"/>
    <w:rsid w:val="00732A07"/>
    <w:rsid w:val="00732AA5"/>
    <w:rsid w:val="00732B31"/>
    <w:rsid w:val="00732BDE"/>
    <w:rsid w:val="00732BF2"/>
    <w:rsid w:val="00732D88"/>
    <w:rsid w:val="00732DD5"/>
    <w:rsid w:val="00732E12"/>
    <w:rsid w:val="00732E29"/>
    <w:rsid w:val="00732E2F"/>
    <w:rsid w:val="00732E97"/>
    <w:rsid w:val="00732ECA"/>
    <w:rsid w:val="00732EF7"/>
    <w:rsid w:val="00732F6B"/>
    <w:rsid w:val="00732FEE"/>
    <w:rsid w:val="00733124"/>
    <w:rsid w:val="007332D4"/>
    <w:rsid w:val="007332F1"/>
    <w:rsid w:val="00733330"/>
    <w:rsid w:val="0073333B"/>
    <w:rsid w:val="00733341"/>
    <w:rsid w:val="00733399"/>
    <w:rsid w:val="007333A3"/>
    <w:rsid w:val="00733419"/>
    <w:rsid w:val="0073345F"/>
    <w:rsid w:val="00733488"/>
    <w:rsid w:val="007334AF"/>
    <w:rsid w:val="007335BE"/>
    <w:rsid w:val="00733600"/>
    <w:rsid w:val="007336A2"/>
    <w:rsid w:val="007336B3"/>
    <w:rsid w:val="007336E7"/>
    <w:rsid w:val="0073371E"/>
    <w:rsid w:val="00733983"/>
    <w:rsid w:val="00733A0A"/>
    <w:rsid w:val="00733A0B"/>
    <w:rsid w:val="00733A74"/>
    <w:rsid w:val="00733AB5"/>
    <w:rsid w:val="00733AB6"/>
    <w:rsid w:val="00733C0A"/>
    <w:rsid w:val="00733E4E"/>
    <w:rsid w:val="00733F00"/>
    <w:rsid w:val="00734015"/>
    <w:rsid w:val="0073407F"/>
    <w:rsid w:val="00734095"/>
    <w:rsid w:val="007340BC"/>
    <w:rsid w:val="0073415B"/>
    <w:rsid w:val="00734182"/>
    <w:rsid w:val="007341D2"/>
    <w:rsid w:val="00734254"/>
    <w:rsid w:val="007342CC"/>
    <w:rsid w:val="0073436F"/>
    <w:rsid w:val="007343C1"/>
    <w:rsid w:val="00734485"/>
    <w:rsid w:val="00734527"/>
    <w:rsid w:val="007345A7"/>
    <w:rsid w:val="007346D2"/>
    <w:rsid w:val="007346EC"/>
    <w:rsid w:val="00734766"/>
    <w:rsid w:val="00734783"/>
    <w:rsid w:val="00734930"/>
    <w:rsid w:val="00734A43"/>
    <w:rsid w:val="00734A47"/>
    <w:rsid w:val="00734A7F"/>
    <w:rsid w:val="00734B10"/>
    <w:rsid w:val="00734B53"/>
    <w:rsid w:val="00734BD7"/>
    <w:rsid w:val="00734C57"/>
    <w:rsid w:val="00734C81"/>
    <w:rsid w:val="00734DA8"/>
    <w:rsid w:val="00734E17"/>
    <w:rsid w:val="00734E34"/>
    <w:rsid w:val="00734FBB"/>
    <w:rsid w:val="00734FFE"/>
    <w:rsid w:val="00735030"/>
    <w:rsid w:val="00735059"/>
    <w:rsid w:val="00735120"/>
    <w:rsid w:val="0073518D"/>
    <w:rsid w:val="00735222"/>
    <w:rsid w:val="00735306"/>
    <w:rsid w:val="00735362"/>
    <w:rsid w:val="00735375"/>
    <w:rsid w:val="007353C4"/>
    <w:rsid w:val="0073543D"/>
    <w:rsid w:val="00735463"/>
    <w:rsid w:val="007354A0"/>
    <w:rsid w:val="00735658"/>
    <w:rsid w:val="00735889"/>
    <w:rsid w:val="0073589D"/>
    <w:rsid w:val="0073590A"/>
    <w:rsid w:val="0073593F"/>
    <w:rsid w:val="00735956"/>
    <w:rsid w:val="007359F0"/>
    <w:rsid w:val="00735A1B"/>
    <w:rsid w:val="00735A21"/>
    <w:rsid w:val="00735A2E"/>
    <w:rsid w:val="00735A7F"/>
    <w:rsid w:val="00735A9B"/>
    <w:rsid w:val="00735AE5"/>
    <w:rsid w:val="00735B84"/>
    <w:rsid w:val="00735BB3"/>
    <w:rsid w:val="00735C38"/>
    <w:rsid w:val="00735D01"/>
    <w:rsid w:val="00735D1F"/>
    <w:rsid w:val="00735D3E"/>
    <w:rsid w:val="00735D74"/>
    <w:rsid w:val="00735D88"/>
    <w:rsid w:val="00735D8A"/>
    <w:rsid w:val="00735DEF"/>
    <w:rsid w:val="00735E03"/>
    <w:rsid w:val="00735F04"/>
    <w:rsid w:val="00735F0B"/>
    <w:rsid w:val="00735F13"/>
    <w:rsid w:val="00735FC4"/>
    <w:rsid w:val="00735FDE"/>
    <w:rsid w:val="00736020"/>
    <w:rsid w:val="007360C6"/>
    <w:rsid w:val="00736123"/>
    <w:rsid w:val="0073614F"/>
    <w:rsid w:val="007361E4"/>
    <w:rsid w:val="00736367"/>
    <w:rsid w:val="007363CB"/>
    <w:rsid w:val="0073641E"/>
    <w:rsid w:val="00736493"/>
    <w:rsid w:val="00736575"/>
    <w:rsid w:val="007365B6"/>
    <w:rsid w:val="00736623"/>
    <w:rsid w:val="007366A7"/>
    <w:rsid w:val="007366CF"/>
    <w:rsid w:val="007367B0"/>
    <w:rsid w:val="00736831"/>
    <w:rsid w:val="00736928"/>
    <w:rsid w:val="00736941"/>
    <w:rsid w:val="00736966"/>
    <w:rsid w:val="00736A11"/>
    <w:rsid w:val="00736A19"/>
    <w:rsid w:val="00736A61"/>
    <w:rsid w:val="00736B0D"/>
    <w:rsid w:val="00736B96"/>
    <w:rsid w:val="00736C87"/>
    <w:rsid w:val="00736C89"/>
    <w:rsid w:val="00736CBE"/>
    <w:rsid w:val="00736CD3"/>
    <w:rsid w:val="00736CFE"/>
    <w:rsid w:val="00736D6A"/>
    <w:rsid w:val="00736DD6"/>
    <w:rsid w:val="00736E55"/>
    <w:rsid w:val="00736E6C"/>
    <w:rsid w:val="00736EA4"/>
    <w:rsid w:val="007370D6"/>
    <w:rsid w:val="007370DB"/>
    <w:rsid w:val="0073711B"/>
    <w:rsid w:val="00737129"/>
    <w:rsid w:val="00737134"/>
    <w:rsid w:val="0073713C"/>
    <w:rsid w:val="00737153"/>
    <w:rsid w:val="00737168"/>
    <w:rsid w:val="0073719A"/>
    <w:rsid w:val="007372DC"/>
    <w:rsid w:val="0073731E"/>
    <w:rsid w:val="007373B0"/>
    <w:rsid w:val="00737405"/>
    <w:rsid w:val="00737414"/>
    <w:rsid w:val="00737420"/>
    <w:rsid w:val="007375C1"/>
    <w:rsid w:val="00737635"/>
    <w:rsid w:val="00737654"/>
    <w:rsid w:val="00737880"/>
    <w:rsid w:val="00737895"/>
    <w:rsid w:val="007378BC"/>
    <w:rsid w:val="007378C0"/>
    <w:rsid w:val="00737929"/>
    <w:rsid w:val="00737945"/>
    <w:rsid w:val="007379BC"/>
    <w:rsid w:val="00737BD8"/>
    <w:rsid w:val="00737C37"/>
    <w:rsid w:val="00737D6C"/>
    <w:rsid w:val="00737E76"/>
    <w:rsid w:val="00737ECE"/>
    <w:rsid w:val="00737F8A"/>
    <w:rsid w:val="00737F9F"/>
    <w:rsid w:val="007400A1"/>
    <w:rsid w:val="00740154"/>
    <w:rsid w:val="0074020A"/>
    <w:rsid w:val="00740220"/>
    <w:rsid w:val="007402CA"/>
    <w:rsid w:val="0074030F"/>
    <w:rsid w:val="00740313"/>
    <w:rsid w:val="007403E4"/>
    <w:rsid w:val="007406A3"/>
    <w:rsid w:val="007406B4"/>
    <w:rsid w:val="00740718"/>
    <w:rsid w:val="0074071E"/>
    <w:rsid w:val="00740728"/>
    <w:rsid w:val="00740770"/>
    <w:rsid w:val="00740816"/>
    <w:rsid w:val="00740905"/>
    <w:rsid w:val="00740934"/>
    <w:rsid w:val="007409F8"/>
    <w:rsid w:val="00740A35"/>
    <w:rsid w:val="00740B17"/>
    <w:rsid w:val="00740B32"/>
    <w:rsid w:val="00740B70"/>
    <w:rsid w:val="00740C00"/>
    <w:rsid w:val="00740C5D"/>
    <w:rsid w:val="00740CD2"/>
    <w:rsid w:val="00740DCF"/>
    <w:rsid w:val="00740DF7"/>
    <w:rsid w:val="00740E48"/>
    <w:rsid w:val="00740F49"/>
    <w:rsid w:val="00740FC5"/>
    <w:rsid w:val="00740FC9"/>
    <w:rsid w:val="0074106D"/>
    <w:rsid w:val="00741126"/>
    <w:rsid w:val="0074122A"/>
    <w:rsid w:val="00741348"/>
    <w:rsid w:val="007413A6"/>
    <w:rsid w:val="007413AA"/>
    <w:rsid w:val="007413B2"/>
    <w:rsid w:val="007413E8"/>
    <w:rsid w:val="007413F3"/>
    <w:rsid w:val="00741469"/>
    <w:rsid w:val="007414E2"/>
    <w:rsid w:val="0074157B"/>
    <w:rsid w:val="0074162D"/>
    <w:rsid w:val="00741630"/>
    <w:rsid w:val="00741647"/>
    <w:rsid w:val="0074164E"/>
    <w:rsid w:val="00741655"/>
    <w:rsid w:val="00741691"/>
    <w:rsid w:val="00741720"/>
    <w:rsid w:val="0074179E"/>
    <w:rsid w:val="0074188A"/>
    <w:rsid w:val="00741924"/>
    <w:rsid w:val="00741969"/>
    <w:rsid w:val="0074197A"/>
    <w:rsid w:val="00741A46"/>
    <w:rsid w:val="00741A4E"/>
    <w:rsid w:val="00741A66"/>
    <w:rsid w:val="00741AA1"/>
    <w:rsid w:val="00741B66"/>
    <w:rsid w:val="00741BD4"/>
    <w:rsid w:val="00741CBE"/>
    <w:rsid w:val="00741D03"/>
    <w:rsid w:val="00741D1E"/>
    <w:rsid w:val="00741D66"/>
    <w:rsid w:val="00741DC0"/>
    <w:rsid w:val="00741F3B"/>
    <w:rsid w:val="00741F69"/>
    <w:rsid w:val="00741F9C"/>
    <w:rsid w:val="00741FCB"/>
    <w:rsid w:val="00742084"/>
    <w:rsid w:val="0074209C"/>
    <w:rsid w:val="007420D3"/>
    <w:rsid w:val="00742122"/>
    <w:rsid w:val="00742171"/>
    <w:rsid w:val="00742182"/>
    <w:rsid w:val="007421E7"/>
    <w:rsid w:val="007421F9"/>
    <w:rsid w:val="00742235"/>
    <w:rsid w:val="007422B0"/>
    <w:rsid w:val="00742310"/>
    <w:rsid w:val="0074237E"/>
    <w:rsid w:val="007423CA"/>
    <w:rsid w:val="00742444"/>
    <w:rsid w:val="0074244A"/>
    <w:rsid w:val="00742471"/>
    <w:rsid w:val="0074248B"/>
    <w:rsid w:val="007424EA"/>
    <w:rsid w:val="007425C8"/>
    <w:rsid w:val="0074264A"/>
    <w:rsid w:val="00742699"/>
    <w:rsid w:val="00742737"/>
    <w:rsid w:val="007428DF"/>
    <w:rsid w:val="007428F4"/>
    <w:rsid w:val="00742994"/>
    <w:rsid w:val="00742A04"/>
    <w:rsid w:val="00742A46"/>
    <w:rsid w:val="00742B19"/>
    <w:rsid w:val="00742C72"/>
    <w:rsid w:val="00742D51"/>
    <w:rsid w:val="00742D87"/>
    <w:rsid w:val="00742EBD"/>
    <w:rsid w:val="00742EF5"/>
    <w:rsid w:val="00742F42"/>
    <w:rsid w:val="00742F48"/>
    <w:rsid w:val="00742F92"/>
    <w:rsid w:val="007430B4"/>
    <w:rsid w:val="00743189"/>
    <w:rsid w:val="0074322F"/>
    <w:rsid w:val="007432EC"/>
    <w:rsid w:val="0074331A"/>
    <w:rsid w:val="0074332E"/>
    <w:rsid w:val="0074337A"/>
    <w:rsid w:val="00743387"/>
    <w:rsid w:val="0074342D"/>
    <w:rsid w:val="0074344B"/>
    <w:rsid w:val="00743551"/>
    <w:rsid w:val="00743586"/>
    <w:rsid w:val="00743641"/>
    <w:rsid w:val="00743722"/>
    <w:rsid w:val="00743742"/>
    <w:rsid w:val="0074396D"/>
    <w:rsid w:val="007439E5"/>
    <w:rsid w:val="00743B43"/>
    <w:rsid w:val="00743B49"/>
    <w:rsid w:val="00743C40"/>
    <w:rsid w:val="00743CFD"/>
    <w:rsid w:val="00743DBE"/>
    <w:rsid w:val="00743DE2"/>
    <w:rsid w:val="00743E0F"/>
    <w:rsid w:val="00744036"/>
    <w:rsid w:val="0074405C"/>
    <w:rsid w:val="0074407E"/>
    <w:rsid w:val="0074417E"/>
    <w:rsid w:val="00744238"/>
    <w:rsid w:val="0074443E"/>
    <w:rsid w:val="007444E4"/>
    <w:rsid w:val="00744500"/>
    <w:rsid w:val="00744545"/>
    <w:rsid w:val="00744603"/>
    <w:rsid w:val="00744639"/>
    <w:rsid w:val="0074480E"/>
    <w:rsid w:val="0074490F"/>
    <w:rsid w:val="007449BF"/>
    <w:rsid w:val="007449C5"/>
    <w:rsid w:val="007449D1"/>
    <w:rsid w:val="007449EA"/>
    <w:rsid w:val="00744A49"/>
    <w:rsid w:val="00744A67"/>
    <w:rsid w:val="00744A79"/>
    <w:rsid w:val="00744AC0"/>
    <w:rsid w:val="00744D21"/>
    <w:rsid w:val="00745095"/>
    <w:rsid w:val="007450F1"/>
    <w:rsid w:val="007451BF"/>
    <w:rsid w:val="007451F0"/>
    <w:rsid w:val="00745298"/>
    <w:rsid w:val="007452A8"/>
    <w:rsid w:val="007452E8"/>
    <w:rsid w:val="00745310"/>
    <w:rsid w:val="007453EF"/>
    <w:rsid w:val="00745422"/>
    <w:rsid w:val="00745498"/>
    <w:rsid w:val="0074566C"/>
    <w:rsid w:val="007456E0"/>
    <w:rsid w:val="00745793"/>
    <w:rsid w:val="00745839"/>
    <w:rsid w:val="00745847"/>
    <w:rsid w:val="00745921"/>
    <w:rsid w:val="00745958"/>
    <w:rsid w:val="00745A96"/>
    <w:rsid w:val="00745CDA"/>
    <w:rsid w:val="00745EFD"/>
    <w:rsid w:val="00745F7F"/>
    <w:rsid w:val="00745F9E"/>
    <w:rsid w:val="00745FF3"/>
    <w:rsid w:val="00746044"/>
    <w:rsid w:val="00746055"/>
    <w:rsid w:val="007460AD"/>
    <w:rsid w:val="007460FE"/>
    <w:rsid w:val="00746158"/>
    <w:rsid w:val="007461C4"/>
    <w:rsid w:val="007462B1"/>
    <w:rsid w:val="0074630E"/>
    <w:rsid w:val="0074638F"/>
    <w:rsid w:val="00746406"/>
    <w:rsid w:val="00746422"/>
    <w:rsid w:val="00746535"/>
    <w:rsid w:val="007466AE"/>
    <w:rsid w:val="0074687C"/>
    <w:rsid w:val="00746931"/>
    <w:rsid w:val="00746975"/>
    <w:rsid w:val="00746A65"/>
    <w:rsid w:val="00746AFF"/>
    <w:rsid w:val="00746C01"/>
    <w:rsid w:val="00746CB3"/>
    <w:rsid w:val="00746D42"/>
    <w:rsid w:val="00746DEC"/>
    <w:rsid w:val="00746E73"/>
    <w:rsid w:val="00746F2E"/>
    <w:rsid w:val="00746F86"/>
    <w:rsid w:val="00746FBC"/>
    <w:rsid w:val="00747001"/>
    <w:rsid w:val="00747057"/>
    <w:rsid w:val="0074705A"/>
    <w:rsid w:val="00747069"/>
    <w:rsid w:val="00747129"/>
    <w:rsid w:val="007471C4"/>
    <w:rsid w:val="007472F3"/>
    <w:rsid w:val="007474B7"/>
    <w:rsid w:val="007474EB"/>
    <w:rsid w:val="00747670"/>
    <w:rsid w:val="00747773"/>
    <w:rsid w:val="00747897"/>
    <w:rsid w:val="007478AA"/>
    <w:rsid w:val="0074794A"/>
    <w:rsid w:val="00747A76"/>
    <w:rsid w:val="00747B55"/>
    <w:rsid w:val="00747CA1"/>
    <w:rsid w:val="00747CBE"/>
    <w:rsid w:val="00747D4E"/>
    <w:rsid w:val="00747E39"/>
    <w:rsid w:val="00747E45"/>
    <w:rsid w:val="00747E61"/>
    <w:rsid w:val="00747EC2"/>
    <w:rsid w:val="00747F44"/>
    <w:rsid w:val="00750039"/>
    <w:rsid w:val="00750205"/>
    <w:rsid w:val="0075026D"/>
    <w:rsid w:val="00750318"/>
    <w:rsid w:val="007503AC"/>
    <w:rsid w:val="00750434"/>
    <w:rsid w:val="007504E2"/>
    <w:rsid w:val="00750596"/>
    <w:rsid w:val="007505D4"/>
    <w:rsid w:val="00750641"/>
    <w:rsid w:val="00750645"/>
    <w:rsid w:val="007506A9"/>
    <w:rsid w:val="007506BD"/>
    <w:rsid w:val="007506D6"/>
    <w:rsid w:val="007506FA"/>
    <w:rsid w:val="0075074D"/>
    <w:rsid w:val="007507A3"/>
    <w:rsid w:val="00750851"/>
    <w:rsid w:val="00750924"/>
    <w:rsid w:val="00750A6C"/>
    <w:rsid w:val="00750ACE"/>
    <w:rsid w:val="00750B30"/>
    <w:rsid w:val="00750C07"/>
    <w:rsid w:val="00750CD3"/>
    <w:rsid w:val="00750DB8"/>
    <w:rsid w:val="00750E18"/>
    <w:rsid w:val="00750EAA"/>
    <w:rsid w:val="00750EE9"/>
    <w:rsid w:val="00750F23"/>
    <w:rsid w:val="00750F5C"/>
    <w:rsid w:val="00750F88"/>
    <w:rsid w:val="00750F93"/>
    <w:rsid w:val="00750FC3"/>
    <w:rsid w:val="0075102D"/>
    <w:rsid w:val="00751088"/>
    <w:rsid w:val="00751191"/>
    <w:rsid w:val="0075124C"/>
    <w:rsid w:val="00751452"/>
    <w:rsid w:val="00751691"/>
    <w:rsid w:val="0075173A"/>
    <w:rsid w:val="0075185F"/>
    <w:rsid w:val="007518AF"/>
    <w:rsid w:val="00751957"/>
    <w:rsid w:val="00751A32"/>
    <w:rsid w:val="00751AFF"/>
    <w:rsid w:val="00751B11"/>
    <w:rsid w:val="00751B25"/>
    <w:rsid w:val="00751B7B"/>
    <w:rsid w:val="00751BE8"/>
    <w:rsid w:val="00751C2C"/>
    <w:rsid w:val="00751C9A"/>
    <w:rsid w:val="00751D25"/>
    <w:rsid w:val="00751DA0"/>
    <w:rsid w:val="00751DBA"/>
    <w:rsid w:val="00751E27"/>
    <w:rsid w:val="00751F1B"/>
    <w:rsid w:val="00751F53"/>
    <w:rsid w:val="00751FD5"/>
    <w:rsid w:val="0075203F"/>
    <w:rsid w:val="0075208B"/>
    <w:rsid w:val="007520E1"/>
    <w:rsid w:val="00752208"/>
    <w:rsid w:val="00752279"/>
    <w:rsid w:val="00752323"/>
    <w:rsid w:val="00752429"/>
    <w:rsid w:val="00752433"/>
    <w:rsid w:val="007524C5"/>
    <w:rsid w:val="00752530"/>
    <w:rsid w:val="00752593"/>
    <w:rsid w:val="00752654"/>
    <w:rsid w:val="00752688"/>
    <w:rsid w:val="007526F4"/>
    <w:rsid w:val="0075278A"/>
    <w:rsid w:val="007527E3"/>
    <w:rsid w:val="00752890"/>
    <w:rsid w:val="007528A6"/>
    <w:rsid w:val="00752975"/>
    <w:rsid w:val="007529AC"/>
    <w:rsid w:val="00752A47"/>
    <w:rsid w:val="00752B35"/>
    <w:rsid w:val="00752BC2"/>
    <w:rsid w:val="00752C4C"/>
    <w:rsid w:val="00752C6B"/>
    <w:rsid w:val="00752CA7"/>
    <w:rsid w:val="00752D05"/>
    <w:rsid w:val="00752E20"/>
    <w:rsid w:val="00752E70"/>
    <w:rsid w:val="00752ED8"/>
    <w:rsid w:val="00752F24"/>
    <w:rsid w:val="00752FB2"/>
    <w:rsid w:val="00752FE1"/>
    <w:rsid w:val="007530DB"/>
    <w:rsid w:val="0075314E"/>
    <w:rsid w:val="00753169"/>
    <w:rsid w:val="00753219"/>
    <w:rsid w:val="007532F2"/>
    <w:rsid w:val="007532F7"/>
    <w:rsid w:val="00753377"/>
    <w:rsid w:val="00753422"/>
    <w:rsid w:val="00753452"/>
    <w:rsid w:val="00753461"/>
    <w:rsid w:val="007534B2"/>
    <w:rsid w:val="00753508"/>
    <w:rsid w:val="00753511"/>
    <w:rsid w:val="00753566"/>
    <w:rsid w:val="0075357E"/>
    <w:rsid w:val="0075363C"/>
    <w:rsid w:val="007536E6"/>
    <w:rsid w:val="00753752"/>
    <w:rsid w:val="0075382D"/>
    <w:rsid w:val="007539FB"/>
    <w:rsid w:val="00753B5B"/>
    <w:rsid w:val="00753CA4"/>
    <w:rsid w:val="00753CB9"/>
    <w:rsid w:val="00753D16"/>
    <w:rsid w:val="00753D71"/>
    <w:rsid w:val="00753D73"/>
    <w:rsid w:val="00753DBC"/>
    <w:rsid w:val="00753FA5"/>
    <w:rsid w:val="00753FEB"/>
    <w:rsid w:val="00754130"/>
    <w:rsid w:val="0075426A"/>
    <w:rsid w:val="00754271"/>
    <w:rsid w:val="00754430"/>
    <w:rsid w:val="00754576"/>
    <w:rsid w:val="007545B9"/>
    <w:rsid w:val="0075460A"/>
    <w:rsid w:val="0075461F"/>
    <w:rsid w:val="00754680"/>
    <w:rsid w:val="007546F2"/>
    <w:rsid w:val="0075477F"/>
    <w:rsid w:val="007547F8"/>
    <w:rsid w:val="007547FA"/>
    <w:rsid w:val="00754946"/>
    <w:rsid w:val="00754993"/>
    <w:rsid w:val="007549B8"/>
    <w:rsid w:val="00754A39"/>
    <w:rsid w:val="00754A4B"/>
    <w:rsid w:val="00754A6D"/>
    <w:rsid w:val="00754A83"/>
    <w:rsid w:val="00754BA8"/>
    <w:rsid w:val="00754BC5"/>
    <w:rsid w:val="00754BDE"/>
    <w:rsid w:val="00754C37"/>
    <w:rsid w:val="00754CF1"/>
    <w:rsid w:val="00754CFD"/>
    <w:rsid w:val="00754D64"/>
    <w:rsid w:val="00755002"/>
    <w:rsid w:val="00755064"/>
    <w:rsid w:val="00755104"/>
    <w:rsid w:val="0075514C"/>
    <w:rsid w:val="0075530B"/>
    <w:rsid w:val="00755347"/>
    <w:rsid w:val="0075538D"/>
    <w:rsid w:val="007554D1"/>
    <w:rsid w:val="007554E2"/>
    <w:rsid w:val="0075551B"/>
    <w:rsid w:val="0075551D"/>
    <w:rsid w:val="007555BC"/>
    <w:rsid w:val="0075577F"/>
    <w:rsid w:val="0075580C"/>
    <w:rsid w:val="0075583E"/>
    <w:rsid w:val="00755889"/>
    <w:rsid w:val="007559FC"/>
    <w:rsid w:val="00755AAE"/>
    <w:rsid w:val="00755AEF"/>
    <w:rsid w:val="00755B48"/>
    <w:rsid w:val="00755C03"/>
    <w:rsid w:val="00755CE4"/>
    <w:rsid w:val="00755D65"/>
    <w:rsid w:val="00755E1F"/>
    <w:rsid w:val="00755E61"/>
    <w:rsid w:val="00755EEA"/>
    <w:rsid w:val="00755F13"/>
    <w:rsid w:val="00755FAC"/>
    <w:rsid w:val="0075606A"/>
    <w:rsid w:val="00756070"/>
    <w:rsid w:val="00756078"/>
    <w:rsid w:val="0075628B"/>
    <w:rsid w:val="007562E4"/>
    <w:rsid w:val="00756369"/>
    <w:rsid w:val="0075639E"/>
    <w:rsid w:val="0075649D"/>
    <w:rsid w:val="007565A9"/>
    <w:rsid w:val="007565B0"/>
    <w:rsid w:val="0075663B"/>
    <w:rsid w:val="0075669B"/>
    <w:rsid w:val="007566B3"/>
    <w:rsid w:val="007566C6"/>
    <w:rsid w:val="007566C8"/>
    <w:rsid w:val="00756737"/>
    <w:rsid w:val="007567AD"/>
    <w:rsid w:val="00756863"/>
    <w:rsid w:val="007568C3"/>
    <w:rsid w:val="00756AC7"/>
    <w:rsid w:val="00756AFF"/>
    <w:rsid w:val="00756B26"/>
    <w:rsid w:val="00756B6B"/>
    <w:rsid w:val="00756B75"/>
    <w:rsid w:val="00756BF5"/>
    <w:rsid w:val="00756C75"/>
    <w:rsid w:val="00756CC2"/>
    <w:rsid w:val="00756CF1"/>
    <w:rsid w:val="00756DA8"/>
    <w:rsid w:val="00756DD8"/>
    <w:rsid w:val="00756F37"/>
    <w:rsid w:val="00756F3E"/>
    <w:rsid w:val="00756FD6"/>
    <w:rsid w:val="00757001"/>
    <w:rsid w:val="0075704B"/>
    <w:rsid w:val="007570C8"/>
    <w:rsid w:val="00757136"/>
    <w:rsid w:val="007571AF"/>
    <w:rsid w:val="0075738A"/>
    <w:rsid w:val="007573AD"/>
    <w:rsid w:val="007573E2"/>
    <w:rsid w:val="00757408"/>
    <w:rsid w:val="0075745D"/>
    <w:rsid w:val="00757468"/>
    <w:rsid w:val="0075756E"/>
    <w:rsid w:val="00757670"/>
    <w:rsid w:val="00757727"/>
    <w:rsid w:val="0075772F"/>
    <w:rsid w:val="0075776D"/>
    <w:rsid w:val="007577C1"/>
    <w:rsid w:val="007577FA"/>
    <w:rsid w:val="007578FD"/>
    <w:rsid w:val="0075792E"/>
    <w:rsid w:val="00757949"/>
    <w:rsid w:val="007579C9"/>
    <w:rsid w:val="00757A6C"/>
    <w:rsid w:val="00757BAD"/>
    <w:rsid w:val="00757BC8"/>
    <w:rsid w:val="00757C0F"/>
    <w:rsid w:val="00757CAF"/>
    <w:rsid w:val="00757D8D"/>
    <w:rsid w:val="00757E1E"/>
    <w:rsid w:val="00757E51"/>
    <w:rsid w:val="00757F17"/>
    <w:rsid w:val="00757F30"/>
    <w:rsid w:val="00757F99"/>
    <w:rsid w:val="00757FAD"/>
    <w:rsid w:val="0076003C"/>
    <w:rsid w:val="007600EC"/>
    <w:rsid w:val="007602DE"/>
    <w:rsid w:val="00760335"/>
    <w:rsid w:val="00760345"/>
    <w:rsid w:val="0076037E"/>
    <w:rsid w:val="007603D1"/>
    <w:rsid w:val="00760497"/>
    <w:rsid w:val="0076066A"/>
    <w:rsid w:val="00760684"/>
    <w:rsid w:val="007607EC"/>
    <w:rsid w:val="007608FD"/>
    <w:rsid w:val="00760948"/>
    <w:rsid w:val="00760A18"/>
    <w:rsid w:val="00760A5F"/>
    <w:rsid w:val="00760AFC"/>
    <w:rsid w:val="00760B60"/>
    <w:rsid w:val="00760C3D"/>
    <w:rsid w:val="00760C66"/>
    <w:rsid w:val="00760C91"/>
    <w:rsid w:val="00760D4F"/>
    <w:rsid w:val="00760DCE"/>
    <w:rsid w:val="00760DD6"/>
    <w:rsid w:val="00760E8A"/>
    <w:rsid w:val="0076103C"/>
    <w:rsid w:val="00761043"/>
    <w:rsid w:val="007610F7"/>
    <w:rsid w:val="007611A3"/>
    <w:rsid w:val="00761314"/>
    <w:rsid w:val="00761389"/>
    <w:rsid w:val="007613DC"/>
    <w:rsid w:val="007613E3"/>
    <w:rsid w:val="00761574"/>
    <w:rsid w:val="007615FF"/>
    <w:rsid w:val="00761620"/>
    <w:rsid w:val="00761843"/>
    <w:rsid w:val="00761849"/>
    <w:rsid w:val="00761851"/>
    <w:rsid w:val="00761892"/>
    <w:rsid w:val="00761957"/>
    <w:rsid w:val="00761958"/>
    <w:rsid w:val="0076195B"/>
    <w:rsid w:val="007619BD"/>
    <w:rsid w:val="00761A68"/>
    <w:rsid w:val="00761ABD"/>
    <w:rsid w:val="00761AC3"/>
    <w:rsid w:val="00761B07"/>
    <w:rsid w:val="00761C10"/>
    <w:rsid w:val="00761C2C"/>
    <w:rsid w:val="00761CC7"/>
    <w:rsid w:val="00761D91"/>
    <w:rsid w:val="00761E06"/>
    <w:rsid w:val="00761F73"/>
    <w:rsid w:val="00761FF8"/>
    <w:rsid w:val="0076201A"/>
    <w:rsid w:val="00762120"/>
    <w:rsid w:val="00762137"/>
    <w:rsid w:val="0076216C"/>
    <w:rsid w:val="0076220C"/>
    <w:rsid w:val="00762251"/>
    <w:rsid w:val="00762306"/>
    <w:rsid w:val="00762375"/>
    <w:rsid w:val="00762505"/>
    <w:rsid w:val="00762523"/>
    <w:rsid w:val="007625D0"/>
    <w:rsid w:val="0076268E"/>
    <w:rsid w:val="007626FE"/>
    <w:rsid w:val="0076271C"/>
    <w:rsid w:val="00762745"/>
    <w:rsid w:val="007627CE"/>
    <w:rsid w:val="00762824"/>
    <w:rsid w:val="0076282F"/>
    <w:rsid w:val="0076285F"/>
    <w:rsid w:val="00762889"/>
    <w:rsid w:val="0076288C"/>
    <w:rsid w:val="0076291E"/>
    <w:rsid w:val="00762A51"/>
    <w:rsid w:val="00762AA6"/>
    <w:rsid w:val="00762AFD"/>
    <w:rsid w:val="00762BEA"/>
    <w:rsid w:val="00762C0A"/>
    <w:rsid w:val="00762D4E"/>
    <w:rsid w:val="00762DB9"/>
    <w:rsid w:val="00762DF4"/>
    <w:rsid w:val="00762E1F"/>
    <w:rsid w:val="00762FB1"/>
    <w:rsid w:val="00763168"/>
    <w:rsid w:val="00763248"/>
    <w:rsid w:val="0076324F"/>
    <w:rsid w:val="007632EE"/>
    <w:rsid w:val="007632FE"/>
    <w:rsid w:val="00763320"/>
    <w:rsid w:val="00763377"/>
    <w:rsid w:val="00763509"/>
    <w:rsid w:val="00763552"/>
    <w:rsid w:val="00763574"/>
    <w:rsid w:val="00763681"/>
    <w:rsid w:val="007636E8"/>
    <w:rsid w:val="00763810"/>
    <w:rsid w:val="00763828"/>
    <w:rsid w:val="0076384B"/>
    <w:rsid w:val="00763921"/>
    <w:rsid w:val="00763926"/>
    <w:rsid w:val="00763A0B"/>
    <w:rsid w:val="00763AE0"/>
    <w:rsid w:val="00763B42"/>
    <w:rsid w:val="00763C05"/>
    <w:rsid w:val="00763C34"/>
    <w:rsid w:val="00763C44"/>
    <w:rsid w:val="00763C95"/>
    <w:rsid w:val="00763CCB"/>
    <w:rsid w:val="00763D42"/>
    <w:rsid w:val="00763D78"/>
    <w:rsid w:val="00763DEF"/>
    <w:rsid w:val="00763ECF"/>
    <w:rsid w:val="00763F71"/>
    <w:rsid w:val="00764145"/>
    <w:rsid w:val="0076414F"/>
    <w:rsid w:val="007641EF"/>
    <w:rsid w:val="0076423C"/>
    <w:rsid w:val="00764266"/>
    <w:rsid w:val="007642DC"/>
    <w:rsid w:val="007645AF"/>
    <w:rsid w:val="007645F8"/>
    <w:rsid w:val="0076461D"/>
    <w:rsid w:val="00764657"/>
    <w:rsid w:val="007646CD"/>
    <w:rsid w:val="00764794"/>
    <w:rsid w:val="007647C6"/>
    <w:rsid w:val="00764814"/>
    <w:rsid w:val="007648BE"/>
    <w:rsid w:val="00764910"/>
    <w:rsid w:val="00764929"/>
    <w:rsid w:val="0076495D"/>
    <w:rsid w:val="007649DB"/>
    <w:rsid w:val="00764A0E"/>
    <w:rsid w:val="00764B9E"/>
    <w:rsid w:val="00764BC6"/>
    <w:rsid w:val="00764C17"/>
    <w:rsid w:val="00764C7E"/>
    <w:rsid w:val="00764CAF"/>
    <w:rsid w:val="00764D4E"/>
    <w:rsid w:val="00764DA2"/>
    <w:rsid w:val="00764E48"/>
    <w:rsid w:val="00764E50"/>
    <w:rsid w:val="00764E60"/>
    <w:rsid w:val="00764EE9"/>
    <w:rsid w:val="00764F6B"/>
    <w:rsid w:val="00764F90"/>
    <w:rsid w:val="00765021"/>
    <w:rsid w:val="00765076"/>
    <w:rsid w:val="007650B3"/>
    <w:rsid w:val="00765100"/>
    <w:rsid w:val="0076515D"/>
    <w:rsid w:val="007651C7"/>
    <w:rsid w:val="007652A4"/>
    <w:rsid w:val="0076534D"/>
    <w:rsid w:val="00765457"/>
    <w:rsid w:val="0076546B"/>
    <w:rsid w:val="007655BA"/>
    <w:rsid w:val="00765615"/>
    <w:rsid w:val="00765632"/>
    <w:rsid w:val="00765703"/>
    <w:rsid w:val="00765738"/>
    <w:rsid w:val="0076577C"/>
    <w:rsid w:val="00765843"/>
    <w:rsid w:val="0076584B"/>
    <w:rsid w:val="0076584D"/>
    <w:rsid w:val="007658F6"/>
    <w:rsid w:val="0076590C"/>
    <w:rsid w:val="00765973"/>
    <w:rsid w:val="00765991"/>
    <w:rsid w:val="00765A12"/>
    <w:rsid w:val="00765A1E"/>
    <w:rsid w:val="00765A56"/>
    <w:rsid w:val="00765B43"/>
    <w:rsid w:val="00765B97"/>
    <w:rsid w:val="00765BF3"/>
    <w:rsid w:val="00765CE5"/>
    <w:rsid w:val="00765D20"/>
    <w:rsid w:val="00765DF6"/>
    <w:rsid w:val="00765E72"/>
    <w:rsid w:val="00765EBE"/>
    <w:rsid w:val="00765F35"/>
    <w:rsid w:val="00765F54"/>
    <w:rsid w:val="00765F5B"/>
    <w:rsid w:val="00765F88"/>
    <w:rsid w:val="0076601C"/>
    <w:rsid w:val="007660C6"/>
    <w:rsid w:val="00766166"/>
    <w:rsid w:val="007661E6"/>
    <w:rsid w:val="007662B8"/>
    <w:rsid w:val="007662E3"/>
    <w:rsid w:val="00766328"/>
    <w:rsid w:val="007663CF"/>
    <w:rsid w:val="007663D6"/>
    <w:rsid w:val="0076643D"/>
    <w:rsid w:val="00766440"/>
    <w:rsid w:val="007664AB"/>
    <w:rsid w:val="0076654E"/>
    <w:rsid w:val="00766614"/>
    <w:rsid w:val="00766668"/>
    <w:rsid w:val="007666D0"/>
    <w:rsid w:val="007666DF"/>
    <w:rsid w:val="00766705"/>
    <w:rsid w:val="007667A7"/>
    <w:rsid w:val="007667C8"/>
    <w:rsid w:val="007668B4"/>
    <w:rsid w:val="007668EC"/>
    <w:rsid w:val="00766A0E"/>
    <w:rsid w:val="00766A39"/>
    <w:rsid w:val="00766A73"/>
    <w:rsid w:val="00766A75"/>
    <w:rsid w:val="00766AE7"/>
    <w:rsid w:val="00766B87"/>
    <w:rsid w:val="00766BB3"/>
    <w:rsid w:val="00766C3C"/>
    <w:rsid w:val="00766C4F"/>
    <w:rsid w:val="00766C6A"/>
    <w:rsid w:val="00766CB3"/>
    <w:rsid w:val="00766CBC"/>
    <w:rsid w:val="00766CD0"/>
    <w:rsid w:val="00766E20"/>
    <w:rsid w:val="00766EA0"/>
    <w:rsid w:val="00766F28"/>
    <w:rsid w:val="00766FD8"/>
    <w:rsid w:val="00767157"/>
    <w:rsid w:val="0076716B"/>
    <w:rsid w:val="00767265"/>
    <w:rsid w:val="00767388"/>
    <w:rsid w:val="0076740D"/>
    <w:rsid w:val="007675A3"/>
    <w:rsid w:val="007675A8"/>
    <w:rsid w:val="00767631"/>
    <w:rsid w:val="00767784"/>
    <w:rsid w:val="0076779C"/>
    <w:rsid w:val="0076783E"/>
    <w:rsid w:val="00767851"/>
    <w:rsid w:val="00767892"/>
    <w:rsid w:val="00767928"/>
    <w:rsid w:val="00767BEC"/>
    <w:rsid w:val="00767BF7"/>
    <w:rsid w:val="00767C2B"/>
    <w:rsid w:val="00767C96"/>
    <w:rsid w:val="00767D21"/>
    <w:rsid w:val="00767E0B"/>
    <w:rsid w:val="00767E35"/>
    <w:rsid w:val="00767E9A"/>
    <w:rsid w:val="00770053"/>
    <w:rsid w:val="00770258"/>
    <w:rsid w:val="00770294"/>
    <w:rsid w:val="007702AF"/>
    <w:rsid w:val="007702FA"/>
    <w:rsid w:val="0077041E"/>
    <w:rsid w:val="0077043C"/>
    <w:rsid w:val="007704C8"/>
    <w:rsid w:val="007704EF"/>
    <w:rsid w:val="00770581"/>
    <w:rsid w:val="007705D3"/>
    <w:rsid w:val="0077063A"/>
    <w:rsid w:val="0077075A"/>
    <w:rsid w:val="007708BE"/>
    <w:rsid w:val="00770929"/>
    <w:rsid w:val="0077093F"/>
    <w:rsid w:val="00770A6F"/>
    <w:rsid w:val="00770ADF"/>
    <w:rsid w:val="00770B02"/>
    <w:rsid w:val="00770B04"/>
    <w:rsid w:val="00770B3B"/>
    <w:rsid w:val="00770B6F"/>
    <w:rsid w:val="00770BD9"/>
    <w:rsid w:val="00770C5F"/>
    <w:rsid w:val="00770C8E"/>
    <w:rsid w:val="00770CDA"/>
    <w:rsid w:val="00770CE6"/>
    <w:rsid w:val="00770D37"/>
    <w:rsid w:val="00770D68"/>
    <w:rsid w:val="00770D88"/>
    <w:rsid w:val="00770DE6"/>
    <w:rsid w:val="00770E3B"/>
    <w:rsid w:val="00770E71"/>
    <w:rsid w:val="00770F10"/>
    <w:rsid w:val="00770F38"/>
    <w:rsid w:val="00770F79"/>
    <w:rsid w:val="00770FE0"/>
    <w:rsid w:val="007711CE"/>
    <w:rsid w:val="007711D0"/>
    <w:rsid w:val="00771222"/>
    <w:rsid w:val="00771290"/>
    <w:rsid w:val="00771314"/>
    <w:rsid w:val="00771537"/>
    <w:rsid w:val="007715C7"/>
    <w:rsid w:val="0077164B"/>
    <w:rsid w:val="00771692"/>
    <w:rsid w:val="00771698"/>
    <w:rsid w:val="0077171F"/>
    <w:rsid w:val="00771766"/>
    <w:rsid w:val="00771796"/>
    <w:rsid w:val="00771827"/>
    <w:rsid w:val="0077186F"/>
    <w:rsid w:val="007718FE"/>
    <w:rsid w:val="00771924"/>
    <w:rsid w:val="0077198C"/>
    <w:rsid w:val="00771A77"/>
    <w:rsid w:val="00771B7C"/>
    <w:rsid w:val="00771B89"/>
    <w:rsid w:val="00771BB4"/>
    <w:rsid w:val="00771C02"/>
    <w:rsid w:val="00771D6E"/>
    <w:rsid w:val="00771DCD"/>
    <w:rsid w:val="00771E56"/>
    <w:rsid w:val="00771ED4"/>
    <w:rsid w:val="00771ED6"/>
    <w:rsid w:val="00771EDC"/>
    <w:rsid w:val="00771F21"/>
    <w:rsid w:val="00771F32"/>
    <w:rsid w:val="00771F67"/>
    <w:rsid w:val="00771F9D"/>
    <w:rsid w:val="00771FC9"/>
    <w:rsid w:val="00772094"/>
    <w:rsid w:val="0077210D"/>
    <w:rsid w:val="0077215B"/>
    <w:rsid w:val="0077218C"/>
    <w:rsid w:val="007721E6"/>
    <w:rsid w:val="007721E8"/>
    <w:rsid w:val="0077220E"/>
    <w:rsid w:val="0077229A"/>
    <w:rsid w:val="007722B2"/>
    <w:rsid w:val="007722B6"/>
    <w:rsid w:val="00772353"/>
    <w:rsid w:val="007723B4"/>
    <w:rsid w:val="007723F5"/>
    <w:rsid w:val="007724ED"/>
    <w:rsid w:val="0077251F"/>
    <w:rsid w:val="00772539"/>
    <w:rsid w:val="00772580"/>
    <w:rsid w:val="007725B0"/>
    <w:rsid w:val="007726CC"/>
    <w:rsid w:val="007726F3"/>
    <w:rsid w:val="007727BB"/>
    <w:rsid w:val="007727F8"/>
    <w:rsid w:val="007727FB"/>
    <w:rsid w:val="00772853"/>
    <w:rsid w:val="007728CD"/>
    <w:rsid w:val="007729D7"/>
    <w:rsid w:val="00772A2E"/>
    <w:rsid w:val="00772A37"/>
    <w:rsid w:val="00772A53"/>
    <w:rsid w:val="00772BC7"/>
    <w:rsid w:val="00772BEE"/>
    <w:rsid w:val="00772BFD"/>
    <w:rsid w:val="00772CF3"/>
    <w:rsid w:val="00772D41"/>
    <w:rsid w:val="00772D7E"/>
    <w:rsid w:val="00772DEA"/>
    <w:rsid w:val="00772E09"/>
    <w:rsid w:val="00772F5E"/>
    <w:rsid w:val="00772F65"/>
    <w:rsid w:val="00772F6C"/>
    <w:rsid w:val="0077300B"/>
    <w:rsid w:val="007730BE"/>
    <w:rsid w:val="00773144"/>
    <w:rsid w:val="007731B6"/>
    <w:rsid w:val="007732C4"/>
    <w:rsid w:val="00773332"/>
    <w:rsid w:val="0077337E"/>
    <w:rsid w:val="0077338F"/>
    <w:rsid w:val="0077357C"/>
    <w:rsid w:val="00773580"/>
    <w:rsid w:val="007735C4"/>
    <w:rsid w:val="0077361D"/>
    <w:rsid w:val="00773692"/>
    <w:rsid w:val="0077373C"/>
    <w:rsid w:val="00773842"/>
    <w:rsid w:val="00773955"/>
    <w:rsid w:val="007739AF"/>
    <w:rsid w:val="00773A5B"/>
    <w:rsid w:val="00773A88"/>
    <w:rsid w:val="00773BD5"/>
    <w:rsid w:val="00773BDD"/>
    <w:rsid w:val="00773C15"/>
    <w:rsid w:val="00773C39"/>
    <w:rsid w:val="00773C47"/>
    <w:rsid w:val="00773CB1"/>
    <w:rsid w:val="00773D09"/>
    <w:rsid w:val="00773D13"/>
    <w:rsid w:val="00773D50"/>
    <w:rsid w:val="00773DC2"/>
    <w:rsid w:val="00773F05"/>
    <w:rsid w:val="00773F27"/>
    <w:rsid w:val="00773F77"/>
    <w:rsid w:val="0077406D"/>
    <w:rsid w:val="00774082"/>
    <w:rsid w:val="007740B1"/>
    <w:rsid w:val="007740C4"/>
    <w:rsid w:val="007740D4"/>
    <w:rsid w:val="007740E1"/>
    <w:rsid w:val="00774180"/>
    <w:rsid w:val="007741AB"/>
    <w:rsid w:val="007741BA"/>
    <w:rsid w:val="007741C4"/>
    <w:rsid w:val="007742F6"/>
    <w:rsid w:val="007743E9"/>
    <w:rsid w:val="007743F1"/>
    <w:rsid w:val="0077443C"/>
    <w:rsid w:val="0077446F"/>
    <w:rsid w:val="00774558"/>
    <w:rsid w:val="00774591"/>
    <w:rsid w:val="00774644"/>
    <w:rsid w:val="0077464F"/>
    <w:rsid w:val="00774675"/>
    <w:rsid w:val="0077468E"/>
    <w:rsid w:val="007746E3"/>
    <w:rsid w:val="00774704"/>
    <w:rsid w:val="007747DE"/>
    <w:rsid w:val="007747E1"/>
    <w:rsid w:val="007747EA"/>
    <w:rsid w:val="00774819"/>
    <w:rsid w:val="00774822"/>
    <w:rsid w:val="00774863"/>
    <w:rsid w:val="007748F2"/>
    <w:rsid w:val="00774946"/>
    <w:rsid w:val="00774957"/>
    <w:rsid w:val="007749E6"/>
    <w:rsid w:val="00774A9D"/>
    <w:rsid w:val="00774AB9"/>
    <w:rsid w:val="00774AC6"/>
    <w:rsid w:val="00774C6E"/>
    <w:rsid w:val="00774CC3"/>
    <w:rsid w:val="00774CEA"/>
    <w:rsid w:val="00774D1D"/>
    <w:rsid w:val="00774DFF"/>
    <w:rsid w:val="00774F09"/>
    <w:rsid w:val="00774F21"/>
    <w:rsid w:val="00774F60"/>
    <w:rsid w:val="0077505E"/>
    <w:rsid w:val="007750D4"/>
    <w:rsid w:val="0077512D"/>
    <w:rsid w:val="007751CC"/>
    <w:rsid w:val="007751E8"/>
    <w:rsid w:val="00775391"/>
    <w:rsid w:val="007754AC"/>
    <w:rsid w:val="007754CA"/>
    <w:rsid w:val="007755A1"/>
    <w:rsid w:val="007755D6"/>
    <w:rsid w:val="007755FF"/>
    <w:rsid w:val="00775634"/>
    <w:rsid w:val="00775675"/>
    <w:rsid w:val="0077568E"/>
    <w:rsid w:val="00775723"/>
    <w:rsid w:val="00775849"/>
    <w:rsid w:val="007758AC"/>
    <w:rsid w:val="00775A87"/>
    <w:rsid w:val="00775C4F"/>
    <w:rsid w:val="00775CB2"/>
    <w:rsid w:val="00775D57"/>
    <w:rsid w:val="00775E4A"/>
    <w:rsid w:val="00775ECF"/>
    <w:rsid w:val="00775F68"/>
    <w:rsid w:val="00776006"/>
    <w:rsid w:val="007762F7"/>
    <w:rsid w:val="00776378"/>
    <w:rsid w:val="00776394"/>
    <w:rsid w:val="007763A1"/>
    <w:rsid w:val="007763BF"/>
    <w:rsid w:val="00776549"/>
    <w:rsid w:val="00776579"/>
    <w:rsid w:val="00776626"/>
    <w:rsid w:val="00776663"/>
    <w:rsid w:val="007766A8"/>
    <w:rsid w:val="00776716"/>
    <w:rsid w:val="00776761"/>
    <w:rsid w:val="00776777"/>
    <w:rsid w:val="00776785"/>
    <w:rsid w:val="0077686D"/>
    <w:rsid w:val="0077689B"/>
    <w:rsid w:val="007768B3"/>
    <w:rsid w:val="007768CE"/>
    <w:rsid w:val="0077692E"/>
    <w:rsid w:val="00776A09"/>
    <w:rsid w:val="00776A2E"/>
    <w:rsid w:val="00776A44"/>
    <w:rsid w:val="00776A71"/>
    <w:rsid w:val="00776B49"/>
    <w:rsid w:val="00776B4D"/>
    <w:rsid w:val="00776C09"/>
    <w:rsid w:val="00776C43"/>
    <w:rsid w:val="00776D31"/>
    <w:rsid w:val="00776DA7"/>
    <w:rsid w:val="00776DAA"/>
    <w:rsid w:val="00776DEC"/>
    <w:rsid w:val="00776E14"/>
    <w:rsid w:val="00776EF6"/>
    <w:rsid w:val="00776F66"/>
    <w:rsid w:val="00776FAC"/>
    <w:rsid w:val="00776FC1"/>
    <w:rsid w:val="00776FEB"/>
    <w:rsid w:val="00776FEC"/>
    <w:rsid w:val="0077705C"/>
    <w:rsid w:val="00777076"/>
    <w:rsid w:val="0077714C"/>
    <w:rsid w:val="0077715F"/>
    <w:rsid w:val="0077718A"/>
    <w:rsid w:val="007771CA"/>
    <w:rsid w:val="00777208"/>
    <w:rsid w:val="00777276"/>
    <w:rsid w:val="0077728C"/>
    <w:rsid w:val="007772E1"/>
    <w:rsid w:val="0077743F"/>
    <w:rsid w:val="0077747E"/>
    <w:rsid w:val="0077758E"/>
    <w:rsid w:val="007775E8"/>
    <w:rsid w:val="00777617"/>
    <w:rsid w:val="0077777B"/>
    <w:rsid w:val="00777828"/>
    <w:rsid w:val="00777889"/>
    <w:rsid w:val="0077789C"/>
    <w:rsid w:val="007778A7"/>
    <w:rsid w:val="007778D2"/>
    <w:rsid w:val="007778E4"/>
    <w:rsid w:val="00777AE9"/>
    <w:rsid w:val="00777AF5"/>
    <w:rsid w:val="00777AFD"/>
    <w:rsid w:val="00777BFF"/>
    <w:rsid w:val="00777C02"/>
    <w:rsid w:val="00777CB9"/>
    <w:rsid w:val="00777CED"/>
    <w:rsid w:val="00777DD8"/>
    <w:rsid w:val="00777E33"/>
    <w:rsid w:val="00777EAA"/>
    <w:rsid w:val="00780055"/>
    <w:rsid w:val="007800B2"/>
    <w:rsid w:val="00780112"/>
    <w:rsid w:val="00780232"/>
    <w:rsid w:val="00780308"/>
    <w:rsid w:val="0078031B"/>
    <w:rsid w:val="00780406"/>
    <w:rsid w:val="0078040F"/>
    <w:rsid w:val="0078050B"/>
    <w:rsid w:val="007805DE"/>
    <w:rsid w:val="00780636"/>
    <w:rsid w:val="00780651"/>
    <w:rsid w:val="0078069B"/>
    <w:rsid w:val="007808DE"/>
    <w:rsid w:val="0078090D"/>
    <w:rsid w:val="00780915"/>
    <w:rsid w:val="00780AF1"/>
    <w:rsid w:val="00780B57"/>
    <w:rsid w:val="00780BDE"/>
    <w:rsid w:val="00780C8D"/>
    <w:rsid w:val="00780DCC"/>
    <w:rsid w:val="00780DDE"/>
    <w:rsid w:val="00780E5E"/>
    <w:rsid w:val="00780EF6"/>
    <w:rsid w:val="00780F35"/>
    <w:rsid w:val="00780F39"/>
    <w:rsid w:val="00780F8B"/>
    <w:rsid w:val="00780FB5"/>
    <w:rsid w:val="00780FF8"/>
    <w:rsid w:val="00781022"/>
    <w:rsid w:val="00781091"/>
    <w:rsid w:val="007810B9"/>
    <w:rsid w:val="007810FF"/>
    <w:rsid w:val="00781105"/>
    <w:rsid w:val="007811C5"/>
    <w:rsid w:val="00781252"/>
    <w:rsid w:val="00781293"/>
    <w:rsid w:val="0078129C"/>
    <w:rsid w:val="007812B3"/>
    <w:rsid w:val="00781362"/>
    <w:rsid w:val="007813BD"/>
    <w:rsid w:val="00781457"/>
    <w:rsid w:val="0078145E"/>
    <w:rsid w:val="007814FC"/>
    <w:rsid w:val="007815A5"/>
    <w:rsid w:val="00781601"/>
    <w:rsid w:val="0078163F"/>
    <w:rsid w:val="0078168F"/>
    <w:rsid w:val="007816CB"/>
    <w:rsid w:val="00781803"/>
    <w:rsid w:val="00781815"/>
    <w:rsid w:val="0078187B"/>
    <w:rsid w:val="00781A85"/>
    <w:rsid w:val="00781AF7"/>
    <w:rsid w:val="00781B13"/>
    <w:rsid w:val="00781B4D"/>
    <w:rsid w:val="00781BFD"/>
    <w:rsid w:val="00781C15"/>
    <w:rsid w:val="00781C52"/>
    <w:rsid w:val="00781C82"/>
    <w:rsid w:val="00781CB2"/>
    <w:rsid w:val="00781CE2"/>
    <w:rsid w:val="00781DDC"/>
    <w:rsid w:val="00781DE6"/>
    <w:rsid w:val="00781FD6"/>
    <w:rsid w:val="0078208F"/>
    <w:rsid w:val="007821C9"/>
    <w:rsid w:val="0078228C"/>
    <w:rsid w:val="007823FA"/>
    <w:rsid w:val="00782415"/>
    <w:rsid w:val="0078243E"/>
    <w:rsid w:val="00782457"/>
    <w:rsid w:val="00782475"/>
    <w:rsid w:val="007824A5"/>
    <w:rsid w:val="007824DF"/>
    <w:rsid w:val="00782506"/>
    <w:rsid w:val="0078257D"/>
    <w:rsid w:val="0078277D"/>
    <w:rsid w:val="007827FB"/>
    <w:rsid w:val="00782A2B"/>
    <w:rsid w:val="00782AA5"/>
    <w:rsid w:val="00782C39"/>
    <w:rsid w:val="00782C42"/>
    <w:rsid w:val="00782C7E"/>
    <w:rsid w:val="00782D10"/>
    <w:rsid w:val="00782D55"/>
    <w:rsid w:val="00782D71"/>
    <w:rsid w:val="00782E2F"/>
    <w:rsid w:val="00782EA0"/>
    <w:rsid w:val="00782EA2"/>
    <w:rsid w:val="00782F56"/>
    <w:rsid w:val="00783028"/>
    <w:rsid w:val="0078310E"/>
    <w:rsid w:val="0078315F"/>
    <w:rsid w:val="007831DE"/>
    <w:rsid w:val="00783220"/>
    <w:rsid w:val="00783313"/>
    <w:rsid w:val="00783353"/>
    <w:rsid w:val="00783438"/>
    <w:rsid w:val="007834A4"/>
    <w:rsid w:val="00783505"/>
    <w:rsid w:val="0078353C"/>
    <w:rsid w:val="00783580"/>
    <w:rsid w:val="0078358D"/>
    <w:rsid w:val="00783611"/>
    <w:rsid w:val="0078364F"/>
    <w:rsid w:val="0078370B"/>
    <w:rsid w:val="00783718"/>
    <w:rsid w:val="00783773"/>
    <w:rsid w:val="00783803"/>
    <w:rsid w:val="0078387D"/>
    <w:rsid w:val="0078388B"/>
    <w:rsid w:val="007838B9"/>
    <w:rsid w:val="00783AC5"/>
    <w:rsid w:val="00783B05"/>
    <w:rsid w:val="00783B92"/>
    <w:rsid w:val="00783C83"/>
    <w:rsid w:val="00783CEE"/>
    <w:rsid w:val="00783D15"/>
    <w:rsid w:val="00783D35"/>
    <w:rsid w:val="00783DB4"/>
    <w:rsid w:val="00783E1A"/>
    <w:rsid w:val="00783E91"/>
    <w:rsid w:val="00783ECB"/>
    <w:rsid w:val="00783EEF"/>
    <w:rsid w:val="00783F2D"/>
    <w:rsid w:val="00783F3E"/>
    <w:rsid w:val="00783FE8"/>
    <w:rsid w:val="00783FF1"/>
    <w:rsid w:val="00784065"/>
    <w:rsid w:val="0078406D"/>
    <w:rsid w:val="007840D9"/>
    <w:rsid w:val="00784104"/>
    <w:rsid w:val="0078412B"/>
    <w:rsid w:val="0078417B"/>
    <w:rsid w:val="007841F8"/>
    <w:rsid w:val="007842DA"/>
    <w:rsid w:val="007842E3"/>
    <w:rsid w:val="00784372"/>
    <w:rsid w:val="007843A1"/>
    <w:rsid w:val="0078447F"/>
    <w:rsid w:val="007844F3"/>
    <w:rsid w:val="00784563"/>
    <w:rsid w:val="007845D0"/>
    <w:rsid w:val="0078462C"/>
    <w:rsid w:val="007846CC"/>
    <w:rsid w:val="007846F2"/>
    <w:rsid w:val="00784742"/>
    <w:rsid w:val="00784852"/>
    <w:rsid w:val="007848A3"/>
    <w:rsid w:val="0078493D"/>
    <w:rsid w:val="0078495C"/>
    <w:rsid w:val="00784969"/>
    <w:rsid w:val="00784972"/>
    <w:rsid w:val="00784A0D"/>
    <w:rsid w:val="00784AD0"/>
    <w:rsid w:val="00784B1B"/>
    <w:rsid w:val="00784BF2"/>
    <w:rsid w:val="00784C1C"/>
    <w:rsid w:val="00784C43"/>
    <w:rsid w:val="00784C77"/>
    <w:rsid w:val="00784FD3"/>
    <w:rsid w:val="00785197"/>
    <w:rsid w:val="00785327"/>
    <w:rsid w:val="00785350"/>
    <w:rsid w:val="007853BD"/>
    <w:rsid w:val="007853FE"/>
    <w:rsid w:val="007854DD"/>
    <w:rsid w:val="007855C6"/>
    <w:rsid w:val="00785711"/>
    <w:rsid w:val="00785715"/>
    <w:rsid w:val="0078573E"/>
    <w:rsid w:val="00785896"/>
    <w:rsid w:val="007858E6"/>
    <w:rsid w:val="007859A0"/>
    <w:rsid w:val="00785A05"/>
    <w:rsid w:val="00785AEC"/>
    <w:rsid w:val="00785AFB"/>
    <w:rsid w:val="00785B8E"/>
    <w:rsid w:val="00785BE4"/>
    <w:rsid w:val="00785BE7"/>
    <w:rsid w:val="00785D4B"/>
    <w:rsid w:val="00785D4C"/>
    <w:rsid w:val="00785DAE"/>
    <w:rsid w:val="00785E0A"/>
    <w:rsid w:val="0078602F"/>
    <w:rsid w:val="00786117"/>
    <w:rsid w:val="00786118"/>
    <w:rsid w:val="00786276"/>
    <w:rsid w:val="007863B6"/>
    <w:rsid w:val="00786417"/>
    <w:rsid w:val="0078654F"/>
    <w:rsid w:val="0078673C"/>
    <w:rsid w:val="007867BE"/>
    <w:rsid w:val="007867DE"/>
    <w:rsid w:val="00786806"/>
    <w:rsid w:val="00786843"/>
    <w:rsid w:val="00786885"/>
    <w:rsid w:val="0078689C"/>
    <w:rsid w:val="007868BE"/>
    <w:rsid w:val="0078692B"/>
    <w:rsid w:val="00786A42"/>
    <w:rsid w:val="00786A70"/>
    <w:rsid w:val="00786A9C"/>
    <w:rsid w:val="00786BD4"/>
    <w:rsid w:val="00786CAC"/>
    <w:rsid w:val="00786CBF"/>
    <w:rsid w:val="00786CDE"/>
    <w:rsid w:val="00786D09"/>
    <w:rsid w:val="00786D38"/>
    <w:rsid w:val="00786D4B"/>
    <w:rsid w:val="00786D6A"/>
    <w:rsid w:val="00786D79"/>
    <w:rsid w:val="00786D9E"/>
    <w:rsid w:val="00786DC4"/>
    <w:rsid w:val="00786DEB"/>
    <w:rsid w:val="00786E18"/>
    <w:rsid w:val="00786E3B"/>
    <w:rsid w:val="00786EE6"/>
    <w:rsid w:val="00786EE7"/>
    <w:rsid w:val="00786FC3"/>
    <w:rsid w:val="00786FCB"/>
    <w:rsid w:val="00786FE1"/>
    <w:rsid w:val="00786FF2"/>
    <w:rsid w:val="00787007"/>
    <w:rsid w:val="00787053"/>
    <w:rsid w:val="00787059"/>
    <w:rsid w:val="00787060"/>
    <w:rsid w:val="00787141"/>
    <w:rsid w:val="007871AE"/>
    <w:rsid w:val="007871E8"/>
    <w:rsid w:val="00787265"/>
    <w:rsid w:val="00787268"/>
    <w:rsid w:val="007872C9"/>
    <w:rsid w:val="0078730E"/>
    <w:rsid w:val="007873D5"/>
    <w:rsid w:val="007873F8"/>
    <w:rsid w:val="0078741C"/>
    <w:rsid w:val="007874C8"/>
    <w:rsid w:val="007874E3"/>
    <w:rsid w:val="00787727"/>
    <w:rsid w:val="00787831"/>
    <w:rsid w:val="0078783C"/>
    <w:rsid w:val="0078786B"/>
    <w:rsid w:val="00787876"/>
    <w:rsid w:val="007879E5"/>
    <w:rsid w:val="00787AFC"/>
    <w:rsid w:val="00787CF7"/>
    <w:rsid w:val="00787D31"/>
    <w:rsid w:val="00787D54"/>
    <w:rsid w:val="00787E1A"/>
    <w:rsid w:val="00787E39"/>
    <w:rsid w:val="00787F65"/>
    <w:rsid w:val="00787FF5"/>
    <w:rsid w:val="0078BE7A"/>
    <w:rsid w:val="00790145"/>
    <w:rsid w:val="00790150"/>
    <w:rsid w:val="007901D2"/>
    <w:rsid w:val="0079021F"/>
    <w:rsid w:val="00790246"/>
    <w:rsid w:val="0079027D"/>
    <w:rsid w:val="00790286"/>
    <w:rsid w:val="00790388"/>
    <w:rsid w:val="007903BF"/>
    <w:rsid w:val="0079040D"/>
    <w:rsid w:val="007905F6"/>
    <w:rsid w:val="00790601"/>
    <w:rsid w:val="00790610"/>
    <w:rsid w:val="00790629"/>
    <w:rsid w:val="0079068B"/>
    <w:rsid w:val="007906EF"/>
    <w:rsid w:val="0079070B"/>
    <w:rsid w:val="00790765"/>
    <w:rsid w:val="007908CD"/>
    <w:rsid w:val="00790913"/>
    <w:rsid w:val="00790979"/>
    <w:rsid w:val="007909BB"/>
    <w:rsid w:val="007909CD"/>
    <w:rsid w:val="00790A5D"/>
    <w:rsid w:val="00790B70"/>
    <w:rsid w:val="00790C5F"/>
    <w:rsid w:val="00790C8D"/>
    <w:rsid w:val="00790CDF"/>
    <w:rsid w:val="00790D26"/>
    <w:rsid w:val="00790DCD"/>
    <w:rsid w:val="00790DCE"/>
    <w:rsid w:val="00790DF4"/>
    <w:rsid w:val="00790E00"/>
    <w:rsid w:val="00790E13"/>
    <w:rsid w:val="00790E1D"/>
    <w:rsid w:val="00790E2A"/>
    <w:rsid w:val="00790F04"/>
    <w:rsid w:val="0079102C"/>
    <w:rsid w:val="0079113F"/>
    <w:rsid w:val="0079129B"/>
    <w:rsid w:val="007912F0"/>
    <w:rsid w:val="00791322"/>
    <w:rsid w:val="0079134D"/>
    <w:rsid w:val="007913AF"/>
    <w:rsid w:val="007913B2"/>
    <w:rsid w:val="00791438"/>
    <w:rsid w:val="0079144E"/>
    <w:rsid w:val="00791467"/>
    <w:rsid w:val="007914AA"/>
    <w:rsid w:val="007914F6"/>
    <w:rsid w:val="00791502"/>
    <w:rsid w:val="007915D3"/>
    <w:rsid w:val="00791611"/>
    <w:rsid w:val="007916E7"/>
    <w:rsid w:val="007917CA"/>
    <w:rsid w:val="007917D3"/>
    <w:rsid w:val="007917E7"/>
    <w:rsid w:val="0079182A"/>
    <w:rsid w:val="0079188B"/>
    <w:rsid w:val="007919B6"/>
    <w:rsid w:val="007919C6"/>
    <w:rsid w:val="007919DA"/>
    <w:rsid w:val="00791A58"/>
    <w:rsid w:val="00791A65"/>
    <w:rsid w:val="00791A78"/>
    <w:rsid w:val="00791B4D"/>
    <w:rsid w:val="00791C29"/>
    <w:rsid w:val="00791C33"/>
    <w:rsid w:val="00791C38"/>
    <w:rsid w:val="00791CA1"/>
    <w:rsid w:val="00791CA6"/>
    <w:rsid w:val="00791CB7"/>
    <w:rsid w:val="00791D17"/>
    <w:rsid w:val="00791DF2"/>
    <w:rsid w:val="00791E70"/>
    <w:rsid w:val="00791EAB"/>
    <w:rsid w:val="00791EE3"/>
    <w:rsid w:val="00791EF0"/>
    <w:rsid w:val="00792016"/>
    <w:rsid w:val="0079202E"/>
    <w:rsid w:val="007920AF"/>
    <w:rsid w:val="007920C5"/>
    <w:rsid w:val="007920DD"/>
    <w:rsid w:val="0079212B"/>
    <w:rsid w:val="0079217F"/>
    <w:rsid w:val="00792222"/>
    <w:rsid w:val="00792258"/>
    <w:rsid w:val="0079229F"/>
    <w:rsid w:val="007923A1"/>
    <w:rsid w:val="0079244B"/>
    <w:rsid w:val="0079244E"/>
    <w:rsid w:val="00792454"/>
    <w:rsid w:val="007924CC"/>
    <w:rsid w:val="007925A1"/>
    <w:rsid w:val="007926B7"/>
    <w:rsid w:val="0079276F"/>
    <w:rsid w:val="00792902"/>
    <w:rsid w:val="00792938"/>
    <w:rsid w:val="007929CF"/>
    <w:rsid w:val="00792A75"/>
    <w:rsid w:val="00792ADC"/>
    <w:rsid w:val="00792B27"/>
    <w:rsid w:val="00792BE2"/>
    <w:rsid w:val="00792C09"/>
    <w:rsid w:val="00792C30"/>
    <w:rsid w:val="00792CDC"/>
    <w:rsid w:val="00792DD1"/>
    <w:rsid w:val="00792E37"/>
    <w:rsid w:val="00792ED0"/>
    <w:rsid w:val="00792F21"/>
    <w:rsid w:val="00793152"/>
    <w:rsid w:val="0079316D"/>
    <w:rsid w:val="00793224"/>
    <w:rsid w:val="0079329A"/>
    <w:rsid w:val="007932A0"/>
    <w:rsid w:val="007932F5"/>
    <w:rsid w:val="00793348"/>
    <w:rsid w:val="0079342F"/>
    <w:rsid w:val="00793478"/>
    <w:rsid w:val="007934CB"/>
    <w:rsid w:val="007934E6"/>
    <w:rsid w:val="0079352F"/>
    <w:rsid w:val="007935CA"/>
    <w:rsid w:val="00793621"/>
    <w:rsid w:val="007936A4"/>
    <w:rsid w:val="007936CF"/>
    <w:rsid w:val="00793737"/>
    <w:rsid w:val="00793792"/>
    <w:rsid w:val="007937AA"/>
    <w:rsid w:val="0079386D"/>
    <w:rsid w:val="007938ED"/>
    <w:rsid w:val="007939F5"/>
    <w:rsid w:val="00793A39"/>
    <w:rsid w:val="00793AAA"/>
    <w:rsid w:val="00793BFF"/>
    <w:rsid w:val="00793C79"/>
    <w:rsid w:val="00793C8F"/>
    <w:rsid w:val="00793C9A"/>
    <w:rsid w:val="00793D28"/>
    <w:rsid w:val="00793D5F"/>
    <w:rsid w:val="00793E03"/>
    <w:rsid w:val="00793E9A"/>
    <w:rsid w:val="00793F4D"/>
    <w:rsid w:val="00794074"/>
    <w:rsid w:val="00794155"/>
    <w:rsid w:val="00794195"/>
    <w:rsid w:val="007941DA"/>
    <w:rsid w:val="007941FB"/>
    <w:rsid w:val="0079425C"/>
    <w:rsid w:val="00794329"/>
    <w:rsid w:val="0079433C"/>
    <w:rsid w:val="0079440A"/>
    <w:rsid w:val="0079449E"/>
    <w:rsid w:val="0079457C"/>
    <w:rsid w:val="007945C4"/>
    <w:rsid w:val="007945D2"/>
    <w:rsid w:val="00794675"/>
    <w:rsid w:val="007946DD"/>
    <w:rsid w:val="00794711"/>
    <w:rsid w:val="0079472C"/>
    <w:rsid w:val="0079473C"/>
    <w:rsid w:val="00794748"/>
    <w:rsid w:val="0079486B"/>
    <w:rsid w:val="007948DA"/>
    <w:rsid w:val="0079493C"/>
    <w:rsid w:val="00794951"/>
    <w:rsid w:val="00794A71"/>
    <w:rsid w:val="00794B40"/>
    <w:rsid w:val="00794C5F"/>
    <w:rsid w:val="00794CD1"/>
    <w:rsid w:val="00794E02"/>
    <w:rsid w:val="00794E2D"/>
    <w:rsid w:val="00794E77"/>
    <w:rsid w:val="00794F3E"/>
    <w:rsid w:val="007950D8"/>
    <w:rsid w:val="00795137"/>
    <w:rsid w:val="00795160"/>
    <w:rsid w:val="00795182"/>
    <w:rsid w:val="00795268"/>
    <w:rsid w:val="00795373"/>
    <w:rsid w:val="0079538C"/>
    <w:rsid w:val="007953D5"/>
    <w:rsid w:val="00795524"/>
    <w:rsid w:val="00795785"/>
    <w:rsid w:val="00795796"/>
    <w:rsid w:val="0079595A"/>
    <w:rsid w:val="007959DD"/>
    <w:rsid w:val="00795B36"/>
    <w:rsid w:val="00795B48"/>
    <w:rsid w:val="00795B75"/>
    <w:rsid w:val="00795D0D"/>
    <w:rsid w:val="00795D43"/>
    <w:rsid w:val="00795EE2"/>
    <w:rsid w:val="00795F36"/>
    <w:rsid w:val="00795F68"/>
    <w:rsid w:val="00796030"/>
    <w:rsid w:val="00796097"/>
    <w:rsid w:val="00796137"/>
    <w:rsid w:val="00796292"/>
    <w:rsid w:val="007964DB"/>
    <w:rsid w:val="007965B5"/>
    <w:rsid w:val="007965B6"/>
    <w:rsid w:val="00796663"/>
    <w:rsid w:val="00796670"/>
    <w:rsid w:val="0079668F"/>
    <w:rsid w:val="0079672E"/>
    <w:rsid w:val="00796807"/>
    <w:rsid w:val="00796852"/>
    <w:rsid w:val="00796896"/>
    <w:rsid w:val="0079692C"/>
    <w:rsid w:val="007969B4"/>
    <w:rsid w:val="007969E3"/>
    <w:rsid w:val="00796A14"/>
    <w:rsid w:val="00796A64"/>
    <w:rsid w:val="00796A73"/>
    <w:rsid w:val="00796AEE"/>
    <w:rsid w:val="00796B73"/>
    <w:rsid w:val="00796C22"/>
    <w:rsid w:val="00796C34"/>
    <w:rsid w:val="00796C43"/>
    <w:rsid w:val="00796C47"/>
    <w:rsid w:val="00796D87"/>
    <w:rsid w:val="00796DB6"/>
    <w:rsid w:val="00796E3C"/>
    <w:rsid w:val="00796E8E"/>
    <w:rsid w:val="00796E94"/>
    <w:rsid w:val="00796EB4"/>
    <w:rsid w:val="00796EBB"/>
    <w:rsid w:val="00796EE4"/>
    <w:rsid w:val="00796F1E"/>
    <w:rsid w:val="0079702B"/>
    <w:rsid w:val="00797159"/>
    <w:rsid w:val="00797176"/>
    <w:rsid w:val="007971B6"/>
    <w:rsid w:val="007971D8"/>
    <w:rsid w:val="00797240"/>
    <w:rsid w:val="0079728D"/>
    <w:rsid w:val="007972A9"/>
    <w:rsid w:val="007972AC"/>
    <w:rsid w:val="00797365"/>
    <w:rsid w:val="007973F3"/>
    <w:rsid w:val="007973FD"/>
    <w:rsid w:val="0079747A"/>
    <w:rsid w:val="007974CC"/>
    <w:rsid w:val="00797521"/>
    <w:rsid w:val="0079754B"/>
    <w:rsid w:val="00797640"/>
    <w:rsid w:val="007977A9"/>
    <w:rsid w:val="00797817"/>
    <w:rsid w:val="007978AD"/>
    <w:rsid w:val="007978C3"/>
    <w:rsid w:val="00797987"/>
    <w:rsid w:val="00797A05"/>
    <w:rsid w:val="00797AC9"/>
    <w:rsid w:val="00797BC9"/>
    <w:rsid w:val="00797BFF"/>
    <w:rsid w:val="00797CB2"/>
    <w:rsid w:val="00797D0C"/>
    <w:rsid w:val="00797D7F"/>
    <w:rsid w:val="00797DAD"/>
    <w:rsid w:val="00797E8C"/>
    <w:rsid w:val="00797F35"/>
    <w:rsid w:val="00797F52"/>
    <w:rsid w:val="00797FB1"/>
    <w:rsid w:val="00797FF6"/>
    <w:rsid w:val="0079B4E7"/>
    <w:rsid w:val="007A0016"/>
    <w:rsid w:val="007A00CC"/>
    <w:rsid w:val="007A0165"/>
    <w:rsid w:val="007A01EF"/>
    <w:rsid w:val="007A02CE"/>
    <w:rsid w:val="007A0362"/>
    <w:rsid w:val="007A0394"/>
    <w:rsid w:val="007A03EE"/>
    <w:rsid w:val="007A040E"/>
    <w:rsid w:val="007A0425"/>
    <w:rsid w:val="007A052A"/>
    <w:rsid w:val="007A053F"/>
    <w:rsid w:val="007A05CF"/>
    <w:rsid w:val="007A05D2"/>
    <w:rsid w:val="007A064A"/>
    <w:rsid w:val="007A075C"/>
    <w:rsid w:val="007A0809"/>
    <w:rsid w:val="007A0913"/>
    <w:rsid w:val="007A0924"/>
    <w:rsid w:val="007A0970"/>
    <w:rsid w:val="007A0B4A"/>
    <w:rsid w:val="007A0BF0"/>
    <w:rsid w:val="007A0BFD"/>
    <w:rsid w:val="007A0C96"/>
    <w:rsid w:val="007A0CA2"/>
    <w:rsid w:val="007A0D73"/>
    <w:rsid w:val="007A0E22"/>
    <w:rsid w:val="007A0E46"/>
    <w:rsid w:val="007A0F8C"/>
    <w:rsid w:val="007A1134"/>
    <w:rsid w:val="007A1168"/>
    <w:rsid w:val="007A1190"/>
    <w:rsid w:val="007A11C0"/>
    <w:rsid w:val="007A11DB"/>
    <w:rsid w:val="007A11FA"/>
    <w:rsid w:val="007A1298"/>
    <w:rsid w:val="007A12DE"/>
    <w:rsid w:val="007A1349"/>
    <w:rsid w:val="007A1398"/>
    <w:rsid w:val="007A15A6"/>
    <w:rsid w:val="007A166C"/>
    <w:rsid w:val="007A1771"/>
    <w:rsid w:val="007A17A6"/>
    <w:rsid w:val="007A1852"/>
    <w:rsid w:val="007A197E"/>
    <w:rsid w:val="007A199C"/>
    <w:rsid w:val="007A19C7"/>
    <w:rsid w:val="007A19E8"/>
    <w:rsid w:val="007A1AF0"/>
    <w:rsid w:val="007A1B17"/>
    <w:rsid w:val="007A1B22"/>
    <w:rsid w:val="007A1B31"/>
    <w:rsid w:val="007A1C15"/>
    <w:rsid w:val="007A1C71"/>
    <w:rsid w:val="007A1D2D"/>
    <w:rsid w:val="007A1D87"/>
    <w:rsid w:val="007A1E46"/>
    <w:rsid w:val="007A1F25"/>
    <w:rsid w:val="007A1F39"/>
    <w:rsid w:val="007A1FFF"/>
    <w:rsid w:val="007A2044"/>
    <w:rsid w:val="007A20E4"/>
    <w:rsid w:val="007A2234"/>
    <w:rsid w:val="007A2260"/>
    <w:rsid w:val="007A229D"/>
    <w:rsid w:val="007A22CB"/>
    <w:rsid w:val="007A22FE"/>
    <w:rsid w:val="007A22FF"/>
    <w:rsid w:val="007A2424"/>
    <w:rsid w:val="007A2486"/>
    <w:rsid w:val="007A252D"/>
    <w:rsid w:val="007A25CB"/>
    <w:rsid w:val="007A2964"/>
    <w:rsid w:val="007A2990"/>
    <w:rsid w:val="007A2A0C"/>
    <w:rsid w:val="007A2AC8"/>
    <w:rsid w:val="007A2B67"/>
    <w:rsid w:val="007A2C93"/>
    <w:rsid w:val="007A2CCC"/>
    <w:rsid w:val="007A2D64"/>
    <w:rsid w:val="007A2D7F"/>
    <w:rsid w:val="007A2F87"/>
    <w:rsid w:val="007A2FE1"/>
    <w:rsid w:val="007A3094"/>
    <w:rsid w:val="007A313E"/>
    <w:rsid w:val="007A31F9"/>
    <w:rsid w:val="007A33C8"/>
    <w:rsid w:val="007A3492"/>
    <w:rsid w:val="007A3508"/>
    <w:rsid w:val="007A3554"/>
    <w:rsid w:val="007A3575"/>
    <w:rsid w:val="007A359D"/>
    <w:rsid w:val="007A3677"/>
    <w:rsid w:val="007A367E"/>
    <w:rsid w:val="007A379E"/>
    <w:rsid w:val="007A37E4"/>
    <w:rsid w:val="007A38EA"/>
    <w:rsid w:val="007A3964"/>
    <w:rsid w:val="007A3A16"/>
    <w:rsid w:val="007A3A8C"/>
    <w:rsid w:val="007A3AF3"/>
    <w:rsid w:val="007A3B1F"/>
    <w:rsid w:val="007A3BF5"/>
    <w:rsid w:val="007A3D08"/>
    <w:rsid w:val="007A3D23"/>
    <w:rsid w:val="007A3E95"/>
    <w:rsid w:val="007A3F54"/>
    <w:rsid w:val="007A4100"/>
    <w:rsid w:val="007A417F"/>
    <w:rsid w:val="007A42F7"/>
    <w:rsid w:val="007A4348"/>
    <w:rsid w:val="007A43CF"/>
    <w:rsid w:val="007A4484"/>
    <w:rsid w:val="007A4534"/>
    <w:rsid w:val="007A4570"/>
    <w:rsid w:val="007A4614"/>
    <w:rsid w:val="007A466E"/>
    <w:rsid w:val="007A46C7"/>
    <w:rsid w:val="007A4872"/>
    <w:rsid w:val="007A49A9"/>
    <w:rsid w:val="007A4A55"/>
    <w:rsid w:val="007A4A5D"/>
    <w:rsid w:val="007A4BB3"/>
    <w:rsid w:val="007A4BE2"/>
    <w:rsid w:val="007A4BEC"/>
    <w:rsid w:val="007A4C35"/>
    <w:rsid w:val="007A4C59"/>
    <w:rsid w:val="007A4CA3"/>
    <w:rsid w:val="007A4D02"/>
    <w:rsid w:val="007A4D06"/>
    <w:rsid w:val="007A4D83"/>
    <w:rsid w:val="007A4DA2"/>
    <w:rsid w:val="007A4DEE"/>
    <w:rsid w:val="007A4F1C"/>
    <w:rsid w:val="007A4F92"/>
    <w:rsid w:val="007A4FE5"/>
    <w:rsid w:val="007A503A"/>
    <w:rsid w:val="007A509A"/>
    <w:rsid w:val="007A5122"/>
    <w:rsid w:val="007A51C9"/>
    <w:rsid w:val="007A51E9"/>
    <w:rsid w:val="007A52CF"/>
    <w:rsid w:val="007A5330"/>
    <w:rsid w:val="007A53C9"/>
    <w:rsid w:val="007A545C"/>
    <w:rsid w:val="007A5498"/>
    <w:rsid w:val="007A54C4"/>
    <w:rsid w:val="007A567F"/>
    <w:rsid w:val="007A56BF"/>
    <w:rsid w:val="007A5711"/>
    <w:rsid w:val="007A5725"/>
    <w:rsid w:val="007A57A9"/>
    <w:rsid w:val="007A57F0"/>
    <w:rsid w:val="007A5804"/>
    <w:rsid w:val="007A5972"/>
    <w:rsid w:val="007A5977"/>
    <w:rsid w:val="007A59A9"/>
    <w:rsid w:val="007A5AAA"/>
    <w:rsid w:val="007A5B45"/>
    <w:rsid w:val="007A5B7D"/>
    <w:rsid w:val="007A5C43"/>
    <w:rsid w:val="007A5CFD"/>
    <w:rsid w:val="007A5D64"/>
    <w:rsid w:val="007A5E37"/>
    <w:rsid w:val="007A5F55"/>
    <w:rsid w:val="007A5F83"/>
    <w:rsid w:val="007A5F86"/>
    <w:rsid w:val="007A5FD0"/>
    <w:rsid w:val="007A609F"/>
    <w:rsid w:val="007A60E3"/>
    <w:rsid w:val="007A617C"/>
    <w:rsid w:val="007A6207"/>
    <w:rsid w:val="007A6233"/>
    <w:rsid w:val="007A6283"/>
    <w:rsid w:val="007A6289"/>
    <w:rsid w:val="007A62AA"/>
    <w:rsid w:val="007A632A"/>
    <w:rsid w:val="007A6428"/>
    <w:rsid w:val="007A642A"/>
    <w:rsid w:val="007A6560"/>
    <w:rsid w:val="007A6602"/>
    <w:rsid w:val="007A6686"/>
    <w:rsid w:val="007A670C"/>
    <w:rsid w:val="007A674C"/>
    <w:rsid w:val="007A6A51"/>
    <w:rsid w:val="007A6A93"/>
    <w:rsid w:val="007A6B77"/>
    <w:rsid w:val="007A6C2A"/>
    <w:rsid w:val="007A6C2C"/>
    <w:rsid w:val="007A6C8F"/>
    <w:rsid w:val="007A6CB8"/>
    <w:rsid w:val="007A6D37"/>
    <w:rsid w:val="007A6D47"/>
    <w:rsid w:val="007A6D65"/>
    <w:rsid w:val="007A6D93"/>
    <w:rsid w:val="007A6E33"/>
    <w:rsid w:val="007A6E73"/>
    <w:rsid w:val="007A6F02"/>
    <w:rsid w:val="007A70E9"/>
    <w:rsid w:val="007A7216"/>
    <w:rsid w:val="007A72CC"/>
    <w:rsid w:val="007A748D"/>
    <w:rsid w:val="007A74D3"/>
    <w:rsid w:val="007A7515"/>
    <w:rsid w:val="007A75D8"/>
    <w:rsid w:val="007A762B"/>
    <w:rsid w:val="007A762C"/>
    <w:rsid w:val="007A7636"/>
    <w:rsid w:val="007A763F"/>
    <w:rsid w:val="007A78C1"/>
    <w:rsid w:val="007A7AE3"/>
    <w:rsid w:val="007A7B30"/>
    <w:rsid w:val="007A7B3B"/>
    <w:rsid w:val="007A7B73"/>
    <w:rsid w:val="007A7B8F"/>
    <w:rsid w:val="007A7D08"/>
    <w:rsid w:val="007A7DEC"/>
    <w:rsid w:val="007A7DED"/>
    <w:rsid w:val="007A7E93"/>
    <w:rsid w:val="007A7F5B"/>
    <w:rsid w:val="007A7F9A"/>
    <w:rsid w:val="007B0184"/>
    <w:rsid w:val="007B02C2"/>
    <w:rsid w:val="007B03A4"/>
    <w:rsid w:val="007B03B4"/>
    <w:rsid w:val="007B03DA"/>
    <w:rsid w:val="007B0442"/>
    <w:rsid w:val="007B0613"/>
    <w:rsid w:val="007B06AF"/>
    <w:rsid w:val="007B07B6"/>
    <w:rsid w:val="007B088E"/>
    <w:rsid w:val="007B098B"/>
    <w:rsid w:val="007B099B"/>
    <w:rsid w:val="007B0B45"/>
    <w:rsid w:val="007B0B8C"/>
    <w:rsid w:val="007B0D0B"/>
    <w:rsid w:val="007B0D15"/>
    <w:rsid w:val="007B0ECF"/>
    <w:rsid w:val="007B0F2D"/>
    <w:rsid w:val="007B0F65"/>
    <w:rsid w:val="007B1011"/>
    <w:rsid w:val="007B1018"/>
    <w:rsid w:val="007B103B"/>
    <w:rsid w:val="007B10DF"/>
    <w:rsid w:val="007B1142"/>
    <w:rsid w:val="007B1207"/>
    <w:rsid w:val="007B125B"/>
    <w:rsid w:val="007B13A2"/>
    <w:rsid w:val="007B1416"/>
    <w:rsid w:val="007B16B3"/>
    <w:rsid w:val="007B1720"/>
    <w:rsid w:val="007B1866"/>
    <w:rsid w:val="007B18A3"/>
    <w:rsid w:val="007B18B5"/>
    <w:rsid w:val="007B18BE"/>
    <w:rsid w:val="007B190D"/>
    <w:rsid w:val="007B1985"/>
    <w:rsid w:val="007B19E9"/>
    <w:rsid w:val="007B1A2C"/>
    <w:rsid w:val="007B1A2D"/>
    <w:rsid w:val="007B1A53"/>
    <w:rsid w:val="007B1C49"/>
    <w:rsid w:val="007B1CEF"/>
    <w:rsid w:val="007B1EB2"/>
    <w:rsid w:val="007B1F4E"/>
    <w:rsid w:val="007B2005"/>
    <w:rsid w:val="007B2072"/>
    <w:rsid w:val="007B222F"/>
    <w:rsid w:val="007B233B"/>
    <w:rsid w:val="007B2362"/>
    <w:rsid w:val="007B2385"/>
    <w:rsid w:val="007B23F8"/>
    <w:rsid w:val="007B24AC"/>
    <w:rsid w:val="007B2546"/>
    <w:rsid w:val="007B2627"/>
    <w:rsid w:val="007B2675"/>
    <w:rsid w:val="007B2685"/>
    <w:rsid w:val="007B2690"/>
    <w:rsid w:val="007B26C5"/>
    <w:rsid w:val="007B2704"/>
    <w:rsid w:val="007B2756"/>
    <w:rsid w:val="007B27D9"/>
    <w:rsid w:val="007B27FF"/>
    <w:rsid w:val="007B28DF"/>
    <w:rsid w:val="007B2946"/>
    <w:rsid w:val="007B29F6"/>
    <w:rsid w:val="007B2A22"/>
    <w:rsid w:val="007B2A8C"/>
    <w:rsid w:val="007B2AA0"/>
    <w:rsid w:val="007B2B52"/>
    <w:rsid w:val="007B2BB5"/>
    <w:rsid w:val="007B2CF0"/>
    <w:rsid w:val="007B2D40"/>
    <w:rsid w:val="007B2D90"/>
    <w:rsid w:val="007B2DC7"/>
    <w:rsid w:val="007B2DC9"/>
    <w:rsid w:val="007B2DD5"/>
    <w:rsid w:val="007B2F4B"/>
    <w:rsid w:val="007B2FA6"/>
    <w:rsid w:val="007B3035"/>
    <w:rsid w:val="007B30B2"/>
    <w:rsid w:val="007B312F"/>
    <w:rsid w:val="007B3162"/>
    <w:rsid w:val="007B3196"/>
    <w:rsid w:val="007B31DE"/>
    <w:rsid w:val="007B320D"/>
    <w:rsid w:val="007B326C"/>
    <w:rsid w:val="007B32E2"/>
    <w:rsid w:val="007B332C"/>
    <w:rsid w:val="007B3398"/>
    <w:rsid w:val="007B34D5"/>
    <w:rsid w:val="007B3589"/>
    <w:rsid w:val="007B35BC"/>
    <w:rsid w:val="007B35F2"/>
    <w:rsid w:val="007B36AD"/>
    <w:rsid w:val="007B3755"/>
    <w:rsid w:val="007B38AB"/>
    <w:rsid w:val="007B38BF"/>
    <w:rsid w:val="007B39A5"/>
    <w:rsid w:val="007B39E6"/>
    <w:rsid w:val="007B3B48"/>
    <w:rsid w:val="007B3B64"/>
    <w:rsid w:val="007B3C5B"/>
    <w:rsid w:val="007B3CC4"/>
    <w:rsid w:val="007B3D3D"/>
    <w:rsid w:val="007B3E7E"/>
    <w:rsid w:val="007B4161"/>
    <w:rsid w:val="007B417B"/>
    <w:rsid w:val="007B41CD"/>
    <w:rsid w:val="007B41D9"/>
    <w:rsid w:val="007B41E8"/>
    <w:rsid w:val="007B4247"/>
    <w:rsid w:val="007B4315"/>
    <w:rsid w:val="007B4386"/>
    <w:rsid w:val="007B43E4"/>
    <w:rsid w:val="007B443E"/>
    <w:rsid w:val="007B448E"/>
    <w:rsid w:val="007B4495"/>
    <w:rsid w:val="007B4522"/>
    <w:rsid w:val="007B4532"/>
    <w:rsid w:val="007B455F"/>
    <w:rsid w:val="007B4584"/>
    <w:rsid w:val="007B45EF"/>
    <w:rsid w:val="007B470C"/>
    <w:rsid w:val="007B4773"/>
    <w:rsid w:val="007B4796"/>
    <w:rsid w:val="007B484B"/>
    <w:rsid w:val="007B496B"/>
    <w:rsid w:val="007B497B"/>
    <w:rsid w:val="007B49EF"/>
    <w:rsid w:val="007B4A44"/>
    <w:rsid w:val="007B4AB9"/>
    <w:rsid w:val="007B4B4E"/>
    <w:rsid w:val="007B4B71"/>
    <w:rsid w:val="007B4BA8"/>
    <w:rsid w:val="007B4BF6"/>
    <w:rsid w:val="007B4C0F"/>
    <w:rsid w:val="007B4D0B"/>
    <w:rsid w:val="007B4DC1"/>
    <w:rsid w:val="007B4DD6"/>
    <w:rsid w:val="007B4EC2"/>
    <w:rsid w:val="007B4F18"/>
    <w:rsid w:val="007B4FC0"/>
    <w:rsid w:val="007B4FDF"/>
    <w:rsid w:val="007B4FF6"/>
    <w:rsid w:val="007B5034"/>
    <w:rsid w:val="007B503D"/>
    <w:rsid w:val="007B5136"/>
    <w:rsid w:val="007B5137"/>
    <w:rsid w:val="007B5176"/>
    <w:rsid w:val="007B52A9"/>
    <w:rsid w:val="007B543D"/>
    <w:rsid w:val="007B545A"/>
    <w:rsid w:val="007B5466"/>
    <w:rsid w:val="007B54F8"/>
    <w:rsid w:val="007B554E"/>
    <w:rsid w:val="007B570A"/>
    <w:rsid w:val="007B574B"/>
    <w:rsid w:val="007B594F"/>
    <w:rsid w:val="007B5991"/>
    <w:rsid w:val="007B59BF"/>
    <w:rsid w:val="007B5A30"/>
    <w:rsid w:val="007B5A59"/>
    <w:rsid w:val="007B5AD4"/>
    <w:rsid w:val="007B5BEF"/>
    <w:rsid w:val="007B5C54"/>
    <w:rsid w:val="007B5C6D"/>
    <w:rsid w:val="007B5DA2"/>
    <w:rsid w:val="007B5E1E"/>
    <w:rsid w:val="007B5E50"/>
    <w:rsid w:val="007B5EB6"/>
    <w:rsid w:val="007B5ED0"/>
    <w:rsid w:val="007B5FC0"/>
    <w:rsid w:val="007B5FC2"/>
    <w:rsid w:val="007B60B8"/>
    <w:rsid w:val="007B6102"/>
    <w:rsid w:val="007B6136"/>
    <w:rsid w:val="007B6184"/>
    <w:rsid w:val="007B62C2"/>
    <w:rsid w:val="007B6395"/>
    <w:rsid w:val="007B63A2"/>
    <w:rsid w:val="007B6498"/>
    <w:rsid w:val="007B64D8"/>
    <w:rsid w:val="007B6560"/>
    <w:rsid w:val="007B65F5"/>
    <w:rsid w:val="007B65FB"/>
    <w:rsid w:val="007B67B7"/>
    <w:rsid w:val="007B67CC"/>
    <w:rsid w:val="007B67DA"/>
    <w:rsid w:val="007B67F5"/>
    <w:rsid w:val="007B6852"/>
    <w:rsid w:val="007B6864"/>
    <w:rsid w:val="007B6875"/>
    <w:rsid w:val="007B6895"/>
    <w:rsid w:val="007B6923"/>
    <w:rsid w:val="007B6959"/>
    <w:rsid w:val="007B6A9B"/>
    <w:rsid w:val="007B6B74"/>
    <w:rsid w:val="007B6B7B"/>
    <w:rsid w:val="007B6BAE"/>
    <w:rsid w:val="007B6CFB"/>
    <w:rsid w:val="007B6D85"/>
    <w:rsid w:val="007B6DCA"/>
    <w:rsid w:val="007B6E05"/>
    <w:rsid w:val="007B6E0A"/>
    <w:rsid w:val="007B6EC5"/>
    <w:rsid w:val="007B6EEB"/>
    <w:rsid w:val="007B6EF9"/>
    <w:rsid w:val="007B6F54"/>
    <w:rsid w:val="007B7041"/>
    <w:rsid w:val="007B70C0"/>
    <w:rsid w:val="007B72DF"/>
    <w:rsid w:val="007B7300"/>
    <w:rsid w:val="007B7344"/>
    <w:rsid w:val="007B7389"/>
    <w:rsid w:val="007B73D9"/>
    <w:rsid w:val="007B7546"/>
    <w:rsid w:val="007B7659"/>
    <w:rsid w:val="007B76C9"/>
    <w:rsid w:val="007B76F1"/>
    <w:rsid w:val="007B7747"/>
    <w:rsid w:val="007B78A3"/>
    <w:rsid w:val="007B792E"/>
    <w:rsid w:val="007B7950"/>
    <w:rsid w:val="007B7A47"/>
    <w:rsid w:val="007B7B7F"/>
    <w:rsid w:val="007B7BB2"/>
    <w:rsid w:val="007B7C7B"/>
    <w:rsid w:val="007B7D0F"/>
    <w:rsid w:val="007B7D81"/>
    <w:rsid w:val="007B7F58"/>
    <w:rsid w:val="007B7F9B"/>
    <w:rsid w:val="007B7FD8"/>
    <w:rsid w:val="007C01EE"/>
    <w:rsid w:val="007C0230"/>
    <w:rsid w:val="007C032B"/>
    <w:rsid w:val="007C0373"/>
    <w:rsid w:val="007C037F"/>
    <w:rsid w:val="007C03BA"/>
    <w:rsid w:val="007C03F5"/>
    <w:rsid w:val="007C0481"/>
    <w:rsid w:val="007C04DB"/>
    <w:rsid w:val="007C0745"/>
    <w:rsid w:val="007C0784"/>
    <w:rsid w:val="007C0795"/>
    <w:rsid w:val="007C07EE"/>
    <w:rsid w:val="007C0817"/>
    <w:rsid w:val="007C0A25"/>
    <w:rsid w:val="007C0A7F"/>
    <w:rsid w:val="007C0ABA"/>
    <w:rsid w:val="007C0B3E"/>
    <w:rsid w:val="007C0B81"/>
    <w:rsid w:val="007C0C21"/>
    <w:rsid w:val="007C0C28"/>
    <w:rsid w:val="007C0CD6"/>
    <w:rsid w:val="007C0D13"/>
    <w:rsid w:val="007C0D7B"/>
    <w:rsid w:val="007C0D9C"/>
    <w:rsid w:val="007C0DA8"/>
    <w:rsid w:val="007C0DDD"/>
    <w:rsid w:val="007C0EC4"/>
    <w:rsid w:val="007C0ECA"/>
    <w:rsid w:val="007C0F3C"/>
    <w:rsid w:val="007C0F60"/>
    <w:rsid w:val="007C0FC0"/>
    <w:rsid w:val="007C1048"/>
    <w:rsid w:val="007C1049"/>
    <w:rsid w:val="007C1128"/>
    <w:rsid w:val="007C1135"/>
    <w:rsid w:val="007C1140"/>
    <w:rsid w:val="007C115B"/>
    <w:rsid w:val="007C11C5"/>
    <w:rsid w:val="007C126E"/>
    <w:rsid w:val="007C12B8"/>
    <w:rsid w:val="007C12E8"/>
    <w:rsid w:val="007C12FC"/>
    <w:rsid w:val="007C1380"/>
    <w:rsid w:val="007C1390"/>
    <w:rsid w:val="007C1398"/>
    <w:rsid w:val="007C13AB"/>
    <w:rsid w:val="007C14E2"/>
    <w:rsid w:val="007C151F"/>
    <w:rsid w:val="007C1590"/>
    <w:rsid w:val="007C1592"/>
    <w:rsid w:val="007C163F"/>
    <w:rsid w:val="007C16E6"/>
    <w:rsid w:val="007C16FE"/>
    <w:rsid w:val="007C1897"/>
    <w:rsid w:val="007C18E5"/>
    <w:rsid w:val="007C18F4"/>
    <w:rsid w:val="007C198E"/>
    <w:rsid w:val="007C19F4"/>
    <w:rsid w:val="007C1BFB"/>
    <w:rsid w:val="007C1C94"/>
    <w:rsid w:val="007C1CCC"/>
    <w:rsid w:val="007C1DCD"/>
    <w:rsid w:val="007C1EEB"/>
    <w:rsid w:val="007C1F07"/>
    <w:rsid w:val="007C1F2C"/>
    <w:rsid w:val="007C1F60"/>
    <w:rsid w:val="007C1F6E"/>
    <w:rsid w:val="007C208E"/>
    <w:rsid w:val="007C209C"/>
    <w:rsid w:val="007C2128"/>
    <w:rsid w:val="007C2171"/>
    <w:rsid w:val="007C21E1"/>
    <w:rsid w:val="007C2254"/>
    <w:rsid w:val="007C2291"/>
    <w:rsid w:val="007C22CC"/>
    <w:rsid w:val="007C22E2"/>
    <w:rsid w:val="007C230E"/>
    <w:rsid w:val="007C2372"/>
    <w:rsid w:val="007C2464"/>
    <w:rsid w:val="007C2571"/>
    <w:rsid w:val="007C25D4"/>
    <w:rsid w:val="007C272B"/>
    <w:rsid w:val="007C275A"/>
    <w:rsid w:val="007C280A"/>
    <w:rsid w:val="007C2820"/>
    <w:rsid w:val="007C284E"/>
    <w:rsid w:val="007C2980"/>
    <w:rsid w:val="007C29A2"/>
    <w:rsid w:val="007C29C4"/>
    <w:rsid w:val="007C2A60"/>
    <w:rsid w:val="007C2A94"/>
    <w:rsid w:val="007C2BA3"/>
    <w:rsid w:val="007C2BAC"/>
    <w:rsid w:val="007C2BDE"/>
    <w:rsid w:val="007C2C44"/>
    <w:rsid w:val="007C2D2F"/>
    <w:rsid w:val="007C2D8B"/>
    <w:rsid w:val="007C2E20"/>
    <w:rsid w:val="007C2E99"/>
    <w:rsid w:val="007C2EE4"/>
    <w:rsid w:val="007C2EE9"/>
    <w:rsid w:val="007C2F15"/>
    <w:rsid w:val="007C2F7F"/>
    <w:rsid w:val="007C2F8B"/>
    <w:rsid w:val="007C2FC3"/>
    <w:rsid w:val="007C2FD2"/>
    <w:rsid w:val="007C30F8"/>
    <w:rsid w:val="007C3189"/>
    <w:rsid w:val="007C31A0"/>
    <w:rsid w:val="007C31F4"/>
    <w:rsid w:val="007C3232"/>
    <w:rsid w:val="007C334E"/>
    <w:rsid w:val="007C3367"/>
    <w:rsid w:val="007C336C"/>
    <w:rsid w:val="007C336F"/>
    <w:rsid w:val="007C3388"/>
    <w:rsid w:val="007C342A"/>
    <w:rsid w:val="007C34FB"/>
    <w:rsid w:val="007C3574"/>
    <w:rsid w:val="007C358F"/>
    <w:rsid w:val="007C36FF"/>
    <w:rsid w:val="007C3715"/>
    <w:rsid w:val="007C3730"/>
    <w:rsid w:val="007C37EC"/>
    <w:rsid w:val="007C38B6"/>
    <w:rsid w:val="007C39C9"/>
    <w:rsid w:val="007C3AAE"/>
    <w:rsid w:val="007C3ABA"/>
    <w:rsid w:val="007C3B03"/>
    <w:rsid w:val="007C3B1C"/>
    <w:rsid w:val="007C3B98"/>
    <w:rsid w:val="007C3BC4"/>
    <w:rsid w:val="007C3D2C"/>
    <w:rsid w:val="007C3D67"/>
    <w:rsid w:val="007C3D99"/>
    <w:rsid w:val="007C3F0B"/>
    <w:rsid w:val="007C3F2D"/>
    <w:rsid w:val="007C3F85"/>
    <w:rsid w:val="007C3F97"/>
    <w:rsid w:val="007C401A"/>
    <w:rsid w:val="007C4035"/>
    <w:rsid w:val="007C434D"/>
    <w:rsid w:val="007C4365"/>
    <w:rsid w:val="007C449E"/>
    <w:rsid w:val="007C4512"/>
    <w:rsid w:val="007C459A"/>
    <w:rsid w:val="007C467B"/>
    <w:rsid w:val="007C4693"/>
    <w:rsid w:val="007C46BA"/>
    <w:rsid w:val="007C4738"/>
    <w:rsid w:val="007C4795"/>
    <w:rsid w:val="007C47AD"/>
    <w:rsid w:val="007C47EF"/>
    <w:rsid w:val="007C47F8"/>
    <w:rsid w:val="007C4831"/>
    <w:rsid w:val="007C4842"/>
    <w:rsid w:val="007C486F"/>
    <w:rsid w:val="007C48E2"/>
    <w:rsid w:val="007C493D"/>
    <w:rsid w:val="007C4A22"/>
    <w:rsid w:val="007C4AEE"/>
    <w:rsid w:val="007C4B02"/>
    <w:rsid w:val="007C4B05"/>
    <w:rsid w:val="007C4B86"/>
    <w:rsid w:val="007C4C4D"/>
    <w:rsid w:val="007C4CAA"/>
    <w:rsid w:val="007C4CEF"/>
    <w:rsid w:val="007C4D22"/>
    <w:rsid w:val="007C4D9C"/>
    <w:rsid w:val="007C4DAA"/>
    <w:rsid w:val="007C4DDD"/>
    <w:rsid w:val="007C4E56"/>
    <w:rsid w:val="007C4ECD"/>
    <w:rsid w:val="007C4F0C"/>
    <w:rsid w:val="007C4F50"/>
    <w:rsid w:val="007C4FB5"/>
    <w:rsid w:val="007C501D"/>
    <w:rsid w:val="007C5066"/>
    <w:rsid w:val="007C5068"/>
    <w:rsid w:val="007C5232"/>
    <w:rsid w:val="007C528B"/>
    <w:rsid w:val="007C5521"/>
    <w:rsid w:val="007C5596"/>
    <w:rsid w:val="007C55EB"/>
    <w:rsid w:val="007C5692"/>
    <w:rsid w:val="007C57F5"/>
    <w:rsid w:val="007C58FD"/>
    <w:rsid w:val="007C5970"/>
    <w:rsid w:val="007C5974"/>
    <w:rsid w:val="007C59B9"/>
    <w:rsid w:val="007C59C6"/>
    <w:rsid w:val="007C5B21"/>
    <w:rsid w:val="007C5BDF"/>
    <w:rsid w:val="007C5BE4"/>
    <w:rsid w:val="007C5CE7"/>
    <w:rsid w:val="007C5D2D"/>
    <w:rsid w:val="007C5D91"/>
    <w:rsid w:val="007C5DF2"/>
    <w:rsid w:val="007C5E36"/>
    <w:rsid w:val="007C5E80"/>
    <w:rsid w:val="007C5FB9"/>
    <w:rsid w:val="007C5FD4"/>
    <w:rsid w:val="007C6008"/>
    <w:rsid w:val="007C6094"/>
    <w:rsid w:val="007C60AE"/>
    <w:rsid w:val="007C61A8"/>
    <w:rsid w:val="007C6245"/>
    <w:rsid w:val="007C6339"/>
    <w:rsid w:val="007C63CC"/>
    <w:rsid w:val="007C6482"/>
    <w:rsid w:val="007C64A0"/>
    <w:rsid w:val="007C64CF"/>
    <w:rsid w:val="007C6525"/>
    <w:rsid w:val="007C65C6"/>
    <w:rsid w:val="007C65EB"/>
    <w:rsid w:val="007C6732"/>
    <w:rsid w:val="007C678B"/>
    <w:rsid w:val="007C67E8"/>
    <w:rsid w:val="007C6817"/>
    <w:rsid w:val="007C695E"/>
    <w:rsid w:val="007C69EB"/>
    <w:rsid w:val="007C69EE"/>
    <w:rsid w:val="007C69F0"/>
    <w:rsid w:val="007C6A31"/>
    <w:rsid w:val="007C6AD3"/>
    <w:rsid w:val="007C6CE2"/>
    <w:rsid w:val="007C6D19"/>
    <w:rsid w:val="007C6D39"/>
    <w:rsid w:val="007C6D56"/>
    <w:rsid w:val="007C6DC3"/>
    <w:rsid w:val="007C6EE5"/>
    <w:rsid w:val="007C6F01"/>
    <w:rsid w:val="007C6F3F"/>
    <w:rsid w:val="007C6F6C"/>
    <w:rsid w:val="007C7016"/>
    <w:rsid w:val="007C701B"/>
    <w:rsid w:val="007C7032"/>
    <w:rsid w:val="007C705C"/>
    <w:rsid w:val="007C70AD"/>
    <w:rsid w:val="007C70E5"/>
    <w:rsid w:val="007C7181"/>
    <w:rsid w:val="007C71CA"/>
    <w:rsid w:val="007C726A"/>
    <w:rsid w:val="007C7280"/>
    <w:rsid w:val="007C728E"/>
    <w:rsid w:val="007C7315"/>
    <w:rsid w:val="007C732D"/>
    <w:rsid w:val="007C7382"/>
    <w:rsid w:val="007C73E0"/>
    <w:rsid w:val="007C7471"/>
    <w:rsid w:val="007C74C2"/>
    <w:rsid w:val="007C74D0"/>
    <w:rsid w:val="007C7504"/>
    <w:rsid w:val="007C7583"/>
    <w:rsid w:val="007C75E2"/>
    <w:rsid w:val="007C7761"/>
    <w:rsid w:val="007C779C"/>
    <w:rsid w:val="007C7A5B"/>
    <w:rsid w:val="007C7A76"/>
    <w:rsid w:val="007C7A94"/>
    <w:rsid w:val="007C7B16"/>
    <w:rsid w:val="007C7BBB"/>
    <w:rsid w:val="007C7BEC"/>
    <w:rsid w:val="007C7C9E"/>
    <w:rsid w:val="007C7D0E"/>
    <w:rsid w:val="007C7D2B"/>
    <w:rsid w:val="007C7F9E"/>
    <w:rsid w:val="007D0046"/>
    <w:rsid w:val="007D0051"/>
    <w:rsid w:val="007D0074"/>
    <w:rsid w:val="007D010B"/>
    <w:rsid w:val="007D025C"/>
    <w:rsid w:val="007D03CF"/>
    <w:rsid w:val="007D048E"/>
    <w:rsid w:val="007D0610"/>
    <w:rsid w:val="007D067A"/>
    <w:rsid w:val="007D0725"/>
    <w:rsid w:val="007D0843"/>
    <w:rsid w:val="007D0882"/>
    <w:rsid w:val="007D0894"/>
    <w:rsid w:val="007D08F7"/>
    <w:rsid w:val="007D0937"/>
    <w:rsid w:val="007D0A82"/>
    <w:rsid w:val="007D0AD5"/>
    <w:rsid w:val="007D0AEC"/>
    <w:rsid w:val="007D0BB7"/>
    <w:rsid w:val="007D0C49"/>
    <w:rsid w:val="007D0D0A"/>
    <w:rsid w:val="007D0D96"/>
    <w:rsid w:val="007D0DB3"/>
    <w:rsid w:val="007D0EB4"/>
    <w:rsid w:val="007D0F6B"/>
    <w:rsid w:val="007D1008"/>
    <w:rsid w:val="007D1012"/>
    <w:rsid w:val="007D10BA"/>
    <w:rsid w:val="007D1115"/>
    <w:rsid w:val="007D12F2"/>
    <w:rsid w:val="007D1317"/>
    <w:rsid w:val="007D133C"/>
    <w:rsid w:val="007D1362"/>
    <w:rsid w:val="007D1416"/>
    <w:rsid w:val="007D148A"/>
    <w:rsid w:val="007D150F"/>
    <w:rsid w:val="007D1548"/>
    <w:rsid w:val="007D15C6"/>
    <w:rsid w:val="007D1623"/>
    <w:rsid w:val="007D16F9"/>
    <w:rsid w:val="007D17B6"/>
    <w:rsid w:val="007D180E"/>
    <w:rsid w:val="007D1826"/>
    <w:rsid w:val="007D185A"/>
    <w:rsid w:val="007D1863"/>
    <w:rsid w:val="007D1899"/>
    <w:rsid w:val="007D1900"/>
    <w:rsid w:val="007D1907"/>
    <w:rsid w:val="007D1A16"/>
    <w:rsid w:val="007D1BC4"/>
    <w:rsid w:val="007D1C46"/>
    <w:rsid w:val="007D1F0A"/>
    <w:rsid w:val="007D1FBF"/>
    <w:rsid w:val="007D201A"/>
    <w:rsid w:val="007D20B2"/>
    <w:rsid w:val="007D20ED"/>
    <w:rsid w:val="007D2129"/>
    <w:rsid w:val="007D2137"/>
    <w:rsid w:val="007D21E1"/>
    <w:rsid w:val="007D220D"/>
    <w:rsid w:val="007D228C"/>
    <w:rsid w:val="007D2332"/>
    <w:rsid w:val="007D25DC"/>
    <w:rsid w:val="007D262A"/>
    <w:rsid w:val="007D27BC"/>
    <w:rsid w:val="007D28CB"/>
    <w:rsid w:val="007D28CF"/>
    <w:rsid w:val="007D28E6"/>
    <w:rsid w:val="007D2936"/>
    <w:rsid w:val="007D2984"/>
    <w:rsid w:val="007D2A23"/>
    <w:rsid w:val="007D2ABB"/>
    <w:rsid w:val="007D2B1C"/>
    <w:rsid w:val="007D2BB8"/>
    <w:rsid w:val="007D2C77"/>
    <w:rsid w:val="007D2D21"/>
    <w:rsid w:val="007D2D32"/>
    <w:rsid w:val="007D2DB0"/>
    <w:rsid w:val="007D2E76"/>
    <w:rsid w:val="007D2FB9"/>
    <w:rsid w:val="007D3028"/>
    <w:rsid w:val="007D303A"/>
    <w:rsid w:val="007D3041"/>
    <w:rsid w:val="007D307A"/>
    <w:rsid w:val="007D30C9"/>
    <w:rsid w:val="007D310A"/>
    <w:rsid w:val="007D3251"/>
    <w:rsid w:val="007D32DC"/>
    <w:rsid w:val="007D34CB"/>
    <w:rsid w:val="007D35B4"/>
    <w:rsid w:val="007D35F8"/>
    <w:rsid w:val="007D3634"/>
    <w:rsid w:val="007D364F"/>
    <w:rsid w:val="007D3799"/>
    <w:rsid w:val="007D379C"/>
    <w:rsid w:val="007D37CA"/>
    <w:rsid w:val="007D385A"/>
    <w:rsid w:val="007D3882"/>
    <w:rsid w:val="007D3A30"/>
    <w:rsid w:val="007D3AC0"/>
    <w:rsid w:val="007D3C96"/>
    <w:rsid w:val="007D3CDB"/>
    <w:rsid w:val="007D3CF5"/>
    <w:rsid w:val="007D3E05"/>
    <w:rsid w:val="007D3EA7"/>
    <w:rsid w:val="007D3EEB"/>
    <w:rsid w:val="007D3F72"/>
    <w:rsid w:val="007D3FF1"/>
    <w:rsid w:val="007D4027"/>
    <w:rsid w:val="007D40C1"/>
    <w:rsid w:val="007D40FE"/>
    <w:rsid w:val="007D4128"/>
    <w:rsid w:val="007D41D2"/>
    <w:rsid w:val="007D43CB"/>
    <w:rsid w:val="007D4438"/>
    <w:rsid w:val="007D4464"/>
    <w:rsid w:val="007D4497"/>
    <w:rsid w:val="007D44C1"/>
    <w:rsid w:val="007D4548"/>
    <w:rsid w:val="007D457F"/>
    <w:rsid w:val="007D466C"/>
    <w:rsid w:val="007D46A5"/>
    <w:rsid w:val="007D46BF"/>
    <w:rsid w:val="007D46F1"/>
    <w:rsid w:val="007D470E"/>
    <w:rsid w:val="007D481D"/>
    <w:rsid w:val="007D4907"/>
    <w:rsid w:val="007D4928"/>
    <w:rsid w:val="007D49C6"/>
    <w:rsid w:val="007D4A61"/>
    <w:rsid w:val="007D4AC5"/>
    <w:rsid w:val="007D4BB4"/>
    <w:rsid w:val="007D4BCD"/>
    <w:rsid w:val="007D4C2E"/>
    <w:rsid w:val="007D4C5A"/>
    <w:rsid w:val="007D4CB8"/>
    <w:rsid w:val="007D4CE5"/>
    <w:rsid w:val="007D4D59"/>
    <w:rsid w:val="007D4DE3"/>
    <w:rsid w:val="007D4EE6"/>
    <w:rsid w:val="007D4F2D"/>
    <w:rsid w:val="007D4FAC"/>
    <w:rsid w:val="007D5040"/>
    <w:rsid w:val="007D509B"/>
    <w:rsid w:val="007D509F"/>
    <w:rsid w:val="007D510F"/>
    <w:rsid w:val="007D5126"/>
    <w:rsid w:val="007D5149"/>
    <w:rsid w:val="007D51DF"/>
    <w:rsid w:val="007D5257"/>
    <w:rsid w:val="007D5276"/>
    <w:rsid w:val="007D52A5"/>
    <w:rsid w:val="007D546B"/>
    <w:rsid w:val="007D5483"/>
    <w:rsid w:val="007D557A"/>
    <w:rsid w:val="007D55CF"/>
    <w:rsid w:val="007D5631"/>
    <w:rsid w:val="007D568A"/>
    <w:rsid w:val="007D56A8"/>
    <w:rsid w:val="007D56C7"/>
    <w:rsid w:val="007D56FA"/>
    <w:rsid w:val="007D57BD"/>
    <w:rsid w:val="007D5816"/>
    <w:rsid w:val="007D5837"/>
    <w:rsid w:val="007D58BF"/>
    <w:rsid w:val="007D5A20"/>
    <w:rsid w:val="007D5A91"/>
    <w:rsid w:val="007D5C77"/>
    <w:rsid w:val="007D5C7D"/>
    <w:rsid w:val="007D5CF2"/>
    <w:rsid w:val="007D5D34"/>
    <w:rsid w:val="007D5DB3"/>
    <w:rsid w:val="007D5DC9"/>
    <w:rsid w:val="007D5DCE"/>
    <w:rsid w:val="007D5E59"/>
    <w:rsid w:val="007D5FE3"/>
    <w:rsid w:val="007D60C8"/>
    <w:rsid w:val="007D61D8"/>
    <w:rsid w:val="007D620E"/>
    <w:rsid w:val="007D6322"/>
    <w:rsid w:val="007D6338"/>
    <w:rsid w:val="007D633C"/>
    <w:rsid w:val="007D63BF"/>
    <w:rsid w:val="007D64C2"/>
    <w:rsid w:val="007D6519"/>
    <w:rsid w:val="007D6543"/>
    <w:rsid w:val="007D6584"/>
    <w:rsid w:val="007D6642"/>
    <w:rsid w:val="007D66A6"/>
    <w:rsid w:val="007D6932"/>
    <w:rsid w:val="007D699F"/>
    <w:rsid w:val="007D6A51"/>
    <w:rsid w:val="007D6AE1"/>
    <w:rsid w:val="007D6AEF"/>
    <w:rsid w:val="007D6AF6"/>
    <w:rsid w:val="007D6B7B"/>
    <w:rsid w:val="007D6B8C"/>
    <w:rsid w:val="007D6C58"/>
    <w:rsid w:val="007D6D25"/>
    <w:rsid w:val="007D70DA"/>
    <w:rsid w:val="007D70F1"/>
    <w:rsid w:val="007D7195"/>
    <w:rsid w:val="007D72A8"/>
    <w:rsid w:val="007D73CF"/>
    <w:rsid w:val="007D74A2"/>
    <w:rsid w:val="007D74CD"/>
    <w:rsid w:val="007D7503"/>
    <w:rsid w:val="007D762D"/>
    <w:rsid w:val="007D7650"/>
    <w:rsid w:val="007D7748"/>
    <w:rsid w:val="007D7753"/>
    <w:rsid w:val="007D7851"/>
    <w:rsid w:val="007D794B"/>
    <w:rsid w:val="007D7968"/>
    <w:rsid w:val="007D7A25"/>
    <w:rsid w:val="007D7B39"/>
    <w:rsid w:val="007D7B65"/>
    <w:rsid w:val="007D7C1E"/>
    <w:rsid w:val="007D7C5F"/>
    <w:rsid w:val="007D7D06"/>
    <w:rsid w:val="007D7D48"/>
    <w:rsid w:val="007D7D84"/>
    <w:rsid w:val="007D7DD3"/>
    <w:rsid w:val="007D7FD7"/>
    <w:rsid w:val="007D7FF5"/>
    <w:rsid w:val="007E002D"/>
    <w:rsid w:val="007E007B"/>
    <w:rsid w:val="007E017B"/>
    <w:rsid w:val="007E01A1"/>
    <w:rsid w:val="007E01C5"/>
    <w:rsid w:val="007E01FD"/>
    <w:rsid w:val="007E025F"/>
    <w:rsid w:val="007E0285"/>
    <w:rsid w:val="007E02F1"/>
    <w:rsid w:val="007E031E"/>
    <w:rsid w:val="007E0328"/>
    <w:rsid w:val="007E0405"/>
    <w:rsid w:val="007E0470"/>
    <w:rsid w:val="007E049B"/>
    <w:rsid w:val="007E04BD"/>
    <w:rsid w:val="007E0680"/>
    <w:rsid w:val="007E0937"/>
    <w:rsid w:val="007E0977"/>
    <w:rsid w:val="007E09E0"/>
    <w:rsid w:val="007E0A6A"/>
    <w:rsid w:val="007E0AD3"/>
    <w:rsid w:val="007E0B10"/>
    <w:rsid w:val="007E0B25"/>
    <w:rsid w:val="007E0B35"/>
    <w:rsid w:val="007E0B6E"/>
    <w:rsid w:val="007E0B7D"/>
    <w:rsid w:val="007E0B81"/>
    <w:rsid w:val="007E0C41"/>
    <w:rsid w:val="007E0C42"/>
    <w:rsid w:val="007E0C87"/>
    <w:rsid w:val="007E0D0D"/>
    <w:rsid w:val="007E0D28"/>
    <w:rsid w:val="007E0D4E"/>
    <w:rsid w:val="007E0DCD"/>
    <w:rsid w:val="007E0DE5"/>
    <w:rsid w:val="007E1011"/>
    <w:rsid w:val="007E1072"/>
    <w:rsid w:val="007E10D6"/>
    <w:rsid w:val="007E1129"/>
    <w:rsid w:val="007E112B"/>
    <w:rsid w:val="007E1141"/>
    <w:rsid w:val="007E11BD"/>
    <w:rsid w:val="007E11DA"/>
    <w:rsid w:val="007E1373"/>
    <w:rsid w:val="007E1426"/>
    <w:rsid w:val="007E14F8"/>
    <w:rsid w:val="007E1520"/>
    <w:rsid w:val="007E1522"/>
    <w:rsid w:val="007E15BD"/>
    <w:rsid w:val="007E15F1"/>
    <w:rsid w:val="007E17D1"/>
    <w:rsid w:val="007E17E4"/>
    <w:rsid w:val="007E17E9"/>
    <w:rsid w:val="007E1852"/>
    <w:rsid w:val="007E186B"/>
    <w:rsid w:val="007E18A2"/>
    <w:rsid w:val="007E18AC"/>
    <w:rsid w:val="007E18E1"/>
    <w:rsid w:val="007E1950"/>
    <w:rsid w:val="007E19BC"/>
    <w:rsid w:val="007E1A40"/>
    <w:rsid w:val="007E1B06"/>
    <w:rsid w:val="007E1B99"/>
    <w:rsid w:val="007E1C26"/>
    <w:rsid w:val="007E1C88"/>
    <w:rsid w:val="007E1CE8"/>
    <w:rsid w:val="007E1D73"/>
    <w:rsid w:val="007E1DA8"/>
    <w:rsid w:val="007E1DC6"/>
    <w:rsid w:val="007E1EE9"/>
    <w:rsid w:val="007E1F53"/>
    <w:rsid w:val="007E2032"/>
    <w:rsid w:val="007E2057"/>
    <w:rsid w:val="007E21AB"/>
    <w:rsid w:val="007E21AD"/>
    <w:rsid w:val="007E21CC"/>
    <w:rsid w:val="007E223F"/>
    <w:rsid w:val="007E22AD"/>
    <w:rsid w:val="007E22D1"/>
    <w:rsid w:val="007E2331"/>
    <w:rsid w:val="007E23A3"/>
    <w:rsid w:val="007E23A8"/>
    <w:rsid w:val="007E23DB"/>
    <w:rsid w:val="007E2454"/>
    <w:rsid w:val="007E2492"/>
    <w:rsid w:val="007E250F"/>
    <w:rsid w:val="007E255F"/>
    <w:rsid w:val="007E25A4"/>
    <w:rsid w:val="007E25B8"/>
    <w:rsid w:val="007E2626"/>
    <w:rsid w:val="007E269F"/>
    <w:rsid w:val="007E26D4"/>
    <w:rsid w:val="007E2767"/>
    <w:rsid w:val="007E27E7"/>
    <w:rsid w:val="007E2903"/>
    <w:rsid w:val="007E291A"/>
    <w:rsid w:val="007E29EF"/>
    <w:rsid w:val="007E2AF0"/>
    <w:rsid w:val="007E2B31"/>
    <w:rsid w:val="007E2BDA"/>
    <w:rsid w:val="007E2C23"/>
    <w:rsid w:val="007E2C42"/>
    <w:rsid w:val="007E2CD2"/>
    <w:rsid w:val="007E2D79"/>
    <w:rsid w:val="007E2D7C"/>
    <w:rsid w:val="007E2D87"/>
    <w:rsid w:val="007E2D9A"/>
    <w:rsid w:val="007E2E09"/>
    <w:rsid w:val="007E2E12"/>
    <w:rsid w:val="007E2E44"/>
    <w:rsid w:val="007E2EA3"/>
    <w:rsid w:val="007E2F63"/>
    <w:rsid w:val="007E2F9F"/>
    <w:rsid w:val="007E2FFA"/>
    <w:rsid w:val="007E30E8"/>
    <w:rsid w:val="007E3115"/>
    <w:rsid w:val="007E3146"/>
    <w:rsid w:val="007E316A"/>
    <w:rsid w:val="007E322F"/>
    <w:rsid w:val="007E326C"/>
    <w:rsid w:val="007E32B6"/>
    <w:rsid w:val="007E334B"/>
    <w:rsid w:val="007E33D0"/>
    <w:rsid w:val="007E3484"/>
    <w:rsid w:val="007E34BB"/>
    <w:rsid w:val="007E351F"/>
    <w:rsid w:val="007E3563"/>
    <w:rsid w:val="007E35BD"/>
    <w:rsid w:val="007E35CE"/>
    <w:rsid w:val="007E35D9"/>
    <w:rsid w:val="007E3696"/>
    <w:rsid w:val="007E37AE"/>
    <w:rsid w:val="007E37BA"/>
    <w:rsid w:val="007E37BC"/>
    <w:rsid w:val="007E386E"/>
    <w:rsid w:val="007E38A2"/>
    <w:rsid w:val="007E38AF"/>
    <w:rsid w:val="007E38ED"/>
    <w:rsid w:val="007E3A6C"/>
    <w:rsid w:val="007E3B05"/>
    <w:rsid w:val="007E3B11"/>
    <w:rsid w:val="007E3CCC"/>
    <w:rsid w:val="007E3CCF"/>
    <w:rsid w:val="007E3CDE"/>
    <w:rsid w:val="007E3D4C"/>
    <w:rsid w:val="007E3DB8"/>
    <w:rsid w:val="007E3DD1"/>
    <w:rsid w:val="007E3DF4"/>
    <w:rsid w:val="007E3EBF"/>
    <w:rsid w:val="007E3F52"/>
    <w:rsid w:val="007E4060"/>
    <w:rsid w:val="007E40C5"/>
    <w:rsid w:val="007E40DA"/>
    <w:rsid w:val="007E4107"/>
    <w:rsid w:val="007E4160"/>
    <w:rsid w:val="007E41C9"/>
    <w:rsid w:val="007E4214"/>
    <w:rsid w:val="007E429B"/>
    <w:rsid w:val="007E42B8"/>
    <w:rsid w:val="007E4376"/>
    <w:rsid w:val="007E43F3"/>
    <w:rsid w:val="007E4441"/>
    <w:rsid w:val="007E4573"/>
    <w:rsid w:val="007E4768"/>
    <w:rsid w:val="007E47A0"/>
    <w:rsid w:val="007E47BA"/>
    <w:rsid w:val="007E4828"/>
    <w:rsid w:val="007E482C"/>
    <w:rsid w:val="007E48B0"/>
    <w:rsid w:val="007E496F"/>
    <w:rsid w:val="007E49AA"/>
    <w:rsid w:val="007E49D1"/>
    <w:rsid w:val="007E4A67"/>
    <w:rsid w:val="007E4B8A"/>
    <w:rsid w:val="007E4C06"/>
    <w:rsid w:val="007E4CD0"/>
    <w:rsid w:val="007E4CD7"/>
    <w:rsid w:val="007E4E1D"/>
    <w:rsid w:val="007E4F26"/>
    <w:rsid w:val="007E4FEE"/>
    <w:rsid w:val="007E519C"/>
    <w:rsid w:val="007E524F"/>
    <w:rsid w:val="007E52FA"/>
    <w:rsid w:val="007E53CB"/>
    <w:rsid w:val="007E5412"/>
    <w:rsid w:val="007E5466"/>
    <w:rsid w:val="007E5483"/>
    <w:rsid w:val="007E54C8"/>
    <w:rsid w:val="007E55F0"/>
    <w:rsid w:val="007E57AA"/>
    <w:rsid w:val="007E57C9"/>
    <w:rsid w:val="007E5800"/>
    <w:rsid w:val="007E5881"/>
    <w:rsid w:val="007E58CC"/>
    <w:rsid w:val="007E5942"/>
    <w:rsid w:val="007E594A"/>
    <w:rsid w:val="007E5951"/>
    <w:rsid w:val="007E59A0"/>
    <w:rsid w:val="007E59BA"/>
    <w:rsid w:val="007E5AB2"/>
    <w:rsid w:val="007E5B29"/>
    <w:rsid w:val="007E5C59"/>
    <w:rsid w:val="007E5D65"/>
    <w:rsid w:val="007E5D93"/>
    <w:rsid w:val="007E5DDA"/>
    <w:rsid w:val="007E5E67"/>
    <w:rsid w:val="007E5EB1"/>
    <w:rsid w:val="007E5F5A"/>
    <w:rsid w:val="007E5F63"/>
    <w:rsid w:val="007E5FA6"/>
    <w:rsid w:val="007E6067"/>
    <w:rsid w:val="007E6156"/>
    <w:rsid w:val="007E635A"/>
    <w:rsid w:val="007E6398"/>
    <w:rsid w:val="007E6413"/>
    <w:rsid w:val="007E66A3"/>
    <w:rsid w:val="007E66C6"/>
    <w:rsid w:val="007E66D5"/>
    <w:rsid w:val="007E670D"/>
    <w:rsid w:val="007E6848"/>
    <w:rsid w:val="007E6996"/>
    <w:rsid w:val="007E6A73"/>
    <w:rsid w:val="007E6AC5"/>
    <w:rsid w:val="007E6B12"/>
    <w:rsid w:val="007E6B27"/>
    <w:rsid w:val="007E6B51"/>
    <w:rsid w:val="007E6CF9"/>
    <w:rsid w:val="007E6DB8"/>
    <w:rsid w:val="007E6DE1"/>
    <w:rsid w:val="007E6E39"/>
    <w:rsid w:val="007E6E40"/>
    <w:rsid w:val="007E6E43"/>
    <w:rsid w:val="007E6E82"/>
    <w:rsid w:val="007E6E97"/>
    <w:rsid w:val="007E6F5C"/>
    <w:rsid w:val="007E6F68"/>
    <w:rsid w:val="007E6FD5"/>
    <w:rsid w:val="007E7028"/>
    <w:rsid w:val="007E70E9"/>
    <w:rsid w:val="007E7111"/>
    <w:rsid w:val="007E71A1"/>
    <w:rsid w:val="007E72DD"/>
    <w:rsid w:val="007E742C"/>
    <w:rsid w:val="007E7459"/>
    <w:rsid w:val="007E7461"/>
    <w:rsid w:val="007E74D3"/>
    <w:rsid w:val="007E74FC"/>
    <w:rsid w:val="007E761E"/>
    <w:rsid w:val="007E769F"/>
    <w:rsid w:val="007E775B"/>
    <w:rsid w:val="007E77AC"/>
    <w:rsid w:val="007E79CF"/>
    <w:rsid w:val="007E7B1B"/>
    <w:rsid w:val="007E7B71"/>
    <w:rsid w:val="007E7B97"/>
    <w:rsid w:val="007E7BD7"/>
    <w:rsid w:val="007E7BDC"/>
    <w:rsid w:val="007E7C26"/>
    <w:rsid w:val="007E7D2B"/>
    <w:rsid w:val="007E7E63"/>
    <w:rsid w:val="007E7F03"/>
    <w:rsid w:val="007F0041"/>
    <w:rsid w:val="007F00B9"/>
    <w:rsid w:val="007F00D0"/>
    <w:rsid w:val="007F00ED"/>
    <w:rsid w:val="007F019B"/>
    <w:rsid w:val="007F01FE"/>
    <w:rsid w:val="007F0351"/>
    <w:rsid w:val="007F03A1"/>
    <w:rsid w:val="007F03AE"/>
    <w:rsid w:val="007F0556"/>
    <w:rsid w:val="007F07B9"/>
    <w:rsid w:val="007F0848"/>
    <w:rsid w:val="007F090B"/>
    <w:rsid w:val="007F090D"/>
    <w:rsid w:val="007F0929"/>
    <w:rsid w:val="007F0995"/>
    <w:rsid w:val="007F09F7"/>
    <w:rsid w:val="007F0A6B"/>
    <w:rsid w:val="007F0A7D"/>
    <w:rsid w:val="007F0AD0"/>
    <w:rsid w:val="007F0B92"/>
    <w:rsid w:val="007F0C9F"/>
    <w:rsid w:val="007F0D70"/>
    <w:rsid w:val="007F0E44"/>
    <w:rsid w:val="007F0E4F"/>
    <w:rsid w:val="007F0E66"/>
    <w:rsid w:val="007F1041"/>
    <w:rsid w:val="007F1050"/>
    <w:rsid w:val="007F106F"/>
    <w:rsid w:val="007F1093"/>
    <w:rsid w:val="007F10B4"/>
    <w:rsid w:val="007F10C5"/>
    <w:rsid w:val="007F10DD"/>
    <w:rsid w:val="007F11DE"/>
    <w:rsid w:val="007F1235"/>
    <w:rsid w:val="007F1253"/>
    <w:rsid w:val="007F1409"/>
    <w:rsid w:val="007F1410"/>
    <w:rsid w:val="007F143D"/>
    <w:rsid w:val="007F1525"/>
    <w:rsid w:val="007F1580"/>
    <w:rsid w:val="007F1680"/>
    <w:rsid w:val="007F16C7"/>
    <w:rsid w:val="007F16C8"/>
    <w:rsid w:val="007F16CB"/>
    <w:rsid w:val="007F173F"/>
    <w:rsid w:val="007F17D7"/>
    <w:rsid w:val="007F184E"/>
    <w:rsid w:val="007F195F"/>
    <w:rsid w:val="007F1A08"/>
    <w:rsid w:val="007F1ACC"/>
    <w:rsid w:val="007F1B37"/>
    <w:rsid w:val="007F1BBD"/>
    <w:rsid w:val="007F1C9E"/>
    <w:rsid w:val="007F1CA1"/>
    <w:rsid w:val="007F1CBD"/>
    <w:rsid w:val="007F1CEB"/>
    <w:rsid w:val="007F1D2D"/>
    <w:rsid w:val="007F1D97"/>
    <w:rsid w:val="007F1DFB"/>
    <w:rsid w:val="007F1E94"/>
    <w:rsid w:val="007F1F78"/>
    <w:rsid w:val="007F1FAA"/>
    <w:rsid w:val="007F1FB5"/>
    <w:rsid w:val="007F1FDC"/>
    <w:rsid w:val="007F201E"/>
    <w:rsid w:val="007F20C8"/>
    <w:rsid w:val="007F20EB"/>
    <w:rsid w:val="007F2129"/>
    <w:rsid w:val="007F21C7"/>
    <w:rsid w:val="007F22DF"/>
    <w:rsid w:val="007F22E5"/>
    <w:rsid w:val="007F2402"/>
    <w:rsid w:val="007F24DD"/>
    <w:rsid w:val="007F251B"/>
    <w:rsid w:val="007F25E6"/>
    <w:rsid w:val="007F264A"/>
    <w:rsid w:val="007F269B"/>
    <w:rsid w:val="007F2717"/>
    <w:rsid w:val="007F27AC"/>
    <w:rsid w:val="007F27B1"/>
    <w:rsid w:val="007F285E"/>
    <w:rsid w:val="007F28E1"/>
    <w:rsid w:val="007F2920"/>
    <w:rsid w:val="007F2953"/>
    <w:rsid w:val="007F2A3E"/>
    <w:rsid w:val="007F2AD3"/>
    <w:rsid w:val="007F2B7B"/>
    <w:rsid w:val="007F2BAD"/>
    <w:rsid w:val="007F2BE0"/>
    <w:rsid w:val="007F2C38"/>
    <w:rsid w:val="007F2D2F"/>
    <w:rsid w:val="007F2D34"/>
    <w:rsid w:val="007F2D4F"/>
    <w:rsid w:val="007F2D60"/>
    <w:rsid w:val="007F2DAE"/>
    <w:rsid w:val="007F2E79"/>
    <w:rsid w:val="007F2E99"/>
    <w:rsid w:val="007F2EEA"/>
    <w:rsid w:val="007F30EB"/>
    <w:rsid w:val="007F321B"/>
    <w:rsid w:val="007F324C"/>
    <w:rsid w:val="007F3250"/>
    <w:rsid w:val="007F325A"/>
    <w:rsid w:val="007F32FF"/>
    <w:rsid w:val="007F3381"/>
    <w:rsid w:val="007F35AD"/>
    <w:rsid w:val="007F35F2"/>
    <w:rsid w:val="007F361F"/>
    <w:rsid w:val="007F3640"/>
    <w:rsid w:val="007F3669"/>
    <w:rsid w:val="007F374A"/>
    <w:rsid w:val="007F3781"/>
    <w:rsid w:val="007F379E"/>
    <w:rsid w:val="007F3838"/>
    <w:rsid w:val="007F3879"/>
    <w:rsid w:val="007F38CB"/>
    <w:rsid w:val="007F38D9"/>
    <w:rsid w:val="007F391D"/>
    <w:rsid w:val="007F3956"/>
    <w:rsid w:val="007F3966"/>
    <w:rsid w:val="007F3998"/>
    <w:rsid w:val="007F39A3"/>
    <w:rsid w:val="007F3A6F"/>
    <w:rsid w:val="007F3B25"/>
    <w:rsid w:val="007F3B5F"/>
    <w:rsid w:val="007F3BC8"/>
    <w:rsid w:val="007F3D31"/>
    <w:rsid w:val="007F3E2C"/>
    <w:rsid w:val="007F3F15"/>
    <w:rsid w:val="007F3F5C"/>
    <w:rsid w:val="007F405A"/>
    <w:rsid w:val="007F41BD"/>
    <w:rsid w:val="007F41BF"/>
    <w:rsid w:val="007F421F"/>
    <w:rsid w:val="007F425D"/>
    <w:rsid w:val="007F433A"/>
    <w:rsid w:val="007F4539"/>
    <w:rsid w:val="007F456E"/>
    <w:rsid w:val="007F4586"/>
    <w:rsid w:val="007F45B5"/>
    <w:rsid w:val="007F468C"/>
    <w:rsid w:val="007F474A"/>
    <w:rsid w:val="007F47A7"/>
    <w:rsid w:val="007F4825"/>
    <w:rsid w:val="007F484D"/>
    <w:rsid w:val="007F485E"/>
    <w:rsid w:val="007F48E5"/>
    <w:rsid w:val="007F495F"/>
    <w:rsid w:val="007F49B4"/>
    <w:rsid w:val="007F4A88"/>
    <w:rsid w:val="007F4B86"/>
    <w:rsid w:val="007F4BE4"/>
    <w:rsid w:val="007F4BED"/>
    <w:rsid w:val="007F4CAB"/>
    <w:rsid w:val="007F4CBD"/>
    <w:rsid w:val="007F4D02"/>
    <w:rsid w:val="007F4D64"/>
    <w:rsid w:val="007F4DD7"/>
    <w:rsid w:val="007F4EFB"/>
    <w:rsid w:val="007F4EFF"/>
    <w:rsid w:val="007F4F98"/>
    <w:rsid w:val="007F4FAF"/>
    <w:rsid w:val="007F4FC1"/>
    <w:rsid w:val="007F4FDE"/>
    <w:rsid w:val="007F5030"/>
    <w:rsid w:val="007F508C"/>
    <w:rsid w:val="007F5092"/>
    <w:rsid w:val="007F5150"/>
    <w:rsid w:val="007F52D1"/>
    <w:rsid w:val="007F532D"/>
    <w:rsid w:val="007F5353"/>
    <w:rsid w:val="007F547F"/>
    <w:rsid w:val="007F54E8"/>
    <w:rsid w:val="007F55AD"/>
    <w:rsid w:val="007F5765"/>
    <w:rsid w:val="007F57CA"/>
    <w:rsid w:val="007F5829"/>
    <w:rsid w:val="007F5837"/>
    <w:rsid w:val="007F58AE"/>
    <w:rsid w:val="007F5921"/>
    <w:rsid w:val="007F5966"/>
    <w:rsid w:val="007F59D3"/>
    <w:rsid w:val="007F59F8"/>
    <w:rsid w:val="007F5B5A"/>
    <w:rsid w:val="007F5BD6"/>
    <w:rsid w:val="007F5BFA"/>
    <w:rsid w:val="007F5CE0"/>
    <w:rsid w:val="007F5D5F"/>
    <w:rsid w:val="007F5D71"/>
    <w:rsid w:val="007F5DDC"/>
    <w:rsid w:val="007F5FFD"/>
    <w:rsid w:val="007F607A"/>
    <w:rsid w:val="007F60BA"/>
    <w:rsid w:val="007F61B6"/>
    <w:rsid w:val="007F6230"/>
    <w:rsid w:val="007F627A"/>
    <w:rsid w:val="007F62E7"/>
    <w:rsid w:val="007F635F"/>
    <w:rsid w:val="007F64A9"/>
    <w:rsid w:val="007F6700"/>
    <w:rsid w:val="007F67AA"/>
    <w:rsid w:val="007F67AF"/>
    <w:rsid w:val="007F67B0"/>
    <w:rsid w:val="007F68EC"/>
    <w:rsid w:val="007F6A74"/>
    <w:rsid w:val="007F6A7E"/>
    <w:rsid w:val="007F6C8C"/>
    <w:rsid w:val="007F6C9E"/>
    <w:rsid w:val="007F6D25"/>
    <w:rsid w:val="007F6D4D"/>
    <w:rsid w:val="007F6DF7"/>
    <w:rsid w:val="007F6E56"/>
    <w:rsid w:val="007F6EE1"/>
    <w:rsid w:val="007F6F74"/>
    <w:rsid w:val="007F6F8E"/>
    <w:rsid w:val="007F704F"/>
    <w:rsid w:val="007F70B8"/>
    <w:rsid w:val="007F70BA"/>
    <w:rsid w:val="007F70C2"/>
    <w:rsid w:val="007F7266"/>
    <w:rsid w:val="007F72FB"/>
    <w:rsid w:val="007F7326"/>
    <w:rsid w:val="007F7466"/>
    <w:rsid w:val="007F7489"/>
    <w:rsid w:val="007F762D"/>
    <w:rsid w:val="007F76CE"/>
    <w:rsid w:val="007F76F0"/>
    <w:rsid w:val="007F76F8"/>
    <w:rsid w:val="007F7866"/>
    <w:rsid w:val="007F786B"/>
    <w:rsid w:val="007F7889"/>
    <w:rsid w:val="007F788E"/>
    <w:rsid w:val="007F791C"/>
    <w:rsid w:val="007F792B"/>
    <w:rsid w:val="007F79F8"/>
    <w:rsid w:val="007F7AD2"/>
    <w:rsid w:val="007F7B92"/>
    <w:rsid w:val="007F7BC2"/>
    <w:rsid w:val="007F7BEC"/>
    <w:rsid w:val="007F7C52"/>
    <w:rsid w:val="007F7CD4"/>
    <w:rsid w:val="007F7D05"/>
    <w:rsid w:val="007F7D18"/>
    <w:rsid w:val="007F7DB5"/>
    <w:rsid w:val="007F7E07"/>
    <w:rsid w:val="00800042"/>
    <w:rsid w:val="00800252"/>
    <w:rsid w:val="00800285"/>
    <w:rsid w:val="00800334"/>
    <w:rsid w:val="008003BD"/>
    <w:rsid w:val="008003DA"/>
    <w:rsid w:val="008003DD"/>
    <w:rsid w:val="008003E4"/>
    <w:rsid w:val="0080048E"/>
    <w:rsid w:val="008004D6"/>
    <w:rsid w:val="0080069F"/>
    <w:rsid w:val="008006B7"/>
    <w:rsid w:val="008007B2"/>
    <w:rsid w:val="00800823"/>
    <w:rsid w:val="00800846"/>
    <w:rsid w:val="008008AA"/>
    <w:rsid w:val="00800928"/>
    <w:rsid w:val="00800A20"/>
    <w:rsid w:val="00800A47"/>
    <w:rsid w:val="00800A4A"/>
    <w:rsid w:val="00800A89"/>
    <w:rsid w:val="00800A9B"/>
    <w:rsid w:val="00800B87"/>
    <w:rsid w:val="00800BD6"/>
    <w:rsid w:val="00800D20"/>
    <w:rsid w:val="00800DBD"/>
    <w:rsid w:val="00800DC4"/>
    <w:rsid w:val="00800F33"/>
    <w:rsid w:val="00800F63"/>
    <w:rsid w:val="00800FB3"/>
    <w:rsid w:val="00801033"/>
    <w:rsid w:val="0080104D"/>
    <w:rsid w:val="00801092"/>
    <w:rsid w:val="008010F2"/>
    <w:rsid w:val="0080111F"/>
    <w:rsid w:val="00801134"/>
    <w:rsid w:val="008011A3"/>
    <w:rsid w:val="00801265"/>
    <w:rsid w:val="00801334"/>
    <w:rsid w:val="008013BF"/>
    <w:rsid w:val="008013F3"/>
    <w:rsid w:val="008014A8"/>
    <w:rsid w:val="0080156C"/>
    <w:rsid w:val="008015D6"/>
    <w:rsid w:val="00801662"/>
    <w:rsid w:val="00801679"/>
    <w:rsid w:val="00801683"/>
    <w:rsid w:val="008016E6"/>
    <w:rsid w:val="00801785"/>
    <w:rsid w:val="00801851"/>
    <w:rsid w:val="008019C9"/>
    <w:rsid w:val="00801A1B"/>
    <w:rsid w:val="00801A8A"/>
    <w:rsid w:val="00801B7C"/>
    <w:rsid w:val="00801CC0"/>
    <w:rsid w:val="00801D64"/>
    <w:rsid w:val="00801E77"/>
    <w:rsid w:val="00801EAF"/>
    <w:rsid w:val="00801F51"/>
    <w:rsid w:val="00801FEA"/>
    <w:rsid w:val="00802199"/>
    <w:rsid w:val="00802203"/>
    <w:rsid w:val="0080234C"/>
    <w:rsid w:val="0080250E"/>
    <w:rsid w:val="00802850"/>
    <w:rsid w:val="008028A6"/>
    <w:rsid w:val="00802A6E"/>
    <w:rsid w:val="00802C00"/>
    <w:rsid w:val="00802C33"/>
    <w:rsid w:val="00802C52"/>
    <w:rsid w:val="00802CA1"/>
    <w:rsid w:val="00802CE7"/>
    <w:rsid w:val="00802DA3"/>
    <w:rsid w:val="00802DE4"/>
    <w:rsid w:val="00802DF6"/>
    <w:rsid w:val="00802F5B"/>
    <w:rsid w:val="00802F81"/>
    <w:rsid w:val="00802FCC"/>
    <w:rsid w:val="00802FFC"/>
    <w:rsid w:val="0080303C"/>
    <w:rsid w:val="008030EC"/>
    <w:rsid w:val="0080315E"/>
    <w:rsid w:val="008031D0"/>
    <w:rsid w:val="00803209"/>
    <w:rsid w:val="0080327C"/>
    <w:rsid w:val="008032F5"/>
    <w:rsid w:val="00803399"/>
    <w:rsid w:val="008033EE"/>
    <w:rsid w:val="0080343E"/>
    <w:rsid w:val="0080346B"/>
    <w:rsid w:val="008034B3"/>
    <w:rsid w:val="008034BC"/>
    <w:rsid w:val="008034C8"/>
    <w:rsid w:val="008035A5"/>
    <w:rsid w:val="008035CE"/>
    <w:rsid w:val="00803671"/>
    <w:rsid w:val="00803700"/>
    <w:rsid w:val="008037B9"/>
    <w:rsid w:val="00803818"/>
    <w:rsid w:val="0080381A"/>
    <w:rsid w:val="00803863"/>
    <w:rsid w:val="008038CA"/>
    <w:rsid w:val="008038DF"/>
    <w:rsid w:val="0080395A"/>
    <w:rsid w:val="00803991"/>
    <w:rsid w:val="008039A1"/>
    <w:rsid w:val="008039D0"/>
    <w:rsid w:val="00803AAB"/>
    <w:rsid w:val="00803ACE"/>
    <w:rsid w:val="00803BD9"/>
    <w:rsid w:val="00803BF3"/>
    <w:rsid w:val="00803C47"/>
    <w:rsid w:val="00803CC5"/>
    <w:rsid w:val="00803CD3"/>
    <w:rsid w:val="00803E65"/>
    <w:rsid w:val="00803EB7"/>
    <w:rsid w:val="00803F02"/>
    <w:rsid w:val="00804050"/>
    <w:rsid w:val="008040A2"/>
    <w:rsid w:val="008042B1"/>
    <w:rsid w:val="008043F5"/>
    <w:rsid w:val="008044A9"/>
    <w:rsid w:val="008044C4"/>
    <w:rsid w:val="008044DC"/>
    <w:rsid w:val="00804510"/>
    <w:rsid w:val="008045E9"/>
    <w:rsid w:val="008045F1"/>
    <w:rsid w:val="008046F9"/>
    <w:rsid w:val="0080474B"/>
    <w:rsid w:val="0080479A"/>
    <w:rsid w:val="008047B4"/>
    <w:rsid w:val="008047F1"/>
    <w:rsid w:val="0080487C"/>
    <w:rsid w:val="008049E7"/>
    <w:rsid w:val="00804A2A"/>
    <w:rsid w:val="00804A44"/>
    <w:rsid w:val="00804A8E"/>
    <w:rsid w:val="00804B61"/>
    <w:rsid w:val="00804C03"/>
    <w:rsid w:val="00804D25"/>
    <w:rsid w:val="00804D69"/>
    <w:rsid w:val="00804DB2"/>
    <w:rsid w:val="00804E97"/>
    <w:rsid w:val="00804F2E"/>
    <w:rsid w:val="00804F9F"/>
    <w:rsid w:val="00805037"/>
    <w:rsid w:val="0080503A"/>
    <w:rsid w:val="008050E8"/>
    <w:rsid w:val="00805139"/>
    <w:rsid w:val="008051E1"/>
    <w:rsid w:val="0080521B"/>
    <w:rsid w:val="0080522D"/>
    <w:rsid w:val="00805231"/>
    <w:rsid w:val="00805265"/>
    <w:rsid w:val="00805321"/>
    <w:rsid w:val="008054BE"/>
    <w:rsid w:val="00805533"/>
    <w:rsid w:val="0080553E"/>
    <w:rsid w:val="008055AF"/>
    <w:rsid w:val="00805645"/>
    <w:rsid w:val="00805687"/>
    <w:rsid w:val="00805739"/>
    <w:rsid w:val="00805769"/>
    <w:rsid w:val="00805815"/>
    <w:rsid w:val="00805877"/>
    <w:rsid w:val="00805888"/>
    <w:rsid w:val="00805916"/>
    <w:rsid w:val="00805932"/>
    <w:rsid w:val="00805975"/>
    <w:rsid w:val="00805A7A"/>
    <w:rsid w:val="00805A98"/>
    <w:rsid w:val="00805AB6"/>
    <w:rsid w:val="00805B81"/>
    <w:rsid w:val="00805C0C"/>
    <w:rsid w:val="00805C1D"/>
    <w:rsid w:val="00805DA3"/>
    <w:rsid w:val="00805DC3"/>
    <w:rsid w:val="00805E77"/>
    <w:rsid w:val="00805E80"/>
    <w:rsid w:val="00805E92"/>
    <w:rsid w:val="00805E94"/>
    <w:rsid w:val="00805F06"/>
    <w:rsid w:val="00805FC1"/>
    <w:rsid w:val="0080607C"/>
    <w:rsid w:val="00806243"/>
    <w:rsid w:val="00806391"/>
    <w:rsid w:val="00806408"/>
    <w:rsid w:val="008064E9"/>
    <w:rsid w:val="0080653E"/>
    <w:rsid w:val="0080654D"/>
    <w:rsid w:val="008065D6"/>
    <w:rsid w:val="0080661E"/>
    <w:rsid w:val="008066F3"/>
    <w:rsid w:val="008067F0"/>
    <w:rsid w:val="0080680E"/>
    <w:rsid w:val="00806813"/>
    <w:rsid w:val="0080681E"/>
    <w:rsid w:val="008068BE"/>
    <w:rsid w:val="00806942"/>
    <w:rsid w:val="00806C9F"/>
    <w:rsid w:val="00806D5F"/>
    <w:rsid w:val="00806DD6"/>
    <w:rsid w:val="00806E9F"/>
    <w:rsid w:val="00806EF9"/>
    <w:rsid w:val="00806F7F"/>
    <w:rsid w:val="00806F82"/>
    <w:rsid w:val="00807125"/>
    <w:rsid w:val="0080719E"/>
    <w:rsid w:val="008071EE"/>
    <w:rsid w:val="00807302"/>
    <w:rsid w:val="0080730A"/>
    <w:rsid w:val="00807433"/>
    <w:rsid w:val="0080758F"/>
    <w:rsid w:val="0080759E"/>
    <w:rsid w:val="0080765B"/>
    <w:rsid w:val="008076DA"/>
    <w:rsid w:val="008076FC"/>
    <w:rsid w:val="008077DF"/>
    <w:rsid w:val="008078BF"/>
    <w:rsid w:val="0080799B"/>
    <w:rsid w:val="00807A0C"/>
    <w:rsid w:val="00807A40"/>
    <w:rsid w:val="00807A8B"/>
    <w:rsid w:val="00807ACE"/>
    <w:rsid w:val="00807B3C"/>
    <w:rsid w:val="00807CAD"/>
    <w:rsid w:val="00807DEE"/>
    <w:rsid w:val="00807E35"/>
    <w:rsid w:val="00807F6C"/>
    <w:rsid w:val="00807F6D"/>
    <w:rsid w:val="00807FBB"/>
    <w:rsid w:val="0081017B"/>
    <w:rsid w:val="008101CF"/>
    <w:rsid w:val="00810284"/>
    <w:rsid w:val="00810342"/>
    <w:rsid w:val="008103CB"/>
    <w:rsid w:val="00810614"/>
    <w:rsid w:val="0081066B"/>
    <w:rsid w:val="00810674"/>
    <w:rsid w:val="00810785"/>
    <w:rsid w:val="008107A1"/>
    <w:rsid w:val="0081084E"/>
    <w:rsid w:val="008109FD"/>
    <w:rsid w:val="00810A81"/>
    <w:rsid w:val="00810AC8"/>
    <w:rsid w:val="00810B20"/>
    <w:rsid w:val="00810B3B"/>
    <w:rsid w:val="00810C06"/>
    <w:rsid w:val="00810C76"/>
    <w:rsid w:val="00810D4B"/>
    <w:rsid w:val="00810DA3"/>
    <w:rsid w:val="00810DA4"/>
    <w:rsid w:val="00810E00"/>
    <w:rsid w:val="00810E19"/>
    <w:rsid w:val="00810E38"/>
    <w:rsid w:val="00810FDD"/>
    <w:rsid w:val="0081107B"/>
    <w:rsid w:val="0081107D"/>
    <w:rsid w:val="008110A9"/>
    <w:rsid w:val="0081110F"/>
    <w:rsid w:val="008111C0"/>
    <w:rsid w:val="008111DB"/>
    <w:rsid w:val="00811264"/>
    <w:rsid w:val="0081144D"/>
    <w:rsid w:val="00811547"/>
    <w:rsid w:val="008115AB"/>
    <w:rsid w:val="0081161B"/>
    <w:rsid w:val="00811876"/>
    <w:rsid w:val="008118B1"/>
    <w:rsid w:val="008118F8"/>
    <w:rsid w:val="00811907"/>
    <w:rsid w:val="00811955"/>
    <w:rsid w:val="008119F5"/>
    <w:rsid w:val="00811A3B"/>
    <w:rsid w:val="00811A73"/>
    <w:rsid w:val="00811ABC"/>
    <w:rsid w:val="00811B0C"/>
    <w:rsid w:val="00811D7F"/>
    <w:rsid w:val="00811D91"/>
    <w:rsid w:val="00811ED7"/>
    <w:rsid w:val="00811F02"/>
    <w:rsid w:val="00811F09"/>
    <w:rsid w:val="00811F28"/>
    <w:rsid w:val="00812040"/>
    <w:rsid w:val="008120C0"/>
    <w:rsid w:val="008120CE"/>
    <w:rsid w:val="00812138"/>
    <w:rsid w:val="0081218F"/>
    <w:rsid w:val="008121DD"/>
    <w:rsid w:val="008121E2"/>
    <w:rsid w:val="0081227C"/>
    <w:rsid w:val="008122B1"/>
    <w:rsid w:val="0081250F"/>
    <w:rsid w:val="00812521"/>
    <w:rsid w:val="00812741"/>
    <w:rsid w:val="008127ED"/>
    <w:rsid w:val="00812837"/>
    <w:rsid w:val="008128B9"/>
    <w:rsid w:val="008128D3"/>
    <w:rsid w:val="008128E8"/>
    <w:rsid w:val="00812A56"/>
    <w:rsid w:val="00812B37"/>
    <w:rsid w:val="00812B7A"/>
    <w:rsid w:val="00812B7C"/>
    <w:rsid w:val="00812BE3"/>
    <w:rsid w:val="00812C3C"/>
    <w:rsid w:val="00812C8C"/>
    <w:rsid w:val="00812C95"/>
    <w:rsid w:val="00812CA8"/>
    <w:rsid w:val="00812D15"/>
    <w:rsid w:val="00812D57"/>
    <w:rsid w:val="00812D73"/>
    <w:rsid w:val="00812D87"/>
    <w:rsid w:val="00812D95"/>
    <w:rsid w:val="00812E3D"/>
    <w:rsid w:val="00812E40"/>
    <w:rsid w:val="00812EFE"/>
    <w:rsid w:val="00812FE1"/>
    <w:rsid w:val="00812FED"/>
    <w:rsid w:val="00813070"/>
    <w:rsid w:val="00813303"/>
    <w:rsid w:val="0081337C"/>
    <w:rsid w:val="0081337F"/>
    <w:rsid w:val="00813395"/>
    <w:rsid w:val="008133C0"/>
    <w:rsid w:val="00813447"/>
    <w:rsid w:val="008134C5"/>
    <w:rsid w:val="0081351C"/>
    <w:rsid w:val="00813522"/>
    <w:rsid w:val="00813569"/>
    <w:rsid w:val="00813587"/>
    <w:rsid w:val="008135AF"/>
    <w:rsid w:val="00813626"/>
    <w:rsid w:val="00813664"/>
    <w:rsid w:val="00813698"/>
    <w:rsid w:val="008137C5"/>
    <w:rsid w:val="00813817"/>
    <w:rsid w:val="008138AE"/>
    <w:rsid w:val="008138D6"/>
    <w:rsid w:val="008138EC"/>
    <w:rsid w:val="008138FF"/>
    <w:rsid w:val="008139D4"/>
    <w:rsid w:val="00813A1F"/>
    <w:rsid w:val="00813A87"/>
    <w:rsid w:val="00813AAF"/>
    <w:rsid w:val="00813B3B"/>
    <w:rsid w:val="00813C35"/>
    <w:rsid w:val="00813CD8"/>
    <w:rsid w:val="00813D45"/>
    <w:rsid w:val="00813E2A"/>
    <w:rsid w:val="00813E2C"/>
    <w:rsid w:val="00813EB8"/>
    <w:rsid w:val="00813F96"/>
    <w:rsid w:val="00813FD1"/>
    <w:rsid w:val="00814163"/>
    <w:rsid w:val="008141A6"/>
    <w:rsid w:val="008141B5"/>
    <w:rsid w:val="0081434C"/>
    <w:rsid w:val="0081438B"/>
    <w:rsid w:val="00814396"/>
    <w:rsid w:val="00814441"/>
    <w:rsid w:val="0081445E"/>
    <w:rsid w:val="008144C7"/>
    <w:rsid w:val="008145E6"/>
    <w:rsid w:val="00814605"/>
    <w:rsid w:val="00814607"/>
    <w:rsid w:val="0081467A"/>
    <w:rsid w:val="00814686"/>
    <w:rsid w:val="0081469B"/>
    <w:rsid w:val="00814720"/>
    <w:rsid w:val="00814762"/>
    <w:rsid w:val="00814829"/>
    <w:rsid w:val="00814935"/>
    <w:rsid w:val="008149C7"/>
    <w:rsid w:val="008149F5"/>
    <w:rsid w:val="00814A84"/>
    <w:rsid w:val="00814ACA"/>
    <w:rsid w:val="00814ADD"/>
    <w:rsid w:val="00814B90"/>
    <w:rsid w:val="00814BAE"/>
    <w:rsid w:val="00814BBB"/>
    <w:rsid w:val="00814BE4"/>
    <w:rsid w:val="00814C00"/>
    <w:rsid w:val="00814D75"/>
    <w:rsid w:val="00814DED"/>
    <w:rsid w:val="00814EE3"/>
    <w:rsid w:val="00814F0E"/>
    <w:rsid w:val="0081501E"/>
    <w:rsid w:val="00815043"/>
    <w:rsid w:val="00815077"/>
    <w:rsid w:val="00815142"/>
    <w:rsid w:val="008151B2"/>
    <w:rsid w:val="008152B8"/>
    <w:rsid w:val="0081535D"/>
    <w:rsid w:val="0081535E"/>
    <w:rsid w:val="00815391"/>
    <w:rsid w:val="008153D5"/>
    <w:rsid w:val="008155EC"/>
    <w:rsid w:val="00815629"/>
    <w:rsid w:val="0081563B"/>
    <w:rsid w:val="0081566F"/>
    <w:rsid w:val="0081576F"/>
    <w:rsid w:val="008159B5"/>
    <w:rsid w:val="00815A12"/>
    <w:rsid w:val="00815A31"/>
    <w:rsid w:val="00815B81"/>
    <w:rsid w:val="00815B9D"/>
    <w:rsid w:val="00815BA0"/>
    <w:rsid w:val="00815C53"/>
    <w:rsid w:val="00815CB5"/>
    <w:rsid w:val="00815CBA"/>
    <w:rsid w:val="00815D59"/>
    <w:rsid w:val="00815D78"/>
    <w:rsid w:val="00815E16"/>
    <w:rsid w:val="00815E77"/>
    <w:rsid w:val="00815F43"/>
    <w:rsid w:val="00816009"/>
    <w:rsid w:val="00816017"/>
    <w:rsid w:val="0081603C"/>
    <w:rsid w:val="0081611E"/>
    <w:rsid w:val="008161D0"/>
    <w:rsid w:val="008161E4"/>
    <w:rsid w:val="00816290"/>
    <w:rsid w:val="008162FF"/>
    <w:rsid w:val="008163EE"/>
    <w:rsid w:val="008163FA"/>
    <w:rsid w:val="00816456"/>
    <w:rsid w:val="0081646B"/>
    <w:rsid w:val="00816473"/>
    <w:rsid w:val="0081647F"/>
    <w:rsid w:val="0081649C"/>
    <w:rsid w:val="008165C3"/>
    <w:rsid w:val="00816671"/>
    <w:rsid w:val="008166FE"/>
    <w:rsid w:val="00816723"/>
    <w:rsid w:val="0081677F"/>
    <w:rsid w:val="0081686C"/>
    <w:rsid w:val="0081699A"/>
    <w:rsid w:val="00816A8D"/>
    <w:rsid w:val="00816C83"/>
    <w:rsid w:val="00816C9A"/>
    <w:rsid w:val="00816CEE"/>
    <w:rsid w:val="00816D20"/>
    <w:rsid w:val="00816E3D"/>
    <w:rsid w:val="00816E6D"/>
    <w:rsid w:val="00816E9A"/>
    <w:rsid w:val="00816FC5"/>
    <w:rsid w:val="00817034"/>
    <w:rsid w:val="008170A3"/>
    <w:rsid w:val="008170D6"/>
    <w:rsid w:val="008171C7"/>
    <w:rsid w:val="00817244"/>
    <w:rsid w:val="00817250"/>
    <w:rsid w:val="0081731A"/>
    <w:rsid w:val="00817394"/>
    <w:rsid w:val="0081743B"/>
    <w:rsid w:val="00817468"/>
    <w:rsid w:val="008175A9"/>
    <w:rsid w:val="008175BC"/>
    <w:rsid w:val="00817640"/>
    <w:rsid w:val="00817671"/>
    <w:rsid w:val="008176B4"/>
    <w:rsid w:val="0081772B"/>
    <w:rsid w:val="00817735"/>
    <w:rsid w:val="00817752"/>
    <w:rsid w:val="00817772"/>
    <w:rsid w:val="0081777D"/>
    <w:rsid w:val="00817874"/>
    <w:rsid w:val="00817966"/>
    <w:rsid w:val="00817A98"/>
    <w:rsid w:val="00817AD2"/>
    <w:rsid w:val="00817B3E"/>
    <w:rsid w:val="00817B49"/>
    <w:rsid w:val="00817B70"/>
    <w:rsid w:val="00817C28"/>
    <w:rsid w:val="00817CF4"/>
    <w:rsid w:val="00817D1A"/>
    <w:rsid w:val="00817DBF"/>
    <w:rsid w:val="00817DE3"/>
    <w:rsid w:val="00817E4E"/>
    <w:rsid w:val="00817EA0"/>
    <w:rsid w:val="00817EE8"/>
    <w:rsid w:val="008200B7"/>
    <w:rsid w:val="008201F0"/>
    <w:rsid w:val="0082024F"/>
    <w:rsid w:val="00820275"/>
    <w:rsid w:val="00820293"/>
    <w:rsid w:val="008202F6"/>
    <w:rsid w:val="00820320"/>
    <w:rsid w:val="00820422"/>
    <w:rsid w:val="008204B1"/>
    <w:rsid w:val="008205C3"/>
    <w:rsid w:val="00820668"/>
    <w:rsid w:val="00820781"/>
    <w:rsid w:val="008207A0"/>
    <w:rsid w:val="008207C3"/>
    <w:rsid w:val="0082082E"/>
    <w:rsid w:val="00820862"/>
    <w:rsid w:val="008208D2"/>
    <w:rsid w:val="008208E1"/>
    <w:rsid w:val="00820A48"/>
    <w:rsid w:val="00820A7D"/>
    <w:rsid w:val="00820AA0"/>
    <w:rsid w:val="00820AE3"/>
    <w:rsid w:val="00820AEE"/>
    <w:rsid w:val="00820AEF"/>
    <w:rsid w:val="00820B1C"/>
    <w:rsid w:val="00820B2A"/>
    <w:rsid w:val="00820B38"/>
    <w:rsid w:val="00820B50"/>
    <w:rsid w:val="00820B93"/>
    <w:rsid w:val="00820BB6"/>
    <w:rsid w:val="00820BDC"/>
    <w:rsid w:val="00820CC7"/>
    <w:rsid w:val="00820D6F"/>
    <w:rsid w:val="00820E52"/>
    <w:rsid w:val="00820EA4"/>
    <w:rsid w:val="00820EE3"/>
    <w:rsid w:val="00820FC0"/>
    <w:rsid w:val="00821082"/>
    <w:rsid w:val="00821167"/>
    <w:rsid w:val="008211D2"/>
    <w:rsid w:val="0082124B"/>
    <w:rsid w:val="008212BE"/>
    <w:rsid w:val="00821346"/>
    <w:rsid w:val="00821426"/>
    <w:rsid w:val="00821455"/>
    <w:rsid w:val="0082145A"/>
    <w:rsid w:val="00821460"/>
    <w:rsid w:val="0082149F"/>
    <w:rsid w:val="008214CF"/>
    <w:rsid w:val="0082151F"/>
    <w:rsid w:val="008215AB"/>
    <w:rsid w:val="008216B5"/>
    <w:rsid w:val="0082171B"/>
    <w:rsid w:val="0082171D"/>
    <w:rsid w:val="00821792"/>
    <w:rsid w:val="00821946"/>
    <w:rsid w:val="008219AF"/>
    <w:rsid w:val="00821A32"/>
    <w:rsid w:val="00821A5C"/>
    <w:rsid w:val="00821BBB"/>
    <w:rsid w:val="00821BC3"/>
    <w:rsid w:val="00821C3D"/>
    <w:rsid w:val="00821D1E"/>
    <w:rsid w:val="00821D48"/>
    <w:rsid w:val="00821DEC"/>
    <w:rsid w:val="00821E84"/>
    <w:rsid w:val="00821EDE"/>
    <w:rsid w:val="00821EF1"/>
    <w:rsid w:val="00821FC5"/>
    <w:rsid w:val="00821FD1"/>
    <w:rsid w:val="00822037"/>
    <w:rsid w:val="00822048"/>
    <w:rsid w:val="00822090"/>
    <w:rsid w:val="00822266"/>
    <w:rsid w:val="0082226B"/>
    <w:rsid w:val="00822343"/>
    <w:rsid w:val="00822363"/>
    <w:rsid w:val="00822383"/>
    <w:rsid w:val="0082238E"/>
    <w:rsid w:val="008224B6"/>
    <w:rsid w:val="00822513"/>
    <w:rsid w:val="00822529"/>
    <w:rsid w:val="0082253E"/>
    <w:rsid w:val="0082254D"/>
    <w:rsid w:val="00822620"/>
    <w:rsid w:val="008226FE"/>
    <w:rsid w:val="0082273C"/>
    <w:rsid w:val="00822813"/>
    <w:rsid w:val="00822A0B"/>
    <w:rsid w:val="00822A70"/>
    <w:rsid w:val="00822ADE"/>
    <w:rsid w:val="00822B03"/>
    <w:rsid w:val="00822BDA"/>
    <w:rsid w:val="00822C24"/>
    <w:rsid w:val="00822C60"/>
    <w:rsid w:val="00822DA8"/>
    <w:rsid w:val="00822E3A"/>
    <w:rsid w:val="00822EDB"/>
    <w:rsid w:val="00822EFC"/>
    <w:rsid w:val="00822F28"/>
    <w:rsid w:val="00822F55"/>
    <w:rsid w:val="00823047"/>
    <w:rsid w:val="0082330F"/>
    <w:rsid w:val="00823383"/>
    <w:rsid w:val="008233B6"/>
    <w:rsid w:val="0082342A"/>
    <w:rsid w:val="008234A2"/>
    <w:rsid w:val="0082353A"/>
    <w:rsid w:val="0082354D"/>
    <w:rsid w:val="008235A0"/>
    <w:rsid w:val="008235D3"/>
    <w:rsid w:val="0082376D"/>
    <w:rsid w:val="00823813"/>
    <w:rsid w:val="00823866"/>
    <w:rsid w:val="00823881"/>
    <w:rsid w:val="00823920"/>
    <w:rsid w:val="00823980"/>
    <w:rsid w:val="008239A1"/>
    <w:rsid w:val="00823AA7"/>
    <w:rsid w:val="00823B22"/>
    <w:rsid w:val="00823B83"/>
    <w:rsid w:val="00823B9F"/>
    <w:rsid w:val="00823CE3"/>
    <w:rsid w:val="00823DA0"/>
    <w:rsid w:val="00823E08"/>
    <w:rsid w:val="00823EBB"/>
    <w:rsid w:val="00823EFB"/>
    <w:rsid w:val="00823F54"/>
    <w:rsid w:val="00823FC6"/>
    <w:rsid w:val="0082403B"/>
    <w:rsid w:val="008241C8"/>
    <w:rsid w:val="0082422F"/>
    <w:rsid w:val="008242C2"/>
    <w:rsid w:val="0082440D"/>
    <w:rsid w:val="00824426"/>
    <w:rsid w:val="00824438"/>
    <w:rsid w:val="00824520"/>
    <w:rsid w:val="00824549"/>
    <w:rsid w:val="008245DE"/>
    <w:rsid w:val="008245FC"/>
    <w:rsid w:val="00824721"/>
    <w:rsid w:val="008247C5"/>
    <w:rsid w:val="0082488F"/>
    <w:rsid w:val="008248F3"/>
    <w:rsid w:val="008248F4"/>
    <w:rsid w:val="00824907"/>
    <w:rsid w:val="00824956"/>
    <w:rsid w:val="00824960"/>
    <w:rsid w:val="00824ABB"/>
    <w:rsid w:val="00824B5F"/>
    <w:rsid w:val="00824BAE"/>
    <w:rsid w:val="00824CBE"/>
    <w:rsid w:val="00824CE2"/>
    <w:rsid w:val="00824D06"/>
    <w:rsid w:val="00824DD3"/>
    <w:rsid w:val="00824DD5"/>
    <w:rsid w:val="00824F9B"/>
    <w:rsid w:val="00825064"/>
    <w:rsid w:val="008251F1"/>
    <w:rsid w:val="00825243"/>
    <w:rsid w:val="008252BB"/>
    <w:rsid w:val="008252E9"/>
    <w:rsid w:val="0082530E"/>
    <w:rsid w:val="0082533E"/>
    <w:rsid w:val="00825358"/>
    <w:rsid w:val="008253C6"/>
    <w:rsid w:val="00825402"/>
    <w:rsid w:val="0082542C"/>
    <w:rsid w:val="00825499"/>
    <w:rsid w:val="008254B8"/>
    <w:rsid w:val="00825551"/>
    <w:rsid w:val="0082556C"/>
    <w:rsid w:val="008255FC"/>
    <w:rsid w:val="00825614"/>
    <w:rsid w:val="00825779"/>
    <w:rsid w:val="008257C4"/>
    <w:rsid w:val="0082596C"/>
    <w:rsid w:val="008259B2"/>
    <w:rsid w:val="00825BB0"/>
    <w:rsid w:val="00825C63"/>
    <w:rsid w:val="00825C8A"/>
    <w:rsid w:val="00825CBF"/>
    <w:rsid w:val="00825D1D"/>
    <w:rsid w:val="00825DC7"/>
    <w:rsid w:val="00825E42"/>
    <w:rsid w:val="00825E4C"/>
    <w:rsid w:val="00825F1D"/>
    <w:rsid w:val="00826059"/>
    <w:rsid w:val="008260E7"/>
    <w:rsid w:val="00826194"/>
    <w:rsid w:val="008261B0"/>
    <w:rsid w:val="00826425"/>
    <w:rsid w:val="00826660"/>
    <w:rsid w:val="008266C2"/>
    <w:rsid w:val="008267CE"/>
    <w:rsid w:val="00826822"/>
    <w:rsid w:val="008268BD"/>
    <w:rsid w:val="00826932"/>
    <w:rsid w:val="00826A6F"/>
    <w:rsid w:val="00826A79"/>
    <w:rsid w:val="00826A85"/>
    <w:rsid w:val="00826ADC"/>
    <w:rsid w:val="00826AE1"/>
    <w:rsid w:val="00826AEE"/>
    <w:rsid w:val="00826B05"/>
    <w:rsid w:val="00826B96"/>
    <w:rsid w:val="00826B9E"/>
    <w:rsid w:val="00826D02"/>
    <w:rsid w:val="00826D2E"/>
    <w:rsid w:val="00826D48"/>
    <w:rsid w:val="00826D83"/>
    <w:rsid w:val="00826DAC"/>
    <w:rsid w:val="00826DD4"/>
    <w:rsid w:val="00826DDA"/>
    <w:rsid w:val="00826DE4"/>
    <w:rsid w:val="00826E1F"/>
    <w:rsid w:val="00826E3D"/>
    <w:rsid w:val="00826E92"/>
    <w:rsid w:val="00826EC0"/>
    <w:rsid w:val="00826EFA"/>
    <w:rsid w:val="00826F78"/>
    <w:rsid w:val="00826F8A"/>
    <w:rsid w:val="0082713F"/>
    <w:rsid w:val="008271FC"/>
    <w:rsid w:val="00827216"/>
    <w:rsid w:val="00827303"/>
    <w:rsid w:val="00827397"/>
    <w:rsid w:val="00827444"/>
    <w:rsid w:val="00827467"/>
    <w:rsid w:val="00827493"/>
    <w:rsid w:val="008274AE"/>
    <w:rsid w:val="0082753C"/>
    <w:rsid w:val="0082760B"/>
    <w:rsid w:val="00827630"/>
    <w:rsid w:val="008276D3"/>
    <w:rsid w:val="008277DD"/>
    <w:rsid w:val="008278FC"/>
    <w:rsid w:val="00827BCA"/>
    <w:rsid w:val="00827CA9"/>
    <w:rsid w:val="00827CC2"/>
    <w:rsid w:val="00827D0E"/>
    <w:rsid w:val="00827DC4"/>
    <w:rsid w:val="00827E27"/>
    <w:rsid w:val="00827E53"/>
    <w:rsid w:val="00827E65"/>
    <w:rsid w:val="00827FA3"/>
    <w:rsid w:val="00829738"/>
    <w:rsid w:val="00830017"/>
    <w:rsid w:val="0083024E"/>
    <w:rsid w:val="008303A2"/>
    <w:rsid w:val="0083043A"/>
    <w:rsid w:val="0083045F"/>
    <w:rsid w:val="0083047A"/>
    <w:rsid w:val="008304F6"/>
    <w:rsid w:val="00830527"/>
    <w:rsid w:val="00830536"/>
    <w:rsid w:val="00830604"/>
    <w:rsid w:val="0083065A"/>
    <w:rsid w:val="0083068B"/>
    <w:rsid w:val="008306CE"/>
    <w:rsid w:val="008306E8"/>
    <w:rsid w:val="0083071B"/>
    <w:rsid w:val="00830755"/>
    <w:rsid w:val="008308C6"/>
    <w:rsid w:val="00830974"/>
    <w:rsid w:val="00830B4A"/>
    <w:rsid w:val="00830B72"/>
    <w:rsid w:val="00830B80"/>
    <w:rsid w:val="00830C43"/>
    <w:rsid w:val="00830C50"/>
    <w:rsid w:val="00830C9D"/>
    <w:rsid w:val="00830CEB"/>
    <w:rsid w:val="00830D4C"/>
    <w:rsid w:val="00830E30"/>
    <w:rsid w:val="00830E64"/>
    <w:rsid w:val="00830F89"/>
    <w:rsid w:val="00830FC4"/>
    <w:rsid w:val="00830FCF"/>
    <w:rsid w:val="00830FF7"/>
    <w:rsid w:val="00831003"/>
    <w:rsid w:val="0083119B"/>
    <w:rsid w:val="008311A3"/>
    <w:rsid w:val="00831280"/>
    <w:rsid w:val="00831293"/>
    <w:rsid w:val="00831319"/>
    <w:rsid w:val="00831324"/>
    <w:rsid w:val="00831333"/>
    <w:rsid w:val="00831375"/>
    <w:rsid w:val="0083150F"/>
    <w:rsid w:val="00831634"/>
    <w:rsid w:val="00831742"/>
    <w:rsid w:val="00831785"/>
    <w:rsid w:val="008317AA"/>
    <w:rsid w:val="008318BD"/>
    <w:rsid w:val="008318C9"/>
    <w:rsid w:val="00831957"/>
    <w:rsid w:val="00831A26"/>
    <w:rsid w:val="00831B0E"/>
    <w:rsid w:val="00831B1B"/>
    <w:rsid w:val="00831B56"/>
    <w:rsid w:val="00831BB4"/>
    <w:rsid w:val="00831C07"/>
    <w:rsid w:val="00831C9F"/>
    <w:rsid w:val="00831D04"/>
    <w:rsid w:val="00831F0D"/>
    <w:rsid w:val="0083208A"/>
    <w:rsid w:val="00832114"/>
    <w:rsid w:val="0083214D"/>
    <w:rsid w:val="00832273"/>
    <w:rsid w:val="00832280"/>
    <w:rsid w:val="008322AD"/>
    <w:rsid w:val="008322CE"/>
    <w:rsid w:val="008322F9"/>
    <w:rsid w:val="0083231B"/>
    <w:rsid w:val="00832338"/>
    <w:rsid w:val="008323DB"/>
    <w:rsid w:val="008324C3"/>
    <w:rsid w:val="00832539"/>
    <w:rsid w:val="0083256F"/>
    <w:rsid w:val="00832577"/>
    <w:rsid w:val="008325C2"/>
    <w:rsid w:val="00832689"/>
    <w:rsid w:val="008326D0"/>
    <w:rsid w:val="008326D5"/>
    <w:rsid w:val="00832710"/>
    <w:rsid w:val="0083273E"/>
    <w:rsid w:val="008327B3"/>
    <w:rsid w:val="008327E2"/>
    <w:rsid w:val="0083283B"/>
    <w:rsid w:val="008328B8"/>
    <w:rsid w:val="00832973"/>
    <w:rsid w:val="008329A8"/>
    <w:rsid w:val="00832A0B"/>
    <w:rsid w:val="00832AE8"/>
    <w:rsid w:val="00832BD4"/>
    <w:rsid w:val="00832BDA"/>
    <w:rsid w:val="00832C5B"/>
    <w:rsid w:val="00832C92"/>
    <w:rsid w:val="00832CA2"/>
    <w:rsid w:val="00832D05"/>
    <w:rsid w:val="00832D42"/>
    <w:rsid w:val="00832E05"/>
    <w:rsid w:val="00832E67"/>
    <w:rsid w:val="00832E72"/>
    <w:rsid w:val="00832EBB"/>
    <w:rsid w:val="00832F3B"/>
    <w:rsid w:val="00832F5B"/>
    <w:rsid w:val="00832FE0"/>
    <w:rsid w:val="00833006"/>
    <w:rsid w:val="008330B1"/>
    <w:rsid w:val="008330DB"/>
    <w:rsid w:val="00833130"/>
    <w:rsid w:val="0083316F"/>
    <w:rsid w:val="008331F0"/>
    <w:rsid w:val="008331F8"/>
    <w:rsid w:val="0083326D"/>
    <w:rsid w:val="0083326F"/>
    <w:rsid w:val="0083331F"/>
    <w:rsid w:val="00833350"/>
    <w:rsid w:val="00833351"/>
    <w:rsid w:val="00833371"/>
    <w:rsid w:val="00833397"/>
    <w:rsid w:val="008333A4"/>
    <w:rsid w:val="008333ED"/>
    <w:rsid w:val="0083343C"/>
    <w:rsid w:val="008334DA"/>
    <w:rsid w:val="008334EC"/>
    <w:rsid w:val="00833545"/>
    <w:rsid w:val="00833573"/>
    <w:rsid w:val="00833581"/>
    <w:rsid w:val="00833634"/>
    <w:rsid w:val="0083367D"/>
    <w:rsid w:val="008336CB"/>
    <w:rsid w:val="0083373C"/>
    <w:rsid w:val="0083379A"/>
    <w:rsid w:val="008337A8"/>
    <w:rsid w:val="008337E2"/>
    <w:rsid w:val="008338C7"/>
    <w:rsid w:val="008338E0"/>
    <w:rsid w:val="00833958"/>
    <w:rsid w:val="00833A29"/>
    <w:rsid w:val="00833A69"/>
    <w:rsid w:val="00833A8F"/>
    <w:rsid w:val="00833AE2"/>
    <w:rsid w:val="00833AF8"/>
    <w:rsid w:val="00833B40"/>
    <w:rsid w:val="00833BDB"/>
    <w:rsid w:val="00833BDD"/>
    <w:rsid w:val="00833C16"/>
    <w:rsid w:val="00833C54"/>
    <w:rsid w:val="00833D5C"/>
    <w:rsid w:val="00833E37"/>
    <w:rsid w:val="00833E50"/>
    <w:rsid w:val="00833E9A"/>
    <w:rsid w:val="00833EDD"/>
    <w:rsid w:val="00833F1C"/>
    <w:rsid w:val="00833FB2"/>
    <w:rsid w:val="00833FBB"/>
    <w:rsid w:val="00834110"/>
    <w:rsid w:val="0083415E"/>
    <w:rsid w:val="008341EF"/>
    <w:rsid w:val="0083420A"/>
    <w:rsid w:val="008342D6"/>
    <w:rsid w:val="008342FA"/>
    <w:rsid w:val="00834344"/>
    <w:rsid w:val="00834435"/>
    <w:rsid w:val="00834454"/>
    <w:rsid w:val="00834461"/>
    <w:rsid w:val="00834472"/>
    <w:rsid w:val="00834487"/>
    <w:rsid w:val="00834571"/>
    <w:rsid w:val="0083462B"/>
    <w:rsid w:val="0083465B"/>
    <w:rsid w:val="0083466E"/>
    <w:rsid w:val="0083469B"/>
    <w:rsid w:val="008346EC"/>
    <w:rsid w:val="00834730"/>
    <w:rsid w:val="0083473A"/>
    <w:rsid w:val="0083474F"/>
    <w:rsid w:val="00834766"/>
    <w:rsid w:val="00834782"/>
    <w:rsid w:val="008347F1"/>
    <w:rsid w:val="008348D9"/>
    <w:rsid w:val="0083495B"/>
    <w:rsid w:val="00834969"/>
    <w:rsid w:val="0083497D"/>
    <w:rsid w:val="0083499D"/>
    <w:rsid w:val="008349A9"/>
    <w:rsid w:val="00834A4E"/>
    <w:rsid w:val="00834AF5"/>
    <w:rsid w:val="00834BA0"/>
    <w:rsid w:val="00834C3D"/>
    <w:rsid w:val="00834C90"/>
    <w:rsid w:val="00834CA5"/>
    <w:rsid w:val="00834D05"/>
    <w:rsid w:val="00834D5B"/>
    <w:rsid w:val="00834D71"/>
    <w:rsid w:val="00834DF0"/>
    <w:rsid w:val="00834E5C"/>
    <w:rsid w:val="00834EF5"/>
    <w:rsid w:val="00834F1F"/>
    <w:rsid w:val="00834F38"/>
    <w:rsid w:val="00834FBA"/>
    <w:rsid w:val="0083503A"/>
    <w:rsid w:val="008350E0"/>
    <w:rsid w:val="0083517C"/>
    <w:rsid w:val="00835182"/>
    <w:rsid w:val="008351B6"/>
    <w:rsid w:val="008352A4"/>
    <w:rsid w:val="008352D7"/>
    <w:rsid w:val="00835311"/>
    <w:rsid w:val="008354C4"/>
    <w:rsid w:val="00835534"/>
    <w:rsid w:val="0083556A"/>
    <w:rsid w:val="0083559F"/>
    <w:rsid w:val="0083563A"/>
    <w:rsid w:val="00835683"/>
    <w:rsid w:val="0083573A"/>
    <w:rsid w:val="00835786"/>
    <w:rsid w:val="008357CD"/>
    <w:rsid w:val="008358B0"/>
    <w:rsid w:val="008358FD"/>
    <w:rsid w:val="00835931"/>
    <w:rsid w:val="0083594E"/>
    <w:rsid w:val="00835950"/>
    <w:rsid w:val="00835962"/>
    <w:rsid w:val="008359F5"/>
    <w:rsid w:val="00835A25"/>
    <w:rsid w:val="00835B20"/>
    <w:rsid w:val="00835B65"/>
    <w:rsid w:val="00835B95"/>
    <w:rsid w:val="00835CA9"/>
    <w:rsid w:val="00835CFF"/>
    <w:rsid w:val="00835D3B"/>
    <w:rsid w:val="00835E95"/>
    <w:rsid w:val="00835EA6"/>
    <w:rsid w:val="00835EF6"/>
    <w:rsid w:val="00835F6D"/>
    <w:rsid w:val="00835FC8"/>
    <w:rsid w:val="00836118"/>
    <w:rsid w:val="00836431"/>
    <w:rsid w:val="008364F6"/>
    <w:rsid w:val="0083663F"/>
    <w:rsid w:val="0083665D"/>
    <w:rsid w:val="008366EB"/>
    <w:rsid w:val="00836785"/>
    <w:rsid w:val="008367B8"/>
    <w:rsid w:val="008367F4"/>
    <w:rsid w:val="00836873"/>
    <w:rsid w:val="0083694A"/>
    <w:rsid w:val="00836989"/>
    <w:rsid w:val="008369F8"/>
    <w:rsid w:val="00836BD2"/>
    <w:rsid w:val="00836C46"/>
    <w:rsid w:val="00836C8F"/>
    <w:rsid w:val="00836E0F"/>
    <w:rsid w:val="00836E20"/>
    <w:rsid w:val="00836E22"/>
    <w:rsid w:val="00836E60"/>
    <w:rsid w:val="00836EBC"/>
    <w:rsid w:val="00836F1F"/>
    <w:rsid w:val="00836FBC"/>
    <w:rsid w:val="00836FF4"/>
    <w:rsid w:val="00837163"/>
    <w:rsid w:val="008371EF"/>
    <w:rsid w:val="00837293"/>
    <w:rsid w:val="00837507"/>
    <w:rsid w:val="00837570"/>
    <w:rsid w:val="00837596"/>
    <w:rsid w:val="00837610"/>
    <w:rsid w:val="00837652"/>
    <w:rsid w:val="00837661"/>
    <w:rsid w:val="0083792C"/>
    <w:rsid w:val="0083799B"/>
    <w:rsid w:val="008379EA"/>
    <w:rsid w:val="00837A24"/>
    <w:rsid w:val="00837AB8"/>
    <w:rsid w:val="00837BD4"/>
    <w:rsid w:val="00837C14"/>
    <w:rsid w:val="00837C35"/>
    <w:rsid w:val="00837D61"/>
    <w:rsid w:val="00837DD2"/>
    <w:rsid w:val="00837DF8"/>
    <w:rsid w:val="00837E38"/>
    <w:rsid w:val="00837E48"/>
    <w:rsid w:val="00837EBA"/>
    <w:rsid w:val="0084001E"/>
    <w:rsid w:val="00840071"/>
    <w:rsid w:val="008400A6"/>
    <w:rsid w:val="008400F2"/>
    <w:rsid w:val="008400FE"/>
    <w:rsid w:val="00840168"/>
    <w:rsid w:val="008401C3"/>
    <w:rsid w:val="008401EE"/>
    <w:rsid w:val="00840222"/>
    <w:rsid w:val="00840237"/>
    <w:rsid w:val="0084029B"/>
    <w:rsid w:val="008402CD"/>
    <w:rsid w:val="00840431"/>
    <w:rsid w:val="0084048C"/>
    <w:rsid w:val="0084053F"/>
    <w:rsid w:val="008405F9"/>
    <w:rsid w:val="00840678"/>
    <w:rsid w:val="00840685"/>
    <w:rsid w:val="00840708"/>
    <w:rsid w:val="00840711"/>
    <w:rsid w:val="00840739"/>
    <w:rsid w:val="00840757"/>
    <w:rsid w:val="0084077F"/>
    <w:rsid w:val="008407FB"/>
    <w:rsid w:val="0084090A"/>
    <w:rsid w:val="00840928"/>
    <w:rsid w:val="00840A05"/>
    <w:rsid w:val="00840A52"/>
    <w:rsid w:val="00840B80"/>
    <w:rsid w:val="00840BE6"/>
    <w:rsid w:val="00840BEC"/>
    <w:rsid w:val="00840C08"/>
    <w:rsid w:val="00840C7D"/>
    <w:rsid w:val="00840D1F"/>
    <w:rsid w:val="00840EA3"/>
    <w:rsid w:val="00840F01"/>
    <w:rsid w:val="00840F51"/>
    <w:rsid w:val="00840F83"/>
    <w:rsid w:val="008410DC"/>
    <w:rsid w:val="008410FE"/>
    <w:rsid w:val="00841110"/>
    <w:rsid w:val="008411D9"/>
    <w:rsid w:val="008411E6"/>
    <w:rsid w:val="008411FC"/>
    <w:rsid w:val="008412DA"/>
    <w:rsid w:val="008412DE"/>
    <w:rsid w:val="00841329"/>
    <w:rsid w:val="00841350"/>
    <w:rsid w:val="008413E3"/>
    <w:rsid w:val="008413E9"/>
    <w:rsid w:val="008413F5"/>
    <w:rsid w:val="00841466"/>
    <w:rsid w:val="0084148E"/>
    <w:rsid w:val="008414DE"/>
    <w:rsid w:val="008415A9"/>
    <w:rsid w:val="008415F6"/>
    <w:rsid w:val="00841690"/>
    <w:rsid w:val="008416AD"/>
    <w:rsid w:val="008416D4"/>
    <w:rsid w:val="0084183E"/>
    <w:rsid w:val="008418A5"/>
    <w:rsid w:val="008418BA"/>
    <w:rsid w:val="008418C3"/>
    <w:rsid w:val="00841907"/>
    <w:rsid w:val="00841931"/>
    <w:rsid w:val="0084195A"/>
    <w:rsid w:val="008419F0"/>
    <w:rsid w:val="008419FA"/>
    <w:rsid w:val="00841B0D"/>
    <w:rsid w:val="00841B62"/>
    <w:rsid w:val="00841B71"/>
    <w:rsid w:val="00841BF8"/>
    <w:rsid w:val="00841C44"/>
    <w:rsid w:val="00841CAB"/>
    <w:rsid w:val="00841DAA"/>
    <w:rsid w:val="00841E33"/>
    <w:rsid w:val="00841E66"/>
    <w:rsid w:val="00841ED3"/>
    <w:rsid w:val="00841F7E"/>
    <w:rsid w:val="00841FBB"/>
    <w:rsid w:val="00841FDD"/>
    <w:rsid w:val="008420D9"/>
    <w:rsid w:val="008420E0"/>
    <w:rsid w:val="00842174"/>
    <w:rsid w:val="008421D3"/>
    <w:rsid w:val="008421E6"/>
    <w:rsid w:val="00842215"/>
    <w:rsid w:val="00842371"/>
    <w:rsid w:val="008423E4"/>
    <w:rsid w:val="0084242A"/>
    <w:rsid w:val="0084245B"/>
    <w:rsid w:val="0084254E"/>
    <w:rsid w:val="00842571"/>
    <w:rsid w:val="008425AE"/>
    <w:rsid w:val="008425B1"/>
    <w:rsid w:val="008426A4"/>
    <w:rsid w:val="008426AA"/>
    <w:rsid w:val="008426B2"/>
    <w:rsid w:val="008426C5"/>
    <w:rsid w:val="00842725"/>
    <w:rsid w:val="00842827"/>
    <w:rsid w:val="0084287F"/>
    <w:rsid w:val="008428AA"/>
    <w:rsid w:val="008429B0"/>
    <w:rsid w:val="008429E0"/>
    <w:rsid w:val="00842A17"/>
    <w:rsid w:val="00842A31"/>
    <w:rsid w:val="00842ABB"/>
    <w:rsid w:val="00842AD9"/>
    <w:rsid w:val="00842BC1"/>
    <w:rsid w:val="00842D26"/>
    <w:rsid w:val="00842D49"/>
    <w:rsid w:val="00842D5C"/>
    <w:rsid w:val="00842E07"/>
    <w:rsid w:val="00842E24"/>
    <w:rsid w:val="00842EE7"/>
    <w:rsid w:val="008431CB"/>
    <w:rsid w:val="0084327B"/>
    <w:rsid w:val="00843464"/>
    <w:rsid w:val="0084350A"/>
    <w:rsid w:val="0084358C"/>
    <w:rsid w:val="008435D2"/>
    <w:rsid w:val="0084364D"/>
    <w:rsid w:val="008436D5"/>
    <w:rsid w:val="008437E7"/>
    <w:rsid w:val="0084381C"/>
    <w:rsid w:val="0084389A"/>
    <w:rsid w:val="0084395F"/>
    <w:rsid w:val="00843B3F"/>
    <w:rsid w:val="00843B49"/>
    <w:rsid w:val="00843B79"/>
    <w:rsid w:val="00843D3F"/>
    <w:rsid w:val="00843D83"/>
    <w:rsid w:val="00843DBC"/>
    <w:rsid w:val="00843F7B"/>
    <w:rsid w:val="00843F92"/>
    <w:rsid w:val="00843FC6"/>
    <w:rsid w:val="0084401C"/>
    <w:rsid w:val="00844115"/>
    <w:rsid w:val="00844145"/>
    <w:rsid w:val="00844162"/>
    <w:rsid w:val="008441A3"/>
    <w:rsid w:val="008441C9"/>
    <w:rsid w:val="008441CA"/>
    <w:rsid w:val="008441FD"/>
    <w:rsid w:val="00844358"/>
    <w:rsid w:val="0084435D"/>
    <w:rsid w:val="00844361"/>
    <w:rsid w:val="008443D0"/>
    <w:rsid w:val="00844408"/>
    <w:rsid w:val="00844422"/>
    <w:rsid w:val="008446EE"/>
    <w:rsid w:val="00844735"/>
    <w:rsid w:val="0084475A"/>
    <w:rsid w:val="00844931"/>
    <w:rsid w:val="00844A9D"/>
    <w:rsid w:val="00844AA9"/>
    <w:rsid w:val="00844B84"/>
    <w:rsid w:val="00844B97"/>
    <w:rsid w:val="00844C12"/>
    <w:rsid w:val="00844C60"/>
    <w:rsid w:val="00844C7C"/>
    <w:rsid w:val="00844C94"/>
    <w:rsid w:val="00844D15"/>
    <w:rsid w:val="00844D47"/>
    <w:rsid w:val="00844D76"/>
    <w:rsid w:val="00844DBD"/>
    <w:rsid w:val="00844F2F"/>
    <w:rsid w:val="00844F35"/>
    <w:rsid w:val="00844F6E"/>
    <w:rsid w:val="0084501F"/>
    <w:rsid w:val="00845056"/>
    <w:rsid w:val="008450E8"/>
    <w:rsid w:val="0084513E"/>
    <w:rsid w:val="0084516A"/>
    <w:rsid w:val="00845191"/>
    <w:rsid w:val="008451AE"/>
    <w:rsid w:val="00845237"/>
    <w:rsid w:val="00845297"/>
    <w:rsid w:val="008452BC"/>
    <w:rsid w:val="008452F0"/>
    <w:rsid w:val="0084530F"/>
    <w:rsid w:val="008454B4"/>
    <w:rsid w:val="00845520"/>
    <w:rsid w:val="0084552F"/>
    <w:rsid w:val="008456A4"/>
    <w:rsid w:val="008456D1"/>
    <w:rsid w:val="0084581A"/>
    <w:rsid w:val="00845923"/>
    <w:rsid w:val="00845A88"/>
    <w:rsid w:val="00845AF9"/>
    <w:rsid w:val="00845B3D"/>
    <w:rsid w:val="00845B76"/>
    <w:rsid w:val="00845B90"/>
    <w:rsid w:val="00845C6B"/>
    <w:rsid w:val="00845CAB"/>
    <w:rsid w:val="00845CAE"/>
    <w:rsid w:val="00845D60"/>
    <w:rsid w:val="00845DDB"/>
    <w:rsid w:val="00845DE4"/>
    <w:rsid w:val="00845E70"/>
    <w:rsid w:val="00845EE1"/>
    <w:rsid w:val="00845F1D"/>
    <w:rsid w:val="00845F95"/>
    <w:rsid w:val="00845FEB"/>
    <w:rsid w:val="00846164"/>
    <w:rsid w:val="0084624C"/>
    <w:rsid w:val="00846290"/>
    <w:rsid w:val="008462EE"/>
    <w:rsid w:val="00846308"/>
    <w:rsid w:val="0084633A"/>
    <w:rsid w:val="00846342"/>
    <w:rsid w:val="00846423"/>
    <w:rsid w:val="00846443"/>
    <w:rsid w:val="00846614"/>
    <w:rsid w:val="00846676"/>
    <w:rsid w:val="00846677"/>
    <w:rsid w:val="008466DD"/>
    <w:rsid w:val="008466EE"/>
    <w:rsid w:val="0084677A"/>
    <w:rsid w:val="00846786"/>
    <w:rsid w:val="00846795"/>
    <w:rsid w:val="0084681C"/>
    <w:rsid w:val="0084681D"/>
    <w:rsid w:val="0084686F"/>
    <w:rsid w:val="008468A9"/>
    <w:rsid w:val="008468C9"/>
    <w:rsid w:val="00846905"/>
    <w:rsid w:val="00846925"/>
    <w:rsid w:val="00846942"/>
    <w:rsid w:val="00846947"/>
    <w:rsid w:val="0084698E"/>
    <w:rsid w:val="00846992"/>
    <w:rsid w:val="00846A27"/>
    <w:rsid w:val="00846A35"/>
    <w:rsid w:val="00846A6A"/>
    <w:rsid w:val="00846A79"/>
    <w:rsid w:val="00846B3B"/>
    <w:rsid w:val="00846BF4"/>
    <w:rsid w:val="00846C36"/>
    <w:rsid w:val="00846C3B"/>
    <w:rsid w:val="00846C66"/>
    <w:rsid w:val="00846CC8"/>
    <w:rsid w:val="00846D84"/>
    <w:rsid w:val="00846D94"/>
    <w:rsid w:val="00846DAC"/>
    <w:rsid w:val="00846DD6"/>
    <w:rsid w:val="00846E07"/>
    <w:rsid w:val="00846E29"/>
    <w:rsid w:val="00846E36"/>
    <w:rsid w:val="00846E46"/>
    <w:rsid w:val="00846E4E"/>
    <w:rsid w:val="00846E72"/>
    <w:rsid w:val="00846E7C"/>
    <w:rsid w:val="00846E96"/>
    <w:rsid w:val="00846ED9"/>
    <w:rsid w:val="00846F4F"/>
    <w:rsid w:val="00847039"/>
    <w:rsid w:val="00847144"/>
    <w:rsid w:val="008471B0"/>
    <w:rsid w:val="00847331"/>
    <w:rsid w:val="008474F8"/>
    <w:rsid w:val="0084754E"/>
    <w:rsid w:val="008475CF"/>
    <w:rsid w:val="00847650"/>
    <w:rsid w:val="0084767A"/>
    <w:rsid w:val="00847689"/>
    <w:rsid w:val="00847711"/>
    <w:rsid w:val="0084771A"/>
    <w:rsid w:val="00847832"/>
    <w:rsid w:val="00847889"/>
    <w:rsid w:val="0084797D"/>
    <w:rsid w:val="008479AA"/>
    <w:rsid w:val="00847A3C"/>
    <w:rsid w:val="00847A75"/>
    <w:rsid w:val="00847A85"/>
    <w:rsid w:val="00847BB7"/>
    <w:rsid w:val="00847BE3"/>
    <w:rsid w:val="00847C24"/>
    <w:rsid w:val="00847C60"/>
    <w:rsid w:val="00847CCF"/>
    <w:rsid w:val="00847D6C"/>
    <w:rsid w:val="00847DCB"/>
    <w:rsid w:val="00847DF4"/>
    <w:rsid w:val="00847E71"/>
    <w:rsid w:val="00847F43"/>
    <w:rsid w:val="00847FB0"/>
    <w:rsid w:val="008500F2"/>
    <w:rsid w:val="00850137"/>
    <w:rsid w:val="008501AC"/>
    <w:rsid w:val="008501EE"/>
    <w:rsid w:val="00850246"/>
    <w:rsid w:val="00850277"/>
    <w:rsid w:val="0085034D"/>
    <w:rsid w:val="008503A7"/>
    <w:rsid w:val="0085045C"/>
    <w:rsid w:val="0085045F"/>
    <w:rsid w:val="00850480"/>
    <w:rsid w:val="008504CE"/>
    <w:rsid w:val="008504F1"/>
    <w:rsid w:val="00850883"/>
    <w:rsid w:val="008508D5"/>
    <w:rsid w:val="008508FA"/>
    <w:rsid w:val="00850937"/>
    <w:rsid w:val="00850967"/>
    <w:rsid w:val="008509B7"/>
    <w:rsid w:val="00850A0E"/>
    <w:rsid w:val="00850A80"/>
    <w:rsid w:val="00850AD2"/>
    <w:rsid w:val="00850AD3"/>
    <w:rsid w:val="00850AF7"/>
    <w:rsid w:val="00850CB4"/>
    <w:rsid w:val="00850D05"/>
    <w:rsid w:val="00850D34"/>
    <w:rsid w:val="00850E61"/>
    <w:rsid w:val="00850F61"/>
    <w:rsid w:val="008510ED"/>
    <w:rsid w:val="00851103"/>
    <w:rsid w:val="00851144"/>
    <w:rsid w:val="0085117E"/>
    <w:rsid w:val="00851234"/>
    <w:rsid w:val="0085127F"/>
    <w:rsid w:val="008512CB"/>
    <w:rsid w:val="00851367"/>
    <w:rsid w:val="0085141F"/>
    <w:rsid w:val="0085142A"/>
    <w:rsid w:val="0085144A"/>
    <w:rsid w:val="00851451"/>
    <w:rsid w:val="008514A5"/>
    <w:rsid w:val="0085153C"/>
    <w:rsid w:val="00851576"/>
    <w:rsid w:val="00851579"/>
    <w:rsid w:val="0085157B"/>
    <w:rsid w:val="008515D6"/>
    <w:rsid w:val="00851666"/>
    <w:rsid w:val="0085166B"/>
    <w:rsid w:val="0085174A"/>
    <w:rsid w:val="00851834"/>
    <w:rsid w:val="0085194C"/>
    <w:rsid w:val="0085195B"/>
    <w:rsid w:val="0085197C"/>
    <w:rsid w:val="008519D8"/>
    <w:rsid w:val="00851A94"/>
    <w:rsid w:val="00851AA5"/>
    <w:rsid w:val="00851B89"/>
    <w:rsid w:val="00851B99"/>
    <w:rsid w:val="00851C46"/>
    <w:rsid w:val="00851CB5"/>
    <w:rsid w:val="00851CB7"/>
    <w:rsid w:val="00851D3B"/>
    <w:rsid w:val="00851E65"/>
    <w:rsid w:val="00851F00"/>
    <w:rsid w:val="0085202F"/>
    <w:rsid w:val="00852119"/>
    <w:rsid w:val="008521EF"/>
    <w:rsid w:val="00852259"/>
    <w:rsid w:val="008522DE"/>
    <w:rsid w:val="008522EE"/>
    <w:rsid w:val="00852327"/>
    <w:rsid w:val="008523FB"/>
    <w:rsid w:val="0085243F"/>
    <w:rsid w:val="0085247F"/>
    <w:rsid w:val="0085249D"/>
    <w:rsid w:val="008524A9"/>
    <w:rsid w:val="008525A8"/>
    <w:rsid w:val="008526D4"/>
    <w:rsid w:val="00852734"/>
    <w:rsid w:val="0085276D"/>
    <w:rsid w:val="00852845"/>
    <w:rsid w:val="00852A49"/>
    <w:rsid w:val="00852A94"/>
    <w:rsid w:val="00852AB4"/>
    <w:rsid w:val="00852BC8"/>
    <w:rsid w:val="00852C3D"/>
    <w:rsid w:val="00852C5C"/>
    <w:rsid w:val="00852E28"/>
    <w:rsid w:val="00852F0C"/>
    <w:rsid w:val="00852F9A"/>
    <w:rsid w:val="008530BD"/>
    <w:rsid w:val="008531BC"/>
    <w:rsid w:val="008531BD"/>
    <w:rsid w:val="008531BE"/>
    <w:rsid w:val="008531ED"/>
    <w:rsid w:val="00853200"/>
    <w:rsid w:val="0085320F"/>
    <w:rsid w:val="008533A7"/>
    <w:rsid w:val="008533B5"/>
    <w:rsid w:val="0085347B"/>
    <w:rsid w:val="00853662"/>
    <w:rsid w:val="00853728"/>
    <w:rsid w:val="00853773"/>
    <w:rsid w:val="00853846"/>
    <w:rsid w:val="00853902"/>
    <w:rsid w:val="008539E9"/>
    <w:rsid w:val="00853A65"/>
    <w:rsid w:val="00853A86"/>
    <w:rsid w:val="00853B1B"/>
    <w:rsid w:val="00853B79"/>
    <w:rsid w:val="00853BBA"/>
    <w:rsid w:val="00853D1F"/>
    <w:rsid w:val="00853D42"/>
    <w:rsid w:val="00853E42"/>
    <w:rsid w:val="00853EE0"/>
    <w:rsid w:val="00853F27"/>
    <w:rsid w:val="00853FD3"/>
    <w:rsid w:val="00854021"/>
    <w:rsid w:val="00854026"/>
    <w:rsid w:val="008540D5"/>
    <w:rsid w:val="0085419F"/>
    <w:rsid w:val="00854213"/>
    <w:rsid w:val="008542F2"/>
    <w:rsid w:val="0085432B"/>
    <w:rsid w:val="00854343"/>
    <w:rsid w:val="0085437A"/>
    <w:rsid w:val="00854391"/>
    <w:rsid w:val="0085441D"/>
    <w:rsid w:val="0085453E"/>
    <w:rsid w:val="0085462E"/>
    <w:rsid w:val="00854775"/>
    <w:rsid w:val="0085478D"/>
    <w:rsid w:val="008547DD"/>
    <w:rsid w:val="008547F3"/>
    <w:rsid w:val="00854800"/>
    <w:rsid w:val="0085480D"/>
    <w:rsid w:val="00854973"/>
    <w:rsid w:val="00854A60"/>
    <w:rsid w:val="00854A79"/>
    <w:rsid w:val="00854AD8"/>
    <w:rsid w:val="00854B8F"/>
    <w:rsid w:val="00854B9D"/>
    <w:rsid w:val="00854C52"/>
    <w:rsid w:val="00854C79"/>
    <w:rsid w:val="00854CA3"/>
    <w:rsid w:val="00854CB5"/>
    <w:rsid w:val="00854D1A"/>
    <w:rsid w:val="00854DC6"/>
    <w:rsid w:val="00854DF6"/>
    <w:rsid w:val="00854E1C"/>
    <w:rsid w:val="00854E9D"/>
    <w:rsid w:val="00855012"/>
    <w:rsid w:val="00855094"/>
    <w:rsid w:val="008550C9"/>
    <w:rsid w:val="0085516A"/>
    <w:rsid w:val="008551FD"/>
    <w:rsid w:val="008552D7"/>
    <w:rsid w:val="008553B0"/>
    <w:rsid w:val="008553D8"/>
    <w:rsid w:val="008553E1"/>
    <w:rsid w:val="008554E6"/>
    <w:rsid w:val="0085559D"/>
    <w:rsid w:val="00855605"/>
    <w:rsid w:val="00855609"/>
    <w:rsid w:val="00855616"/>
    <w:rsid w:val="008556A6"/>
    <w:rsid w:val="008556B8"/>
    <w:rsid w:val="008556FB"/>
    <w:rsid w:val="00855731"/>
    <w:rsid w:val="00855775"/>
    <w:rsid w:val="008557D5"/>
    <w:rsid w:val="00855964"/>
    <w:rsid w:val="00855A14"/>
    <w:rsid w:val="00855A73"/>
    <w:rsid w:val="00855B04"/>
    <w:rsid w:val="00855B05"/>
    <w:rsid w:val="00855BDB"/>
    <w:rsid w:val="00855C8F"/>
    <w:rsid w:val="00855CD5"/>
    <w:rsid w:val="00855D08"/>
    <w:rsid w:val="00855D32"/>
    <w:rsid w:val="00855D42"/>
    <w:rsid w:val="00855D62"/>
    <w:rsid w:val="00855D83"/>
    <w:rsid w:val="00855D9F"/>
    <w:rsid w:val="00855DE6"/>
    <w:rsid w:val="00855E5B"/>
    <w:rsid w:val="00855EA7"/>
    <w:rsid w:val="00855FA9"/>
    <w:rsid w:val="0085604E"/>
    <w:rsid w:val="00856072"/>
    <w:rsid w:val="00856085"/>
    <w:rsid w:val="008561B2"/>
    <w:rsid w:val="0085626B"/>
    <w:rsid w:val="008562D0"/>
    <w:rsid w:val="008563ED"/>
    <w:rsid w:val="0085640B"/>
    <w:rsid w:val="008565B0"/>
    <w:rsid w:val="0085662D"/>
    <w:rsid w:val="0085663F"/>
    <w:rsid w:val="00856697"/>
    <w:rsid w:val="0085674A"/>
    <w:rsid w:val="00856775"/>
    <w:rsid w:val="0085682B"/>
    <w:rsid w:val="0085682F"/>
    <w:rsid w:val="008568AE"/>
    <w:rsid w:val="00856AA7"/>
    <w:rsid w:val="00856B6D"/>
    <w:rsid w:val="00856B7A"/>
    <w:rsid w:val="00856BD2"/>
    <w:rsid w:val="00856DAD"/>
    <w:rsid w:val="00856E1E"/>
    <w:rsid w:val="00856F01"/>
    <w:rsid w:val="00856F6E"/>
    <w:rsid w:val="00856F9C"/>
    <w:rsid w:val="00856FA0"/>
    <w:rsid w:val="00856FA8"/>
    <w:rsid w:val="0085713F"/>
    <w:rsid w:val="008571B5"/>
    <w:rsid w:val="008571C3"/>
    <w:rsid w:val="0085723A"/>
    <w:rsid w:val="00857274"/>
    <w:rsid w:val="00857311"/>
    <w:rsid w:val="008574AB"/>
    <w:rsid w:val="008575B1"/>
    <w:rsid w:val="00857655"/>
    <w:rsid w:val="0085769C"/>
    <w:rsid w:val="00857761"/>
    <w:rsid w:val="008577D7"/>
    <w:rsid w:val="008578D4"/>
    <w:rsid w:val="00857934"/>
    <w:rsid w:val="0085794F"/>
    <w:rsid w:val="0085796A"/>
    <w:rsid w:val="00857991"/>
    <w:rsid w:val="008579F6"/>
    <w:rsid w:val="008579FE"/>
    <w:rsid w:val="00857A1D"/>
    <w:rsid w:val="00857B15"/>
    <w:rsid w:val="00857B27"/>
    <w:rsid w:val="00857D0B"/>
    <w:rsid w:val="00857D88"/>
    <w:rsid w:val="00857E3E"/>
    <w:rsid w:val="00857F0B"/>
    <w:rsid w:val="00857F1D"/>
    <w:rsid w:val="00857FA8"/>
    <w:rsid w:val="0086004F"/>
    <w:rsid w:val="0086006F"/>
    <w:rsid w:val="0086011A"/>
    <w:rsid w:val="00860311"/>
    <w:rsid w:val="008603B5"/>
    <w:rsid w:val="008603F3"/>
    <w:rsid w:val="00860452"/>
    <w:rsid w:val="00860476"/>
    <w:rsid w:val="00860506"/>
    <w:rsid w:val="008605A0"/>
    <w:rsid w:val="008605AC"/>
    <w:rsid w:val="008605BC"/>
    <w:rsid w:val="00860609"/>
    <w:rsid w:val="00860856"/>
    <w:rsid w:val="00860882"/>
    <w:rsid w:val="008608B9"/>
    <w:rsid w:val="00860A9B"/>
    <w:rsid w:val="00860C41"/>
    <w:rsid w:val="00860C68"/>
    <w:rsid w:val="00860CC8"/>
    <w:rsid w:val="00860CCA"/>
    <w:rsid w:val="00860D3F"/>
    <w:rsid w:val="00860E3E"/>
    <w:rsid w:val="00860E74"/>
    <w:rsid w:val="00860EAE"/>
    <w:rsid w:val="00860F39"/>
    <w:rsid w:val="00860F7D"/>
    <w:rsid w:val="00861035"/>
    <w:rsid w:val="00861059"/>
    <w:rsid w:val="008610C1"/>
    <w:rsid w:val="0086111D"/>
    <w:rsid w:val="008611BD"/>
    <w:rsid w:val="0086121F"/>
    <w:rsid w:val="0086127E"/>
    <w:rsid w:val="008613F0"/>
    <w:rsid w:val="00861422"/>
    <w:rsid w:val="00861462"/>
    <w:rsid w:val="008614C5"/>
    <w:rsid w:val="0086163D"/>
    <w:rsid w:val="00861640"/>
    <w:rsid w:val="00861724"/>
    <w:rsid w:val="00861777"/>
    <w:rsid w:val="00861834"/>
    <w:rsid w:val="008618DF"/>
    <w:rsid w:val="00861941"/>
    <w:rsid w:val="00861A08"/>
    <w:rsid w:val="00861A26"/>
    <w:rsid w:val="00861A5D"/>
    <w:rsid w:val="00861A9E"/>
    <w:rsid w:val="00861ADF"/>
    <w:rsid w:val="00861B1F"/>
    <w:rsid w:val="00861B6B"/>
    <w:rsid w:val="00861D15"/>
    <w:rsid w:val="00861D21"/>
    <w:rsid w:val="00861D94"/>
    <w:rsid w:val="00861E24"/>
    <w:rsid w:val="00861E7B"/>
    <w:rsid w:val="00861EE8"/>
    <w:rsid w:val="00861F8B"/>
    <w:rsid w:val="00862001"/>
    <w:rsid w:val="00862042"/>
    <w:rsid w:val="00862119"/>
    <w:rsid w:val="00862159"/>
    <w:rsid w:val="008621A8"/>
    <w:rsid w:val="00862221"/>
    <w:rsid w:val="0086228C"/>
    <w:rsid w:val="00862293"/>
    <w:rsid w:val="008622AD"/>
    <w:rsid w:val="008622B8"/>
    <w:rsid w:val="008623CB"/>
    <w:rsid w:val="00862406"/>
    <w:rsid w:val="00862449"/>
    <w:rsid w:val="00862482"/>
    <w:rsid w:val="008624EE"/>
    <w:rsid w:val="008624FD"/>
    <w:rsid w:val="00862558"/>
    <w:rsid w:val="008625A4"/>
    <w:rsid w:val="0086262E"/>
    <w:rsid w:val="00862666"/>
    <w:rsid w:val="008627BC"/>
    <w:rsid w:val="00862942"/>
    <w:rsid w:val="008629D7"/>
    <w:rsid w:val="00862A45"/>
    <w:rsid w:val="00862ABB"/>
    <w:rsid w:val="00862B36"/>
    <w:rsid w:val="00862BAA"/>
    <w:rsid w:val="00862C17"/>
    <w:rsid w:val="00862C1C"/>
    <w:rsid w:val="00862C9D"/>
    <w:rsid w:val="00862D20"/>
    <w:rsid w:val="00862D23"/>
    <w:rsid w:val="00862D2B"/>
    <w:rsid w:val="00862D7D"/>
    <w:rsid w:val="00862D88"/>
    <w:rsid w:val="00862E7C"/>
    <w:rsid w:val="00862EFA"/>
    <w:rsid w:val="0086301B"/>
    <w:rsid w:val="0086303C"/>
    <w:rsid w:val="0086307E"/>
    <w:rsid w:val="008630A2"/>
    <w:rsid w:val="008630F2"/>
    <w:rsid w:val="0086317F"/>
    <w:rsid w:val="0086319A"/>
    <w:rsid w:val="008631B7"/>
    <w:rsid w:val="008631CB"/>
    <w:rsid w:val="008631EA"/>
    <w:rsid w:val="00863296"/>
    <w:rsid w:val="0086329A"/>
    <w:rsid w:val="008632CA"/>
    <w:rsid w:val="00863314"/>
    <w:rsid w:val="0086340F"/>
    <w:rsid w:val="008634C1"/>
    <w:rsid w:val="008634DA"/>
    <w:rsid w:val="00863512"/>
    <w:rsid w:val="00863555"/>
    <w:rsid w:val="00863572"/>
    <w:rsid w:val="008635A9"/>
    <w:rsid w:val="00863644"/>
    <w:rsid w:val="00863670"/>
    <w:rsid w:val="008636B3"/>
    <w:rsid w:val="0086381D"/>
    <w:rsid w:val="008638C0"/>
    <w:rsid w:val="00863AD4"/>
    <w:rsid w:val="00863CBA"/>
    <w:rsid w:val="00863CD3"/>
    <w:rsid w:val="00863D1B"/>
    <w:rsid w:val="00863E38"/>
    <w:rsid w:val="00863F8C"/>
    <w:rsid w:val="00863FA2"/>
    <w:rsid w:val="00863FFE"/>
    <w:rsid w:val="008640EA"/>
    <w:rsid w:val="0086411E"/>
    <w:rsid w:val="00864155"/>
    <w:rsid w:val="00864220"/>
    <w:rsid w:val="0086429B"/>
    <w:rsid w:val="00864324"/>
    <w:rsid w:val="00864331"/>
    <w:rsid w:val="0086451F"/>
    <w:rsid w:val="00864652"/>
    <w:rsid w:val="00864723"/>
    <w:rsid w:val="00864789"/>
    <w:rsid w:val="008647F0"/>
    <w:rsid w:val="00864892"/>
    <w:rsid w:val="008648C9"/>
    <w:rsid w:val="008649E7"/>
    <w:rsid w:val="00864A56"/>
    <w:rsid w:val="00864BFB"/>
    <w:rsid w:val="00864C17"/>
    <w:rsid w:val="00864C7A"/>
    <w:rsid w:val="00864C7C"/>
    <w:rsid w:val="00864C9E"/>
    <w:rsid w:val="00864D18"/>
    <w:rsid w:val="00864D3D"/>
    <w:rsid w:val="00864DC6"/>
    <w:rsid w:val="00864E47"/>
    <w:rsid w:val="00864E93"/>
    <w:rsid w:val="00864F9F"/>
    <w:rsid w:val="0086519E"/>
    <w:rsid w:val="008651AD"/>
    <w:rsid w:val="00865226"/>
    <w:rsid w:val="00865240"/>
    <w:rsid w:val="008653B7"/>
    <w:rsid w:val="0086543A"/>
    <w:rsid w:val="00865446"/>
    <w:rsid w:val="008654C8"/>
    <w:rsid w:val="008654CC"/>
    <w:rsid w:val="0086555A"/>
    <w:rsid w:val="008655DC"/>
    <w:rsid w:val="00865665"/>
    <w:rsid w:val="008657BA"/>
    <w:rsid w:val="008657C3"/>
    <w:rsid w:val="008658E1"/>
    <w:rsid w:val="008658F5"/>
    <w:rsid w:val="0086591D"/>
    <w:rsid w:val="008659C1"/>
    <w:rsid w:val="008659ED"/>
    <w:rsid w:val="00865A33"/>
    <w:rsid w:val="00865A6D"/>
    <w:rsid w:val="00865AC9"/>
    <w:rsid w:val="00865AEE"/>
    <w:rsid w:val="00865B48"/>
    <w:rsid w:val="00865B66"/>
    <w:rsid w:val="00865B7C"/>
    <w:rsid w:val="00865CE3"/>
    <w:rsid w:val="00865DDE"/>
    <w:rsid w:val="00865E01"/>
    <w:rsid w:val="00865E32"/>
    <w:rsid w:val="00865EAF"/>
    <w:rsid w:val="00865EB4"/>
    <w:rsid w:val="00865F10"/>
    <w:rsid w:val="00865F94"/>
    <w:rsid w:val="00866030"/>
    <w:rsid w:val="0086606E"/>
    <w:rsid w:val="0086617C"/>
    <w:rsid w:val="00866182"/>
    <w:rsid w:val="00866336"/>
    <w:rsid w:val="008663ED"/>
    <w:rsid w:val="0086644E"/>
    <w:rsid w:val="008664FD"/>
    <w:rsid w:val="00866506"/>
    <w:rsid w:val="0086655E"/>
    <w:rsid w:val="00866589"/>
    <w:rsid w:val="0086660F"/>
    <w:rsid w:val="008666D2"/>
    <w:rsid w:val="00866770"/>
    <w:rsid w:val="008667CF"/>
    <w:rsid w:val="008667F0"/>
    <w:rsid w:val="00866808"/>
    <w:rsid w:val="008668FC"/>
    <w:rsid w:val="00866A4B"/>
    <w:rsid w:val="00866AB8"/>
    <w:rsid w:val="00866B06"/>
    <w:rsid w:val="00866B62"/>
    <w:rsid w:val="00866C3E"/>
    <w:rsid w:val="00866C88"/>
    <w:rsid w:val="00866CE1"/>
    <w:rsid w:val="00866D92"/>
    <w:rsid w:val="00866DFB"/>
    <w:rsid w:val="00866F73"/>
    <w:rsid w:val="00866FC2"/>
    <w:rsid w:val="0086701A"/>
    <w:rsid w:val="0086704E"/>
    <w:rsid w:val="0086704F"/>
    <w:rsid w:val="0086705F"/>
    <w:rsid w:val="00867123"/>
    <w:rsid w:val="0086731E"/>
    <w:rsid w:val="00867385"/>
    <w:rsid w:val="008674A0"/>
    <w:rsid w:val="008674FE"/>
    <w:rsid w:val="0086750E"/>
    <w:rsid w:val="00867539"/>
    <w:rsid w:val="00867607"/>
    <w:rsid w:val="008676AD"/>
    <w:rsid w:val="008676C3"/>
    <w:rsid w:val="00867701"/>
    <w:rsid w:val="0086773E"/>
    <w:rsid w:val="008677AE"/>
    <w:rsid w:val="00867825"/>
    <w:rsid w:val="0086788C"/>
    <w:rsid w:val="00867895"/>
    <w:rsid w:val="008678CE"/>
    <w:rsid w:val="0086790E"/>
    <w:rsid w:val="008679FC"/>
    <w:rsid w:val="00867ACB"/>
    <w:rsid w:val="00867B2A"/>
    <w:rsid w:val="00867B2F"/>
    <w:rsid w:val="00867CD3"/>
    <w:rsid w:val="00867CF1"/>
    <w:rsid w:val="00867D30"/>
    <w:rsid w:val="00867E26"/>
    <w:rsid w:val="00867E2F"/>
    <w:rsid w:val="00867EB6"/>
    <w:rsid w:val="00867EDC"/>
    <w:rsid w:val="00867F22"/>
    <w:rsid w:val="00870121"/>
    <w:rsid w:val="00870156"/>
    <w:rsid w:val="0087017A"/>
    <w:rsid w:val="0087027D"/>
    <w:rsid w:val="008703EF"/>
    <w:rsid w:val="008706A3"/>
    <w:rsid w:val="00870781"/>
    <w:rsid w:val="008707C4"/>
    <w:rsid w:val="008707DA"/>
    <w:rsid w:val="008707DF"/>
    <w:rsid w:val="00870800"/>
    <w:rsid w:val="0087082C"/>
    <w:rsid w:val="00870886"/>
    <w:rsid w:val="0087092D"/>
    <w:rsid w:val="00870949"/>
    <w:rsid w:val="00870AD2"/>
    <w:rsid w:val="00870AD9"/>
    <w:rsid w:val="00870C04"/>
    <w:rsid w:val="00870C8E"/>
    <w:rsid w:val="00870D23"/>
    <w:rsid w:val="00870D92"/>
    <w:rsid w:val="00870DC0"/>
    <w:rsid w:val="00870DDA"/>
    <w:rsid w:val="00870DE9"/>
    <w:rsid w:val="00870DED"/>
    <w:rsid w:val="00870EAE"/>
    <w:rsid w:val="00870FF2"/>
    <w:rsid w:val="00871232"/>
    <w:rsid w:val="0087131B"/>
    <w:rsid w:val="008713E4"/>
    <w:rsid w:val="0087141E"/>
    <w:rsid w:val="0087149B"/>
    <w:rsid w:val="008714F1"/>
    <w:rsid w:val="00871541"/>
    <w:rsid w:val="00871545"/>
    <w:rsid w:val="0087155A"/>
    <w:rsid w:val="008715D0"/>
    <w:rsid w:val="00871641"/>
    <w:rsid w:val="00871741"/>
    <w:rsid w:val="0087174E"/>
    <w:rsid w:val="00871793"/>
    <w:rsid w:val="008717DC"/>
    <w:rsid w:val="00871817"/>
    <w:rsid w:val="0087186C"/>
    <w:rsid w:val="0087187C"/>
    <w:rsid w:val="0087191E"/>
    <w:rsid w:val="00871940"/>
    <w:rsid w:val="008719AB"/>
    <w:rsid w:val="00871AD1"/>
    <w:rsid w:val="00871B45"/>
    <w:rsid w:val="00871B72"/>
    <w:rsid w:val="00871BF8"/>
    <w:rsid w:val="00871C73"/>
    <w:rsid w:val="00871E7F"/>
    <w:rsid w:val="00871E84"/>
    <w:rsid w:val="00871EBE"/>
    <w:rsid w:val="00871F26"/>
    <w:rsid w:val="0087201C"/>
    <w:rsid w:val="008720AB"/>
    <w:rsid w:val="008720EB"/>
    <w:rsid w:val="008721C4"/>
    <w:rsid w:val="008721D5"/>
    <w:rsid w:val="0087221F"/>
    <w:rsid w:val="008722FB"/>
    <w:rsid w:val="00872488"/>
    <w:rsid w:val="008724D9"/>
    <w:rsid w:val="008725EA"/>
    <w:rsid w:val="008725F9"/>
    <w:rsid w:val="00872608"/>
    <w:rsid w:val="0087266D"/>
    <w:rsid w:val="00872684"/>
    <w:rsid w:val="00872705"/>
    <w:rsid w:val="00872740"/>
    <w:rsid w:val="008727B0"/>
    <w:rsid w:val="008727CB"/>
    <w:rsid w:val="0087285F"/>
    <w:rsid w:val="008728C3"/>
    <w:rsid w:val="0087296B"/>
    <w:rsid w:val="00872A77"/>
    <w:rsid w:val="00872B76"/>
    <w:rsid w:val="00872C64"/>
    <w:rsid w:val="00872C9A"/>
    <w:rsid w:val="00872CC4"/>
    <w:rsid w:val="00872D92"/>
    <w:rsid w:val="00872F1B"/>
    <w:rsid w:val="00872F2C"/>
    <w:rsid w:val="00872FD3"/>
    <w:rsid w:val="00872FDC"/>
    <w:rsid w:val="008730F9"/>
    <w:rsid w:val="008732D4"/>
    <w:rsid w:val="008732E1"/>
    <w:rsid w:val="0087336D"/>
    <w:rsid w:val="00873390"/>
    <w:rsid w:val="00873431"/>
    <w:rsid w:val="0087343C"/>
    <w:rsid w:val="0087347D"/>
    <w:rsid w:val="0087349D"/>
    <w:rsid w:val="008736EA"/>
    <w:rsid w:val="0087387A"/>
    <w:rsid w:val="00873880"/>
    <w:rsid w:val="008738E9"/>
    <w:rsid w:val="0087395A"/>
    <w:rsid w:val="008739D0"/>
    <w:rsid w:val="00873A5C"/>
    <w:rsid w:val="00873AF8"/>
    <w:rsid w:val="00873B0F"/>
    <w:rsid w:val="00873B7A"/>
    <w:rsid w:val="00873D48"/>
    <w:rsid w:val="00873DE0"/>
    <w:rsid w:val="00873E19"/>
    <w:rsid w:val="00873E3B"/>
    <w:rsid w:val="00873E5B"/>
    <w:rsid w:val="00873E94"/>
    <w:rsid w:val="00873F17"/>
    <w:rsid w:val="00873F94"/>
    <w:rsid w:val="00874075"/>
    <w:rsid w:val="0087411B"/>
    <w:rsid w:val="008741CD"/>
    <w:rsid w:val="008741DE"/>
    <w:rsid w:val="008741F8"/>
    <w:rsid w:val="00874258"/>
    <w:rsid w:val="008742A1"/>
    <w:rsid w:val="008742E9"/>
    <w:rsid w:val="008742EF"/>
    <w:rsid w:val="0087433C"/>
    <w:rsid w:val="0087436A"/>
    <w:rsid w:val="00874396"/>
    <w:rsid w:val="008743AA"/>
    <w:rsid w:val="0087447A"/>
    <w:rsid w:val="008744EB"/>
    <w:rsid w:val="00874565"/>
    <w:rsid w:val="008745CA"/>
    <w:rsid w:val="008745F0"/>
    <w:rsid w:val="00874651"/>
    <w:rsid w:val="0087474A"/>
    <w:rsid w:val="008747A9"/>
    <w:rsid w:val="008747CF"/>
    <w:rsid w:val="008749BA"/>
    <w:rsid w:val="00874A5B"/>
    <w:rsid w:val="00874B43"/>
    <w:rsid w:val="00874B71"/>
    <w:rsid w:val="00874DA8"/>
    <w:rsid w:val="00874DA9"/>
    <w:rsid w:val="00874FCF"/>
    <w:rsid w:val="00875039"/>
    <w:rsid w:val="00875082"/>
    <w:rsid w:val="0087508C"/>
    <w:rsid w:val="0087525B"/>
    <w:rsid w:val="008752E0"/>
    <w:rsid w:val="00875329"/>
    <w:rsid w:val="00875367"/>
    <w:rsid w:val="008753B3"/>
    <w:rsid w:val="00875738"/>
    <w:rsid w:val="00875753"/>
    <w:rsid w:val="008757EF"/>
    <w:rsid w:val="00875874"/>
    <w:rsid w:val="00875876"/>
    <w:rsid w:val="0087593C"/>
    <w:rsid w:val="00875A08"/>
    <w:rsid w:val="00875A8D"/>
    <w:rsid w:val="00875AE0"/>
    <w:rsid w:val="00875B15"/>
    <w:rsid w:val="00875BCF"/>
    <w:rsid w:val="00875C22"/>
    <w:rsid w:val="00875C5B"/>
    <w:rsid w:val="00875C7E"/>
    <w:rsid w:val="00875CFE"/>
    <w:rsid w:val="00875E56"/>
    <w:rsid w:val="00875EEF"/>
    <w:rsid w:val="00876041"/>
    <w:rsid w:val="0087605B"/>
    <w:rsid w:val="008760A4"/>
    <w:rsid w:val="008761AA"/>
    <w:rsid w:val="008762DE"/>
    <w:rsid w:val="00876317"/>
    <w:rsid w:val="0087633B"/>
    <w:rsid w:val="00876348"/>
    <w:rsid w:val="0087635C"/>
    <w:rsid w:val="008764E7"/>
    <w:rsid w:val="0087650F"/>
    <w:rsid w:val="00876533"/>
    <w:rsid w:val="00876577"/>
    <w:rsid w:val="00876647"/>
    <w:rsid w:val="00876667"/>
    <w:rsid w:val="008766C4"/>
    <w:rsid w:val="0087677D"/>
    <w:rsid w:val="008767B0"/>
    <w:rsid w:val="0087681A"/>
    <w:rsid w:val="008768A2"/>
    <w:rsid w:val="0087692A"/>
    <w:rsid w:val="008769DA"/>
    <w:rsid w:val="00876A43"/>
    <w:rsid w:val="00876A73"/>
    <w:rsid w:val="00876AA7"/>
    <w:rsid w:val="00876AAC"/>
    <w:rsid w:val="00876AE7"/>
    <w:rsid w:val="00876B8C"/>
    <w:rsid w:val="00876BD8"/>
    <w:rsid w:val="00876C18"/>
    <w:rsid w:val="00876C63"/>
    <w:rsid w:val="00876D4C"/>
    <w:rsid w:val="00876D6E"/>
    <w:rsid w:val="00876DD8"/>
    <w:rsid w:val="00876E8D"/>
    <w:rsid w:val="00876F1D"/>
    <w:rsid w:val="00876FEE"/>
    <w:rsid w:val="00876FFA"/>
    <w:rsid w:val="00876FFF"/>
    <w:rsid w:val="00877001"/>
    <w:rsid w:val="00877002"/>
    <w:rsid w:val="0087700F"/>
    <w:rsid w:val="00877072"/>
    <w:rsid w:val="008770FA"/>
    <w:rsid w:val="00877144"/>
    <w:rsid w:val="00877181"/>
    <w:rsid w:val="0087718F"/>
    <w:rsid w:val="0087721F"/>
    <w:rsid w:val="0087737D"/>
    <w:rsid w:val="00877403"/>
    <w:rsid w:val="008774CC"/>
    <w:rsid w:val="00877680"/>
    <w:rsid w:val="00877687"/>
    <w:rsid w:val="008776CF"/>
    <w:rsid w:val="0087775D"/>
    <w:rsid w:val="00877792"/>
    <w:rsid w:val="0087789C"/>
    <w:rsid w:val="008778FD"/>
    <w:rsid w:val="00877919"/>
    <w:rsid w:val="00877AD9"/>
    <w:rsid w:val="00877B97"/>
    <w:rsid w:val="00877BDF"/>
    <w:rsid w:val="00877C0D"/>
    <w:rsid w:val="00877C48"/>
    <w:rsid w:val="00877D3B"/>
    <w:rsid w:val="00877DBA"/>
    <w:rsid w:val="00877E38"/>
    <w:rsid w:val="00877ECF"/>
    <w:rsid w:val="00877F96"/>
    <w:rsid w:val="0088005A"/>
    <w:rsid w:val="008800F0"/>
    <w:rsid w:val="008801DC"/>
    <w:rsid w:val="00880219"/>
    <w:rsid w:val="008802B6"/>
    <w:rsid w:val="008802F7"/>
    <w:rsid w:val="00880316"/>
    <w:rsid w:val="00880332"/>
    <w:rsid w:val="00880418"/>
    <w:rsid w:val="00880419"/>
    <w:rsid w:val="0088042E"/>
    <w:rsid w:val="00880478"/>
    <w:rsid w:val="008804FC"/>
    <w:rsid w:val="008805FA"/>
    <w:rsid w:val="00880642"/>
    <w:rsid w:val="008807A0"/>
    <w:rsid w:val="00880835"/>
    <w:rsid w:val="0088085E"/>
    <w:rsid w:val="0088087A"/>
    <w:rsid w:val="00880888"/>
    <w:rsid w:val="00880A79"/>
    <w:rsid w:val="00880A88"/>
    <w:rsid w:val="00880C94"/>
    <w:rsid w:val="00880C9B"/>
    <w:rsid w:val="00880CDE"/>
    <w:rsid w:val="00880D02"/>
    <w:rsid w:val="00880D4F"/>
    <w:rsid w:val="00880D58"/>
    <w:rsid w:val="00880D8D"/>
    <w:rsid w:val="00880DB1"/>
    <w:rsid w:val="00880E86"/>
    <w:rsid w:val="00880F29"/>
    <w:rsid w:val="00880F3C"/>
    <w:rsid w:val="00880F50"/>
    <w:rsid w:val="00880FFB"/>
    <w:rsid w:val="00881024"/>
    <w:rsid w:val="00881103"/>
    <w:rsid w:val="00881121"/>
    <w:rsid w:val="00881290"/>
    <w:rsid w:val="008813CE"/>
    <w:rsid w:val="00881408"/>
    <w:rsid w:val="008814A6"/>
    <w:rsid w:val="00881587"/>
    <w:rsid w:val="008815F0"/>
    <w:rsid w:val="0088184A"/>
    <w:rsid w:val="00881918"/>
    <w:rsid w:val="00881931"/>
    <w:rsid w:val="00881A4A"/>
    <w:rsid w:val="00881C5F"/>
    <w:rsid w:val="00881DF7"/>
    <w:rsid w:val="00882017"/>
    <w:rsid w:val="0088212B"/>
    <w:rsid w:val="008821E0"/>
    <w:rsid w:val="0088224E"/>
    <w:rsid w:val="00882291"/>
    <w:rsid w:val="008822AB"/>
    <w:rsid w:val="008822ED"/>
    <w:rsid w:val="00882328"/>
    <w:rsid w:val="0088235E"/>
    <w:rsid w:val="00882540"/>
    <w:rsid w:val="008825C8"/>
    <w:rsid w:val="008825CC"/>
    <w:rsid w:val="008825F7"/>
    <w:rsid w:val="00882644"/>
    <w:rsid w:val="0088269F"/>
    <w:rsid w:val="008826AF"/>
    <w:rsid w:val="0088280F"/>
    <w:rsid w:val="0088286D"/>
    <w:rsid w:val="008828C9"/>
    <w:rsid w:val="0088292D"/>
    <w:rsid w:val="00882986"/>
    <w:rsid w:val="00882989"/>
    <w:rsid w:val="00882A10"/>
    <w:rsid w:val="00882A40"/>
    <w:rsid w:val="00882AB6"/>
    <w:rsid w:val="00882B80"/>
    <w:rsid w:val="00882BD8"/>
    <w:rsid w:val="00882C3D"/>
    <w:rsid w:val="00882D3D"/>
    <w:rsid w:val="00882D7E"/>
    <w:rsid w:val="00882E0E"/>
    <w:rsid w:val="00882E9D"/>
    <w:rsid w:val="00882F36"/>
    <w:rsid w:val="00882F6C"/>
    <w:rsid w:val="00882F78"/>
    <w:rsid w:val="00882F82"/>
    <w:rsid w:val="00883108"/>
    <w:rsid w:val="00883159"/>
    <w:rsid w:val="008831B2"/>
    <w:rsid w:val="00883239"/>
    <w:rsid w:val="008832ED"/>
    <w:rsid w:val="0088335C"/>
    <w:rsid w:val="0088338B"/>
    <w:rsid w:val="00883392"/>
    <w:rsid w:val="0088341B"/>
    <w:rsid w:val="0088343D"/>
    <w:rsid w:val="008834FD"/>
    <w:rsid w:val="00883670"/>
    <w:rsid w:val="008836C5"/>
    <w:rsid w:val="0088371F"/>
    <w:rsid w:val="00883731"/>
    <w:rsid w:val="00883760"/>
    <w:rsid w:val="00883864"/>
    <w:rsid w:val="008838A7"/>
    <w:rsid w:val="008838F1"/>
    <w:rsid w:val="00883915"/>
    <w:rsid w:val="00883952"/>
    <w:rsid w:val="008839C5"/>
    <w:rsid w:val="00883B03"/>
    <w:rsid w:val="00883B50"/>
    <w:rsid w:val="00883D41"/>
    <w:rsid w:val="00883E17"/>
    <w:rsid w:val="00883E3F"/>
    <w:rsid w:val="00883EC5"/>
    <w:rsid w:val="00883EC7"/>
    <w:rsid w:val="0088404D"/>
    <w:rsid w:val="0088423C"/>
    <w:rsid w:val="00884341"/>
    <w:rsid w:val="0088435F"/>
    <w:rsid w:val="008843BE"/>
    <w:rsid w:val="008843D7"/>
    <w:rsid w:val="008843F2"/>
    <w:rsid w:val="008844D3"/>
    <w:rsid w:val="00884584"/>
    <w:rsid w:val="008845EC"/>
    <w:rsid w:val="00884679"/>
    <w:rsid w:val="0088468C"/>
    <w:rsid w:val="008846CD"/>
    <w:rsid w:val="00884803"/>
    <w:rsid w:val="00884805"/>
    <w:rsid w:val="00884817"/>
    <w:rsid w:val="0088491A"/>
    <w:rsid w:val="00884998"/>
    <w:rsid w:val="00884A3C"/>
    <w:rsid w:val="00884BDB"/>
    <w:rsid w:val="00884C1E"/>
    <w:rsid w:val="00884C34"/>
    <w:rsid w:val="00884C3E"/>
    <w:rsid w:val="00884D3C"/>
    <w:rsid w:val="00884DED"/>
    <w:rsid w:val="00884EAC"/>
    <w:rsid w:val="00884F61"/>
    <w:rsid w:val="00884F81"/>
    <w:rsid w:val="00885009"/>
    <w:rsid w:val="008850ED"/>
    <w:rsid w:val="0088511B"/>
    <w:rsid w:val="008851C3"/>
    <w:rsid w:val="008853E7"/>
    <w:rsid w:val="00885422"/>
    <w:rsid w:val="008854F1"/>
    <w:rsid w:val="00885513"/>
    <w:rsid w:val="00885599"/>
    <w:rsid w:val="00885821"/>
    <w:rsid w:val="00885840"/>
    <w:rsid w:val="00885957"/>
    <w:rsid w:val="008859ED"/>
    <w:rsid w:val="00885A12"/>
    <w:rsid w:val="00885B75"/>
    <w:rsid w:val="00885B8D"/>
    <w:rsid w:val="00885C89"/>
    <w:rsid w:val="00885CED"/>
    <w:rsid w:val="00885D05"/>
    <w:rsid w:val="00885D38"/>
    <w:rsid w:val="00885D44"/>
    <w:rsid w:val="00885D4C"/>
    <w:rsid w:val="00885D8C"/>
    <w:rsid w:val="00885DD6"/>
    <w:rsid w:val="00885F99"/>
    <w:rsid w:val="00885FB8"/>
    <w:rsid w:val="00885FD9"/>
    <w:rsid w:val="00886047"/>
    <w:rsid w:val="008860AA"/>
    <w:rsid w:val="00886170"/>
    <w:rsid w:val="008861A0"/>
    <w:rsid w:val="008862BB"/>
    <w:rsid w:val="00886354"/>
    <w:rsid w:val="008863BC"/>
    <w:rsid w:val="008864E7"/>
    <w:rsid w:val="008865CB"/>
    <w:rsid w:val="008866E2"/>
    <w:rsid w:val="00886725"/>
    <w:rsid w:val="00886768"/>
    <w:rsid w:val="008867BC"/>
    <w:rsid w:val="00886870"/>
    <w:rsid w:val="008868A6"/>
    <w:rsid w:val="00886A5B"/>
    <w:rsid w:val="00886A97"/>
    <w:rsid w:val="00886B51"/>
    <w:rsid w:val="00886BB3"/>
    <w:rsid w:val="00886C5E"/>
    <w:rsid w:val="00886C87"/>
    <w:rsid w:val="00886CA8"/>
    <w:rsid w:val="00886D1A"/>
    <w:rsid w:val="00886D2E"/>
    <w:rsid w:val="00886D8E"/>
    <w:rsid w:val="00886F01"/>
    <w:rsid w:val="00886F1D"/>
    <w:rsid w:val="00886F4A"/>
    <w:rsid w:val="00886F5B"/>
    <w:rsid w:val="00887070"/>
    <w:rsid w:val="008870DD"/>
    <w:rsid w:val="00887208"/>
    <w:rsid w:val="008874B1"/>
    <w:rsid w:val="008874C3"/>
    <w:rsid w:val="00887510"/>
    <w:rsid w:val="0088758F"/>
    <w:rsid w:val="0088763B"/>
    <w:rsid w:val="00887683"/>
    <w:rsid w:val="008876A4"/>
    <w:rsid w:val="008876EF"/>
    <w:rsid w:val="0088770D"/>
    <w:rsid w:val="00887764"/>
    <w:rsid w:val="008877D4"/>
    <w:rsid w:val="00887811"/>
    <w:rsid w:val="0088782D"/>
    <w:rsid w:val="008879FF"/>
    <w:rsid w:val="00887A4D"/>
    <w:rsid w:val="00887ADC"/>
    <w:rsid w:val="00887AEF"/>
    <w:rsid w:val="00887AFB"/>
    <w:rsid w:val="00887B78"/>
    <w:rsid w:val="00887C25"/>
    <w:rsid w:val="00887C51"/>
    <w:rsid w:val="00887CC5"/>
    <w:rsid w:val="00887D5E"/>
    <w:rsid w:val="00887DB3"/>
    <w:rsid w:val="00887DC8"/>
    <w:rsid w:val="00887E7E"/>
    <w:rsid w:val="00887FB4"/>
    <w:rsid w:val="00887FC1"/>
    <w:rsid w:val="00887FDC"/>
    <w:rsid w:val="00890078"/>
    <w:rsid w:val="00890082"/>
    <w:rsid w:val="008900C3"/>
    <w:rsid w:val="0089010F"/>
    <w:rsid w:val="00890110"/>
    <w:rsid w:val="00890153"/>
    <w:rsid w:val="008902B1"/>
    <w:rsid w:val="008902CB"/>
    <w:rsid w:val="008903D8"/>
    <w:rsid w:val="008904CC"/>
    <w:rsid w:val="008904CE"/>
    <w:rsid w:val="0089055B"/>
    <w:rsid w:val="00890586"/>
    <w:rsid w:val="008905C9"/>
    <w:rsid w:val="00890656"/>
    <w:rsid w:val="008906F0"/>
    <w:rsid w:val="008907A8"/>
    <w:rsid w:val="00890818"/>
    <w:rsid w:val="008909E1"/>
    <w:rsid w:val="00890A66"/>
    <w:rsid w:val="00890B18"/>
    <w:rsid w:val="00890B53"/>
    <w:rsid w:val="00890BB0"/>
    <w:rsid w:val="00890BCD"/>
    <w:rsid w:val="00890C50"/>
    <w:rsid w:val="00890D1A"/>
    <w:rsid w:val="00890D40"/>
    <w:rsid w:val="00890D65"/>
    <w:rsid w:val="00890DDA"/>
    <w:rsid w:val="00890E32"/>
    <w:rsid w:val="00890E3F"/>
    <w:rsid w:val="00891017"/>
    <w:rsid w:val="008910AD"/>
    <w:rsid w:val="008910F3"/>
    <w:rsid w:val="0089110F"/>
    <w:rsid w:val="00891174"/>
    <w:rsid w:val="00891201"/>
    <w:rsid w:val="00891264"/>
    <w:rsid w:val="00891277"/>
    <w:rsid w:val="00891356"/>
    <w:rsid w:val="00891452"/>
    <w:rsid w:val="00891617"/>
    <w:rsid w:val="00891675"/>
    <w:rsid w:val="008916D3"/>
    <w:rsid w:val="00891775"/>
    <w:rsid w:val="00891793"/>
    <w:rsid w:val="00891798"/>
    <w:rsid w:val="008917CC"/>
    <w:rsid w:val="008917CF"/>
    <w:rsid w:val="008917F8"/>
    <w:rsid w:val="008918A9"/>
    <w:rsid w:val="008918B0"/>
    <w:rsid w:val="008918EF"/>
    <w:rsid w:val="00891943"/>
    <w:rsid w:val="00891A61"/>
    <w:rsid w:val="00891AF6"/>
    <w:rsid w:val="00891CE9"/>
    <w:rsid w:val="00891CED"/>
    <w:rsid w:val="00891CF8"/>
    <w:rsid w:val="00891D37"/>
    <w:rsid w:val="00891E3F"/>
    <w:rsid w:val="00891E65"/>
    <w:rsid w:val="00891F06"/>
    <w:rsid w:val="00891F7D"/>
    <w:rsid w:val="00891FD8"/>
    <w:rsid w:val="00892024"/>
    <w:rsid w:val="00892077"/>
    <w:rsid w:val="00892100"/>
    <w:rsid w:val="00892138"/>
    <w:rsid w:val="008921C9"/>
    <w:rsid w:val="00892212"/>
    <w:rsid w:val="00892217"/>
    <w:rsid w:val="0089225F"/>
    <w:rsid w:val="00892298"/>
    <w:rsid w:val="0089234E"/>
    <w:rsid w:val="0089235B"/>
    <w:rsid w:val="0089238D"/>
    <w:rsid w:val="0089241C"/>
    <w:rsid w:val="0089243F"/>
    <w:rsid w:val="00892450"/>
    <w:rsid w:val="0089247B"/>
    <w:rsid w:val="00892520"/>
    <w:rsid w:val="00892531"/>
    <w:rsid w:val="0089257E"/>
    <w:rsid w:val="00892598"/>
    <w:rsid w:val="008925D8"/>
    <w:rsid w:val="008926CC"/>
    <w:rsid w:val="00892775"/>
    <w:rsid w:val="0089281A"/>
    <w:rsid w:val="008928BC"/>
    <w:rsid w:val="00892A3A"/>
    <w:rsid w:val="00892AD4"/>
    <w:rsid w:val="00892AFF"/>
    <w:rsid w:val="00892B27"/>
    <w:rsid w:val="00892B39"/>
    <w:rsid w:val="00892BF8"/>
    <w:rsid w:val="00892C0E"/>
    <w:rsid w:val="00892C4C"/>
    <w:rsid w:val="00892C75"/>
    <w:rsid w:val="00892D8D"/>
    <w:rsid w:val="00892D93"/>
    <w:rsid w:val="00892E7C"/>
    <w:rsid w:val="00892EEE"/>
    <w:rsid w:val="00892F46"/>
    <w:rsid w:val="00892F6F"/>
    <w:rsid w:val="00892F86"/>
    <w:rsid w:val="00892FAD"/>
    <w:rsid w:val="00892FF0"/>
    <w:rsid w:val="0089302F"/>
    <w:rsid w:val="0089305A"/>
    <w:rsid w:val="00893061"/>
    <w:rsid w:val="008931B9"/>
    <w:rsid w:val="00893226"/>
    <w:rsid w:val="0089322E"/>
    <w:rsid w:val="00893267"/>
    <w:rsid w:val="00893586"/>
    <w:rsid w:val="00893639"/>
    <w:rsid w:val="00893643"/>
    <w:rsid w:val="00893678"/>
    <w:rsid w:val="0089378C"/>
    <w:rsid w:val="008938C9"/>
    <w:rsid w:val="00893A35"/>
    <w:rsid w:val="00893A56"/>
    <w:rsid w:val="00893ACB"/>
    <w:rsid w:val="00893B74"/>
    <w:rsid w:val="00893B88"/>
    <w:rsid w:val="00893C06"/>
    <w:rsid w:val="00893CA9"/>
    <w:rsid w:val="00893CB8"/>
    <w:rsid w:val="00893E4E"/>
    <w:rsid w:val="00893EE4"/>
    <w:rsid w:val="00893EEF"/>
    <w:rsid w:val="0089408C"/>
    <w:rsid w:val="0089408E"/>
    <w:rsid w:val="008940BA"/>
    <w:rsid w:val="008941AE"/>
    <w:rsid w:val="00894230"/>
    <w:rsid w:val="0089426F"/>
    <w:rsid w:val="0089427C"/>
    <w:rsid w:val="008942B2"/>
    <w:rsid w:val="0089436D"/>
    <w:rsid w:val="0089441E"/>
    <w:rsid w:val="008944B4"/>
    <w:rsid w:val="0089463B"/>
    <w:rsid w:val="008947AC"/>
    <w:rsid w:val="008947C2"/>
    <w:rsid w:val="008947DD"/>
    <w:rsid w:val="00894814"/>
    <w:rsid w:val="008948D1"/>
    <w:rsid w:val="00894AD2"/>
    <w:rsid w:val="00894B04"/>
    <w:rsid w:val="00894CF6"/>
    <w:rsid w:val="00894D79"/>
    <w:rsid w:val="00894DB6"/>
    <w:rsid w:val="00894E21"/>
    <w:rsid w:val="00894EC9"/>
    <w:rsid w:val="00894FBE"/>
    <w:rsid w:val="0089527C"/>
    <w:rsid w:val="008952F3"/>
    <w:rsid w:val="00895300"/>
    <w:rsid w:val="008953F0"/>
    <w:rsid w:val="00895486"/>
    <w:rsid w:val="008954B6"/>
    <w:rsid w:val="00895612"/>
    <w:rsid w:val="00895751"/>
    <w:rsid w:val="008957AD"/>
    <w:rsid w:val="008957B8"/>
    <w:rsid w:val="00895857"/>
    <w:rsid w:val="008958E3"/>
    <w:rsid w:val="0089594D"/>
    <w:rsid w:val="00895A1D"/>
    <w:rsid w:val="00895A37"/>
    <w:rsid w:val="00895A54"/>
    <w:rsid w:val="00895A85"/>
    <w:rsid w:val="00895AFC"/>
    <w:rsid w:val="00895B4B"/>
    <w:rsid w:val="00895C08"/>
    <w:rsid w:val="00895C11"/>
    <w:rsid w:val="00895D32"/>
    <w:rsid w:val="00895E72"/>
    <w:rsid w:val="00895EC1"/>
    <w:rsid w:val="00895EE1"/>
    <w:rsid w:val="00895F36"/>
    <w:rsid w:val="00895FA4"/>
    <w:rsid w:val="0089607A"/>
    <w:rsid w:val="008960D9"/>
    <w:rsid w:val="00896149"/>
    <w:rsid w:val="00896150"/>
    <w:rsid w:val="00896151"/>
    <w:rsid w:val="00896154"/>
    <w:rsid w:val="008963FD"/>
    <w:rsid w:val="0089642B"/>
    <w:rsid w:val="0089645F"/>
    <w:rsid w:val="0089657E"/>
    <w:rsid w:val="00896593"/>
    <w:rsid w:val="008965F1"/>
    <w:rsid w:val="008966C6"/>
    <w:rsid w:val="008967C0"/>
    <w:rsid w:val="00896827"/>
    <w:rsid w:val="008968C4"/>
    <w:rsid w:val="00896906"/>
    <w:rsid w:val="00896927"/>
    <w:rsid w:val="00896957"/>
    <w:rsid w:val="00896AC9"/>
    <w:rsid w:val="00896B2C"/>
    <w:rsid w:val="00896BE3"/>
    <w:rsid w:val="00896C13"/>
    <w:rsid w:val="00896DA7"/>
    <w:rsid w:val="00896DD5"/>
    <w:rsid w:val="00896EE8"/>
    <w:rsid w:val="00896F50"/>
    <w:rsid w:val="00897014"/>
    <w:rsid w:val="00897071"/>
    <w:rsid w:val="00897099"/>
    <w:rsid w:val="0089718C"/>
    <w:rsid w:val="008971F2"/>
    <w:rsid w:val="0089725F"/>
    <w:rsid w:val="00897268"/>
    <w:rsid w:val="008972AC"/>
    <w:rsid w:val="008972BC"/>
    <w:rsid w:val="0089733D"/>
    <w:rsid w:val="00897343"/>
    <w:rsid w:val="008974B8"/>
    <w:rsid w:val="008974D8"/>
    <w:rsid w:val="008975AA"/>
    <w:rsid w:val="008975AB"/>
    <w:rsid w:val="008975C6"/>
    <w:rsid w:val="008975E4"/>
    <w:rsid w:val="00897753"/>
    <w:rsid w:val="00897825"/>
    <w:rsid w:val="00897947"/>
    <w:rsid w:val="008979F9"/>
    <w:rsid w:val="00897A6C"/>
    <w:rsid w:val="00897B25"/>
    <w:rsid w:val="00897B62"/>
    <w:rsid w:val="00897DF5"/>
    <w:rsid w:val="00897EAA"/>
    <w:rsid w:val="00897EB3"/>
    <w:rsid w:val="00897EDF"/>
    <w:rsid w:val="00897F95"/>
    <w:rsid w:val="00897FA6"/>
    <w:rsid w:val="00897FD1"/>
    <w:rsid w:val="008A009D"/>
    <w:rsid w:val="008A00B4"/>
    <w:rsid w:val="008A0151"/>
    <w:rsid w:val="008A029B"/>
    <w:rsid w:val="008A02C5"/>
    <w:rsid w:val="008A03A1"/>
    <w:rsid w:val="008A03DD"/>
    <w:rsid w:val="008A0463"/>
    <w:rsid w:val="008A04FA"/>
    <w:rsid w:val="008A050D"/>
    <w:rsid w:val="008A0542"/>
    <w:rsid w:val="008A063C"/>
    <w:rsid w:val="008A0746"/>
    <w:rsid w:val="008A0758"/>
    <w:rsid w:val="008A0784"/>
    <w:rsid w:val="008A0821"/>
    <w:rsid w:val="008A08C8"/>
    <w:rsid w:val="008A0904"/>
    <w:rsid w:val="008A0950"/>
    <w:rsid w:val="008A09B0"/>
    <w:rsid w:val="008A0A9F"/>
    <w:rsid w:val="008A0AA5"/>
    <w:rsid w:val="008A0AA9"/>
    <w:rsid w:val="008A0AB1"/>
    <w:rsid w:val="008A0BA8"/>
    <w:rsid w:val="008A0BCD"/>
    <w:rsid w:val="008A0D12"/>
    <w:rsid w:val="008A0D49"/>
    <w:rsid w:val="008A0DA9"/>
    <w:rsid w:val="008A0DC3"/>
    <w:rsid w:val="008A0E94"/>
    <w:rsid w:val="008A0ECB"/>
    <w:rsid w:val="008A0F31"/>
    <w:rsid w:val="008A0FD2"/>
    <w:rsid w:val="008A116A"/>
    <w:rsid w:val="008A11A8"/>
    <w:rsid w:val="008A12A5"/>
    <w:rsid w:val="008A12B3"/>
    <w:rsid w:val="008A12D7"/>
    <w:rsid w:val="008A160D"/>
    <w:rsid w:val="008A16C2"/>
    <w:rsid w:val="008A16DD"/>
    <w:rsid w:val="008A1754"/>
    <w:rsid w:val="008A1764"/>
    <w:rsid w:val="008A17B9"/>
    <w:rsid w:val="008A18D1"/>
    <w:rsid w:val="008A1A29"/>
    <w:rsid w:val="008A1AC2"/>
    <w:rsid w:val="008A1B25"/>
    <w:rsid w:val="008A1C29"/>
    <w:rsid w:val="008A1DE5"/>
    <w:rsid w:val="008A1E19"/>
    <w:rsid w:val="008A1F20"/>
    <w:rsid w:val="008A1F79"/>
    <w:rsid w:val="008A1FDC"/>
    <w:rsid w:val="008A1FEC"/>
    <w:rsid w:val="008A20EC"/>
    <w:rsid w:val="008A20F6"/>
    <w:rsid w:val="008A20FE"/>
    <w:rsid w:val="008A2112"/>
    <w:rsid w:val="008A2155"/>
    <w:rsid w:val="008A2158"/>
    <w:rsid w:val="008A2222"/>
    <w:rsid w:val="008A225B"/>
    <w:rsid w:val="008A23DA"/>
    <w:rsid w:val="008A2467"/>
    <w:rsid w:val="008A24BD"/>
    <w:rsid w:val="008A2603"/>
    <w:rsid w:val="008A269D"/>
    <w:rsid w:val="008A26CC"/>
    <w:rsid w:val="008A273E"/>
    <w:rsid w:val="008A275B"/>
    <w:rsid w:val="008A275D"/>
    <w:rsid w:val="008A27A0"/>
    <w:rsid w:val="008A27B2"/>
    <w:rsid w:val="008A27B9"/>
    <w:rsid w:val="008A27CD"/>
    <w:rsid w:val="008A27F3"/>
    <w:rsid w:val="008A2914"/>
    <w:rsid w:val="008A29D3"/>
    <w:rsid w:val="008A2ABA"/>
    <w:rsid w:val="008A2B84"/>
    <w:rsid w:val="008A2BBA"/>
    <w:rsid w:val="008A2BEA"/>
    <w:rsid w:val="008A2BF2"/>
    <w:rsid w:val="008A2C07"/>
    <w:rsid w:val="008A2C20"/>
    <w:rsid w:val="008A2DC3"/>
    <w:rsid w:val="008A2E28"/>
    <w:rsid w:val="008A2F65"/>
    <w:rsid w:val="008A3004"/>
    <w:rsid w:val="008A3013"/>
    <w:rsid w:val="008A3075"/>
    <w:rsid w:val="008A32E3"/>
    <w:rsid w:val="008A3377"/>
    <w:rsid w:val="008A3420"/>
    <w:rsid w:val="008A344C"/>
    <w:rsid w:val="008A350B"/>
    <w:rsid w:val="008A3573"/>
    <w:rsid w:val="008A35D4"/>
    <w:rsid w:val="008A35E9"/>
    <w:rsid w:val="008A3789"/>
    <w:rsid w:val="008A37B3"/>
    <w:rsid w:val="008A37C1"/>
    <w:rsid w:val="008A3867"/>
    <w:rsid w:val="008A3937"/>
    <w:rsid w:val="008A39CA"/>
    <w:rsid w:val="008A3A3A"/>
    <w:rsid w:val="008A3B27"/>
    <w:rsid w:val="008A3B53"/>
    <w:rsid w:val="008A3D55"/>
    <w:rsid w:val="008A3DAF"/>
    <w:rsid w:val="008A3EE6"/>
    <w:rsid w:val="008A3FC9"/>
    <w:rsid w:val="008A3FEE"/>
    <w:rsid w:val="008A419B"/>
    <w:rsid w:val="008A41BB"/>
    <w:rsid w:val="008A4213"/>
    <w:rsid w:val="008A4368"/>
    <w:rsid w:val="008A447C"/>
    <w:rsid w:val="008A46E1"/>
    <w:rsid w:val="008A46FB"/>
    <w:rsid w:val="008A4711"/>
    <w:rsid w:val="008A4739"/>
    <w:rsid w:val="008A4932"/>
    <w:rsid w:val="008A494C"/>
    <w:rsid w:val="008A4981"/>
    <w:rsid w:val="008A4A84"/>
    <w:rsid w:val="008A4AB6"/>
    <w:rsid w:val="008A4BEB"/>
    <w:rsid w:val="008A4CCC"/>
    <w:rsid w:val="008A4D6D"/>
    <w:rsid w:val="008A4F3D"/>
    <w:rsid w:val="008A4F44"/>
    <w:rsid w:val="008A5096"/>
    <w:rsid w:val="008A5144"/>
    <w:rsid w:val="008A51BB"/>
    <w:rsid w:val="008A51BF"/>
    <w:rsid w:val="008A5297"/>
    <w:rsid w:val="008A530B"/>
    <w:rsid w:val="008A5334"/>
    <w:rsid w:val="008A5341"/>
    <w:rsid w:val="008A5366"/>
    <w:rsid w:val="008A5418"/>
    <w:rsid w:val="008A547A"/>
    <w:rsid w:val="008A5539"/>
    <w:rsid w:val="008A5643"/>
    <w:rsid w:val="008A5659"/>
    <w:rsid w:val="008A56AE"/>
    <w:rsid w:val="008A5700"/>
    <w:rsid w:val="008A5747"/>
    <w:rsid w:val="008A579A"/>
    <w:rsid w:val="008A5988"/>
    <w:rsid w:val="008A5998"/>
    <w:rsid w:val="008A5A34"/>
    <w:rsid w:val="008A5B65"/>
    <w:rsid w:val="008A5BAA"/>
    <w:rsid w:val="008A5C14"/>
    <w:rsid w:val="008A5CD1"/>
    <w:rsid w:val="008A5D65"/>
    <w:rsid w:val="008A5D8F"/>
    <w:rsid w:val="008A5E42"/>
    <w:rsid w:val="008A5E51"/>
    <w:rsid w:val="008A5F0B"/>
    <w:rsid w:val="008A5F84"/>
    <w:rsid w:val="008A603D"/>
    <w:rsid w:val="008A607E"/>
    <w:rsid w:val="008A6081"/>
    <w:rsid w:val="008A6132"/>
    <w:rsid w:val="008A613E"/>
    <w:rsid w:val="008A61C5"/>
    <w:rsid w:val="008A6220"/>
    <w:rsid w:val="008A6229"/>
    <w:rsid w:val="008A624F"/>
    <w:rsid w:val="008A6364"/>
    <w:rsid w:val="008A6393"/>
    <w:rsid w:val="008A643F"/>
    <w:rsid w:val="008A64D3"/>
    <w:rsid w:val="008A652E"/>
    <w:rsid w:val="008A653D"/>
    <w:rsid w:val="008A6575"/>
    <w:rsid w:val="008A66E0"/>
    <w:rsid w:val="008A66E5"/>
    <w:rsid w:val="008A66FF"/>
    <w:rsid w:val="008A67AC"/>
    <w:rsid w:val="008A6842"/>
    <w:rsid w:val="008A68AA"/>
    <w:rsid w:val="008A693F"/>
    <w:rsid w:val="008A698A"/>
    <w:rsid w:val="008A69BB"/>
    <w:rsid w:val="008A6A39"/>
    <w:rsid w:val="008A6A86"/>
    <w:rsid w:val="008A6B92"/>
    <w:rsid w:val="008A6BC1"/>
    <w:rsid w:val="008A6BF4"/>
    <w:rsid w:val="008A6C32"/>
    <w:rsid w:val="008A6C35"/>
    <w:rsid w:val="008A6C7A"/>
    <w:rsid w:val="008A6CBC"/>
    <w:rsid w:val="008A6D02"/>
    <w:rsid w:val="008A6D82"/>
    <w:rsid w:val="008A6E20"/>
    <w:rsid w:val="008A6E34"/>
    <w:rsid w:val="008A6E40"/>
    <w:rsid w:val="008A6E79"/>
    <w:rsid w:val="008A6FB4"/>
    <w:rsid w:val="008A6FDF"/>
    <w:rsid w:val="008A7035"/>
    <w:rsid w:val="008A70A5"/>
    <w:rsid w:val="008A70A8"/>
    <w:rsid w:val="008A70AC"/>
    <w:rsid w:val="008A70BF"/>
    <w:rsid w:val="008A70E3"/>
    <w:rsid w:val="008A711A"/>
    <w:rsid w:val="008A718C"/>
    <w:rsid w:val="008A726A"/>
    <w:rsid w:val="008A7305"/>
    <w:rsid w:val="008A7378"/>
    <w:rsid w:val="008A73BB"/>
    <w:rsid w:val="008A7428"/>
    <w:rsid w:val="008A7449"/>
    <w:rsid w:val="008A75E9"/>
    <w:rsid w:val="008A75FB"/>
    <w:rsid w:val="008A768F"/>
    <w:rsid w:val="008A76B6"/>
    <w:rsid w:val="008A7772"/>
    <w:rsid w:val="008A7833"/>
    <w:rsid w:val="008A7872"/>
    <w:rsid w:val="008A787F"/>
    <w:rsid w:val="008A78F0"/>
    <w:rsid w:val="008A7994"/>
    <w:rsid w:val="008A79A9"/>
    <w:rsid w:val="008A7B55"/>
    <w:rsid w:val="008A7B63"/>
    <w:rsid w:val="008A7BC8"/>
    <w:rsid w:val="008A7C2E"/>
    <w:rsid w:val="008A7CC3"/>
    <w:rsid w:val="008A7D28"/>
    <w:rsid w:val="008A7D4F"/>
    <w:rsid w:val="008A7DE4"/>
    <w:rsid w:val="008A7DF9"/>
    <w:rsid w:val="008A7DFD"/>
    <w:rsid w:val="008A7E22"/>
    <w:rsid w:val="008A7F78"/>
    <w:rsid w:val="008A7F9C"/>
    <w:rsid w:val="008A7FD2"/>
    <w:rsid w:val="008B0018"/>
    <w:rsid w:val="008B0114"/>
    <w:rsid w:val="008B011F"/>
    <w:rsid w:val="008B015D"/>
    <w:rsid w:val="008B017D"/>
    <w:rsid w:val="008B01DC"/>
    <w:rsid w:val="008B027A"/>
    <w:rsid w:val="008B038C"/>
    <w:rsid w:val="008B0456"/>
    <w:rsid w:val="008B045D"/>
    <w:rsid w:val="008B0470"/>
    <w:rsid w:val="008B04F3"/>
    <w:rsid w:val="008B05D2"/>
    <w:rsid w:val="008B05EE"/>
    <w:rsid w:val="008B0635"/>
    <w:rsid w:val="008B06C5"/>
    <w:rsid w:val="008B071B"/>
    <w:rsid w:val="008B0754"/>
    <w:rsid w:val="008B0775"/>
    <w:rsid w:val="008B0786"/>
    <w:rsid w:val="008B07DF"/>
    <w:rsid w:val="008B0824"/>
    <w:rsid w:val="008B08AD"/>
    <w:rsid w:val="008B08C5"/>
    <w:rsid w:val="008B08F3"/>
    <w:rsid w:val="008B0A56"/>
    <w:rsid w:val="008B0B0D"/>
    <w:rsid w:val="008B0BFA"/>
    <w:rsid w:val="008B0C18"/>
    <w:rsid w:val="008B0C81"/>
    <w:rsid w:val="008B0C86"/>
    <w:rsid w:val="008B0CD4"/>
    <w:rsid w:val="008B0D6F"/>
    <w:rsid w:val="008B0D8D"/>
    <w:rsid w:val="008B0DE9"/>
    <w:rsid w:val="008B0E76"/>
    <w:rsid w:val="008B0EC2"/>
    <w:rsid w:val="008B0F18"/>
    <w:rsid w:val="008B0FB1"/>
    <w:rsid w:val="008B0FD4"/>
    <w:rsid w:val="008B105A"/>
    <w:rsid w:val="008B10DB"/>
    <w:rsid w:val="008B1102"/>
    <w:rsid w:val="008B11CD"/>
    <w:rsid w:val="008B1263"/>
    <w:rsid w:val="008B12CD"/>
    <w:rsid w:val="008B12E7"/>
    <w:rsid w:val="008B1330"/>
    <w:rsid w:val="008B13B4"/>
    <w:rsid w:val="008B144D"/>
    <w:rsid w:val="008B14C6"/>
    <w:rsid w:val="008B1704"/>
    <w:rsid w:val="008B1733"/>
    <w:rsid w:val="008B173C"/>
    <w:rsid w:val="008B17B4"/>
    <w:rsid w:val="008B183A"/>
    <w:rsid w:val="008B1865"/>
    <w:rsid w:val="008B186C"/>
    <w:rsid w:val="008B18AC"/>
    <w:rsid w:val="008B18DC"/>
    <w:rsid w:val="008B18E4"/>
    <w:rsid w:val="008B1960"/>
    <w:rsid w:val="008B19BA"/>
    <w:rsid w:val="008B19F6"/>
    <w:rsid w:val="008B1A89"/>
    <w:rsid w:val="008B1AC9"/>
    <w:rsid w:val="008B1D11"/>
    <w:rsid w:val="008B1D52"/>
    <w:rsid w:val="008B1E11"/>
    <w:rsid w:val="008B1E93"/>
    <w:rsid w:val="008B201B"/>
    <w:rsid w:val="008B20D2"/>
    <w:rsid w:val="008B20FB"/>
    <w:rsid w:val="008B216E"/>
    <w:rsid w:val="008B22D0"/>
    <w:rsid w:val="008B2307"/>
    <w:rsid w:val="008B2383"/>
    <w:rsid w:val="008B24C9"/>
    <w:rsid w:val="008B2521"/>
    <w:rsid w:val="008B256E"/>
    <w:rsid w:val="008B2592"/>
    <w:rsid w:val="008B2613"/>
    <w:rsid w:val="008B2626"/>
    <w:rsid w:val="008B2AC3"/>
    <w:rsid w:val="008B2AE7"/>
    <w:rsid w:val="008B2B1C"/>
    <w:rsid w:val="008B2B3A"/>
    <w:rsid w:val="008B2B65"/>
    <w:rsid w:val="008B2BF7"/>
    <w:rsid w:val="008B2C16"/>
    <w:rsid w:val="008B2CA5"/>
    <w:rsid w:val="008B2D59"/>
    <w:rsid w:val="008B2D80"/>
    <w:rsid w:val="008B2DB4"/>
    <w:rsid w:val="008B2EE8"/>
    <w:rsid w:val="008B2FB6"/>
    <w:rsid w:val="008B2FDC"/>
    <w:rsid w:val="008B301A"/>
    <w:rsid w:val="008B310C"/>
    <w:rsid w:val="008B31A2"/>
    <w:rsid w:val="008B3257"/>
    <w:rsid w:val="008B3299"/>
    <w:rsid w:val="008B32A6"/>
    <w:rsid w:val="008B32AF"/>
    <w:rsid w:val="008B3359"/>
    <w:rsid w:val="008B338D"/>
    <w:rsid w:val="008B3470"/>
    <w:rsid w:val="008B34BB"/>
    <w:rsid w:val="008B34D9"/>
    <w:rsid w:val="008B34DE"/>
    <w:rsid w:val="008B3506"/>
    <w:rsid w:val="008B350F"/>
    <w:rsid w:val="008B3539"/>
    <w:rsid w:val="008B35A8"/>
    <w:rsid w:val="008B35AC"/>
    <w:rsid w:val="008B3643"/>
    <w:rsid w:val="008B3668"/>
    <w:rsid w:val="008B36EE"/>
    <w:rsid w:val="008B36FC"/>
    <w:rsid w:val="008B3784"/>
    <w:rsid w:val="008B38C2"/>
    <w:rsid w:val="008B3907"/>
    <w:rsid w:val="008B390B"/>
    <w:rsid w:val="008B3A0F"/>
    <w:rsid w:val="008B3A4A"/>
    <w:rsid w:val="008B3D9B"/>
    <w:rsid w:val="008B3DD0"/>
    <w:rsid w:val="008B3F22"/>
    <w:rsid w:val="008B4048"/>
    <w:rsid w:val="008B4061"/>
    <w:rsid w:val="008B40B7"/>
    <w:rsid w:val="008B40DF"/>
    <w:rsid w:val="008B4134"/>
    <w:rsid w:val="008B41CD"/>
    <w:rsid w:val="008B42B4"/>
    <w:rsid w:val="008B4333"/>
    <w:rsid w:val="008B455F"/>
    <w:rsid w:val="008B458A"/>
    <w:rsid w:val="008B45A9"/>
    <w:rsid w:val="008B462B"/>
    <w:rsid w:val="008B4689"/>
    <w:rsid w:val="008B46A3"/>
    <w:rsid w:val="008B46A7"/>
    <w:rsid w:val="008B46AF"/>
    <w:rsid w:val="008B483A"/>
    <w:rsid w:val="008B484B"/>
    <w:rsid w:val="008B48B6"/>
    <w:rsid w:val="008B48D4"/>
    <w:rsid w:val="008B4965"/>
    <w:rsid w:val="008B4A70"/>
    <w:rsid w:val="008B4A75"/>
    <w:rsid w:val="008B4A7E"/>
    <w:rsid w:val="008B4A8C"/>
    <w:rsid w:val="008B4AF5"/>
    <w:rsid w:val="008B4B36"/>
    <w:rsid w:val="008B4C29"/>
    <w:rsid w:val="008B4C3E"/>
    <w:rsid w:val="008B4C50"/>
    <w:rsid w:val="008B4C99"/>
    <w:rsid w:val="008B4CEC"/>
    <w:rsid w:val="008B4DA1"/>
    <w:rsid w:val="008B4E3B"/>
    <w:rsid w:val="008B4E57"/>
    <w:rsid w:val="008B500D"/>
    <w:rsid w:val="008B531B"/>
    <w:rsid w:val="008B539A"/>
    <w:rsid w:val="008B53D3"/>
    <w:rsid w:val="008B53FC"/>
    <w:rsid w:val="008B5428"/>
    <w:rsid w:val="008B5513"/>
    <w:rsid w:val="008B551B"/>
    <w:rsid w:val="008B554A"/>
    <w:rsid w:val="008B555C"/>
    <w:rsid w:val="008B5598"/>
    <w:rsid w:val="008B563E"/>
    <w:rsid w:val="008B5726"/>
    <w:rsid w:val="008B574D"/>
    <w:rsid w:val="008B57CC"/>
    <w:rsid w:val="008B5813"/>
    <w:rsid w:val="008B585B"/>
    <w:rsid w:val="008B58DF"/>
    <w:rsid w:val="008B58F2"/>
    <w:rsid w:val="008B590B"/>
    <w:rsid w:val="008B5A5A"/>
    <w:rsid w:val="008B5AA5"/>
    <w:rsid w:val="008B5B29"/>
    <w:rsid w:val="008B5B52"/>
    <w:rsid w:val="008B5BDA"/>
    <w:rsid w:val="008B5BF8"/>
    <w:rsid w:val="008B5C2E"/>
    <w:rsid w:val="008B5C8B"/>
    <w:rsid w:val="008B5C8F"/>
    <w:rsid w:val="008B5D37"/>
    <w:rsid w:val="008B5EF3"/>
    <w:rsid w:val="008B5F8B"/>
    <w:rsid w:val="008B606E"/>
    <w:rsid w:val="008B6148"/>
    <w:rsid w:val="008B61C3"/>
    <w:rsid w:val="008B6217"/>
    <w:rsid w:val="008B6372"/>
    <w:rsid w:val="008B63E8"/>
    <w:rsid w:val="008B63F9"/>
    <w:rsid w:val="008B6401"/>
    <w:rsid w:val="008B6437"/>
    <w:rsid w:val="008B647E"/>
    <w:rsid w:val="008B660B"/>
    <w:rsid w:val="008B662D"/>
    <w:rsid w:val="008B66A9"/>
    <w:rsid w:val="008B66D8"/>
    <w:rsid w:val="008B66F6"/>
    <w:rsid w:val="008B6721"/>
    <w:rsid w:val="008B67BC"/>
    <w:rsid w:val="008B68D7"/>
    <w:rsid w:val="008B69A3"/>
    <w:rsid w:val="008B69B4"/>
    <w:rsid w:val="008B69B8"/>
    <w:rsid w:val="008B6A2F"/>
    <w:rsid w:val="008B6B23"/>
    <w:rsid w:val="008B6C15"/>
    <w:rsid w:val="008B6C69"/>
    <w:rsid w:val="008B6D5C"/>
    <w:rsid w:val="008B6D8F"/>
    <w:rsid w:val="008B6F44"/>
    <w:rsid w:val="008B6F5D"/>
    <w:rsid w:val="008B6F75"/>
    <w:rsid w:val="008B6FA9"/>
    <w:rsid w:val="008B6FE0"/>
    <w:rsid w:val="008B7050"/>
    <w:rsid w:val="008B70AF"/>
    <w:rsid w:val="008B70E3"/>
    <w:rsid w:val="008B70F4"/>
    <w:rsid w:val="008B71CC"/>
    <w:rsid w:val="008B71D2"/>
    <w:rsid w:val="008B71E0"/>
    <w:rsid w:val="008B7287"/>
    <w:rsid w:val="008B730B"/>
    <w:rsid w:val="008B733C"/>
    <w:rsid w:val="008B73A4"/>
    <w:rsid w:val="008B73B9"/>
    <w:rsid w:val="008B741A"/>
    <w:rsid w:val="008B746F"/>
    <w:rsid w:val="008B748D"/>
    <w:rsid w:val="008B74AF"/>
    <w:rsid w:val="008B753C"/>
    <w:rsid w:val="008B7580"/>
    <w:rsid w:val="008B75AE"/>
    <w:rsid w:val="008B75CC"/>
    <w:rsid w:val="008B7632"/>
    <w:rsid w:val="008B7635"/>
    <w:rsid w:val="008B76BA"/>
    <w:rsid w:val="008B7737"/>
    <w:rsid w:val="008B77D2"/>
    <w:rsid w:val="008B78B0"/>
    <w:rsid w:val="008B78B7"/>
    <w:rsid w:val="008B7916"/>
    <w:rsid w:val="008B7AA3"/>
    <w:rsid w:val="008B7B37"/>
    <w:rsid w:val="008B7B43"/>
    <w:rsid w:val="008B7B86"/>
    <w:rsid w:val="008B7BD7"/>
    <w:rsid w:val="008B7C13"/>
    <w:rsid w:val="008B7C18"/>
    <w:rsid w:val="008B7CEA"/>
    <w:rsid w:val="008B7D0A"/>
    <w:rsid w:val="008B7D1E"/>
    <w:rsid w:val="008B7D75"/>
    <w:rsid w:val="008B7D79"/>
    <w:rsid w:val="008B7DCE"/>
    <w:rsid w:val="008B7DDD"/>
    <w:rsid w:val="008B7DED"/>
    <w:rsid w:val="008B7DF1"/>
    <w:rsid w:val="008B7DFA"/>
    <w:rsid w:val="008B7E0B"/>
    <w:rsid w:val="008B7EC2"/>
    <w:rsid w:val="008B7EED"/>
    <w:rsid w:val="008B7F2D"/>
    <w:rsid w:val="008B7F6B"/>
    <w:rsid w:val="008C00B5"/>
    <w:rsid w:val="008C00D3"/>
    <w:rsid w:val="008C01D7"/>
    <w:rsid w:val="008C021B"/>
    <w:rsid w:val="008C0291"/>
    <w:rsid w:val="008C0346"/>
    <w:rsid w:val="008C03D8"/>
    <w:rsid w:val="008C03E0"/>
    <w:rsid w:val="008C03E9"/>
    <w:rsid w:val="008C03EA"/>
    <w:rsid w:val="008C03F2"/>
    <w:rsid w:val="008C0430"/>
    <w:rsid w:val="008C046F"/>
    <w:rsid w:val="008C047B"/>
    <w:rsid w:val="008C047F"/>
    <w:rsid w:val="008C048A"/>
    <w:rsid w:val="008C053E"/>
    <w:rsid w:val="008C0587"/>
    <w:rsid w:val="008C0589"/>
    <w:rsid w:val="008C05E6"/>
    <w:rsid w:val="008C05E8"/>
    <w:rsid w:val="008C06DC"/>
    <w:rsid w:val="008C06EA"/>
    <w:rsid w:val="008C070E"/>
    <w:rsid w:val="008C071B"/>
    <w:rsid w:val="008C07DD"/>
    <w:rsid w:val="008C08CC"/>
    <w:rsid w:val="008C08EB"/>
    <w:rsid w:val="008C098B"/>
    <w:rsid w:val="008C09A6"/>
    <w:rsid w:val="008C0A66"/>
    <w:rsid w:val="008C0AD0"/>
    <w:rsid w:val="008C0B0B"/>
    <w:rsid w:val="008C0B41"/>
    <w:rsid w:val="008C0B6C"/>
    <w:rsid w:val="008C0B76"/>
    <w:rsid w:val="008C0C2D"/>
    <w:rsid w:val="008C0D58"/>
    <w:rsid w:val="008C0D7C"/>
    <w:rsid w:val="008C0EC5"/>
    <w:rsid w:val="008C0EC7"/>
    <w:rsid w:val="008C0F1A"/>
    <w:rsid w:val="008C0F50"/>
    <w:rsid w:val="008C0F71"/>
    <w:rsid w:val="008C0FD4"/>
    <w:rsid w:val="008C0FE8"/>
    <w:rsid w:val="008C10FD"/>
    <w:rsid w:val="008C11C1"/>
    <w:rsid w:val="008C1244"/>
    <w:rsid w:val="008C12B3"/>
    <w:rsid w:val="008C136E"/>
    <w:rsid w:val="008C1460"/>
    <w:rsid w:val="008C1469"/>
    <w:rsid w:val="008C148D"/>
    <w:rsid w:val="008C14F6"/>
    <w:rsid w:val="008C156F"/>
    <w:rsid w:val="008C1612"/>
    <w:rsid w:val="008C162D"/>
    <w:rsid w:val="008C1639"/>
    <w:rsid w:val="008C1663"/>
    <w:rsid w:val="008C1669"/>
    <w:rsid w:val="008C1696"/>
    <w:rsid w:val="008C171B"/>
    <w:rsid w:val="008C1738"/>
    <w:rsid w:val="008C18B6"/>
    <w:rsid w:val="008C18EA"/>
    <w:rsid w:val="008C1971"/>
    <w:rsid w:val="008C199D"/>
    <w:rsid w:val="008C1A08"/>
    <w:rsid w:val="008C1B5A"/>
    <w:rsid w:val="008C1C37"/>
    <w:rsid w:val="008C1D52"/>
    <w:rsid w:val="008C1D89"/>
    <w:rsid w:val="008C1E41"/>
    <w:rsid w:val="008C1EE3"/>
    <w:rsid w:val="008C1FA6"/>
    <w:rsid w:val="008C1FD7"/>
    <w:rsid w:val="008C2037"/>
    <w:rsid w:val="008C2148"/>
    <w:rsid w:val="008C228B"/>
    <w:rsid w:val="008C2326"/>
    <w:rsid w:val="008C2345"/>
    <w:rsid w:val="008C2374"/>
    <w:rsid w:val="008C2443"/>
    <w:rsid w:val="008C2493"/>
    <w:rsid w:val="008C24C4"/>
    <w:rsid w:val="008C24C9"/>
    <w:rsid w:val="008C2596"/>
    <w:rsid w:val="008C26D3"/>
    <w:rsid w:val="008C26EF"/>
    <w:rsid w:val="008C27C3"/>
    <w:rsid w:val="008C281E"/>
    <w:rsid w:val="008C282B"/>
    <w:rsid w:val="008C2879"/>
    <w:rsid w:val="008C2881"/>
    <w:rsid w:val="008C2A33"/>
    <w:rsid w:val="008C2BB2"/>
    <w:rsid w:val="008C2C55"/>
    <w:rsid w:val="008C2D1C"/>
    <w:rsid w:val="008C2D8F"/>
    <w:rsid w:val="008C2E35"/>
    <w:rsid w:val="008C2E56"/>
    <w:rsid w:val="008C2F38"/>
    <w:rsid w:val="008C300D"/>
    <w:rsid w:val="008C3031"/>
    <w:rsid w:val="008C3075"/>
    <w:rsid w:val="008C30AC"/>
    <w:rsid w:val="008C30D4"/>
    <w:rsid w:val="008C3134"/>
    <w:rsid w:val="008C3138"/>
    <w:rsid w:val="008C3199"/>
    <w:rsid w:val="008C31CE"/>
    <w:rsid w:val="008C321A"/>
    <w:rsid w:val="008C3259"/>
    <w:rsid w:val="008C3278"/>
    <w:rsid w:val="008C32E0"/>
    <w:rsid w:val="008C3320"/>
    <w:rsid w:val="008C33B8"/>
    <w:rsid w:val="008C33E6"/>
    <w:rsid w:val="008C34F0"/>
    <w:rsid w:val="008C3605"/>
    <w:rsid w:val="008C3632"/>
    <w:rsid w:val="008C36D9"/>
    <w:rsid w:val="008C3968"/>
    <w:rsid w:val="008C3AF2"/>
    <w:rsid w:val="008C3B88"/>
    <w:rsid w:val="008C3BF9"/>
    <w:rsid w:val="008C3C81"/>
    <w:rsid w:val="008C3CAD"/>
    <w:rsid w:val="008C3CEB"/>
    <w:rsid w:val="008C3DE5"/>
    <w:rsid w:val="008C3EE4"/>
    <w:rsid w:val="008C3F24"/>
    <w:rsid w:val="008C3FBC"/>
    <w:rsid w:val="008C3FC4"/>
    <w:rsid w:val="008C3FF3"/>
    <w:rsid w:val="008C4068"/>
    <w:rsid w:val="008C406F"/>
    <w:rsid w:val="008C407E"/>
    <w:rsid w:val="008C427A"/>
    <w:rsid w:val="008C42EA"/>
    <w:rsid w:val="008C4443"/>
    <w:rsid w:val="008C4493"/>
    <w:rsid w:val="008C455C"/>
    <w:rsid w:val="008C457A"/>
    <w:rsid w:val="008C4599"/>
    <w:rsid w:val="008C45A4"/>
    <w:rsid w:val="008C45C1"/>
    <w:rsid w:val="008C4662"/>
    <w:rsid w:val="008C46D0"/>
    <w:rsid w:val="008C4744"/>
    <w:rsid w:val="008C4750"/>
    <w:rsid w:val="008C4946"/>
    <w:rsid w:val="008C49BD"/>
    <w:rsid w:val="008C4A17"/>
    <w:rsid w:val="008C4B50"/>
    <w:rsid w:val="008C4BDB"/>
    <w:rsid w:val="008C4BDC"/>
    <w:rsid w:val="008C4CBC"/>
    <w:rsid w:val="008C4D33"/>
    <w:rsid w:val="008C4E65"/>
    <w:rsid w:val="008C4EE8"/>
    <w:rsid w:val="008C5088"/>
    <w:rsid w:val="008C50F7"/>
    <w:rsid w:val="008C518E"/>
    <w:rsid w:val="008C533A"/>
    <w:rsid w:val="008C53CF"/>
    <w:rsid w:val="008C54EE"/>
    <w:rsid w:val="008C553A"/>
    <w:rsid w:val="008C5545"/>
    <w:rsid w:val="008C5635"/>
    <w:rsid w:val="008C5659"/>
    <w:rsid w:val="008C5740"/>
    <w:rsid w:val="008C5752"/>
    <w:rsid w:val="008C5863"/>
    <w:rsid w:val="008C5AE9"/>
    <w:rsid w:val="008C5B70"/>
    <w:rsid w:val="008C5C2B"/>
    <w:rsid w:val="008C5C57"/>
    <w:rsid w:val="008C5DAF"/>
    <w:rsid w:val="008C5E4F"/>
    <w:rsid w:val="008C5EF9"/>
    <w:rsid w:val="008C5F2A"/>
    <w:rsid w:val="008C5F5D"/>
    <w:rsid w:val="008C5F98"/>
    <w:rsid w:val="008C618F"/>
    <w:rsid w:val="008C61A0"/>
    <w:rsid w:val="008C61BC"/>
    <w:rsid w:val="008C61F8"/>
    <w:rsid w:val="008C6214"/>
    <w:rsid w:val="008C62A5"/>
    <w:rsid w:val="008C630B"/>
    <w:rsid w:val="008C63A9"/>
    <w:rsid w:val="008C63FD"/>
    <w:rsid w:val="008C6411"/>
    <w:rsid w:val="008C648D"/>
    <w:rsid w:val="008C65D7"/>
    <w:rsid w:val="008C65FC"/>
    <w:rsid w:val="008C6627"/>
    <w:rsid w:val="008C665E"/>
    <w:rsid w:val="008C66ED"/>
    <w:rsid w:val="008C6834"/>
    <w:rsid w:val="008C68BB"/>
    <w:rsid w:val="008C68C4"/>
    <w:rsid w:val="008C69D8"/>
    <w:rsid w:val="008C6A37"/>
    <w:rsid w:val="008C6B3E"/>
    <w:rsid w:val="008C6B3F"/>
    <w:rsid w:val="008C6B4C"/>
    <w:rsid w:val="008C6BEE"/>
    <w:rsid w:val="008C6C3E"/>
    <w:rsid w:val="008C6C9A"/>
    <w:rsid w:val="008C6D5D"/>
    <w:rsid w:val="008C6D7B"/>
    <w:rsid w:val="008C6DD7"/>
    <w:rsid w:val="008C6DE7"/>
    <w:rsid w:val="008C6DF0"/>
    <w:rsid w:val="008C6E41"/>
    <w:rsid w:val="008C6EF5"/>
    <w:rsid w:val="008C6FD5"/>
    <w:rsid w:val="008C70E7"/>
    <w:rsid w:val="008C7155"/>
    <w:rsid w:val="008C7187"/>
    <w:rsid w:val="008C71ED"/>
    <w:rsid w:val="008C7219"/>
    <w:rsid w:val="008C72BC"/>
    <w:rsid w:val="008C72F9"/>
    <w:rsid w:val="008C7320"/>
    <w:rsid w:val="008C7347"/>
    <w:rsid w:val="008C734B"/>
    <w:rsid w:val="008C737F"/>
    <w:rsid w:val="008C741D"/>
    <w:rsid w:val="008C743B"/>
    <w:rsid w:val="008C745E"/>
    <w:rsid w:val="008C747D"/>
    <w:rsid w:val="008C750A"/>
    <w:rsid w:val="008C753A"/>
    <w:rsid w:val="008C754B"/>
    <w:rsid w:val="008C7672"/>
    <w:rsid w:val="008C76F2"/>
    <w:rsid w:val="008C7760"/>
    <w:rsid w:val="008C778A"/>
    <w:rsid w:val="008C77FE"/>
    <w:rsid w:val="008C78A2"/>
    <w:rsid w:val="008C793E"/>
    <w:rsid w:val="008C7970"/>
    <w:rsid w:val="008C7974"/>
    <w:rsid w:val="008C799D"/>
    <w:rsid w:val="008C7A6A"/>
    <w:rsid w:val="008C7A7A"/>
    <w:rsid w:val="008C7AD8"/>
    <w:rsid w:val="008C7B00"/>
    <w:rsid w:val="008C7B1C"/>
    <w:rsid w:val="008C7B54"/>
    <w:rsid w:val="008C7B85"/>
    <w:rsid w:val="008C7D24"/>
    <w:rsid w:val="008C7D31"/>
    <w:rsid w:val="008C7DC7"/>
    <w:rsid w:val="008C7DE3"/>
    <w:rsid w:val="008C7ECC"/>
    <w:rsid w:val="008C7F17"/>
    <w:rsid w:val="008C7F34"/>
    <w:rsid w:val="008C7F5A"/>
    <w:rsid w:val="008C7F5E"/>
    <w:rsid w:val="008D00A6"/>
    <w:rsid w:val="008D00FB"/>
    <w:rsid w:val="008D026A"/>
    <w:rsid w:val="008D02C2"/>
    <w:rsid w:val="008D0399"/>
    <w:rsid w:val="008D040E"/>
    <w:rsid w:val="008D044A"/>
    <w:rsid w:val="008D0521"/>
    <w:rsid w:val="008D0564"/>
    <w:rsid w:val="008D05B0"/>
    <w:rsid w:val="008D05E7"/>
    <w:rsid w:val="008D05FB"/>
    <w:rsid w:val="008D0651"/>
    <w:rsid w:val="008D070E"/>
    <w:rsid w:val="008D07F3"/>
    <w:rsid w:val="008D098A"/>
    <w:rsid w:val="008D0AFB"/>
    <w:rsid w:val="008D0D1F"/>
    <w:rsid w:val="008D0D5F"/>
    <w:rsid w:val="008D0DF9"/>
    <w:rsid w:val="008D0E8E"/>
    <w:rsid w:val="008D0E9F"/>
    <w:rsid w:val="008D0F44"/>
    <w:rsid w:val="008D1046"/>
    <w:rsid w:val="008D12AA"/>
    <w:rsid w:val="008D135D"/>
    <w:rsid w:val="008D1413"/>
    <w:rsid w:val="008D144D"/>
    <w:rsid w:val="008D14A7"/>
    <w:rsid w:val="008D1630"/>
    <w:rsid w:val="008D16A2"/>
    <w:rsid w:val="008D16B8"/>
    <w:rsid w:val="008D16BE"/>
    <w:rsid w:val="008D171F"/>
    <w:rsid w:val="008D176F"/>
    <w:rsid w:val="008D187C"/>
    <w:rsid w:val="008D190A"/>
    <w:rsid w:val="008D19EC"/>
    <w:rsid w:val="008D19F5"/>
    <w:rsid w:val="008D1A06"/>
    <w:rsid w:val="008D1A11"/>
    <w:rsid w:val="008D1A21"/>
    <w:rsid w:val="008D1B30"/>
    <w:rsid w:val="008D1B5F"/>
    <w:rsid w:val="008D1CC5"/>
    <w:rsid w:val="008D1D37"/>
    <w:rsid w:val="008D1DC6"/>
    <w:rsid w:val="008D1E55"/>
    <w:rsid w:val="008D1FF5"/>
    <w:rsid w:val="008D2046"/>
    <w:rsid w:val="008D205B"/>
    <w:rsid w:val="008D20C2"/>
    <w:rsid w:val="008D20E2"/>
    <w:rsid w:val="008D2150"/>
    <w:rsid w:val="008D2322"/>
    <w:rsid w:val="008D239F"/>
    <w:rsid w:val="008D23B6"/>
    <w:rsid w:val="008D2562"/>
    <w:rsid w:val="008D259F"/>
    <w:rsid w:val="008D25B2"/>
    <w:rsid w:val="008D2672"/>
    <w:rsid w:val="008D267B"/>
    <w:rsid w:val="008D2729"/>
    <w:rsid w:val="008D2733"/>
    <w:rsid w:val="008D2737"/>
    <w:rsid w:val="008D27A8"/>
    <w:rsid w:val="008D27AE"/>
    <w:rsid w:val="008D2811"/>
    <w:rsid w:val="008D284D"/>
    <w:rsid w:val="008D28A4"/>
    <w:rsid w:val="008D28EF"/>
    <w:rsid w:val="008D29E5"/>
    <w:rsid w:val="008D2A47"/>
    <w:rsid w:val="008D2A5C"/>
    <w:rsid w:val="008D2A8B"/>
    <w:rsid w:val="008D2B84"/>
    <w:rsid w:val="008D2C2D"/>
    <w:rsid w:val="008D2C3D"/>
    <w:rsid w:val="008D2C7F"/>
    <w:rsid w:val="008D2CF6"/>
    <w:rsid w:val="008D2DA6"/>
    <w:rsid w:val="008D2EC4"/>
    <w:rsid w:val="008D2EF9"/>
    <w:rsid w:val="008D2FE2"/>
    <w:rsid w:val="008D30B2"/>
    <w:rsid w:val="008D3126"/>
    <w:rsid w:val="008D31C1"/>
    <w:rsid w:val="008D31C9"/>
    <w:rsid w:val="008D321A"/>
    <w:rsid w:val="008D32C8"/>
    <w:rsid w:val="008D3372"/>
    <w:rsid w:val="008D33C1"/>
    <w:rsid w:val="008D33FA"/>
    <w:rsid w:val="008D3535"/>
    <w:rsid w:val="008D35AE"/>
    <w:rsid w:val="008D35B1"/>
    <w:rsid w:val="008D35CD"/>
    <w:rsid w:val="008D35D0"/>
    <w:rsid w:val="008D363B"/>
    <w:rsid w:val="008D3652"/>
    <w:rsid w:val="008D36FD"/>
    <w:rsid w:val="008D3782"/>
    <w:rsid w:val="008D37A0"/>
    <w:rsid w:val="008D37C0"/>
    <w:rsid w:val="008D3911"/>
    <w:rsid w:val="008D3942"/>
    <w:rsid w:val="008D39CB"/>
    <w:rsid w:val="008D39F4"/>
    <w:rsid w:val="008D3A10"/>
    <w:rsid w:val="008D3B29"/>
    <w:rsid w:val="008D3B32"/>
    <w:rsid w:val="008D3B3E"/>
    <w:rsid w:val="008D3B6A"/>
    <w:rsid w:val="008D3BE9"/>
    <w:rsid w:val="008D3C3A"/>
    <w:rsid w:val="008D3CD2"/>
    <w:rsid w:val="008D3DED"/>
    <w:rsid w:val="008D3E63"/>
    <w:rsid w:val="008D3EEE"/>
    <w:rsid w:val="008D3F63"/>
    <w:rsid w:val="008D3F69"/>
    <w:rsid w:val="008D3F82"/>
    <w:rsid w:val="008D40A8"/>
    <w:rsid w:val="008D41B3"/>
    <w:rsid w:val="008D41BF"/>
    <w:rsid w:val="008D41EF"/>
    <w:rsid w:val="008D4276"/>
    <w:rsid w:val="008D4347"/>
    <w:rsid w:val="008D43CF"/>
    <w:rsid w:val="008D4428"/>
    <w:rsid w:val="008D4466"/>
    <w:rsid w:val="008D44E9"/>
    <w:rsid w:val="008D4618"/>
    <w:rsid w:val="008D4653"/>
    <w:rsid w:val="008D4681"/>
    <w:rsid w:val="008D4688"/>
    <w:rsid w:val="008D468E"/>
    <w:rsid w:val="008D46A5"/>
    <w:rsid w:val="008D46F5"/>
    <w:rsid w:val="008D4743"/>
    <w:rsid w:val="008D4884"/>
    <w:rsid w:val="008D48CB"/>
    <w:rsid w:val="008D48EC"/>
    <w:rsid w:val="008D48FE"/>
    <w:rsid w:val="008D4ABC"/>
    <w:rsid w:val="008D4AD8"/>
    <w:rsid w:val="008D4B4E"/>
    <w:rsid w:val="008D4B70"/>
    <w:rsid w:val="008D4BA6"/>
    <w:rsid w:val="008D4BC2"/>
    <w:rsid w:val="008D4BEB"/>
    <w:rsid w:val="008D4C31"/>
    <w:rsid w:val="008D4CFE"/>
    <w:rsid w:val="008D4D3C"/>
    <w:rsid w:val="008D4DA7"/>
    <w:rsid w:val="008D4DE1"/>
    <w:rsid w:val="008D4E20"/>
    <w:rsid w:val="008D4E26"/>
    <w:rsid w:val="008D4E35"/>
    <w:rsid w:val="008D4ED3"/>
    <w:rsid w:val="008D4F23"/>
    <w:rsid w:val="008D4FED"/>
    <w:rsid w:val="008D5060"/>
    <w:rsid w:val="008D5122"/>
    <w:rsid w:val="008D5194"/>
    <w:rsid w:val="008D5244"/>
    <w:rsid w:val="008D5273"/>
    <w:rsid w:val="008D530F"/>
    <w:rsid w:val="008D549F"/>
    <w:rsid w:val="008D54BE"/>
    <w:rsid w:val="008D554D"/>
    <w:rsid w:val="008D556A"/>
    <w:rsid w:val="008D560F"/>
    <w:rsid w:val="008D5647"/>
    <w:rsid w:val="008D5686"/>
    <w:rsid w:val="008D582B"/>
    <w:rsid w:val="008D586F"/>
    <w:rsid w:val="008D58CD"/>
    <w:rsid w:val="008D58FB"/>
    <w:rsid w:val="008D595F"/>
    <w:rsid w:val="008D597F"/>
    <w:rsid w:val="008D59C4"/>
    <w:rsid w:val="008D59EE"/>
    <w:rsid w:val="008D5AE2"/>
    <w:rsid w:val="008D5C1E"/>
    <w:rsid w:val="008D5CD3"/>
    <w:rsid w:val="008D5D37"/>
    <w:rsid w:val="008D5DDC"/>
    <w:rsid w:val="008D5E5B"/>
    <w:rsid w:val="008D5F55"/>
    <w:rsid w:val="008D5FF2"/>
    <w:rsid w:val="008D6045"/>
    <w:rsid w:val="008D6070"/>
    <w:rsid w:val="008D6101"/>
    <w:rsid w:val="008D610B"/>
    <w:rsid w:val="008D6226"/>
    <w:rsid w:val="008D626D"/>
    <w:rsid w:val="008D62AA"/>
    <w:rsid w:val="008D63AD"/>
    <w:rsid w:val="008D64B1"/>
    <w:rsid w:val="008D64BD"/>
    <w:rsid w:val="008D64D6"/>
    <w:rsid w:val="008D650D"/>
    <w:rsid w:val="008D656A"/>
    <w:rsid w:val="008D65BC"/>
    <w:rsid w:val="008D661F"/>
    <w:rsid w:val="008D67A6"/>
    <w:rsid w:val="008D681F"/>
    <w:rsid w:val="008D686E"/>
    <w:rsid w:val="008D687E"/>
    <w:rsid w:val="008D692E"/>
    <w:rsid w:val="008D69C7"/>
    <w:rsid w:val="008D6AB3"/>
    <w:rsid w:val="008D6B87"/>
    <w:rsid w:val="008D6BB9"/>
    <w:rsid w:val="008D6BBE"/>
    <w:rsid w:val="008D6BFF"/>
    <w:rsid w:val="008D6C47"/>
    <w:rsid w:val="008D6C74"/>
    <w:rsid w:val="008D6CF2"/>
    <w:rsid w:val="008D6DA1"/>
    <w:rsid w:val="008D6DC5"/>
    <w:rsid w:val="008D6DD5"/>
    <w:rsid w:val="008D6EB7"/>
    <w:rsid w:val="008D6EDC"/>
    <w:rsid w:val="008D6F10"/>
    <w:rsid w:val="008D6F4F"/>
    <w:rsid w:val="008D6FB9"/>
    <w:rsid w:val="008D6FE4"/>
    <w:rsid w:val="008D70DA"/>
    <w:rsid w:val="008D7119"/>
    <w:rsid w:val="008D7142"/>
    <w:rsid w:val="008D71A8"/>
    <w:rsid w:val="008D7222"/>
    <w:rsid w:val="008D7275"/>
    <w:rsid w:val="008D7361"/>
    <w:rsid w:val="008D744A"/>
    <w:rsid w:val="008D7481"/>
    <w:rsid w:val="008D74F9"/>
    <w:rsid w:val="008D7523"/>
    <w:rsid w:val="008D753D"/>
    <w:rsid w:val="008D7546"/>
    <w:rsid w:val="008D759B"/>
    <w:rsid w:val="008D77D6"/>
    <w:rsid w:val="008D784F"/>
    <w:rsid w:val="008D7872"/>
    <w:rsid w:val="008D7906"/>
    <w:rsid w:val="008D7992"/>
    <w:rsid w:val="008D7A63"/>
    <w:rsid w:val="008D7AF8"/>
    <w:rsid w:val="008D7B30"/>
    <w:rsid w:val="008D7CA7"/>
    <w:rsid w:val="008D7DBF"/>
    <w:rsid w:val="008D7E74"/>
    <w:rsid w:val="008D7F93"/>
    <w:rsid w:val="008E0093"/>
    <w:rsid w:val="008E00A3"/>
    <w:rsid w:val="008E0108"/>
    <w:rsid w:val="008E0125"/>
    <w:rsid w:val="008E015C"/>
    <w:rsid w:val="008E0226"/>
    <w:rsid w:val="008E02BC"/>
    <w:rsid w:val="008E0398"/>
    <w:rsid w:val="008E0409"/>
    <w:rsid w:val="008E04B7"/>
    <w:rsid w:val="008E05A5"/>
    <w:rsid w:val="008E0641"/>
    <w:rsid w:val="008E077A"/>
    <w:rsid w:val="008E078B"/>
    <w:rsid w:val="008E07E4"/>
    <w:rsid w:val="008E0829"/>
    <w:rsid w:val="008E085B"/>
    <w:rsid w:val="008E0878"/>
    <w:rsid w:val="008E0891"/>
    <w:rsid w:val="008E08A0"/>
    <w:rsid w:val="008E08DC"/>
    <w:rsid w:val="008E0908"/>
    <w:rsid w:val="008E09CA"/>
    <w:rsid w:val="008E09FA"/>
    <w:rsid w:val="008E0A0C"/>
    <w:rsid w:val="008E0A62"/>
    <w:rsid w:val="008E0A74"/>
    <w:rsid w:val="008E0B3F"/>
    <w:rsid w:val="008E0BA2"/>
    <w:rsid w:val="008E0C3A"/>
    <w:rsid w:val="008E0C68"/>
    <w:rsid w:val="008E0CB9"/>
    <w:rsid w:val="008E0D32"/>
    <w:rsid w:val="008E0D78"/>
    <w:rsid w:val="008E0D88"/>
    <w:rsid w:val="008E0DFD"/>
    <w:rsid w:val="008E0ECB"/>
    <w:rsid w:val="008E0FE8"/>
    <w:rsid w:val="008E1162"/>
    <w:rsid w:val="008E11B4"/>
    <w:rsid w:val="008E11DA"/>
    <w:rsid w:val="008E141F"/>
    <w:rsid w:val="008E142F"/>
    <w:rsid w:val="008E1455"/>
    <w:rsid w:val="008E1460"/>
    <w:rsid w:val="008E161B"/>
    <w:rsid w:val="008E165C"/>
    <w:rsid w:val="008E1696"/>
    <w:rsid w:val="008E1706"/>
    <w:rsid w:val="008E1752"/>
    <w:rsid w:val="008E17C2"/>
    <w:rsid w:val="008E17E2"/>
    <w:rsid w:val="008E181B"/>
    <w:rsid w:val="008E1827"/>
    <w:rsid w:val="008E18E8"/>
    <w:rsid w:val="008E192A"/>
    <w:rsid w:val="008E1997"/>
    <w:rsid w:val="008E1A6E"/>
    <w:rsid w:val="008E1B71"/>
    <w:rsid w:val="008E1C34"/>
    <w:rsid w:val="008E1C44"/>
    <w:rsid w:val="008E1C7E"/>
    <w:rsid w:val="008E1D13"/>
    <w:rsid w:val="008E1D90"/>
    <w:rsid w:val="008E1DD9"/>
    <w:rsid w:val="008E1DF6"/>
    <w:rsid w:val="008E1E23"/>
    <w:rsid w:val="008E1E6D"/>
    <w:rsid w:val="008E1F05"/>
    <w:rsid w:val="008E1F3A"/>
    <w:rsid w:val="008E1F5D"/>
    <w:rsid w:val="008E2010"/>
    <w:rsid w:val="008E201A"/>
    <w:rsid w:val="008E20F6"/>
    <w:rsid w:val="008E210F"/>
    <w:rsid w:val="008E2154"/>
    <w:rsid w:val="008E2171"/>
    <w:rsid w:val="008E2180"/>
    <w:rsid w:val="008E2186"/>
    <w:rsid w:val="008E21E2"/>
    <w:rsid w:val="008E23A2"/>
    <w:rsid w:val="008E248B"/>
    <w:rsid w:val="008E26BD"/>
    <w:rsid w:val="008E26D5"/>
    <w:rsid w:val="008E270B"/>
    <w:rsid w:val="008E2735"/>
    <w:rsid w:val="008E27B2"/>
    <w:rsid w:val="008E27F6"/>
    <w:rsid w:val="008E2864"/>
    <w:rsid w:val="008E2873"/>
    <w:rsid w:val="008E28E3"/>
    <w:rsid w:val="008E293F"/>
    <w:rsid w:val="008E2A18"/>
    <w:rsid w:val="008E2A3D"/>
    <w:rsid w:val="008E2AFE"/>
    <w:rsid w:val="008E2B80"/>
    <w:rsid w:val="008E2BF7"/>
    <w:rsid w:val="008E2C20"/>
    <w:rsid w:val="008E2DC4"/>
    <w:rsid w:val="008E2E40"/>
    <w:rsid w:val="008E2E7D"/>
    <w:rsid w:val="008E2EA0"/>
    <w:rsid w:val="008E2F5C"/>
    <w:rsid w:val="008E2FD7"/>
    <w:rsid w:val="008E3123"/>
    <w:rsid w:val="008E312D"/>
    <w:rsid w:val="008E31C6"/>
    <w:rsid w:val="008E32B6"/>
    <w:rsid w:val="008E332F"/>
    <w:rsid w:val="008E33A8"/>
    <w:rsid w:val="008E33D3"/>
    <w:rsid w:val="008E340C"/>
    <w:rsid w:val="008E345F"/>
    <w:rsid w:val="008E35A3"/>
    <w:rsid w:val="008E35F8"/>
    <w:rsid w:val="008E3627"/>
    <w:rsid w:val="008E36A0"/>
    <w:rsid w:val="008E36A2"/>
    <w:rsid w:val="008E37BC"/>
    <w:rsid w:val="008E37E5"/>
    <w:rsid w:val="008E384E"/>
    <w:rsid w:val="008E391C"/>
    <w:rsid w:val="008E3A5E"/>
    <w:rsid w:val="008E3A9E"/>
    <w:rsid w:val="008E3B28"/>
    <w:rsid w:val="008E3C7A"/>
    <w:rsid w:val="008E3C9A"/>
    <w:rsid w:val="008E3CC8"/>
    <w:rsid w:val="008E3E8C"/>
    <w:rsid w:val="008E3FCC"/>
    <w:rsid w:val="008E4166"/>
    <w:rsid w:val="008E4310"/>
    <w:rsid w:val="008E4331"/>
    <w:rsid w:val="008E4338"/>
    <w:rsid w:val="008E44CF"/>
    <w:rsid w:val="008E4592"/>
    <w:rsid w:val="008E45A4"/>
    <w:rsid w:val="008E45BA"/>
    <w:rsid w:val="008E4623"/>
    <w:rsid w:val="008E46B9"/>
    <w:rsid w:val="008E47F2"/>
    <w:rsid w:val="008E4988"/>
    <w:rsid w:val="008E4A61"/>
    <w:rsid w:val="008E4AAB"/>
    <w:rsid w:val="008E4AD3"/>
    <w:rsid w:val="008E4B67"/>
    <w:rsid w:val="008E4BC3"/>
    <w:rsid w:val="008E4BDC"/>
    <w:rsid w:val="008E4BE6"/>
    <w:rsid w:val="008E4C3D"/>
    <w:rsid w:val="008E4C6C"/>
    <w:rsid w:val="008E4CB9"/>
    <w:rsid w:val="008E4DC5"/>
    <w:rsid w:val="008E4DFB"/>
    <w:rsid w:val="008E4F0A"/>
    <w:rsid w:val="008E4F38"/>
    <w:rsid w:val="008E508E"/>
    <w:rsid w:val="008E50B9"/>
    <w:rsid w:val="008E50DF"/>
    <w:rsid w:val="008E50F9"/>
    <w:rsid w:val="008E5110"/>
    <w:rsid w:val="008E517C"/>
    <w:rsid w:val="008E5208"/>
    <w:rsid w:val="008E525C"/>
    <w:rsid w:val="008E5284"/>
    <w:rsid w:val="008E546E"/>
    <w:rsid w:val="008E554A"/>
    <w:rsid w:val="008E55AB"/>
    <w:rsid w:val="008E55B7"/>
    <w:rsid w:val="008E561E"/>
    <w:rsid w:val="008E5650"/>
    <w:rsid w:val="008E56DD"/>
    <w:rsid w:val="008E590E"/>
    <w:rsid w:val="008E5A8D"/>
    <w:rsid w:val="008E5AE5"/>
    <w:rsid w:val="008E5B08"/>
    <w:rsid w:val="008E5B6F"/>
    <w:rsid w:val="008E5BB0"/>
    <w:rsid w:val="008E5BF9"/>
    <w:rsid w:val="008E5C02"/>
    <w:rsid w:val="008E5C5F"/>
    <w:rsid w:val="008E5D33"/>
    <w:rsid w:val="008E5D42"/>
    <w:rsid w:val="008E5DA5"/>
    <w:rsid w:val="008E5DCF"/>
    <w:rsid w:val="008E5DD5"/>
    <w:rsid w:val="008E5DFD"/>
    <w:rsid w:val="008E5E2D"/>
    <w:rsid w:val="008E5F09"/>
    <w:rsid w:val="008E60FA"/>
    <w:rsid w:val="008E6153"/>
    <w:rsid w:val="008E625B"/>
    <w:rsid w:val="008E6286"/>
    <w:rsid w:val="008E6296"/>
    <w:rsid w:val="008E636A"/>
    <w:rsid w:val="008E63C1"/>
    <w:rsid w:val="008E63C9"/>
    <w:rsid w:val="008E64A6"/>
    <w:rsid w:val="008E64A8"/>
    <w:rsid w:val="008E6517"/>
    <w:rsid w:val="008E6816"/>
    <w:rsid w:val="008E68E0"/>
    <w:rsid w:val="008E69B2"/>
    <w:rsid w:val="008E69BB"/>
    <w:rsid w:val="008E6A89"/>
    <w:rsid w:val="008E6AED"/>
    <w:rsid w:val="008E6BD3"/>
    <w:rsid w:val="008E6C49"/>
    <w:rsid w:val="008E6E3C"/>
    <w:rsid w:val="008E6E57"/>
    <w:rsid w:val="008E6E5D"/>
    <w:rsid w:val="008E6EC6"/>
    <w:rsid w:val="008E6ED2"/>
    <w:rsid w:val="008E6EEC"/>
    <w:rsid w:val="008E6F17"/>
    <w:rsid w:val="008E6FDF"/>
    <w:rsid w:val="008E6FFD"/>
    <w:rsid w:val="008E7024"/>
    <w:rsid w:val="008E704B"/>
    <w:rsid w:val="008E70A5"/>
    <w:rsid w:val="008E70C7"/>
    <w:rsid w:val="008E70E6"/>
    <w:rsid w:val="008E7144"/>
    <w:rsid w:val="008E71EC"/>
    <w:rsid w:val="008E7297"/>
    <w:rsid w:val="008E7441"/>
    <w:rsid w:val="008E75E0"/>
    <w:rsid w:val="008E7648"/>
    <w:rsid w:val="008E7718"/>
    <w:rsid w:val="008E771C"/>
    <w:rsid w:val="008E77A3"/>
    <w:rsid w:val="008E77E5"/>
    <w:rsid w:val="008E7852"/>
    <w:rsid w:val="008E78E6"/>
    <w:rsid w:val="008E791E"/>
    <w:rsid w:val="008E7971"/>
    <w:rsid w:val="008E7974"/>
    <w:rsid w:val="008E7988"/>
    <w:rsid w:val="008E7A0C"/>
    <w:rsid w:val="008E7A32"/>
    <w:rsid w:val="008E7A8C"/>
    <w:rsid w:val="008E7AED"/>
    <w:rsid w:val="008E7D5C"/>
    <w:rsid w:val="008E7DDE"/>
    <w:rsid w:val="008E7E91"/>
    <w:rsid w:val="008E7EED"/>
    <w:rsid w:val="008E7EF3"/>
    <w:rsid w:val="008E7F35"/>
    <w:rsid w:val="008E7FE3"/>
    <w:rsid w:val="008F0085"/>
    <w:rsid w:val="008F0129"/>
    <w:rsid w:val="008F014A"/>
    <w:rsid w:val="008F017C"/>
    <w:rsid w:val="008F01D7"/>
    <w:rsid w:val="008F01E0"/>
    <w:rsid w:val="008F0223"/>
    <w:rsid w:val="008F026F"/>
    <w:rsid w:val="008F02EC"/>
    <w:rsid w:val="008F0317"/>
    <w:rsid w:val="008F0559"/>
    <w:rsid w:val="008F0783"/>
    <w:rsid w:val="008F07B9"/>
    <w:rsid w:val="008F07D2"/>
    <w:rsid w:val="008F087C"/>
    <w:rsid w:val="008F08C6"/>
    <w:rsid w:val="008F0932"/>
    <w:rsid w:val="008F0954"/>
    <w:rsid w:val="008F097C"/>
    <w:rsid w:val="008F0A6B"/>
    <w:rsid w:val="008F0D7F"/>
    <w:rsid w:val="008F0DC7"/>
    <w:rsid w:val="008F0DEA"/>
    <w:rsid w:val="008F0E83"/>
    <w:rsid w:val="008F0EAA"/>
    <w:rsid w:val="008F0F22"/>
    <w:rsid w:val="008F0F93"/>
    <w:rsid w:val="008F10D6"/>
    <w:rsid w:val="008F1117"/>
    <w:rsid w:val="008F111F"/>
    <w:rsid w:val="008F11D7"/>
    <w:rsid w:val="008F1266"/>
    <w:rsid w:val="008F1292"/>
    <w:rsid w:val="008F1333"/>
    <w:rsid w:val="008F1362"/>
    <w:rsid w:val="008F1371"/>
    <w:rsid w:val="008F1374"/>
    <w:rsid w:val="008F142B"/>
    <w:rsid w:val="008F151D"/>
    <w:rsid w:val="008F15B9"/>
    <w:rsid w:val="008F15F5"/>
    <w:rsid w:val="008F1737"/>
    <w:rsid w:val="008F1879"/>
    <w:rsid w:val="008F1944"/>
    <w:rsid w:val="008F1978"/>
    <w:rsid w:val="008F19DB"/>
    <w:rsid w:val="008F19F8"/>
    <w:rsid w:val="008F1A76"/>
    <w:rsid w:val="008F1A92"/>
    <w:rsid w:val="008F1B04"/>
    <w:rsid w:val="008F1B13"/>
    <w:rsid w:val="008F1D50"/>
    <w:rsid w:val="008F1E89"/>
    <w:rsid w:val="008F1EF5"/>
    <w:rsid w:val="008F1F33"/>
    <w:rsid w:val="008F1F8E"/>
    <w:rsid w:val="008F200C"/>
    <w:rsid w:val="008F2069"/>
    <w:rsid w:val="008F2184"/>
    <w:rsid w:val="008F21E2"/>
    <w:rsid w:val="008F23E0"/>
    <w:rsid w:val="008F2419"/>
    <w:rsid w:val="008F241F"/>
    <w:rsid w:val="008F2498"/>
    <w:rsid w:val="008F24B3"/>
    <w:rsid w:val="008F252F"/>
    <w:rsid w:val="008F257A"/>
    <w:rsid w:val="008F2635"/>
    <w:rsid w:val="008F266D"/>
    <w:rsid w:val="008F26DD"/>
    <w:rsid w:val="008F282E"/>
    <w:rsid w:val="008F2849"/>
    <w:rsid w:val="008F2B77"/>
    <w:rsid w:val="008F2BA1"/>
    <w:rsid w:val="008F2C01"/>
    <w:rsid w:val="008F2CB4"/>
    <w:rsid w:val="008F2CDF"/>
    <w:rsid w:val="008F2D2C"/>
    <w:rsid w:val="008F2DD3"/>
    <w:rsid w:val="008F2E2A"/>
    <w:rsid w:val="008F2E63"/>
    <w:rsid w:val="008F2EB3"/>
    <w:rsid w:val="008F2F2D"/>
    <w:rsid w:val="008F2FB9"/>
    <w:rsid w:val="008F2FE3"/>
    <w:rsid w:val="008F30F8"/>
    <w:rsid w:val="008F3103"/>
    <w:rsid w:val="008F3108"/>
    <w:rsid w:val="008F3116"/>
    <w:rsid w:val="008F323A"/>
    <w:rsid w:val="008F325A"/>
    <w:rsid w:val="008F335D"/>
    <w:rsid w:val="008F34D0"/>
    <w:rsid w:val="008F359A"/>
    <w:rsid w:val="008F3705"/>
    <w:rsid w:val="008F38F3"/>
    <w:rsid w:val="008F3A3B"/>
    <w:rsid w:val="008F3A7D"/>
    <w:rsid w:val="008F3AB0"/>
    <w:rsid w:val="008F3B13"/>
    <w:rsid w:val="008F3B88"/>
    <w:rsid w:val="008F3B8B"/>
    <w:rsid w:val="008F3C19"/>
    <w:rsid w:val="008F3C2C"/>
    <w:rsid w:val="008F3D81"/>
    <w:rsid w:val="008F3DE2"/>
    <w:rsid w:val="008F3DFA"/>
    <w:rsid w:val="008F3E36"/>
    <w:rsid w:val="008F3EA2"/>
    <w:rsid w:val="008F3F44"/>
    <w:rsid w:val="008F407C"/>
    <w:rsid w:val="008F40F0"/>
    <w:rsid w:val="008F4110"/>
    <w:rsid w:val="008F41AF"/>
    <w:rsid w:val="008F420E"/>
    <w:rsid w:val="008F4212"/>
    <w:rsid w:val="008F42A3"/>
    <w:rsid w:val="008F4338"/>
    <w:rsid w:val="008F433E"/>
    <w:rsid w:val="008F4444"/>
    <w:rsid w:val="008F450F"/>
    <w:rsid w:val="008F45B7"/>
    <w:rsid w:val="008F45E7"/>
    <w:rsid w:val="008F467F"/>
    <w:rsid w:val="008F46AD"/>
    <w:rsid w:val="008F46DC"/>
    <w:rsid w:val="008F4988"/>
    <w:rsid w:val="008F49C0"/>
    <w:rsid w:val="008F49CD"/>
    <w:rsid w:val="008F49D4"/>
    <w:rsid w:val="008F49FA"/>
    <w:rsid w:val="008F4A51"/>
    <w:rsid w:val="008F4A8B"/>
    <w:rsid w:val="008F4ADB"/>
    <w:rsid w:val="008F4BB9"/>
    <w:rsid w:val="008F4BCC"/>
    <w:rsid w:val="008F4D0D"/>
    <w:rsid w:val="008F4E54"/>
    <w:rsid w:val="008F4E62"/>
    <w:rsid w:val="008F4F69"/>
    <w:rsid w:val="008F513E"/>
    <w:rsid w:val="008F5189"/>
    <w:rsid w:val="008F51EF"/>
    <w:rsid w:val="008F5228"/>
    <w:rsid w:val="008F5292"/>
    <w:rsid w:val="008F5521"/>
    <w:rsid w:val="008F55A4"/>
    <w:rsid w:val="008F55D3"/>
    <w:rsid w:val="008F56A6"/>
    <w:rsid w:val="008F5840"/>
    <w:rsid w:val="008F5888"/>
    <w:rsid w:val="008F5891"/>
    <w:rsid w:val="008F58EF"/>
    <w:rsid w:val="008F5936"/>
    <w:rsid w:val="008F598C"/>
    <w:rsid w:val="008F59FC"/>
    <w:rsid w:val="008F5B87"/>
    <w:rsid w:val="008F5CD6"/>
    <w:rsid w:val="008F5CF6"/>
    <w:rsid w:val="008F5E6A"/>
    <w:rsid w:val="008F5F79"/>
    <w:rsid w:val="008F5F99"/>
    <w:rsid w:val="008F6054"/>
    <w:rsid w:val="008F60F3"/>
    <w:rsid w:val="008F6150"/>
    <w:rsid w:val="008F6197"/>
    <w:rsid w:val="008F61BE"/>
    <w:rsid w:val="008F6226"/>
    <w:rsid w:val="008F6284"/>
    <w:rsid w:val="008F6363"/>
    <w:rsid w:val="008F6578"/>
    <w:rsid w:val="008F663F"/>
    <w:rsid w:val="008F6647"/>
    <w:rsid w:val="008F66DE"/>
    <w:rsid w:val="008F66EA"/>
    <w:rsid w:val="008F6733"/>
    <w:rsid w:val="008F673F"/>
    <w:rsid w:val="008F6775"/>
    <w:rsid w:val="008F687D"/>
    <w:rsid w:val="008F68F3"/>
    <w:rsid w:val="008F698B"/>
    <w:rsid w:val="008F69C9"/>
    <w:rsid w:val="008F6B83"/>
    <w:rsid w:val="008F6B92"/>
    <w:rsid w:val="008F6BFF"/>
    <w:rsid w:val="008F6C2B"/>
    <w:rsid w:val="008F6C7C"/>
    <w:rsid w:val="008F6D14"/>
    <w:rsid w:val="008F6DCE"/>
    <w:rsid w:val="008F6EB2"/>
    <w:rsid w:val="008F6ED6"/>
    <w:rsid w:val="008F6F4B"/>
    <w:rsid w:val="008F6FCD"/>
    <w:rsid w:val="008F7185"/>
    <w:rsid w:val="008F71A4"/>
    <w:rsid w:val="008F7229"/>
    <w:rsid w:val="008F723D"/>
    <w:rsid w:val="008F7325"/>
    <w:rsid w:val="008F740F"/>
    <w:rsid w:val="008F747D"/>
    <w:rsid w:val="008F74AA"/>
    <w:rsid w:val="008F752E"/>
    <w:rsid w:val="008F7562"/>
    <w:rsid w:val="008F76B3"/>
    <w:rsid w:val="008F7706"/>
    <w:rsid w:val="008F7831"/>
    <w:rsid w:val="008F7896"/>
    <w:rsid w:val="008F78DC"/>
    <w:rsid w:val="008F7926"/>
    <w:rsid w:val="008F795A"/>
    <w:rsid w:val="008F7A60"/>
    <w:rsid w:val="008F7BB5"/>
    <w:rsid w:val="008F7BDE"/>
    <w:rsid w:val="008F7D54"/>
    <w:rsid w:val="008F7DE0"/>
    <w:rsid w:val="008F7E02"/>
    <w:rsid w:val="008F7E60"/>
    <w:rsid w:val="008F7F0D"/>
    <w:rsid w:val="008F7F4E"/>
    <w:rsid w:val="008F7F89"/>
    <w:rsid w:val="0090004F"/>
    <w:rsid w:val="00900125"/>
    <w:rsid w:val="009001A6"/>
    <w:rsid w:val="0090020C"/>
    <w:rsid w:val="009002C3"/>
    <w:rsid w:val="00900563"/>
    <w:rsid w:val="00900575"/>
    <w:rsid w:val="009005F8"/>
    <w:rsid w:val="0090076B"/>
    <w:rsid w:val="009007DB"/>
    <w:rsid w:val="009008E4"/>
    <w:rsid w:val="0090096E"/>
    <w:rsid w:val="00900A61"/>
    <w:rsid w:val="00900AA7"/>
    <w:rsid w:val="00900AAA"/>
    <w:rsid w:val="00900AAD"/>
    <w:rsid w:val="00900AC5"/>
    <w:rsid w:val="00900AC6"/>
    <w:rsid w:val="00900B3D"/>
    <w:rsid w:val="00900BC3"/>
    <w:rsid w:val="00900C25"/>
    <w:rsid w:val="00900E03"/>
    <w:rsid w:val="00900E43"/>
    <w:rsid w:val="00900E44"/>
    <w:rsid w:val="00900E46"/>
    <w:rsid w:val="00900E65"/>
    <w:rsid w:val="00900EE5"/>
    <w:rsid w:val="00900EE7"/>
    <w:rsid w:val="009010F2"/>
    <w:rsid w:val="0090110E"/>
    <w:rsid w:val="00901184"/>
    <w:rsid w:val="00901390"/>
    <w:rsid w:val="00901455"/>
    <w:rsid w:val="009016BB"/>
    <w:rsid w:val="00901766"/>
    <w:rsid w:val="009017C2"/>
    <w:rsid w:val="00901834"/>
    <w:rsid w:val="00901894"/>
    <w:rsid w:val="00901899"/>
    <w:rsid w:val="009018CF"/>
    <w:rsid w:val="009018F0"/>
    <w:rsid w:val="00901993"/>
    <w:rsid w:val="00901A31"/>
    <w:rsid w:val="00901A58"/>
    <w:rsid w:val="00901A66"/>
    <w:rsid w:val="00901AFD"/>
    <w:rsid w:val="00901B6F"/>
    <w:rsid w:val="00901C8B"/>
    <w:rsid w:val="00901C8E"/>
    <w:rsid w:val="00901CAD"/>
    <w:rsid w:val="00901CD2"/>
    <w:rsid w:val="00901D83"/>
    <w:rsid w:val="00901E25"/>
    <w:rsid w:val="00901EE4"/>
    <w:rsid w:val="00901F69"/>
    <w:rsid w:val="00902031"/>
    <w:rsid w:val="00902078"/>
    <w:rsid w:val="0090226B"/>
    <w:rsid w:val="0090232F"/>
    <w:rsid w:val="00902335"/>
    <w:rsid w:val="00902370"/>
    <w:rsid w:val="009023F8"/>
    <w:rsid w:val="009023FA"/>
    <w:rsid w:val="00902404"/>
    <w:rsid w:val="00902473"/>
    <w:rsid w:val="009024F0"/>
    <w:rsid w:val="00902533"/>
    <w:rsid w:val="00902540"/>
    <w:rsid w:val="00902555"/>
    <w:rsid w:val="0090255C"/>
    <w:rsid w:val="00902567"/>
    <w:rsid w:val="0090256D"/>
    <w:rsid w:val="0090259B"/>
    <w:rsid w:val="009025B3"/>
    <w:rsid w:val="0090270F"/>
    <w:rsid w:val="009027A8"/>
    <w:rsid w:val="00902865"/>
    <w:rsid w:val="0090288F"/>
    <w:rsid w:val="009028C7"/>
    <w:rsid w:val="0090295A"/>
    <w:rsid w:val="00902A57"/>
    <w:rsid w:val="00902A9D"/>
    <w:rsid w:val="00902B0E"/>
    <w:rsid w:val="00902B3F"/>
    <w:rsid w:val="00902C03"/>
    <w:rsid w:val="00902C2F"/>
    <w:rsid w:val="00902C6C"/>
    <w:rsid w:val="00902CE8"/>
    <w:rsid w:val="00902DF9"/>
    <w:rsid w:val="00902E08"/>
    <w:rsid w:val="0090303A"/>
    <w:rsid w:val="0090304C"/>
    <w:rsid w:val="0090305B"/>
    <w:rsid w:val="00903131"/>
    <w:rsid w:val="00903162"/>
    <w:rsid w:val="0090316F"/>
    <w:rsid w:val="00903219"/>
    <w:rsid w:val="0090323C"/>
    <w:rsid w:val="00903286"/>
    <w:rsid w:val="009032A5"/>
    <w:rsid w:val="00903372"/>
    <w:rsid w:val="00903385"/>
    <w:rsid w:val="00903403"/>
    <w:rsid w:val="00903490"/>
    <w:rsid w:val="00903534"/>
    <w:rsid w:val="0090353D"/>
    <w:rsid w:val="00903559"/>
    <w:rsid w:val="00903572"/>
    <w:rsid w:val="00903574"/>
    <w:rsid w:val="0090370B"/>
    <w:rsid w:val="00903755"/>
    <w:rsid w:val="009038C5"/>
    <w:rsid w:val="009039A4"/>
    <w:rsid w:val="00903A46"/>
    <w:rsid w:val="00903B68"/>
    <w:rsid w:val="00903C78"/>
    <w:rsid w:val="00903C7B"/>
    <w:rsid w:val="00903C7D"/>
    <w:rsid w:val="00903C9E"/>
    <w:rsid w:val="00903D48"/>
    <w:rsid w:val="00903E1E"/>
    <w:rsid w:val="00903EEF"/>
    <w:rsid w:val="00903F10"/>
    <w:rsid w:val="00903F72"/>
    <w:rsid w:val="00903F91"/>
    <w:rsid w:val="00903FA8"/>
    <w:rsid w:val="009040A2"/>
    <w:rsid w:val="009040D4"/>
    <w:rsid w:val="009040F0"/>
    <w:rsid w:val="00904266"/>
    <w:rsid w:val="009042A2"/>
    <w:rsid w:val="009042F3"/>
    <w:rsid w:val="00904335"/>
    <w:rsid w:val="00904365"/>
    <w:rsid w:val="009043C1"/>
    <w:rsid w:val="009043C5"/>
    <w:rsid w:val="009043CB"/>
    <w:rsid w:val="00904492"/>
    <w:rsid w:val="009044E5"/>
    <w:rsid w:val="009044E8"/>
    <w:rsid w:val="009044EC"/>
    <w:rsid w:val="00904527"/>
    <w:rsid w:val="00904545"/>
    <w:rsid w:val="0090456A"/>
    <w:rsid w:val="009047F4"/>
    <w:rsid w:val="0090483C"/>
    <w:rsid w:val="0090485B"/>
    <w:rsid w:val="009048C3"/>
    <w:rsid w:val="00904938"/>
    <w:rsid w:val="00904965"/>
    <w:rsid w:val="00904966"/>
    <w:rsid w:val="00904A14"/>
    <w:rsid w:val="00904A3E"/>
    <w:rsid w:val="00904B91"/>
    <w:rsid w:val="00904BB5"/>
    <w:rsid w:val="00904D63"/>
    <w:rsid w:val="00904E62"/>
    <w:rsid w:val="00904E86"/>
    <w:rsid w:val="00904EA7"/>
    <w:rsid w:val="00904ED3"/>
    <w:rsid w:val="00904F25"/>
    <w:rsid w:val="00904F5E"/>
    <w:rsid w:val="00904F7F"/>
    <w:rsid w:val="00904FC8"/>
    <w:rsid w:val="009050F6"/>
    <w:rsid w:val="00905112"/>
    <w:rsid w:val="00905150"/>
    <w:rsid w:val="00905199"/>
    <w:rsid w:val="009052F8"/>
    <w:rsid w:val="009053D0"/>
    <w:rsid w:val="009053F2"/>
    <w:rsid w:val="00905440"/>
    <w:rsid w:val="00905443"/>
    <w:rsid w:val="009054A5"/>
    <w:rsid w:val="009054B4"/>
    <w:rsid w:val="0090554E"/>
    <w:rsid w:val="009055A9"/>
    <w:rsid w:val="009055AA"/>
    <w:rsid w:val="009056BB"/>
    <w:rsid w:val="0090579C"/>
    <w:rsid w:val="009058E4"/>
    <w:rsid w:val="009058EE"/>
    <w:rsid w:val="00905923"/>
    <w:rsid w:val="00905998"/>
    <w:rsid w:val="009059ED"/>
    <w:rsid w:val="00905AD9"/>
    <w:rsid w:val="00905B34"/>
    <w:rsid w:val="00905CEC"/>
    <w:rsid w:val="00905D9A"/>
    <w:rsid w:val="00905DD9"/>
    <w:rsid w:val="00905E1D"/>
    <w:rsid w:val="00905E32"/>
    <w:rsid w:val="00905E7B"/>
    <w:rsid w:val="00905E99"/>
    <w:rsid w:val="00905F2E"/>
    <w:rsid w:val="00905FC9"/>
    <w:rsid w:val="00905FD8"/>
    <w:rsid w:val="009060FD"/>
    <w:rsid w:val="009061BE"/>
    <w:rsid w:val="00906300"/>
    <w:rsid w:val="0090634F"/>
    <w:rsid w:val="009063ED"/>
    <w:rsid w:val="0090658F"/>
    <w:rsid w:val="00906599"/>
    <w:rsid w:val="00906605"/>
    <w:rsid w:val="009067C4"/>
    <w:rsid w:val="009067F1"/>
    <w:rsid w:val="00906812"/>
    <w:rsid w:val="0090687A"/>
    <w:rsid w:val="009068AE"/>
    <w:rsid w:val="009068B9"/>
    <w:rsid w:val="00906901"/>
    <w:rsid w:val="00906959"/>
    <w:rsid w:val="0090698F"/>
    <w:rsid w:val="009069EB"/>
    <w:rsid w:val="00906A56"/>
    <w:rsid w:val="00906B82"/>
    <w:rsid w:val="00906C01"/>
    <w:rsid w:val="00906D64"/>
    <w:rsid w:val="00906DA7"/>
    <w:rsid w:val="00906E0B"/>
    <w:rsid w:val="00906E40"/>
    <w:rsid w:val="00906E4F"/>
    <w:rsid w:val="00906EDA"/>
    <w:rsid w:val="00906F0D"/>
    <w:rsid w:val="00906FDF"/>
    <w:rsid w:val="00906FEE"/>
    <w:rsid w:val="00907048"/>
    <w:rsid w:val="009071A5"/>
    <w:rsid w:val="009071C6"/>
    <w:rsid w:val="00907367"/>
    <w:rsid w:val="009073C6"/>
    <w:rsid w:val="009074AE"/>
    <w:rsid w:val="0090750B"/>
    <w:rsid w:val="00907626"/>
    <w:rsid w:val="009076CD"/>
    <w:rsid w:val="00907879"/>
    <w:rsid w:val="0090789D"/>
    <w:rsid w:val="009078BF"/>
    <w:rsid w:val="009079CB"/>
    <w:rsid w:val="009079ED"/>
    <w:rsid w:val="00907A17"/>
    <w:rsid w:val="00907A8B"/>
    <w:rsid w:val="00907B41"/>
    <w:rsid w:val="00907BAD"/>
    <w:rsid w:val="00907BF1"/>
    <w:rsid w:val="00907CEA"/>
    <w:rsid w:val="00907CF7"/>
    <w:rsid w:val="00907D36"/>
    <w:rsid w:val="00907D72"/>
    <w:rsid w:val="00907F1D"/>
    <w:rsid w:val="00907FC4"/>
    <w:rsid w:val="00907FD3"/>
    <w:rsid w:val="00907FF3"/>
    <w:rsid w:val="00907FF8"/>
    <w:rsid w:val="00910020"/>
    <w:rsid w:val="00910036"/>
    <w:rsid w:val="00910043"/>
    <w:rsid w:val="00910086"/>
    <w:rsid w:val="00910148"/>
    <w:rsid w:val="0091016B"/>
    <w:rsid w:val="0091039B"/>
    <w:rsid w:val="00910438"/>
    <w:rsid w:val="00910506"/>
    <w:rsid w:val="00910553"/>
    <w:rsid w:val="009106B3"/>
    <w:rsid w:val="00910790"/>
    <w:rsid w:val="009107F5"/>
    <w:rsid w:val="00910802"/>
    <w:rsid w:val="0091088A"/>
    <w:rsid w:val="00910A0B"/>
    <w:rsid w:val="00910A16"/>
    <w:rsid w:val="00910B22"/>
    <w:rsid w:val="00910B5E"/>
    <w:rsid w:val="00910C55"/>
    <w:rsid w:val="00910C63"/>
    <w:rsid w:val="00910CD6"/>
    <w:rsid w:val="00910DEB"/>
    <w:rsid w:val="00911253"/>
    <w:rsid w:val="00911422"/>
    <w:rsid w:val="009114BF"/>
    <w:rsid w:val="00911687"/>
    <w:rsid w:val="00911718"/>
    <w:rsid w:val="0091172C"/>
    <w:rsid w:val="009117C4"/>
    <w:rsid w:val="00911816"/>
    <w:rsid w:val="0091188C"/>
    <w:rsid w:val="00911962"/>
    <w:rsid w:val="00911A3B"/>
    <w:rsid w:val="00911A5E"/>
    <w:rsid w:val="00911A60"/>
    <w:rsid w:val="00911B2D"/>
    <w:rsid w:val="00911D11"/>
    <w:rsid w:val="00911D1D"/>
    <w:rsid w:val="00911E4C"/>
    <w:rsid w:val="00911E87"/>
    <w:rsid w:val="00911FAC"/>
    <w:rsid w:val="00911FC7"/>
    <w:rsid w:val="00911FD6"/>
    <w:rsid w:val="00911FF4"/>
    <w:rsid w:val="00912086"/>
    <w:rsid w:val="0091214C"/>
    <w:rsid w:val="00912164"/>
    <w:rsid w:val="009123ED"/>
    <w:rsid w:val="0091242A"/>
    <w:rsid w:val="00912454"/>
    <w:rsid w:val="00912716"/>
    <w:rsid w:val="00912779"/>
    <w:rsid w:val="0091279E"/>
    <w:rsid w:val="009127ED"/>
    <w:rsid w:val="00912B51"/>
    <w:rsid w:val="00912B77"/>
    <w:rsid w:val="00912C6A"/>
    <w:rsid w:val="00912CAC"/>
    <w:rsid w:val="00912CFC"/>
    <w:rsid w:val="00912E07"/>
    <w:rsid w:val="00912FFB"/>
    <w:rsid w:val="00913009"/>
    <w:rsid w:val="0091305A"/>
    <w:rsid w:val="009130A1"/>
    <w:rsid w:val="00913106"/>
    <w:rsid w:val="00913160"/>
    <w:rsid w:val="009131AB"/>
    <w:rsid w:val="00913237"/>
    <w:rsid w:val="00913378"/>
    <w:rsid w:val="0091342D"/>
    <w:rsid w:val="009134AB"/>
    <w:rsid w:val="0091352C"/>
    <w:rsid w:val="00913587"/>
    <w:rsid w:val="009135A7"/>
    <w:rsid w:val="009136AC"/>
    <w:rsid w:val="00913795"/>
    <w:rsid w:val="009137A8"/>
    <w:rsid w:val="009137BC"/>
    <w:rsid w:val="009137F5"/>
    <w:rsid w:val="00913846"/>
    <w:rsid w:val="0091388E"/>
    <w:rsid w:val="00913892"/>
    <w:rsid w:val="009138C2"/>
    <w:rsid w:val="009138D6"/>
    <w:rsid w:val="009138E9"/>
    <w:rsid w:val="00913A1E"/>
    <w:rsid w:val="00913A28"/>
    <w:rsid w:val="00913A6A"/>
    <w:rsid w:val="00913A78"/>
    <w:rsid w:val="00913A8E"/>
    <w:rsid w:val="00913ADF"/>
    <w:rsid w:val="00913AED"/>
    <w:rsid w:val="00913AFA"/>
    <w:rsid w:val="00913B3C"/>
    <w:rsid w:val="00913B7F"/>
    <w:rsid w:val="00913C32"/>
    <w:rsid w:val="00913D9E"/>
    <w:rsid w:val="00913D9F"/>
    <w:rsid w:val="00913DDD"/>
    <w:rsid w:val="00913E07"/>
    <w:rsid w:val="00913F28"/>
    <w:rsid w:val="0091408A"/>
    <w:rsid w:val="009140B2"/>
    <w:rsid w:val="00914148"/>
    <w:rsid w:val="00914178"/>
    <w:rsid w:val="00914192"/>
    <w:rsid w:val="009141D3"/>
    <w:rsid w:val="00914338"/>
    <w:rsid w:val="009143A8"/>
    <w:rsid w:val="009143AE"/>
    <w:rsid w:val="0091450F"/>
    <w:rsid w:val="0091456B"/>
    <w:rsid w:val="00914630"/>
    <w:rsid w:val="00914650"/>
    <w:rsid w:val="00914834"/>
    <w:rsid w:val="0091484F"/>
    <w:rsid w:val="00914905"/>
    <w:rsid w:val="00914929"/>
    <w:rsid w:val="0091498D"/>
    <w:rsid w:val="009149A3"/>
    <w:rsid w:val="009149AC"/>
    <w:rsid w:val="00914A2F"/>
    <w:rsid w:val="00914A68"/>
    <w:rsid w:val="00914A7B"/>
    <w:rsid w:val="00914B77"/>
    <w:rsid w:val="00914D4F"/>
    <w:rsid w:val="00914E34"/>
    <w:rsid w:val="00914E7F"/>
    <w:rsid w:val="00914F32"/>
    <w:rsid w:val="00914F33"/>
    <w:rsid w:val="00914F62"/>
    <w:rsid w:val="00914F63"/>
    <w:rsid w:val="00914F98"/>
    <w:rsid w:val="00914FC3"/>
    <w:rsid w:val="0091500B"/>
    <w:rsid w:val="0091507A"/>
    <w:rsid w:val="00915085"/>
    <w:rsid w:val="009150A2"/>
    <w:rsid w:val="009151B8"/>
    <w:rsid w:val="009152BD"/>
    <w:rsid w:val="009153C8"/>
    <w:rsid w:val="00915465"/>
    <w:rsid w:val="0091553A"/>
    <w:rsid w:val="00915564"/>
    <w:rsid w:val="00915567"/>
    <w:rsid w:val="009155CC"/>
    <w:rsid w:val="0091568D"/>
    <w:rsid w:val="00915697"/>
    <w:rsid w:val="00915855"/>
    <w:rsid w:val="009158A5"/>
    <w:rsid w:val="009158D1"/>
    <w:rsid w:val="00915919"/>
    <w:rsid w:val="00915976"/>
    <w:rsid w:val="009159BD"/>
    <w:rsid w:val="00915A59"/>
    <w:rsid w:val="00915AAC"/>
    <w:rsid w:val="00915B25"/>
    <w:rsid w:val="00915BD7"/>
    <w:rsid w:val="00915C2D"/>
    <w:rsid w:val="00915C4A"/>
    <w:rsid w:val="00915D8E"/>
    <w:rsid w:val="00915EEF"/>
    <w:rsid w:val="00915F37"/>
    <w:rsid w:val="00915F41"/>
    <w:rsid w:val="00916000"/>
    <w:rsid w:val="0091602C"/>
    <w:rsid w:val="00916308"/>
    <w:rsid w:val="0091632D"/>
    <w:rsid w:val="00916353"/>
    <w:rsid w:val="00916429"/>
    <w:rsid w:val="00916446"/>
    <w:rsid w:val="0091662F"/>
    <w:rsid w:val="009169BC"/>
    <w:rsid w:val="00916A09"/>
    <w:rsid w:val="00916A24"/>
    <w:rsid w:val="00916AC5"/>
    <w:rsid w:val="00916C65"/>
    <w:rsid w:val="00916CD6"/>
    <w:rsid w:val="00916CE4"/>
    <w:rsid w:val="00916D54"/>
    <w:rsid w:val="00916E6A"/>
    <w:rsid w:val="00916ED8"/>
    <w:rsid w:val="00916EFF"/>
    <w:rsid w:val="00916FF9"/>
    <w:rsid w:val="0091719B"/>
    <w:rsid w:val="009171A4"/>
    <w:rsid w:val="00917554"/>
    <w:rsid w:val="009175E7"/>
    <w:rsid w:val="00917650"/>
    <w:rsid w:val="00917676"/>
    <w:rsid w:val="009177AE"/>
    <w:rsid w:val="009179AC"/>
    <w:rsid w:val="00917A01"/>
    <w:rsid w:val="00917A85"/>
    <w:rsid w:val="00917B32"/>
    <w:rsid w:val="00917B9A"/>
    <w:rsid w:val="00917BB2"/>
    <w:rsid w:val="00917BFF"/>
    <w:rsid w:val="00917DD1"/>
    <w:rsid w:val="00917DF0"/>
    <w:rsid w:val="00917E39"/>
    <w:rsid w:val="00917EB7"/>
    <w:rsid w:val="00917EC3"/>
    <w:rsid w:val="00917FE0"/>
    <w:rsid w:val="0091F9F3"/>
    <w:rsid w:val="009200BE"/>
    <w:rsid w:val="009200E6"/>
    <w:rsid w:val="00920218"/>
    <w:rsid w:val="009202A7"/>
    <w:rsid w:val="009202AB"/>
    <w:rsid w:val="0092031F"/>
    <w:rsid w:val="00920330"/>
    <w:rsid w:val="00920350"/>
    <w:rsid w:val="0092038B"/>
    <w:rsid w:val="00920445"/>
    <w:rsid w:val="00920451"/>
    <w:rsid w:val="0092054E"/>
    <w:rsid w:val="009205EE"/>
    <w:rsid w:val="00920625"/>
    <w:rsid w:val="0092063F"/>
    <w:rsid w:val="009206B3"/>
    <w:rsid w:val="0092071E"/>
    <w:rsid w:val="00920746"/>
    <w:rsid w:val="009207B2"/>
    <w:rsid w:val="00920846"/>
    <w:rsid w:val="0092095C"/>
    <w:rsid w:val="00920984"/>
    <w:rsid w:val="00920A2C"/>
    <w:rsid w:val="00920A33"/>
    <w:rsid w:val="00920A8A"/>
    <w:rsid w:val="00920ABA"/>
    <w:rsid w:val="00920ADB"/>
    <w:rsid w:val="00920B86"/>
    <w:rsid w:val="00920D1D"/>
    <w:rsid w:val="00920DA7"/>
    <w:rsid w:val="00920FD4"/>
    <w:rsid w:val="0092100D"/>
    <w:rsid w:val="00921040"/>
    <w:rsid w:val="009210F9"/>
    <w:rsid w:val="00921158"/>
    <w:rsid w:val="0092115E"/>
    <w:rsid w:val="00921177"/>
    <w:rsid w:val="0092120C"/>
    <w:rsid w:val="00921283"/>
    <w:rsid w:val="009213E4"/>
    <w:rsid w:val="009214B3"/>
    <w:rsid w:val="009214EB"/>
    <w:rsid w:val="00921569"/>
    <w:rsid w:val="009215B8"/>
    <w:rsid w:val="00921814"/>
    <w:rsid w:val="0092186D"/>
    <w:rsid w:val="009218AF"/>
    <w:rsid w:val="009218B4"/>
    <w:rsid w:val="0092190E"/>
    <w:rsid w:val="00921942"/>
    <w:rsid w:val="00921A47"/>
    <w:rsid w:val="00921A82"/>
    <w:rsid w:val="00921AA5"/>
    <w:rsid w:val="00921AF5"/>
    <w:rsid w:val="00921B0D"/>
    <w:rsid w:val="00921BA0"/>
    <w:rsid w:val="00921BC6"/>
    <w:rsid w:val="00921C79"/>
    <w:rsid w:val="00921C9A"/>
    <w:rsid w:val="00921C9F"/>
    <w:rsid w:val="00921CE9"/>
    <w:rsid w:val="00921D35"/>
    <w:rsid w:val="00921D69"/>
    <w:rsid w:val="00921D91"/>
    <w:rsid w:val="00921D9B"/>
    <w:rsid w:val="00921DCE"/>
    <w:rsid w:val="00921DDB"/>
    <w:rsid w:val="00921E43"/>
    <w:rsid w:val="00921EE4"/>
    <w:rsid w:val="00922050"/>
    <w:rsid w:val="0092208E"/>
    <w:rsid w:val="009220DE"/>
    <w:rsid w:val="00922168"/>
    <w:rsid w:val="00922183"/>
    <w:rsid w:val="00922221"/>
    <w:rsid w:val="0092228C"/>
    <w:rsid w:val="0092229C"/>
    <w:rsid w:val="009222BD"/>
    <w:rsid w:val="00922430"/>
    <w:rsid w:val="00922472"/>
    <w:rsid w:val="009224CF"/>
    <w:rsid w:val="00922554"/>
    <w:rsid w:val="009225D1"/>
    <w:rsid w:val="009225ED"/>
    <w:rsid w:val="009226A5"/>
    <w:rsid w:val="0092289D"/>
    <w:rsid w:val="00922AFD"/>
    <w:rsid w:val="00922D2F"/>
    <w:rsid w:val="00922E48"/>
    <w:rsid w:val="00922E9E"/>
    <w:rsid w:val="00922EB4"/>
    <w:rsid w:val="00922FAC"/>
    <w:rsid w:val="00922FB2"/>
    <w:rsid w:val="00922FD8"/>
    <w:rsid w:val="00923016"/>
    <w:rsid w:val="00923054"/>
    <w:rsid w:val="009230F0"/>
    <w:rsid w:val="00923151"/>
    <w:rsid w:val="00923170"/>
    <w:rsid w:val="009231BD"/>
    <w:rsid w:val="0092320C"/>
    <w:rsid w:val="0092335E"/>
    <w:rsid w:val="009233AF"/>
    <w:rsid w:val="009233F1"/>
    <w:rsid w:val="00923466"/>
    <w:rsid w:val="009234B0"/>
    <w:rsid w:val="009234C7"/>
    <w:rsid w:val="00923543"/>
    <w:rsid w:val="00923570"/>
    <w:rsid w:val="009235AA"/>
    <w:rsid w:val="0092365A"/>
    <w:rsid w:val="0092367E"/>
    <w:rsid w:val="009236FF"/>
    <w:rsid w:val="009237D0"/>
    <w:rsid w:val="009237DC"/>
    <w:rsid w:val="00923817"/>
    <w:rsid w:val="0092385D"/>
    <w:rsid w:val="0092385F"/>
    <w:rsid w:val="00923873"/>
    <w:rsid w:val="0092396E"/>
    <w:rsid w:val="00923985"/>
    <w:rsid w:val="009239CA"/>
    <w:rsid w:val="00923A43"/>
    <w:rsid w:val="00923A51"/>
    <w:rsid w:val="00923A65"/>
    <w:rsid w:val="00923A6A"/>
    <w:rsid w:val="00923AA8"/>
    <w:rsid w:val="00923AEF"/>
    <w:rsid w:val="00923C4D"/>
    <w:rsid w:val="00923C5B"/>
    <w:rsid w:val="00923CD4"/>
    <w:rsid w:val="00923D6B"/>
    <w:rsid w:val="00923E1F"/>
    <w:rsid w:val="00923E7F"/>
    <w:rsid w:val="00923E80"/>
    <w:rsid w:val="00923EBA"/>
    <w:rsid w:val="00923F28"/>
    <w:rsid w:val="00923F80"/>
    <w:rsid w:val="00924119"/>
    <w:rsid w:val="0092419C"/>
    <w:rsid w:val="0092419F"/>
    <w:rsid w:val="009241A0"/>
    <w:rsid w:val="00924230"/>
    <w:rsid w:val="00924448"/>
    <w:rsid w:val="0092449A"/>
    <w:rsid w:val="009244D5"/>
    <w:rsid w:val="009246E9"/>
    <w:rsid w:val="0092471E"/>
    <w:rsid w:val="0092479F"/>
    <w:rsid w:val="00924846"/>
    <w:rsid w:val="009248A1"/>
    <w:rsid w:val="00924925"/>
    <w:rsid w:val="0092492F"/>
    <w:rsid w:val="009249B7"/>
    <w:rsid w:val="009249D7"/>
    <w:rsid w:val="00924AE2"/>
    <w:rsid w:val="00924BD9"/>
    <w:rsid w:val="00924C6B"/>
    <w:rsid w:val="00924CE2"/>
    <w:rsid w:val="00924DB1"/>
    <w:rsid w:val="00924EF0"/>
    <w:rsid w:val="00924F2E"/>
    <w:rsid w:val="0092503A"/>
    <w:rsid w:val="009250E1"/>
    <w:rsid w:val="00925114"/>
    <w:rsid w:val="0092515A"/>
    <w:rsid w:val="0092522A"/>
    <w:rsid w:val="0092527C"/>
    <w:rsid w:val="00925372"/>
    <w:rsid w:val="009253E0"/>
    <w:rsid w:val="00925405"/>
    <w:rsid w:val="0092544B"/>
    <w:rsid w:val="0092548E"/>
    <w:rsid w:val="009254A8"/>
    <w:rsid w:val="00925558"/>
    <w:rsid w:val="0092558C"/>
    <w:rsid w:val="009255BC"/>
    <w:rsid w:val="009255FD"/>
    <w:rsid w:val="0092561F"/>
    <w:rsid w:val="00925638"/>
    <w:rsid w:val="00925785"/>
    <w:rsid w:val="009258A0"/>
    <w:rsid w:val="009258D8"/>
    <w:rsid w:val="00925960"/>
    <w:rsid w:val="00925991"/>
    <w:rsid w:val="009259C1"/>
    <w:rsid w:val="00925AA4"/>
    <w:rsid w:val="00925B80"/>
    <w:rsid w:val="00925BA4"/>
    <w:rsid w:val="00925BAB"/>
    <w:rsid w:val="00925BB1"/>
    <w:rsid w:val="00925D3F"/>
    <w:rsid w:val="00925D83"/>
    <w:rsid w:val="00925E22"/>
    <w:rsid w:val="00925E45"/>
    <w:rsid w:val="00926026"/>
    <w:rsid w:val="00926047"/>
    <w:rsid w:val="00926054"/>
    <w:rsid w:val="0092633B"/>
    <w:rsid w:val="00926354"/>
    <w:rsid w:val="009263E0"/>
    <w:rsid w:val="009264C7"/>
    <w:rsid w:val="009264EC"/>
    <w:rsid w:val="00926589"/>
    <w:rsid w:val="009265A0"/>
    <w:rsid w:val="009265E8"/>
    <w:rsid w:val="009265EB"/>
    <w:rsid w:val="009265FF"/>
    <w:rsid w:val="00926668"/>
    <w:rsid w:val="00926702"/>
    <w:rsid w:val="00926720"/>
    <w:rsid w:val="0092673E"/>
    <w:rsid w:val="00926A69"/>
    <w:rsid w:val="00926A96"/>
    <w:rsid w:val="00926AFC"/>
    <w:rsid w:val="00926B04"/>
    <w:rsid w:val="00926B1E"/>
    <w:rsid w:val="00926B2D"/>
    <w:rsid w:val="00926BBD"/>
    <w:rsid w:val="00926C98"/>
    <w:rsid w:val="00926D17"/>
    <w:rsid w:val="00926D5A"/>
    <w:rsid w:val="00926D91"/>
    <w:rsid w:val="00926D9F"/>
    <w:rsid w:val="00926DAC"/>
    <w:rsid w:val="00926DC6"/>
    <w:rsid w:val="00926DCA"/>
    <w:rsid w:val="00926DF4"/>
    <w:rsid w:val="00926EE4"/>
    <w:rsid w:val="00926EFA"/>
    <w:rsid w:val="00926FA3"/>
    <w:rsid w:val="00926FCB"/>
    <w:rsid w:val="0092700B"/>
    <w:rsid w:val="00927035"/>
    <w:rsid w:val="00927076"/>
    <w:rsid w:val="00927135"/>
    <w:rsid w:val="009272A1"/>
    <w:rsid w:val="0092740B"/>
    <w:rsid w:val="009274D4"/>
    <w:rsid w:val="0092758A"/>
    <w:rsid w:val="0092767C"/>
    <w:rsid w:val="009276D1"/>
    <w:rsid w:val="009276FE"/>
    <w:rsid w:val="00927758"/>
    <w:rsid w:val="0092776B"/>
    <w:rsid w:val="0092779C"/>
    <w:rsid w:val="009277D3"/>
    <w:rsid w:val="009278D0"/>
    <w:rsid w:val="00927B49"/>
    <w:rsid w:val="00927BD1"/>
    <w:rsid w:val="00927C1F"/>
    <w:rsid w:val="00927C20"/>
    <w:rsid w:val="00927D0D"/>
    <w:rsid w:val="00927D50"/>
    <w:rsid w:val="00927E43"/>
    <w:rsid w:val="00927ED5"/>
    <w:rsid w:val="0093003B"/>
    <w:rsid w:val="0093011D"/>
    <w:rsid w:val="00930157"/>
    <w:rsid w:val="009301B3"/>
    <w:rsid w:val="009301E1"/>
    <w:rsid w:val="00930214"/>
    <w:rsid w:val="0093023F"/>
    <w:rsid w:val="00930281"/>
    <w:rsid w:val="009302BA"/>
    <w:rsid w:val="009302D4"/>
    <w:rsid w:val="00930332"/>
    <w:rsid w:val="0093039B"/>
    <w:rsid w:val="009303FB"/>
    <w:rsid w:val="00930468"/>
    <w:rsid w:val="00930489"/>
    <w:rsid w:val="009304CC"/>
    <w:rsid w:val="00930548"/>
    <w:rsid w:val="0093054D"/>
    <w:rsid w:val="009305CF"/>
    <w:rsid w:val="00930622"/>
    <w:rsid w:val="009306ED"/>
    <w:rsid w:val="00930721"/>
    <w:rsid w:val="0093078B"/>
    <w:rsid w:val="009307E0"/>
    <w:rsid w:val="009307FD"/>
    <w:rsid w:val="00930885"/>
    <w:rsid w:val="009308A2"/>
    <w:rsid w:val="0093091D"/>
    <w:rsid w:val="00930963"/>
    <w:rsid w:val="0093098F"/>
    <w:rsid w:val="009309F6"/>
    <w:rsid w:val="00930A13"/>
    <w:rsid w:val="00930AF2"/>
    <w:rsid w:val="00930BB6"/>
    <w:rsid w:val="00930BB9"/>
    <w:rsid w:val="00930C4A"/>
    <w:rsid w:val="00930C9F"/>
    <w:rsid w:val="00930CAE"/>
    <w:rsid w:val="00930DAC"/>
    <w:rsid w:val="00930DBF"/>
    <w:rsid w:val="00930F08"/>
    <w:rsid w:val="00930F44"/>
    <w:rsid w:val="00930F8B"/>
    <w:rsid w:val="00930FDB"/>
    <w:rsid w:val="00930FF9"/>
    <w:rsid w:val="0093101A"/>
    <w:rsid w:val="00931020"/>
    <w:rsid w:val="0093104C"/>
    <w:rsid w:val="00931138"/>
    <w:rsid w:val="00931154"/>
    <w:rsid w:val="009311AC"/>
    <w:rsid w:val="009311B7"/>
    <w:rsid w:val="0093120D"/>
    <w:rsid w:val="00931247"/>
    <w:rsid w:val="009312C6"/>
    <w:rsid w:val="00931335"/>
    <w:rsid w:val="0093145B"/>
    <w:rsid w:val="00931520"/>
    <w:rsid w:val="00931577"/>
    <w:rsid w:val="00931671"/>
    <w:rsid w:val="009317AD"/>
    <w:rsid w:val="0093188E"/>
    <w:rsid w:val="0093198A"/>
    <w:rsid w:val="00931999"/>
    <w:rsid w:val="009319BC"/>
    <w:rsid w:val="00931A1E"/>
    <w:rsid w:val="00931AA9"/>
    <w:rsid w:val="00931B49"/>
    <w:rsid w:val="00931B64"/>
    <w:rsid w:val="00931B8B"/>
    <w:rsid w:val="00931C85"/>
    <w:rsid w:val="00931D60"/>
    <w:rsid w:val="00931D70"/>
    <w:rsid w:val="00931E0C"/>
    <w:rsid w:val="00931EC6"/>
    <w:rsid w:val="00931F72"/>
    <w:rsid w:val="00931F87"/>
    <w:rsid w:val="00931FE1"/>
    <w:rsid w:val="0093204F"/>
    <w:rsid w:val="0093205F"/>
    <w:rsid w:val="00932083"/>
    <w:rsid w:val="00932087"/>
    <w:rsid w:val="00932142"/>
    <w:rsid w:val="0093220D"/>
    <w:rsid w:val="00932240"/>
    <w:rsid w:val="00932249"/>
    <w:rsid w:val="009322A1"/>
    <w:rsid w:val="009322E7"/>
    <w:rsid w:val="00932379"/>
    <w:rsid w:val="009323AA"/>
    <w:rsid w:val="009323DA"/>
    <w:rsid w:val="0093248D"/>
    <w:rsid w:val="009324A8"/>
    <w:rsid w:val="00932546"/>
    <w:rsid w:val="0093255D"/>
    <w:rsid w:val="009326DF"/>
    <w:rsid w:val="00932791"/>
    <w:rsid w:val="009328CE"/>
    <w:rsid w:val="009328E7"/>
    <w:rsid w:val="00932A20"/>
    <w:rsid w:val="00932B3D"/>
    <w:rsid w:val="00932C78"/>
    <w:rsid w:val="00932CDA"/>
    <w:rsid w:val="00932D49"/>
    <w:rsid w:val="00932D89"/>
    <w:rsid w:val="00932E20"/>
    <w:rsid w:val="00932E74"/>
    <w:rsid w:val="00932EA3"/>
    <w:rsid w:val="00932F8E"/>
    <w:rsid w:val="00932FAF"/>
    <w:rsid w:val="0093301F"/>
    <w:rsid w:val="0093302E"/>
    <w:rsid w:val="00933046"/>
    <w:rsid w:val="009330B5"/>
    <w:rsid w:val="009330DD"/>
    <w:rsid w:val="009330E0"/>
    <w:rsid w:val="0093310B"/>
    <w:rsid w:val="0093318E"/>
    <w:rsid w:val="009331F6"/>
    <w:rsid w:val="0093326D"/>
    <w:rsid w:val="0093326F"/>
    <w:rsid w:val="0093329A"/>
    <w:rsid w:val="009332DB"/>
    <w:rsid w:val="0093332F"/>
    <w:rsid w:val="0093338B"/>
    <w:rsid w:val="0093338E"/>
    <w:rsid w:val="00933468"/>
    <w:rsid w:val="00933562"/>
    <w:rsid w:val="0093356D"/>
    <w:rsid w:val="00933637"/>
    <w:rsid w:val="00933691"/>
    <w:rsid w:val="0093379C"/>
    <w:rsid w:val="009337AE"/>
    <w:rsid w:val="009337C2"/>
    <w:rsid w:val="009337D0"/>
    <w:rsid w:val="00933842"/>
    <w:rsid w:val="0093386F"/>
    <w:rsid w:val="00933883"/>
    <w:rsid w:val="0093390F"/>
    <w:rsid w:val="00933A2B"/>
    <w:rsid w:val="00933A76"/>
    <w:rsid w:val="00933AC9"/>
    <w:rsid w:val="00933B24"/>
    <w:rsid w:val="00933B7A"/>
    <w:rsid w:val="00933BD2"/>
    <w:rsid w:val="00933C80"/>
    <w:rsid w:val="00933D70"/>
    <w:rsid w:val="00933E1D"/>
    <w:rsid w:val="00933ED7"/>
    <w:rsid w:val="00933FA8"/>
    <w:rsid w:val="00934069"/>
    <w:rsid w:val="0093418A"/>
    <w:rsid w:val="009341F1"/>
    <w:rsid w:val="009341F3"/>
    <w:rsid w:val="00934214"/>
    <w:rsid w:val="00934224"/>
    <w:rsid w:val="00934274"/>
    <w:rsid w:val="0093431B"/>
    <w:rsid w:val="0093439D"/>
    <w:rsid w:val="00934419"/>
    <w:rsid w:val="0093445C"/>
    <w:rsid w:val="00934499"/>
    <w:rsid w:val="00934599"/>
    <w:rsid w:val="0093461F"/>
    <w:rsid w:val="0093463C"/>
    <w:rsid w:val="00934674"/>
    <w:rsid w:val="009346B9"/>
    <w:rsid w:val="009346D8"/>
    <w:rsid w:val="009346DB"/>
    <w:rsid w:val="009346FA"/>
    <w:rsid w:val="009347C1"/>
    <w:rsid w:val="00934825"/>
    <w:rsid w:val="00934965"/>
    <w:rsid w:val="009349AF"/>
    <w:rsid w:val="009349CE"/>
    <w:rsid w:val="00934A95"/>
    <w:rsid w:val="00934B2F"/>
    <w:rsid w:val="00934B4D"/>
    <w:rsid w:val="00934C7E"/>
    <w:rsid w:val="00934E83"/>
    <w:rsid w:val="00934FC6"/>
    <w:rsid w:val="00934FDF"/>
    <w:rsid w:val="00935209"/>
    <w:rsid w:val="0093522F"/>
    <w:rsid w:val="0093525A"/>
    <w:rsid w:val="00935298"/>
    <w:rsid w:val="009352C1"/>
    <w:rsid w:val="0093538E"/>
    <w:rsid w:val="009353A5"/>
    <w:rsid w:val="0093548D"/>
    <w:rsid w:val="009354CF"/>
    <w:rsid w:val="0093552B"/>
    <w:rsid w:val="0093556A"/>
    <w:rsid w:val="009355BF"/>
    <w:rsid w:val="00935601"/>
    <w:rsid w:val="00935662"/>
    <w:rsid w:val="00935668"/>
    <w:rsid w:val="0093569E"/>
    <w:rsid w:val="00935790"/>
    <w:rsid w:val="009357D3"/>
    <w:rsid w:val="0093589F"/>
    <w:rsid w:val="009358BE"/>
    <w:rsid w:val="0093590E"/>
    <w:rsid w:val="009359AD"/>
    <w:rsid w:val="009359BD"/>
    <w:rsid w:val="009359E8"/>
    <w:rsid w:val="00935A13"/>
    <w:rsid w:val="00935A3A"/>
    <w:rsid w:val="00935B27"/>
    <w:rsid w:val="00935C49"/>
    <w:rsid w:val="00935C8B"/>
    <w:rsid w:val="00935C90"/>
    <w:rsid w:val="00935D41"/>
    <w:rsid w:val="00935D48"/>
    <w:rsid w:val="00935DE4"/>
    <w:rsid w:val="00935E27"/>
    <w:rsid w:val="00935E68"/>
    <w:rsid w:val="00935ED4"/>
    <w:rsid w:val="00935EF2"/>
    <w:rsid w:val="00935F56"/>
    <w:rsid w:val="00935FD1"/>
    <w:rsid w:val="00935FE5"/>
    <w:rsid w:val="00936002"/>
    <w:rsid w:val="00936008"/>
    <w:rsid w:val="00936103"/>
    <w:rsid w:val="009361B3"/>
    <w:rsid w:val="009361EF"/>
    <w:rsid w:val="00936281"/>
    <w:rsid w:val="0093635D"/>
    <w:rsid w:val="0093635E"/>
    <w:rsid w:val="009363CD"/>
    <w:rsid w:val="0093641C"/>
    <w:rsid w:val="0093644F"/>
    <w:rsid w:val="00936486"/>
    <w:rsid w:val="009364E0"/>
    <w:rsid w:val="0093653D"/>
    <w:rsid w:val="009365CE"/>
    <w:rsid w:val="00936605"/>
    <w:rsid w:val="00936634"/>
    <w:rsid w:val="009366A6"/>
    <w:rsid w:val="009366A9"/>
    <w:rsid w:val="0093686D"/>
    <w:rsid w:val="009368A4"/>
    <w:rsid w:val="009368F5"/>
    <w:rsid w:val="009368FC"/>
    <w:rsid w:val="00936939"/>
    <w:rsid w:val="00936984"/>
    <w:rsid w:val="00936987"/>
    <w:rsid w:val="00936993"/>
    <w:rsid w:val="009369CA"/>
    <w:rsid w:val="009369DB"/>
    <w:rsid w:val="00936A24"/>
    <w:rsid w:val="00936B14"/>
    <w:rsid w:val="00936C1C"/>
    <w:rsid w:val="00936C85"/>
    <w:rsid w:val="00936E78"/>
    <w:rsid w:val="00936ED0"/>
    <w:rsid w:val="00936EE8"/>
    <w:rsid w:val="00936F63"/>
    <w:rsid w:val="00936F72"/>
    <w:rsid w:val="009371DB"/>
    <w:rsid w:val="00937258"/>
    <w:rsid w:val="0093739C"/>
    <w:rsid w:val="00937427"/>
    <w:rsid w:val="00937451"/>
    <w:rsid w:val="0093748A"/>
    <w:rsid w:val="009374A1"/>
    <w:rsid w:val="00937542"/>
    <w:rsid w:val="00937591"/>
    <w:rsid w:val="00937754"/>
    <w:rsid w:val="00937780"/>
    <w:rsid w:val="0093779B"/>
    <w:rsid w:val="009377B4"/>
    <w:rsid w:val="009377D7"/>
    <w:rsid w:val="00937868"/>
    <w:rsid w:val="009378DE"/>
    <w:rsid w:val="00937987"/>
    <w:rsid w:val="009379BE"/>
    <w:rsid w:val="009379D1"/>
    <w:rsid w:val="009379D6"/>
    <w:rsid w:val="00937A4F"/>
    <w:rsid w:val="00937A63"/>
    <w:rsid w:val="00937B6C"/>
    <w:rsid w:val="00937B88"/>
    <w:rsid w:val="00937C9F"/>
    <w:rsid w:val="00937D10"/>
    <w:rsid w:val="00937D25"/>
    <w:rsid w:val="00937DCB"/>
    <w:rsid w:val="00937E0D"/>
    <w:rsid w:val="00937EB5"/>
    <w:rsid w:val="00937F2F"/>
    <w:rsid w:val="00937FC0"/>
    <w:rsid w:val="00940055"/>
    <w:rsid w:val="009400B5"/>
    <w:rsid w:val="009400BB"/>
    <w:rsid w:val="00940100"/>
    <w:rsid w:val="009401BC"/>
    <w:rsid w:val="009401DE"/>
    <w:rsid w:val="009401FF"/>
    <w:rsid w:val="00940380"/>
    <w:rsid w:val="00940382"/>
    <w:rsid w:val="009403B7"/>
    <w:rsid w:val="009404E2"/>
    <w:rsid w:val="009404F6"/>
    <w:rsid w:val="0094051B"/>
    <w:rsid w:val="00940558"/>
    <w:rsid w:val="009405F3"/>
    <w:rsid w:val="00940617"/>
    <w:rsid w:val="00940637"/>
    <w:rsid w:val="0094063F"/>
    <w:rsid w:val="009407DB"/>
    <w:rsid w:val="009407F7"/>
    <w:rsid w:val="00940811"/>
    <w:rsid w:val="009408A9"/>
    <w:rsid w:val="009408C9"/>
    <w:rsid w:val="0094093F"/>
    <w:rsid w:val="0094095C"/>
    <w:rsid w:val="009409DF"/>
    <w:rsid w:val="009409F6"/>
    <w:rsid w:val="00940A13"/>
    <w:rsid w:val="00940A22"/>
    <w:rsid w:val="00940AD5"/>
    <w:rsid w:val="00940B69"/>
    <w:rsid w:val="00940B8B"/>
    <w:rsid w:val="00940BE6"/>
    <w:rsid w:val="00940C11"/>
    <w:rsid w:val="00940C24"/>
    <w:rsid w:val="00940D58"/>
    <w:rsid w:val="00940D76"/>
    <w:rsid w:val="00940E4C"/>
    <w:rsid w:val="00941059"/>
    <w:rsid w:val="0094108B"/>
    <w:rsid w:val="009410B9"/>
    <w:rsid w:val="00941160"/>
    <w:rsid w:val="00941171"/>
    <w:rsid w:val="00941217"/>
    <w:rsid w:val="00941221"/>
    <w:rsid w:val="009412B5"/>
    <w:rsid w:val="0094133E"/>
    <w:rsid w:val="009413F5"/>
    <w:rsid w:val="0094156B"/>
    <w:rsid w:val="0094158A"/>
    <w:rsid w:val="009415BC"/>
    <w:rsid w:val="009415F2"/>
    <w:rsid w:val="009416A1"/>
    <w:rsid w:val="0094172C"/>
    <w:rsid w:val="00941752"/>
    <w:rsid w:val="009417B4"/>
    <w:rsid w:val="009419BC"/>
    <w:rsid w:val="00941A26"/>
    <w:rsid w:val="00941A3D"/>
    <w:rsid w:val="00941A56"/>
    <w:rsid w:val="00941AA6"/>
    <w:rsid w:val="00941AA7"/>
    <w:rsid w:val="00941AEB"/>
    <w:rsid w:val="00941C5D"/>
    <w:rsid w:val="00941CDD"/>
    <w:rsid w:val="00941E2F"/>
    <w:rsid w:val="00941F4D"/>
    <w:rsid w:val="0094208A"/>
    <w:rsid w:val="00942194"/>
    <w:rsid w:val="009422D1"/>
    <w:rsid w:val="0094234D"/>
    <w:rsid w:val="00942366"/>
    <w:rsid w:val="009424D5"/>
    <w:rsid w:val="009424FE"/>
    <w:rsid w:val="00942609"/>
    <w:rsid w:val="00942635"/>
    <w:rsid w:val="009427FC"/>
    <w:rsid w:val="0094282C"/>
    <w:rsid w:val="009429C3"/>
    <w:rsid w:val="00942A2B"/>
    <w:rsid w:val="00942A5A"/>
    <w:rsid w:val="00942A93"/>
    <w:rsid w:val="00942C12"/>
    <w:rsid w:val="00942C60"/>
    <w:rsid w:val="00942D67"/>
    <w:rsid w:val="00942DC7"/>
    <w:rsid w:val="00942DE9"/>
    <w:rsid w:val="00942E3F"/>
    <w:rsid w:val="00942E82"/>
    <w:rsid w:val="00942ED8"/>
    <w:rsid w:val="00942FE3"/>
    <w:rsid w:val="00943177"/>
    <w:rsid w:val="00943278"/>
    <w:rsid w:val="009432AE"/>
    <w:rsid w:val="00943305"/>
    <w:rsid w:val="0094337A"/>
    <w:rsid w:val="0094340B"/>
    <w:rsid w:val="00943497"/>
    <w:rsid w:val="009434E4"/>
    <w:rsid w:val="00943571"/>
    <w:rsid w:val="00943685"/>
    <w:rsid w:val="009437E5"/>
    <w:rsid w:val="00943833"/>
    <w:rsid w:val="009438C2"/>
    <w:rsid w:val="00943908"/>
    <w:rsid w:val="0094391B"/>
    <w:rsid w:val="0094397E"/>
    <w:rsid w:val="009439BA"/>
    <w:rsid w:val="009439DC"/>
    <w:rsid w:val="00943A74"/>
    <w:rsid w:val="00943BA3"/>
    <w:rsid w:val="00943CF4"/>
    <w:rsid w:val="00943D18"/>
    <w:rsid w:val="00943D8B"/>
    <w:rsid w:val="00943E05"/>
    <w:rsid w:val="00943E41"/>
    <w:rsid w:val="00943E73"/>
    <w:rsid w:val="00943E84"/>
    <w:rsid w:val="00944022"/>
    <w:rsid w:val="0094404F"/>
    <w:rsid w:val="0094407F"/>
    <w:rsid w:val="009440CE"/>
    <w:rsid w:val="009440EC"/>
    <w:rsid w:val="00944202"/>
    <w:rsid w:val="0094420E"/>
    <w:rsid w:val="0094429A"/>
    <w:rsid w:val="00944303"/>
    <w:rsid w:val="009444AC"/>
    <w:rsid w:val="009444EA"/>
    <w:rsid w:val="009445EE"/>
    <w:rsid w:val="0094463F"/>
    <w:rsid w:val="00944739"/>
    <w:rsid w:val="009447AA"/>
    <w:rsid w:val="009447C0"/>
    <w:rsid w:val="009447EC"/>
    <w:rsid w:val="00944865"/>
    <w:rsid w:val="00944874"/>
    <w:rsid w:val="0094496F"/>
    <w:rsid w:val="00944978"/>
    <w:rsid w:val="00944A17"/>
    <w:rsid w:val="00944A59"/>
    <w:rsid w:val="00944AAF"/>
    <w:rsid w:val="00944AB6"/>
    <w:rsid w:val="00944ABB"/>
    <w:rsid w:val="00944B97"/>
    <w:rsid w:val="00944BF1"/>
    <w:rsid w:val="00944C7A"/>
    <w:rsid w:val="00944C8E"/>
    <w:rsid w:val="00944D30"/>
    <w:rsid w:val="00944E1D"/>
    <w:rsid w:val="00944E28"/>
    <w:rsid w:val="00944E61"/>
    <w:rsid w:val="00944EB2"/>
    <w:rsid w:val="00944F24"/>
    <w:rsid w:val="00944F61"/>
    <w:rsid w:val="00944F70"/>
    <w:rsid w:val="0094510A"/>
    <w:rsid w:val="009451A0"/>
    <w:rsid w:val="009453A8"/>
    <w:rsid w:val="009454FC"/>
    <w:rsid w:val="0094557A"/>
    <w:rsid w:val="009455DF"/>
    <w:rsid w:val="00945638"/>
    <w:rsid w:val="00945727"/>
    <w:rsid w:val="009457B4"/>
    <w:rsid w:val="009457C9"/>
    <w:rsid w:val="009457CD"/>
    <w:rsid w:val="009458D9"/>
    <w:rsid w:val="0094595E"/>
    <w:rsid w:val="009459DF"/>
    <w:rsid w:val="00945AF2"/>
    <w:rsid w:val="00945AF4"/>
    <w:rsid w:val="00945C2E"/>
    <w:rsid w:val="00945C92"/>
    <w:rsid w:val="00945DE2"/>
    <w:rsid w:val="00945E2B"/>
    <w:rsid w:val="00945F62"/>
    <w:rsid w:val="00945FAB"/>
    <w:rsid w:val="00945FFE"/>
    <w:rsid w:val="00946117"/>
    <w:rsid w:val="00946225"/>
    <w:rsid w:val="009462A4"/>
    <w:rsid w:val="00946343"/>
    <w:rsid w:val="0094645E"/>
    <w:rsid w:val="00946578"/>
    <w:rsid w:val="0094660C"/>
    <w:rsid w:val="009466CA"/>
    <w:rsid w:val="009467C2"/>
    <w:rsid w:val="009468A2"/>
    <w:rsid w:val="009468B9"/>
    <w:rsid w:val="009468FE"/>
    <w:rsid w:val="00946932"/>
    <w:rsid w:val="00946958"/>
    <w:rsid w:val="009469BA"/>
    <w:rsid w:val="009469BD"/>
    <w:rsid w:val="00946ACD"/>
    <w:rsid w:val="00946D53"/>
    <w:rsid w:val="00946D88"/>
    <w:rsid w:val="00946E21"/>
    <w:rsid w:val="00946E48"/>
    <w:rsid w:val="00946EBD"/>
    <w:rsid w:val="00946F1D"/>
    <w:rsid w:val="0094700B"/>
    <w:rsid w:val="00947067"/>
    <w:rsid w:val="009471FD"/>
    <w:rsid w:val="009472C1"/>
    <w:rsid w:val="0094733E"/>
    <w:rsid w:val="0094748C"/>
    <w:rsid w:val="009474D1"/>
    <w:rsid w:val="009474FE"/>
    <w:rsid w:val="0094759A"/>
    <w:rsid w:val="00947606"/>
    <w:rsid w:val="0094760A"/>
    <w:rsid w:val="00947628"/>
    <w:rsid w:val="0094763A"/>
    <w:rsid w:val="009476B7"/>
    <w:rsid w:val="00947941"/>
    <w:rsid w:val="00947990"/>
    <w:rsid w:val="009479D6"/>
    <w:rsid w:val="009479EA"/>
    <w:rsid w:val="00947B35"/>
    <w:rsid w:val="00947BB9"/>
    <w:rsid w:val="00947D76"/>
    <w:rsid w:val="00947DC4"/>
    <w:rsid w:val="00947DDA"/>
    <w:rsid w:val="00947E2C"/>
    <w:rsid w:val="00947E5C"/>
    <w:rsid w:val="009500DD"/>
    <w:rsid w:val="00950198"/>
    <w:rsid w:val="009501BE"/>
    <w:rsid w:val="009501FE"/>
    <w:rsid w:val="00950295"/>
    <w:rsid w:val="009502DD"/>
    <w:rsid w:val="00950479"/>
    <w:rsid w:val="0095047F"/>
    <w:rsid w:val="00950482"/>
    <w:rsid w:val="009504E4"/>
    <w:rsid w:val="009505F0"/>
    <w:rsid w:val="00950662"/>
    <w:rsid w:val="009506F8"/>
    <w:rsid w:val="0095073F"/>
    <w:rsid w:val="00950846"/>
    <w:rsid w:val="009508D8"/>
    <w:rsid w:val="009509C5"/>
    <w:rsid w:val="00950AB6"/>
    <w:rsid w:val="00950AD0"/>
    <w:rsid w:val="00950ADD"/>
    <w:rsid w:val="00950B2C"/>
    <w:rsid w:val="00950BAA"/>
    <w:rsid w:val="00950C24"/>
    <w:rsid w:val="00950C63"/>
    <w:rsid w:val="00950DE6"/>
    <w:rsid w:val="00950DFB"/>
    <w:rsid w:val="00950E7C"/>
    <w:rsid w:val="00950FA2"/>
    <w:rsid w:val="0095103E"/>
    <w:rsid w:val="00951130"/>
    <w:rsid w:val="00951131"/>
    <w:rsid w:val="009511B1"/>
    <w:rsid w:val="0095123A"/>
    <w:rsid w:val="0095124F"/>
    <w:rsid w:val="0095126D"/>
    <w:rsid w:val="00951291"/>
    <w:rsid w:val="009512C0"/>
    <w:rsid w:val="0095134E"/>
    <w:rsid w:val="009513E3"/>
    <w:rsid w:val="0095172C"/>
    <w:rsid w:val="0095179B"/>
    <w:rsid w:val="0095183A"/>
    <w:rsid w:val="00951883"/>
    <w:rsid w:val="00951903"/>
    <w:rsid w:val="00951932"/>
    <w:rsid w:val="0095199B"/>
    <w:rsid w:val="00951A93"/>
    <w:rsid w:val="00951B1D"/>
    <w:rsid w:val="00951BA8"/>
    <w:rsid w:val="00951BBD"/>
    <w:rsid w:val="00951BC0"/>
    <w:rsid w:val="00951BCD"/>
    <w:rsid w:val="00951C1D"/>
    <w:rsid w:val="00951C69"/>
    <w:rsid w:val="00951CBD"/>
    <w:rsid w:val="00951DE9"/>
    <w:rsid w:val="00951E39"/>
    <w:rsid w:val="00951E41"/>
    <w:rsid w:val="00951F7D"/>
    <w:rsid w:val="00951FFC"/>
    <w:rsid w:val="00952048"/>
    <w:rsid w:val="00952068"/>
    <w:rsid w:val="009520D3"/>
    <w:rsid w:val="0095211A"/>
    <w:rsid w:val="00952123"/>
    <w:rsid w:val="00952179"/>
    <w:rsid w:val="009522D3"/>
    <w:rsid w:val="0095234D"/>
    <w:rsid w:val="00952388"/>
    <w:rsid w:val="009523DA"/>
    <w:rsid w:val="009523E9"/>
    <w:rsid w:val="00952465"/>
    <w:rsid w:val="009524BA"/>
    <w:rsid w:val="009524C0"/>
    <w:rsid w:val="009524C9"/>
    <w:rsid w:val="00952509"/>
    <w:rsid w:val="009525FD"/>
    <w:rsid w:val="0095261E"/>
    <w:rsid w:val="00952621"/>
    <w:rsid w:val="00952627"/>
    <w:rsid w:val="00952668"/>
    <w:rsid w:val="009526DE"/>
    <w:rsid w:val="009526E3"/>
    <w:rsid w:val="0095274F"/>
    <w:rsid w:val="00952805"/>
    <w:rsid w:val="00952889"/>
    <w:rsid w:val="009528EA"/>
    <w:rsid w:val="00952927"/>
    <w:rsid w:val="00952934"/>
    <w:rsid w:val="009529B2"/>
    <w:rsid w:val="00952A2C"/>
    <w:rsid w:val="00952A9D"/>
    <w:rsid w:val="00952BAB"/>
    <w:rsid w:val="00952BAD"/>
    <w:rsid w:val="00952BD4"/>
    <w:rsid w:val="00952C33"/>
    <w:rsid w:val="00952CBF"/>
    <w:rsid w:val="00952CDD"/>
    <w:rsid w:val="00952DA4"/>
    <w:rsid w:val="00952DE5"/>
    <w:rsid w:val="00952EBE"/>
    <w:rsid w:val="00952F19"/>
    <w:rsid w:val="00953081"/>
    <w:rsid w:val="00953103"/>
    <w:rsid w:val="00953165"/>
    <w:rsid w:val="00953170"/>
    <w:rsid w:val="009531EE"/>
    <w:rsid w:val="0095329E"/>
    <w:rsid w:val="0095336A"/>
    <w:rsid w:val="009533E6"/>
    <w:rsid w:val="0095352E"/>
    <w:rsid w:val="00953691"/>
    <w:rsid w:val="009536E7"/>
    <w:rsid w:val="009536EE"/>
    <w:rsid w:val="00953735"/>
    <w:rsid w:val="009537E8"/>
    <w:rsid w:val="00953815"/>
    <w:rsid w:val="00953821"/>
    <w:rsid w:val="0095395E"/>
    <w:rsid w:val="00953967"/>
    <w:rsid w:val="009539F5"/>
    <w:rsid w:val="00953A1F"/>
    <w:rsid w:val="00953A54"/>
    <w:rsid w:val="00953A71"/>
    <w:rsid w:val="00953AEA"/>
    <w:rsid w:val="00953B7E"/>
    <w:rsid w:val="00953BAF"/>
    <w:rsid w:val="00953CE5"/>
    <w:rsid w:val="00953D02"/>
    <w:rsid w:val="00953D12"/>
    <w:rsid w:val="00953D43"/>
    <w:rsid w:val="00953D73"/>
    <w:rsid w:val="00953D9F"/>
    <w:rsid w:val="00953DFC"/>
    <w:rsid w:val="00953E4B"/>
    <w:rsid w:val="00953F66"/>
    <w:rsid w:val="00953FE9"/>
    <w:rsid w:val="00954050"/>
    <w:rsid w:val="009540A7"/>
    <w:rsid w:val="009540DC"/>
    <w:rsid w:val="009540E4"/>
    <w:rsid w:val="009541AB"/>
    <w:rsid w:val="009541C1"/>
    <w:rsid w:val="00954290"/>
    <w:rsid w:val="0095435F"/>
    <w:rsid w:val="00954467"/>
    <w:rsid w:val="009544B0"/>
    <w:rsid w:val="009544F6"/>
    <w:rsid w:val="00954505"/>
    <w:rsid w:val="00954514"/>
    <w:rsid w:val="00954750"/>
    <w:rsid w:val="00954791"/>
    <w:rsid w:val="0095484E"/>
    <w:rsid w:val="0095490C"/>
    <w:rsid w:val="0095498C"/>
    <w:rsid w:val="0095499A"/>
    <w:rsid w:val="009549E2"/>
    <w:rsid w:val="009549FD"/>
    <w:rsid w:val="00954B14"/>
    <w:rsid w:val="00954BD2"/>
    <w:rsid w:val="00954D02"/>
    <w:rsid w:val="00954D83"/>
    <w:rsid w:val="00954EB0"/>
    <w:rsid w:val="00954F5F"/>
    <w:rsid w:val="00954FC1"/>
    <w:rsid w:val="00954FF9"/>
    <w:rsid w:val="00955026"/>
    <w:rsid w:val="009550CC"/>
    <w:rsid w:val="00955109"/>
    <w:rsid w:val="0095510C"/>
    <w:rsid w:val="00955118"/>
    <w:rsid w:val="0095521E"/>
    <w:rsid w:val="00955279"/>
    <w:rsid w:val="009553C7"/>
    <w:rsid w:val="0095544B"/>
    <w:rsid w:val="009554AE"/>
    <w:rsid w:val="009554DC"/>
    <w:rsid w:val="0095550F"/>
    <w:rsid w:val="00955551"/>
    <w:rsid w:val="00955585"/>
    <w:rsid w:val="00955699"/>
    <w:rsid w:val="00955742"/>
    <w:rsid w:val="0095576F"/>
    <w:rsid w:val="0095577F"/>
    <w:rsid w:val="009557C2"/>
    <w:rsid w:val="00955814"/>
    <w:rsid w:val="00955900"/>
    <w:rsid w:val="0095593C"/>
    <w:rsid w:val="00955954"/>
    <w:rsid w:val="009559B0"/>
    <w:rsid w:val="00955A1C"/>
    <w:rsid w:val="00955B5D"/>
    <w:rsid w:val="00955B7C"/>
    <w:rsid w:val="00955BA1"/>
    <w:rsid w:val="00955BAE"/>
    <w:rsid w:val="00955C32"/>
    <w:rsid w:val="00955C3A"/>
    <w:rsid w:val="00955C5F"/>
    <w:rsid w:val="00955C6E"/>
    <w:rsid w:val="00955D35"/>
    <w:rsid w:val="00955DE9"/>
    <w:rsid w:val="00955E16"/>
    <w:rsid w:val="009560CB"/>
    <w:rsid w:val="0095633B"/>
    <w:rsid w:val="0095635F"/>
    <w:rsid w:val="00956363"/>
    <w:rsid w:val="00956380"/>
    <w:rsid w:val="009564A9"/>
    <w:rsid w:val="00956625"/>
    <w:rsid w:val="0095662E"/>
    <w:rsid w:val="0095671E"/>
    <w:rsid w:val="00956747"/>
    <w:rsid w:val="009567BB"/>
    <w:rsid w:val="00956875"/>
    <w:rsid w:val="0095688B"/>
    <w:rsid w:val="009568D4"/>
    <w:rsid w:val="009568F8"/>
    <w:rsid w:val="00956A01"/>
    <w:rsid w:val="00956BE2"/>
    <w:rsid w:val="00956D5A"/>
    <w:rsid w:val="00956D5F"/>
    <w:rsid w:val="00956E50"/>
    <w:rsid w:val="00956ECB"/>
    <w:rsid w:val="00956ED9"/>
    <w:rsid w:val="00956F4E"/>
    <w:rsid w:val="00957106"/>
    <w:rsid w:val="00957149"/>
    <w:rsid w:val="0095716B"/>
    <w:rsid w:val="00957194"/>
    <w:rsid w:val="00957252"/>
    <w:rsid w:val="00957262"/>
    <w:rsid w:val="00957319"/>
    <w:rsid w:val="00957568"/>
    <w:rsid w:val="00957570"/>
    <w:rsid w:val="0095759F"/>
    <w:rsid w:val="00957746"/>
    <w:rsid w:val="00957774"/>
    <w:rsid w:val="00957839"/>
    <w:rsid w:val="009579CE"/>
    <w:rsid w:val="009579DF"/>
    <w:rsid w:val="00957A08"/>
    <w:rsid w:val="00957B20"/>
    <w:rsid w:val="00957BDC"/>
    <w:rsid w:val="00957C2A"/>
    <w:rsid w:val="00957DFC"/>
    <w:rsid w:val="00957E02"/>
    <w:rsid w:val="00957F1F"/>
    <w:rsid w:val="00957F29"/>
    <w:rsid w:val="00957F72"/>
    <w:rsid w:val="00957F8A"/>
    <w:rsid w:val="00960077"/>
    <w:rsid w:val="009600C9"/>
    <w:rsid w:val="009601A8"/>
    <w:rsid w:val="009602C3"/>
    <w:rsid w:val="00960396"/>
    <w:rsid w:val="009603AD"/>
    <w:rsid w:val="00960404"/>
    <w:rsid w:val="0096044C"/>
    <w:rsid w:val="00960553"/>
    <w:rsid w:val="009605AB"/>
    <w:rsid w:val="0096074E"/>
    <w:rsid w:val="00960752"/>
    <w:rsid w:val="00960765"/>
    <w:rsid w:val="00960777"/>
    <w:rsid w:val="009607BA"/>
    <w:rsid w:val="00960807"/>
    <w:rsid w:val="0096085B"/>
    <w:rsid w:val="0096088F"/>
    <w:rsid w:val="009608AE"/>
    <w:rsid w:val="009608C6"/>
    <w:rsid w:val="00960A48"/>
    <w:rsid w:val="00960A53"/>
    <w:rsid w:val="00960AFE"/>
    <w:rsid w:val="00960B1E"/>
    <w:rsid w:val="00960BC6"/>
    <w:rsid w:val="00960C41"/>
    <w:rsid w:val="00960CF0"/>
    <w:rsid w:val="00960D25"/>
    <w:rsid w:val="00960D33"/>
    <w:rsid w:val="00960D92"/>
    <w:rsid w:val="00960E77"/>
    <w:rsid w:val="00960ECC"/>
    <w:rsid w:val="00960F92"/>
    <w:rsid w:val="00960FB6"/>
    <w:rsid w:val="0096102B"/>
    <w:rsid w:val="009610C0"/>
    <w:rsid w:val="009610EC"/>
    <w:rsid w:val="009610EF"/>
    <w:rsid w:val="0096127D"/>
    <w:rsid w:val="00961442"/>
    <w:rsid w:val="00961570"/>
    <w:rsid w:val="00961587"/>
    <w:rsid w:val="00961642"/>
    <w:rsid w:val="009616A7"/>
    <w:rsid w:val="009616D2"/>
    <w:rsid w:val="009616E8"/>
    <w:rsid w:val="00961790"/>
    <w:rsid w:val="0096181A"/>
    <w:rsid w:val="00961990"/>
    <w:rsid w:val="00961A4C"/>
    <w:rsid w:val="00961B0F"/>
    <w:rsid w:val="00961CA9"/>
    <w:rsid w:val="00961D39"/>
    <w:rsid w:val="00961D91"/>
    <w:rsid w:val="00961DA3"/>
    <w:rsid w:val="00961EB1"/>
    <w:rsid w:val="00961FA2"/>
    <w:rsid w:val="00962075"/>
    <w:rsid w:val="009620DF"/>
    <w:rsid w:val="0096212F"/>
    <w:rsid w:val="0096215B"/>
    <w:rsid w:val="0096220D"/>
    <w:rsid w:val="00962282"/>
    <w:rsid w:val="00962305"/>
    <w:rsid w:val="0096238A"/>
    <w:rsid w:val="009623E9"/>
    <w:rsid w:val="009623FA"/>
    <w:rsid w:val="009624B8"/>
    <w:rsid w:val="009624CB"/>
    <w:rsid w:val="009624E2"/>
    <w:rsid w:val="009624E7"/>
    <w:rsid w:val="009625D3"/>
    <w:rsid w:val="0096265D"/>
    <w:rsid w:val="00962741"/>
    <w:rsid w:val="0096274B"/>
    <w:rsid w:val="0096287F"/>
    <w:rsid w:val="009628B6"/>
    <w:rsid w:val="00962910"/>
    <w:rsid w:val="00962914"/>
    <w:rsid w:val="00962929"/>
    <w:rsid w:val="00962960"/>
    <w:rsid w:val="00962A2A"/>
    <w:rsid w:val="00962A4E"/>
    <w:rsid w:val="00962A51"/>
    <w:rsid w:val="00962BDA"/>
    <w:rsid w:val="00962C4C"/>
    <w:rsid w:val="00962D5D"/>
    <w:rsid w:val="00962DB7"/>
    <w:rsid w:val="00962E6E"/>
    <w:rsid w:val="00962E71"/>
    <w:rsid w:val="00962E82"/>
    <w:rsid w:val="00962EE7"/>
    <w:rsid w:val="00962FC8"/>
    <w:rsid w:val="00963019"/>
    <w:rsid w:val="0096302B"/>
    <w:rsid w:val="009630BB"/>
    <w:rsid w:val="009630DC"/>
    <w:rsid w:val="009630F2"/>
    <w:rsid w:val="00963122"/>
    <w:rsid w:val="009631F9"/>
    <w:rsid w:val="0096324B"/>
    <w:rsid w:val="0096327A"/>
    <w:rsid w:val="009632B4"/>
    <w:rsid w:val="009633E8"/>
    <w:rsid w:val="009633FD"/>
    <w:rsid w:val="00963425"/>
    <w:rsid w:val="00963426"/>
    <w:rsid w:val="00963490"/>
    <w:rsid w:val="009634F4"/>
    <w:rsid w:val="00963576"/>
    <w:rsid w:val="009635D8"/>
    <w:rsid w:val="00963645"/>
    <w:rsid w:val="0096364A"/>
    <w:rsid w:val="0096364E"/>
    <w:rsid w:val="00963683"/>
    <w:rsid w:val="00963691"/>
    <w:rsid w:val="009636A8"/>
    <w:rsid w:val="009636BB"/>
    <w:rsid w:val="00963706"/>
    <w:rsid w:val="0096375C"/>
    <w:rsid w:val="00963771"/>
    <w:rsid w:val="00963827"/>
    <w:rsid w:val="0096383E"/>
    <w:rsid w:val="009638D2"/>
    <w:rsid w:val="009639C1"/>
    <w:rsid w:val="00963A02"/>
    <w:rsid w:val="00963B5D"/>
    <w:rsid w:val="00963C90"/>
    <w:rsid w:val="00963D6A"/>
    <w:rsid w:val="00963DC1"/>
    <w:rsid w:val="00963DEB"/>
    <w:rsid w:val="00963E49"/>
    <w:rsid w:val="00963FB2"/>
    <w:rsid w:val="0096410C"/>
    <w:rsid w:val="00964112"/>
    <w:rsid w:val="0096417C"/>
    <w:rsid w:val="009641AE"/>
    <w:rsid w:val="009641EE"/>
    <w:rsid w:val="00964220"/>
    <w:rsid w:val="00964221"/>
    <w:rsid w:val="0096425D"/>
    <w:rsid w:val="00964267"/>
    <w:rsid w:val="009642AC"/>
    <w:rsid w:val="0096436A"/>
    <w:rsid w:val="00964384"/>
    <w:rsid w:val="00964395"/>
    <w:rsid w:val="009643F3"/>
    <w:rsid w:val="00964414"/>
    <w:rsid w:val="00964487"/>
    <w:rsid w:val="009644D1"/>
    <w:rsid w:val="009644F5"/>
    <w:rsid w:val="00964554"/>
    <w:rsid w:val="009645F9"/>
    <w:rsid w:val="009645FA"/>
    <w:rsid w:val="0096468C"/>
    <w:rsid w:val="00964732"/>
    <w:rsid w:val="0096473E"/>
    <w:rsid w:val="0096482D"/>
    <w:rsid w:val="009648BC"/>
    <w:rsid w:val="009648EB"/>
    <w:rsid w:val="0096493B"/>
    <w:rsid w:val="00964992"/>
    <w:rsid w:val="009649EB"/>
    <w:rsid w:val="009649F2"/>
    <w:rsid w:val="00964A79"/>
    <w:rsid w:val="00964B00"/>
    <w:rsid w:val="00964BA1"/>
    <w:rsid w:val="00964BC0"/>
    <w:rsid w:val="00964BC9"/>
    <w:rsid w:val="00964BD2"/>
    <w:rsid w:val="00964BF4"/>
    <w:rsid w:val="00964BFA"/>
    <w:rsid w:val="00964C47"/>
    <w:rsid w:val="00964C94"/>
    <w:rsid w:val="00964E41"/>
    <w:rsid w:val="00964EFB"/>
    <w:rsid w:val="00964F3C"/>
    <w:rsid w:val="00964F58"/>
    <w:rsid w:val="00964F81"/>
    <w:rsid w:val="009650F5"/>
    <w:rsid w:val="0096519A"/>
    <w:rsid w:val="0096519C"/>
    <w:rsid w:val="009652F2"/>
    <w:rsid w:val="00965336"/>
    <w:rsid w:val="009653A9"/>
    <w:rsid w:val="009653B0"/>
    <w:rsid w:val="009653ED"/>
    <w:rsid w:val="00965498"/>
    <w:rsid w:val="009654D0"/>
    <w:rsid w:val="009654DD"/>
    <w:rsid w:val="0096551B"/>
    <w:rsid w:val="0096552C"/>
    <w:rsid w:val="00965536"/>
    <w:rsid w:val="00965579"/>
    <w:rsid w:val="009655C5"/>
    <w:rsid w:val="0096562E"/>
    <w:rsid w:val="00965672"/>
    <w:rsid w:val="009656A2"/>
    <w:rsid w:val="009656C4"/>
    <w:rsid w:val="009656FC"/>
    <w:rsid w:val="00965780"/>
    <w:rsid w:val="0096584D"/>
    <w:rsid w:val="00965C72"/>
    <w:rsid w:val="00965C94"/>
    <w:rsid w:val="00965CB3"/>
    <w:rsid w:val="00965CEB"/>
    <w:rsid w:val="00965DD9"/>
    <w:rsid w:val="00965E73"/>
    <w:rsid w:val="00965E7B"/>
    <w:rsid w:val="00965F54"/>
    <w:rsid w:val="00966091"/>
    <w:rsid w:val="009660C0"/>
    <w:rsid w:val="009660D0"/>
    <w:rsid w:val="00966159"/>
    <w:rsid w:val="0096629B"/>
    <w:rsid w:val="009662BC"/>
    <w:rsid w:val="009662E6"/>
    <w:rsid w:val="00966330"/>
    <w:rsid w:val="009663EF"/>
    <w:rsid w:val="009664E3"/>
    <w:rsid w:val="00966656"/>
    <w:rsid w:val="00966745"/>
    <w:rsid w:val="009668F7"/>
    <w:rsid w:val="00966A23"/>
    <w:rsid w:val="00966A2B"/>
    <w:rsid w:val="00966A61"/>
    <w:rsid w:val="00966A6C"/>
    <w:rsid w:val="00966A7D"/>
    <w:rsid w:val="00966B15"/>
    <w:rsid w:val="00966B18"/>
    <w:rsid w:val="00966B54"/>
    <w:rsid w:val="00966B96"/>
    <w:rsid w:val="00966C08"/>
    <w:rsid w:val="00966C16"/>
    <w:rsid w:val="00966C46"/>
    <w:rsid w:val="00966D6A"/>
    <w:rsid w:val="00966EE8"/>
    <w:rsid w:val="00966EFE"/>
    <w:rsid w:val="00966FFE"/>
    <w:rsid w:val="00967062"/>
    <w:rsid w:val="0096707C"/>
    <w:rsid w:val="009670B0"/>
    <w:rsid w:val="009671B5"/>
    <w:rsid w:val="00967201"/>
    <w:rsid w:val="0096722D"/>
    <w:rsid w:val="00967252"/>
    <w:rsid w:val="0096729C"/>
    <w:rsid w:val="00967423"/>
    <w:rsid w:val="009674B1"/>
    <w:rsid w:val="00967543"/>
    <w:rsid w:val="009675BA"/>
    <w:rsid w:val="009675D0"/>
    <w:rsid w:val="00967611"/>
    <w:rsid w:val="00967641"/>
    <w:rsid w:val="00967721"/>
    <w:rsid w:val="009677FA"/>
    <w:rsid w:val="0096785D"/>
    <w:rsid w:val="0096785E"/>
    <w:rsid w:val="00967866"/>
    <w:rsid w:val="0096799C"/>
    <w:rsid w:val="00967AFA"/>
    <w:rsid w:val="00967B9C"/>
    <w:rsid w:val="00967C06"/>
    <w:rsid w:val="00967C75"/>
    <w:rsid w:val="00967D36"/>
    <w:rsid w:val="00967E0E"/>
    <w:rsid w:val="00967E4E"/>
    <w:rsid w:val="00967EB6"/>
    <w:rsid w:val="00967EDB"/>
    <w:rsid w:val="00967F32"/>
    <w:rsid w:val="00970088"/>
    <w:rsid w:val="0097009C"/>
    <w:rsid w:val="0097016D"/>
    <w:rsid w:val="0097020C"/>
    <w:rsid w:val="00970269"/>
    <w:rsid w:val="00970489"/>
    <w:rsid w:val="009704BD"/>
    <w:rsid w:val="009704C0"/>
    <w:rsid w:val="009704FC"/>
    <w:rsid w:val="0097056F"/>
    <w:rsid w:val="00970591"/>
    <w:rsid w:val="009705ED"/>
    <w:rsid w:val="009705F8"/>
    <w:rsid w:val="0097062F"/>
    <w:rsid w:val="0097067C"/>
    <w:rsid w:val="009706A7"/>
    <w:rsid w:val="009708CC"/>
    <w:rsid w:val="00970949"/>
    <w:rsid w:val="0097096D"/>
    <w:rsid w:val="00970A77"/>
    <w:rsid w:val="00970A93"/>
    <w:rsid w:val="00970BDF"/>
    <w:rsid w:val="00970BE9"/>
    <w:rsid w:val="00970CAC"/>
    <w:rsid w:val="00970CCD"/>
    <w:rsid w:val="00970F4A"/>
    <w:rsid w:val="00971388"/>
    <w:rsid w:val="009713B6"/>
    <w:rsid w:val="009713D5"/>
    <w:rsid w:val="009713F7"/>
    <w:rsid w:val="009715CC"/>
    <w:rsid w:val="00971679"/>
    <w:rsid w:val="0097167F"/>
    <w:rsid w:val="009716CC"/>
    <w:rsid w:val="00971954"/>
    <w:rsid w:val="009719F9"/>
    <w:rsid w:val="00971A23"/>
    <w:rsid w:val="00971A3A"/>
    <w:rsid w:val="00971B25"/>
    <w:rsid w:val="00971B43"/>
    <w:rsid w:val="00971CA6"/>
    <w:rsid w:val="00971CBA"/>
    <w:rsid w:val="00971D56"/>
    <w:rsid w:val="00971E0E"/>
    <w:rsid w:val="00971E18"/>
    <w:rsid w:val="00971E60"/>
    <w:rsid w:val="00971F3A"/>
    <w:rsid w:val="00971F9A"/>
    <w:rsid w:val="00971FBC"/>
    <w:rsid w:val="00972082"/>
    <w:rsid w:val="009720BA"/>
    <w:rsid w:val="009720BD"/>
    <w:rsid w:val="00972103"/>
    <w:rsid w:val="00972105"/>
    <w:rsid w:val="00972162"/>
    <w:rsid w:val="00972177"/>
    <w:rsid w:val="00972180"/>
    <w:rsid w:val="00972374"/>
    <w:rsid w:val="00972458"/>
    <w:rsid w:val="00972492"/>
    <w:rsid w:val="0097251B"/>
    <w:rsid w:val="009725A9"/>
    <w:rsid w:val="009725B5"/>
    <w:rsid w:val="0097266E"/>
    <w:rsid w:val="0097270B"/>
    <w:rsid w:val="0097271E"/>
    <w:rsid w:val="00972757"/>
    <w:rsid w:val="009727A0"/>
    <w:rsid w:val="009727D3"/>
    <w:rsid w:val="0097290D"/>
    <w:rsid w:val="00972AC5"/>
    <w:rsid w:val="00972B4E"/>
    <w:rsid w:val="00972BB7"/>
    <w:rsid w:val="00972BC7"/>
    <w:rsid w:val="00972BF5"/>
    <w:rsid w:val="00972D34"/>
    <w:rsid w:val="00972D45"/>
    <w:rsid w:val="00972D93"/>
    <w:rsid w:val="00972D9B"/>
    <w:rsid w:val="00972E3C"/>
    <w:rsid w:val="00972E69"/>
    <w:rsid w:val="00972F1D"/>
    <w:rsid w:val="00972F24"/>
    <w:rsid w:val="00972F7E"/>
    <w:rsid w:val="00973040"/>
    <w:rsid w:val="0097307F"/>
    <w:rsid w:val="00973104"/>
    <w:rsid w:val="009731DB"/>
    <w:rsid w:val="00973298"/>
    <w:rsid w:val="009732C9"/>
    <w:rsid w:val="009733A1"/>
    <w:rsid w:val="009733E6"/>
    <w:rsid w:val="0097340D"/>
    <w:rsid w:val="00973413"/>
    <w:rsid w:val="0097347F"/>
    <w:rsid w:val="00973575"/>
    <w:rsid w:val="009735BC"/>
    <w:rsid w:val="009735BF"/>
    <w:rsid w:val="009735C2"/>
    <w:rsid w:val="009735FA"/>
    <w:rsid w:val="00973671"/>
    <w:rsid w:val="00973777"/>
    <w:rsid w:val="009737F4"/>
    <w:rsid w:val="00973925"/>
    <w:rsid w:val="00973984"/>
    <w:rsid w:val="00973AF8"/>
    <w:rsid w:val="00973BA0"/>
    <w:rsid w:val="00973C50"/>
    <w:rsid w:val="00973CA7"/>
    <w:rsid w:val="00973CBC"/>
    <w:rsid w:val="00973CE1"/>
    <w:rsid w:val="00973D1A"/>
    <w:rsid w:val="00973D6A"/>
    <w:rsid w:val="00973D76"/>
    <w:rsid w:val="00973DBD"/>
    <w:rsid w:val="00973E13"/>
    <w:rsid w:val="00973E74"/>
    <w:rsid w:val="00973FBA"/>
    <w:rsid w:val="00974021"/>
    <w:rsid w:val="009740D0"/>
    <w:rsid w:val="009740D8"/>
    <w:rsid w:val="00974211"/>
    <w:rsid w:val="00974242"/>
    <w:rsid w:val="00974259"/>
    <w:rsid w:val="009742AF"/>
    <w:rsid w:val="00974393"/>
    <w:rsid w:val="009743B9"/>
    <w:rsid w:val="0097442C"/>
    <w:rsid w:val="00974525"/>
    <w:rsid w:val="00974594"/>
    <w:rsid w:val="00974783"/>
    <w:rsid w:val="0097488E"/>
    <w:rsid w:val="00974898"/>
    <w:rsid w:val="009748E4"/>
    <w:rsid w:val="00974910"/>
    <w:rsid w:val="00974913"/>
    <w:rsid w:val="00974926"/>
    <w:rsid w:val="00974A25"/>
    <w:rsid w:val="00974A8E"/>
    <w:rsid w:val="00974ACD"/>
    <w:rsid w:val="00974AF0"/>
    <w:rsid w:val="00974B94"/>
    <w:rsid w:val="00974BEF"/>
    <w:rsid w:val="00974C78"/>
    <w:rsid w:val="00974C7F"/>
    <w:rsid w:val="00974CBB"/>
    <w:rsid w:val="00974F9C"/>
    <w:rsid w:val="00974FD0"/>
    <w:rsid w:val="009751C3"/>
    <w:rsid w:val="0097521B"/>
    <w:rsid w:val="0097529E"/>
    <w:rsid w:val="009752D7"/>
    <w:rsid w:val="0097537C"/>
    <w:rsid w:val="00975383"/>
    <w:rsid w:val="00975408"/>
    <w:rsid w:val="00975411"/>
    <w:rsid w:val="00975412"/>
    <w:rsid w:val="00975484"/>
    <w:rsid w:val="009754FE"/>
    <w:rsid w:val="00975527"/>
    <w:rsid w:val="00975564"/>
    <w:rsid w:val="009755CE"/>
    <w:rsid w:val="00975703"/>
    <w:rsid w:val="00975714"/>
    <w:rsid w:val="00975761"/>
    <w:rsid w:val="00975813"/>
    <w:rsid w:val="009759EA"/>
    <w:rsid w:val="00975A94"/>
    <w:rsid w:val="00975B1A"/>
    <w:rsid w:val="00975B49"/>
    <w:rsid w:val="00975BD6"/>
    <w:rsid w:val="00975C16"/>
    <w:rsid w:val="00975C62"/>
    <w:rsid w:val="00975CA6"/>
    <w:rsid w:val="00975D45"/>
    <w:rsid w:val="00975E24"/>
    <w:rsid w:val="00975E9C"/>
    <w:rsid w:val="00975EC2"/>
    <w:rsid w:val="00975F7C"/>
    <w:rsid w:val="00975FF7"/>
    <w:rsid w:val="00976017"/>
    <w:rsid w:val="0097609E"/>
    <w:rsid w:val="0097616A"/>
    <w:rsid w:val="009761F8"/>
    <w:rsid w:val="00976222"/>
    <w:rsid w:val="009762A2"/>
    <w:rsid w:val="009762F4"/>
    <w:rsid w:val="00976369"/>
    <w:rsid w:val="00976377"/>
    <w:rsid w:val="0097644E"/>
    <w:rsid w:val="009764E0"/>
    <w:rsid w:val="009764E2"/>
    <w:rsid w:val="00976653"/>
    <w:rsid w:val="009766B8"/>
    <w:rsid w:val="00976705"/>
    <w:rsid w:val="00976746"/>
    <w:rsid w:val="009767F6"/>
    <w:rsid w:val="0097680C"/>
    <w:rsid w:val="00976997"/>
    <w:rsid w:val="00976A07"/>
    <w:rsid w:val="00976AF7"/>
    <w:rsid w:val="00976B93"/>
    <w:rsid w:val="00976BC8"/>
    <w:rsid w:val="00976C5E"/>
    <w:rsid w:val="00976C61"/>
    <w:rsid w:val="00976CAC"/>
    <w:rsid w:val="00976CB7"/>
    <w:rsid w:val="00976CFD"/>
    <w:rsid w:val="00976D0D"/>
    <w:rsid w:val="00976D65"/>
    <w:rsid w:val="00976D6C"/>
    <w:rsid w:val="00976DAF"/>
    <w:rsid w:val="00976DBE"/>
    <w:rsid w:val="00976FAF"/>
    <w:rsid w:val="009770C7"/>
    <w:rsid w:val="00977184"/>
    <w:rsid w:val="0097718E"/>
    <w:rsid w:val="009771FF"/>
    <w:rsid w:val="0097721F"/>
    <w:rsid w:val="00977340"/>
    <w:rsid w:val="00977353"/>
    <w:rsid w:val="009773FE"/>
    <w:rsid w:val="00977455"/>
    <w:rsid w:val="0097755C"/>
    <w:rsid w:val="0097762A"/>
    <w:rsid w:val="00977674"/>
    <w:rsid w:val="009776A2"/>
    <w:rsid w:val="0097774F"/>
    <w:rsid w:val="0097786C"/>
    <w:rsid w:val="0097787B"/>
    <w:rsid w:val="009779D1"/>
    <w:rsid w:val="00977B45"/>
    <w:rsid w:val="00977C3E"/>
    <w:rsid w:val="00977C45"/>
    <w:rsid w:val="00977C48"/>
    <w:rsid w:val="00977C57"/>
    <w:rsid w:val="00977D38"/>
    <w:rsid w:val="00977DDC"/>
    <w:rsid w:val="00977E81"/>
    <w:rsid w:val="00977ED4"/>
    <w:rsid w:val="00977F44"/>
    <w:rsid w:val="00980121"/>
    <w:rsid w:val="009801D9"/>
    <w:rsid w:val="0098023E"/>
    <w:rsid w:val="00980331"/>
    <w:rsid w:val="00980425"/>
    <w:rsid w:val="0098048A"/>
    <w:rsid w:val="0098050B"/>
    <w:rsid w:val="00980510"/>
    <w:rsid w:val="0098051C"/>
    <w:rsid w:val="00980569"/>
    <w:rsid w:val="009805C2"/>
    <w:rsid w:val="009805C3"/>
    <w:rsid w:val="009805D1"/>
    <w:rsid w:val="00980689"/>
    <w:rsid w:val="00980718"/>
    <w:rsid w:val="00980740"/>
    <w:rsid w:val="00980874"/>
    <w:rsid w:val="0098091C"/>
    <w:rsid w:val="0098095F"/>
    <w:rsid w:val="00980983"/>
    <w:rsid w:val="00980987"/>
    <w:rsid w:val="009809CD"/>
    <w:rsid w:val="009809DF"/>
    <w:rsid w:val="00980AA8"/>
    <w:rsid w:val="00980C48"/>
    <w:rsid w:val="00980C81"/>
    <w:rsid w:val="00980D76"/>
    <w:rsid w:val="00980D8A"/>
    <w:rsid w:val="00980E60"/>
    <w:rsid w:val="00980EBF"/>
    <w:rsid w:val="00980F20"/>
    <w:rsid w:val="009810ED"/>
    <w:rsid w:val="00981102"/>
    <w:rsid w:val="00981121"/>
    <w:rsid w:val="0098116F"/>
    <w:rsid w:val="00981172"/>
    <w:rsid w:val="009812C0"/>
    <w:rsid w:val="009812CB"/>
    <w:rsid w:val="009812F1"/>
    <w:rsid w:val="0098133B"/>
    <w:rsid w:val="009813F2"/>
    <w:rsid w:val="00981552"/>
    <w:rsid w:val="0098162A"/>
    <w:rsid w:val="00981688"/>
    <w:rsid w:val="00981718"/>
    <w:rsid w:val="0098177B"/>
    <w:rsid w:val="009817CD"/>
    <w:rsid w:val="0098196A"/>
    <w:rsid w:val="00981A4C"/>
    <w:rsid w:val="00981A9B"/>
    <w:rsid w:val="00981B46"/>
    <w:rsid w:val="00981BF2"/>
    <w:rsid w:val="00981C67"/>
    <w:rsid w:val="00981CE9"/>
    <w:rsid w:val="00981D8B"/>
    <w:rsid w:val="00981E19"/>
    <w:rsid w:val="00981F62"/>
    <w:rsid w:val="00981F7F"/>
    <w:rsid w:val="00981F80"/>
    <w:rsid w:val="00981F91"/>
    <w:rsid w:val="00981F9B"/>
    <w:rsid w:val="00981FF8"/>
    <w:rsid w:val="00982130"/>
    <w:rsid w:val="00982192"/>
    <w:rsid w:val="0098221A"/>
    <w:rsid w:val="00982280"/>
    <w:rsid w:val="009823BC"/>
    <w:rsid w:val="00982454"/>
    <w:rsid w:val="009824C8"/>
    <w:rsid w:val="0098250E"/>
    <w:rsid w:val="009825E6"/>
    <w:rsid w:val="00982660"/>
    <w:rsid w:val="00982663"/>
    <w:rsid w:val="00982692"/>
    <w:rsid w:val="009826DB"/>
    <w:rsid w:val="00982745"/>
    <w:rsid w:val="009827C2"/>
    <w:rsid w:val="00982859"/>
    <w:rsid w:val="009828B9"/>
    <w:rsid w:val="009828CE"/>
    <w:rsid w:val="00982950"/>
    <w:rsid w:val="00982AD8"/>
    <w:rsid w:val="00982ADB"/>
    <w:rsid w:val="00982B53"/>
    <w:rsid w:val="00982B5D"/>
    <w:rsid w:val="00982D15"/>
    <w:rsid w:val="00982D62"/>
    <w:rsid w:val="00982DF8"/>
    <w:rsid w:val="00982E30"/>
    <w:rsid w:val="00982EE4"/>
    <w:rsid w:val="00982FE0"/>
    <w:rsid w:val="0098304A"/>
    <w:rsid w:val="00983055"/>
    <w:rsid w:val="009831B8"/>
    <w:rsid w:val="009831E6"/>
    <w:rsid w:val="0098321A"/>
    <w:rsid w:val="009832E4"/>
    <w:rsid w:val="0098339A"/>
    <w:rsid w:val="0098347C"/>
    <w:rsid w:val="009834E9"/>
    <w:rsid w:val="009835FE"/>
    <w:rsid w:val="00983692"/>
    <w:rsid w:val="0098373C"/>
    <w:rsid w:val="0098373F"/>
    <w:rsid w:val="00983779"/>
    <w:rsid w:val="0098377B"/>
    <w:rsid w:val="009837CB"/>
    <w:rsid w:val="00983810"/>
    <w:rsid w:val="009838E8"/>
    <w:rsid w:val="0098390F"/>
    <w:rsid w:val="00983995"/>
    <w:rsid w:val="00983A94"/>
    <w:rsid w:val="00983AAB"/>
    <w:rsid w:val="00983B49"/>
    <w:rsid w:val="00983C4D"/>
    <w:rsid w:val="00983C9B"/>
    <w:rsid w:val="00983CCC"/>
    <w:rsid w:val="00983DBA"/>
    <w:rsid w:val="00983E14"/>
    <w:rsid w:val="00983EEA"/>
    <w:rsid w:val="00983FC4"/>
    <w:rsid w:val="009840C0"/>
    <w:rsid w:val="0098415C"/>
    <w:rsid w:val="0098419D"/>
    <w:rsid w:val="00984242"/>
    <w:rsid w:val="0098425A"/>
    <w:rsid w:val="009842B7"/>
    <w:rsid w:val="0098431B"/>
    <w:rsid w:val="00984327"/>
    <w:rsid w:val="00984389"/>
    <w:rsid w:val="0098438F"/>
    <w:rsid w:val="009843F6"/>
    <w:rsid w:val="00984536"/>
    <w:rsid w:val="00984557"/>
    <w:rsid w:val="009845A0"/>
    <w:rsid w:val="00984605"/>
    <w:rsid w:val="00984639"/>
    <w:rsid w:val="00984702"/>
    <w:rsid w:val="00984739"/>
    <w:rsid w:val="0098475D"/>
    <w:rsid w:val="0098477B"/>
    <w:rsid w:val="00984945"/>
    <w:rsid w:val="0098495D"/>
    <w:rsid w:val="00984995"/>
    <w:rsid w:val="00984A68"/>
    <w:rsid w:val="00984A86"/>
    <w:rsid w:val="00984AC5"/>
    <w:rsid w:val="00984B35"/>
    <w:rsid w:val="00984BC0"/>
    <w:rsid w:val="00984C12"/>
    <w:rsid w:val="00984C44"/>
    <w:rsid w:val="00984C62"/>
    <w:rsid w:val="00984C85"/>
    <w:rsid w:val="00984CB2"/>
    <w:rsid w:val="00984D0E"/>
    <w:rsid w:val="00984D7C"/>
    <w:rsid w:val="00984DD5"/>
    <w:rsid w:val="00984E4D"/>
    <w:rsid w:val="00984ED9"/>
    <w:rsid w:val="00984F2F"/>
    <w:rsid w:val="00984F9A"/>
    <w:rsid w:val="00985006"/>
    <w:rsid w:val="00985137"/>
    <w:rsid w:val="00985175"/>
    <w:rsid w:val="00985192"/>
    <w:rsid w:val="009852ED"/>
    <w:rsid w:val="00985318"/>
    <w:rsid w:val="00985333"/>
    <w:rsid w:val="00985351"/>
    <w:rsid w:val="009853CC"/>
    <w:rsid w:val="009854D0"/>
    <w:rsid w:val="009854F8"/>
    <w:rsid w:val="0098551B"/>
    <w:rsid w:val="00985522"/>
    <w:rsid w:val="00985594"/>
    <w:rsid w:val="00985782"/>
    <w:rsid w:val="00985784"/>
    <w:rsid w:val="00985883"/>
    <w:rsid w:val="00985895"/>
    <w:rsid w:val="00985A02"/>
    <w:rsid w:val="00985A6C"/>
    <w:rsid w:val="00985A81"/>
    <w:rsid w:val="00985AB6"/>
    <w:rsid w:val="00985AD9"/>
    <w:rsid w:val="00985AE8"/>
    <w:rsid w:val="00985AF9"/>
    <w:rsid w:val="00985C9B"/>
    <w:rsid w:val="00985CDD"/>
    <w:rsid w:val="00985DC0"/>
    <w:rsid w:val="00985E26"/>
    <w:rsid w:val="00985F1A"/>
    <w:rsid w:val="00985F2C"/>
    <w:rsid w:val="00986084"/>
    <w:rsid w:val="0098623E"/>
    <w:rsid w:val="00986248"/>
    <w:rsid w:val="00986271"/>
    <w:rsid w:val="0098629C"/>
    <w:rsid w:val="009862FA"/>
    <w:rsid w:val="00986368"/>
    <w:rsid w:val="009863DD"/>
    <w:rsid w:val="00986449"/>
    <w:rsid w:val="00986489"/>
    <w:rsid w:val="0098653F"/>
    <w:rsid w:val="009865F8"/>
    <w:rsid w:val="0098668D"/>
    <w:rsid w:val="0098677B"/>
    <w:rsid w:val="0098677F"/>
    <w:rsid w:val="009867CD"/>
    <w:rsid w:val="00986850"/>
    <w:rsid w:val="0098686F"/>
    <w:rsid w:val="0098691F"/>
    <w:rsid w:val="00986997"/>
    <w:rsid w:val="009869B8"/>
    <w:rsid w:val="00986AA1"/>
    <w:rsid w:val="00986C0D"/>
    <w:rsid w:val="00986C77"/>
    <w:rsid w:val="00986E2D"/>
    <w:rsid w:val="00986EB7"/>
    <w:rsid w:val="00986F79"/>
    <w:rsid w:val="009870D0"/>
    <w:rsid w:val="009870E4"/>
    <w:rsid w:val="00987131"/>
    <w:rsid w:val="0098718E"/>
    <w:rsid w:val="00987190"/>
    <w:rsid w:val="0098719D"/>
    <w:rsid w:val="009871C1"/>
    <w:rsid w:val="009871C9"/>
    <w:rsid w:val="009871DD"/>
    <w:rsid w:val="009872C8"/>
    <w:rsid w:val="009872FE"/>
    <w:rsid w:val="00987336"/>
    <w:rsid w:val="00987342"/>
    <w:rsid w:val="0098735A"/>
    <w:rsid w:val="00987388"/>
    <w:rsid w:val="00987434"/>
    <w:rsid w:val="009874D9"/>
    <w:rsid w:val="009874E1"/>
    <w:rsid w:val="0098753C"/>
    <w:rsid w:val="00987616"/>
    <w:rsid w:val="0098767C"/>
    <w:rsid w:val="00987841"/>
    <w:rsid w:val="00987885"/>
    <w:rsid w:val="009878E2"/>
    <w:rsid w:val="00987968"/>
    <w:rsid w:val="0098798B"/>
    <w:rsid w:val="00987BA7"/>
    <w:rsid w:val="00987C7E"/>
    <w:rsid w:val="00987D02"/>
    <w:rsid w:val="00987D26"/>
    <w:rsid w:val="00987DB0"/>
    <w:rsid w:val="00987DC5"/>
    <w:rsid w:val="00987F8A"/>
    <w:rsid w:val="00987F93"/>
    <w:rsid w:val="00989845"/>
    <w:rsid w:val="009900D0"/>
    <w:rsid w:val="009902A8"/>
    <w:rsid w:val="009902D8"/>
    <w:rsid w:val="00990309"/>
    <w:rsid w:val="0099034D"/>
    <w:rsid w:val="00990497"/>
    <w:rsid w:val="009904AA"/>
    <w:rsid w:val="009904AB"/>
    <w:rsid w:val="0099059E"/>
    <w:rsid w:val="009905D0"/>
    <w:rsid w:val="009906A1"/>
    <w:rsid w:val="009906BB"/>
    <w:rsid w:val="009906F2"/>
    <w:rsid w:val="009907E6"/>
    <w:rsid w:val="0099087D"/>
    <w:rsid w:val="00990A0C"/>
    <w:rsid w:val="00990AE0"/>
    <w:rsid w:val="00990AF2"/>
    <w:rsid w:val="00990B6F"/>
    <w:rsid w:val="00990CF6"/>
    <w:rsid w:val="00990DE8"/>
    <w:rsid w:val="00990DF8"/>
    <w:rsid w:val="00990E29"/>
    <w:rsid w:val="00990E6C"/>
    <w:rsid w:val="00990E87"/>
    <w:rsid w:val="00990FC6"/>
    <w:rsid w:val="00991049"/>
    <w:rsid w:val="00991112"/>
    <w:rsid w:val="00991182"/>
    <w:rsid w:val="009911CE"/>
    <w:rsid w:val="00991211"/>
    <w:rsid w:val="0099131B"/>
    <w:rsid w:val="00991361"/>
    <w:rsid w:val="0099137F"/>
    <w:rsid w:val="00991398"/>
    <w:rsid w:val="00991487"/>
    <w:rsid w:val="00991570"/>
    <w:rsid w:val="009915C1"/>
    <w:rsid w:val="009915F1"/>
    <w:rsid w:val="0099161E"/>
    <w:rsid w:val="00991667"/>
    <w:rsid w:val="009916C1"/>
    <w:rsid w:val="00991714"/>
    <w:rsid w:val="00991745"/>
    <w:rsid w:val="009917AE"/>
    <w:rsid w:val="009918C1"/>
    <w:rsid w:val="00991971"/>
    <w:rsid w:val="0099197A"/>
    <w:rsid w:val="00991B6D"/>
    <w:rsid w:val="00991B7D"/>
    <w:rsid w:val="00991C2A"/>
    <w:rsid w:val="00991C61"/>
    <w:rsid w:val="00991C97"/>
    <w:rsid w:val="00991D85"/>
    <w:rsid w:val="00991DAD"/>
    <w:rsid w:val="00991DDE"/>
    <w:rsid w:val="00991E46"/>
    <w:rsid w:val="00991E5C"/>
    <w:rsid w:val="00992102"/>
    <w:rsid w:val="0099215C"/>
    <w:rsid w:val="0099221F"/>
    <w:rsid w:val="0099228E"/>
    <w:rsid w:val="00992346"/>
    <w:rsid w:val="0099249F"/>
    <w:rsid w:val="0099270F"/>
    <w:rsid w:val="0099274E"/>
    <w:rsid w:val="00992768"/>
    <w:rsid w:val="009927E8"/>
    <w:rsid w:val="009928F1"/>
    <w:rsid w:val="0099290D"/>
    <w:rsid w:val="0099292F"/>
    <w:rsid w:val="00992A27"/>
    <w:rsid w:val="00992BCE"/>
    <w:rsid w:val="00992C15"/>
    <w:rsid w:val="00992CE5"/>
    <w:rsid w:val="00992D03"/>
    <w:rsid w:val="00992DBD"/>
    <w:rsid w:val="00992DDF"/>
    <w:rsid w:val="00992E02"/>
    <w:rsid w:val="00992E47"/>
    <w:rsid w:val="00992EC1"/>
    <w:rsid w:val="00992EC2"/>
    <w:rsid w:val="00993005"/>
    <w:rsid w:val="0099307E"/>
    <w:rsid w:val="009930B4"/>
    <w:rsid w:val="0099314C"/>
    <w:rsid w:val="0099336B"/>
    <w:rsid w:val="0099338F"/>
    <w:rsid w:val="009933E6"/>
    <w:rsid w:val="0099352C"/>
    <w:rsid w:val="00993546"/>
    <w:rsid w:val="0099357C"/>
    <w:rsid w:val="009936B6"/>
    <w:rsid w:val="009936D7"/>
    <w:rsid w:val="0099373F"/>
    <w:rsid w:val="0099375C"/>
    <w:rsid w:val="00993793"/>
    <w:rsid w:val="009937D5"/>
    <w:rsid w:val="00993899"/>
    <w:rsid w:val="00993904"/>
    <w:rsid w:val="00993A6A"/>
    <w:rsid w:val="00993A9F"/>
    <w:rsid w:val="00993BE1"/>
    <w:rsid w:val="00993C99"/>
    <w:rsid w:val="00993CDF"/>
    <w:rsid w:val="00993D45"/>
    <w:rsid w:val="00993D65"/>
    <w:rsid w:val="00993DC6"/>
    <w:rsid w:val="00993E2D"/>
    <w:rsid w:val="00993E58"/>
    <w:rsid w:val="00993F0F"/>
    <w:rsid w:val="00993F36"/>
    <w:rsid w:val="0099409F"/>
    <w:rsid w:val="009940F2"/>
    <w:rsid w:val="00994159"/>
    <w:rsid w:val="009941BC"/>
    <w:rsid w:val="00994233"/>
    <w:rsid w:val="00994251"/>
    <w:rsid w:val="00994308"/>
    <w:rsid w:val="00994311"/>
    <w:rsid w:val="00994322"/>
    <w:rsid w:val="0099434E"/>
    <w:rsid w:val="009943CE"/>
    <w:rsid w:val="00994478"/>
    <w:rsid w:val="00994544"/>
    <w:rsid w:val="009945B1"/>
    <w:rsid w:val="00994717"/>
    <w:rsid w:val="009947B8"/>
    <w:rsid w:val="00994972"/>
    <w:rsid w:val="00994A09"/>
    <w:rsid w:val="00994A8C"/>
    <w:rsid w:val="00994B1D"/>
    <w:rsid w:val="00994B45"/>
    <w:rsid w:val="00994BB1"/>
    <w:rsid w:val="00994C24"/>
    <w:rsid w:val="00994D2B"/>
    <w:rsid w:val="00994DBA"/>
    <w:rsid w:val="00994E8A"/>
    <w:rsid w:val="00994EDD"/>
    <w:rsid w:val="00995076"/>
    <w:rsid w:val="00995095"/>
    <w:rsid w:val="0099513F"/>
    <w:rsid w:val="0099518F"/>
    <w:rsid w:val="009951D5"/>
    <w:rsid w:val="0099523D"/>
    <w:rsid w:val="0099527A"/>
    <w:rsid w:val="0099530A"/>
    <w:rsid w:val="009953FE"/>
    <w:rsid w:val="00995455"/>
    <w:rsid w:val="009954CA"/>
    <w:rsid w:val="00995728"/>
    <w:rsid w:val="0099584C"/>
    <w:rsid w:val="009958E6"/>
    <w:rsid w:val="00995960"/>
    <w:rsid w:val="009959E0"/>
    <w:rsid w:val="009959F4"/>
    <w:rsid w:val="00995AAA"/>
    <w:rsid w:val="00995BEB"/>
    <w:rsid w:val="00995C6E"/>
    <w:rsid w:val="00995D3F"/>
    <w:rsid w:val="00995D54"/>
    <w:rsid w:val="00995EB0"/>
    <w:rsid w:val="00995F07"/>
    <w:rsid w:val="00995F5F"/>
    <w:rsid w:val="00995FDF"/>
    <w:rsid w:val="00995FE9"/>
    <w:rsid w:val="009960C7"/>
    <w:rsid w:val="00996180"/>
    <w:rsid w:val="0099619A"/>
    <w:rsid w:val="009961A8"/>
    <w:rsid w:val="00996428"/>
    <w:rsid w:val="00996455"/>
    <w:rsid w:val="0099647F"/>
    <w:rsid w:val="00996488"/>
    <w:rsid w:val="0099648E"/>
    <w:rsid w:val="00996492"/>
    <w:rsid w:val="00996515"/>
    <w:rsid w:val="0099653F"/>
    <w:rsid w:val="009965A2"/>
    <w:rsid w:val="009965F5"/>
    <w:rsid w:val="00996640"/>
    <w:rsid w:val="0099676F"/>
    <w:rsid w:val="00996775"/>
    <w:rsid w:val="0099677E"/>
    <w:rsid w:val="009967C5"/>
    <w:rsid w:val="009967D1"/>
    <w:rsid w:val="009967EF"/>
    <w:rsid w:val="009968B2"/>
    <w:rsid w:val="0099692A"/>
    <w:rsid w:val="00996943"/>
    <w:rsid w:val="00996968"/>
    <w:rsid w:val="009969D7"/>
    <w:rsid w:val="009969DF"/>
    <w:rsid w:val="00996A10"/>
    <w:rsid w:val="00996A67"/>
    <w:rsid w:val="00996AFF"/>
    <w:rsid w:val="00996B15"/>
    <w:rsid w:val="00996B3D"/>
    <w:rsid w:val="00996BB1"/>
    <w:rsid w:val="00996BF6"/>
    <w:rsid w:val="00996C89"/>
    <w:rsid w:val="00996D48"/>
    <w:rsid w:val="00996DD3"/>
    <w:rsid w:val="00996E2D"/>
    <w:rsid w:val="00996EE6"/>
    <w:rsid w:val="00996F47"/>
    <w:rsid w:val="00996F86"/>
    <w:rsid w:val="00997124"/>
    <w:rsid w:val="0099713D"/>
    <w:rsid w:val="009972DB"/>
    <w:rsid w:val="00997310"/>
    <w:rsid w:val="00997392"/>
    <w:rsid w:val="00997449"/>
    <w:rsid w:val="009974F3"/>
    <w:rsid w:val="00997526"/>
    <w:rsid w:val="00997538"/>
    <w:rsid w:val="009975D8"/>
    <w:rsid w:val="00997641"/>
    <w:rsid w:val="009977EC"/>
    <w:rsid w:val="0099792D"/>
    <w:rsid w:val="0099795E"/>
    <w:rsid w:val="009979CE"/>
    <w:rsid w:val="00997A18"/>
    <w:rsid w:val="00997A89"/>
    <w:rsid w:val="00997B5F"/>
    <w:rsid w:val="00997BFB"/>
    <w:rsid w:val="00997D3C"/>
    <w:rsid w:val="00997D4E"/>
    <w:rsid w:val="00997EDD"/>
    <w:rsid w:val="00997F5A"/>
    <w:rsid w:val="00997F85"/>
    <w:rsid w:val="009A005B"/>
    <w:rsid w:val="009A00E1"/>
    <w:rsid w:val="009A00E5"/>
    <w:rsid w:val="009A0133"/>
    <w:rsid w:val="009A027C"/>
    <w:rsid w:val="009A0286"/>
    <w:rsid w:val="009A0303"/>
    <w:rsid w:val="009A0341"/>
    <w:rsid w:val="009A03D0"/>
    <w:rsid w:val="009A03FF"/>
    <w:rsid w:val="009A043F"/>
    <w:rsid w:val="009A051A"/>
    <w:rsid w:val="009A058E"/>
    <w:rsid w:val="009A0607"/>
    <w:rsid w:val="009A0610"/>
    <w:rsid w:val="009A0739"/>
    <w:rsid w:val="009A07EF"/>
    <w:rsid w:val="009A0804"/>
    <w:rsid w:val="009A0811"/>
    <w:rsid w:val="009A0909"/>
    <w:rsid w:val="009A0A44"/>
    <w:rsid w:val="009A0A88"/>
    <w:rsid w:val="009A0B0B"/>
    <w:rsid w:val="009A0B37"/>
    <w:rsid w:val="009A0BC8"/>
    <w:rsid w:val="009A0BDB"/>
    <w:rsid w:val="009A0C73"/>
    <w:rsid w:val="009A0D4E"/>
    <w:rsid w:val="009A0D7C"/>
    <w:rsid w:val="009A0E53"/>
    <w:rsid w:val="009A0E76"/>
    <w:rsid w:val="009A0EAB"/>
    <w:rsid w:val="009A0EDD"/>
    <w:rsid w:val="009A0F34"/>
    <w:rsid w:val="009A0FB0"/>
    <w:rsid w:val="009A0FE7"/>
    <w:rsid w:val="009A0FF9"/>
    <w:rsid w:val="009A102D"/>
    <w:rsid w:val="009A1110"/>
    <w:rsid w:val="009A1170"/>
    <w:rsid w:val="009A1194"/>
    <w:rsid w:val="009A11C4"/>
    <w:rsid w:val="009A11E8"/>
    <w:rsid w:val="009A1354"/>
    <w:rsid w:val="009A13F3"/>
    <w:rsid w:val="009A147B"/>
    <w:rsid w:val="009A14AC"/>
    <w:rsid w:val="009A14BA"/>
    <w:rsid w:val="009A1541"/>
    <w:rsid w:val="009A1602"/>
    <w:rsid w:val="009A167A"/>
    <w:rsid w:val="009A17FF"/>
    <w:rsid w:val="009A1926"/>
    <w:rsid w:val="009A1951"/>
    <w:rsid w:val="009A19A3"/>
    <w:rsid w:val="009A19E6"/>
    <w:rsid w:val="009A1A44"/>
    <w:rsid w:val="009A1B27"/>
    <w:rsid w:val="009A1B44"/>
    <w:rsid w:val="009A1B92"/>
    <w:rsid w:val="009A1C03"/>
    <w:rsid w:val="009A1C7E"/>
    <w:rsid w:val="009A1D47"/>
    <w:rsid w:val="009A1E88"/>
    <w:rsid w:val="009A1F22"/>
    <w:rsid w:val="009A1F44"/>
    <w:rsid w:val="009A1F4A"/>
    <w:rsid w:val="009A1F57"/>
    <w:rsid w:val="009A1FEE"/>
    <w:rsid w:val="009A218B"/>
    <w:rsid w:val="009A21A0"/>
    <w:rsid w:val="009A21A8"/>
    <w:rsid w:val="009A21CE"/>
    <w:rsid w:val="009A223A"/>
    <w:rsid w:val="009A226C"/>
    <w:rsid w:val="009A2270"/>
    <w:rsid w:val="009A22B2"/>
    <w:rsid w:val="009A2307"/>
    <w:rsid w:val="009A23B2"/>
    <w:rsid w:val="009A24CF"/>
    <w:rsid w:val="009A270D"/>
    <w:rsid w:val="009A27D6"/>
    <w:rsid w:val="009A2811"/>
    <w:rsid w:val="009A2889"/>
    <w:rsid w:val="009A28DF"/>
    <w:rsid w:val="009A2924"/>
    <w:rsid w:val="009A292B"/>
    <w:rsid w:val="009A2A5A"/>
    <w:rsid w:val="009A2C62"/>
    <w:rsid w:val="009A2C7F"/>
    <w:rsid w:val="009A2C97"/>
    <w:rsid w:val="009A2CB5"/>
    <w:rsid w:val="009A2D84"/>
    <w:rsid w:val="009A2EF6"/>
    <w:rsid w:val="009A2FC1"/>
    <w:rsid w:val="009A2FFA"/>
    <w:rsid w:val="009A3025"/>
    <w:rsid w:val="009A30A7"/>
    <w:rsid w:val="009A30F5"/>
    <w:rsid w:val="009A31B0"/>
    <w:rsid w:val="009A3309"/>
    <w:rsid w:val="009A33F0"/>
    <w:rsid w:val="009A34B8"/>
    <w:rsid w:val="009A34CD"/>
    <w:rsid w:val="009A3539"/>
    <w:rsid w:val="009A3680"/>
    <w:rsid w:val="009A3718"/>
    <w:rsid w:val="009A371F"/>
    <w:rsid w:val="009A3837"/>
    <w:rsid w:val="009A38C7"/>
    <w:rsid w:val="009A3982"/>
    <w:rsid w:val="009A3ABA"/>
    <w:rsid w:val="009A3B3D"/>
    <w:rsid w:val="009A3B81"/>
    <w:rsid w:val="009A3B98"/>
    <w:rsid w:val="009A3C57"/>
    <w:rsid w:val="009A3CC3"/>
    <w:rsid w:val="009A3D6F"/>
    <w:rsid w:val="009A3D7C"/>
    <w:rsid w:val="009A3DAB"/>
    <w:rsid w:val="009A3DE7"/>
    <w:rsid w:val="009A3E51"/>
    <w:rsid w:val="009A3E63"/>
    <w:rsid w:val="009A3EDB"/>
    <w:rsid w:val="009A3F1A"/>
    <w:rsid w:val="009A3FCF"/>
    <w:rsid w:val="009A40A3"/>
    <w:rsid w:val="009A4179"/>
    <w:rsid w:val="009A41A7"/>
    <w:rsid w:val="009A421F"/>
    <w:rsid w:val="009A4233"/>
    <w:rsid w:val="009A424F"/>
    <w:rsid w:val="009A4256"/>
    <w:rsid w:val="009A4285"/>
    <w:rsid w:val="009A42A1"/>
    <w:rsid w:val="009A433C"/>
    <w:rsid w:val="009A43FF"/>
    <w:rsid w:val="009A4440"/>
    <w:rsid w:val="009A44A1"/>
    <w:rsid w:val="009A458D"/>
    <w:rsid w:val="009A462F"/>
    <w:rsid w:val="009A4646"/>
    <w:rsid w:val="009A466A"/>
    <w:rsid w:val="009A468D"/>
    <w:rsid w:val="009A4765"/>
    <w:rsid w:val="009A4769"/>
    <w:rsid w:val="009A47DC"/>
    <w:rsid w:val="009A48C6"/>
    <w:rsid w:val="009A48D4"/>
    <w:rsid w:val="009A498D"/>
    <w:rsid w:val="009A4A27"/>
    <w:rsid w:val="009A4A9F"/>
    <w:rsid w:val="009A4AEC"/>
    <w:rsid w:val="009A4B03"/>
    <w:rsid w:val="009A4B30"/>
    <w:rsid w:val="009A4B64"/>
    <w:rsid w:val="009A4C25"/>
    <w:rsid w:val="009A4C44"/>
    <w:rsid w:val="009A4C80"/>
    <w:rsid w:val="009A4DA4"/>
    <w:rsid w:val="009A4E7A"/>
    <w:rsid w:val="009A4F68"/>
    <w:rsid w:val="009A50D6"/>
    <w:rsid w:val="009A51AB"/>
    <w:rsid w:val="009A51FB"/>
    <w:rsid w:val="009A5235"/>
    <w:rsid w:val="009A53A6"/>
    <w:rsid w:val="009A53B2"/>
    <w:rsid w:val="009A53CA"/>
    <w:rsid w:val="009A53E8"/>
    <w:rsid w:val="009A5480"/>
    <w:rsid w:val="009A54AE"/>
    <w:rsid w:val="009A54E9"/>
    <w:rsid w:val="009A54F7"/>
    <w:rsid w:val="009A55D0"/>
    <w:rsid w:val="009A55FB"/>
    <w:rsid w:val="009A5612"/>
    <w:rsid w:val="009A5619"/>
    <w:rsid w:val="009A5749"/>
    <w:rsid w:val="009A57BE"/>
    <w:rsid w:val="009A5927"/>
    <w:rsid w:val="009A596C"/>
    <w:rsid w:val="009A5A08"/>
    <w:rsid w:val="009A5AC8"/>
    <w:rsid w:val="009A5B77"/>
    <w:rsid w:val="009A5C6A"/>
    <w:rsid w:val="009A5C8E"/>
    <w:rsid w:val="009A5CB2"/>
    <w:rsid w:val="009A5CB5"/>
    <w:rsid w:val="009A5CBD"/>
    <w:rsid w:val="009A5CF2"/>
    <w:rsid w:val="009A5D04"/>
    <w:rsid w:val="009A5D9F"/>
    <w:rsid w:val="009A5E2C"/>
    <w:rsid w:val="009A5E87"/>
    <w:rsid w:val="009A5F7E"/>
    <w:rsid w:val="009A603D"/>
    <w:rsid w:val="009A6101"/>
    <w:rsid w:val="009A6117"/>
    <w:rsid w:val="009A627C"/>
    <w:rsid w:val="009A62C6"/>
    <w:rsid w:val="009A63A7"/>
    <w:rsid w:val="009A64B7"/>
    <w:rsid w:val="009A64E1"/>
    <w:rsid w:val="009A64F3"/>
    <w:rsid w:val="009A6518"/>
    <w:rsid w:val="009A652A"/>
    <w:rsid w:val="009A6586"/>
    <w:rsid w:val="009A6604"/>
    <w:rsid w:val="009A66C1"/>
    <w:rsid w:val="009A66CB"/>
    <w:rsid w:val="009A66F0"/>
    <w:rsid w:val="009A674E"/>
    <w:rsid w:val="009A68B8"/>
    <w:rsid w:val="009A69B4"/>
    <w:rsid w:val="009A69BC"/>
    <w:rsid w:val="009A6B13"/>
    <w:rsid w:val="009A6BBB"/>
    <w:rsid w:val="009A6C97"/>
    <w:rsid w:val="009A6CCB"/>
    <w:rsid w:val="009A6D55"/>
    <w:rsid w:val="009A6D87"/>
    <w:rsid w:val="009A6DA1"/>
    <w:rsid w:val="009A6DBB"/>
    <w:rsid w:val="009A6DF2"/>
    <w:rsid w:val="009A6E67"/>
    <w:rsid w:val="009A6EC6"/>
    <w:rsid w:val="009A6F3E"/>
    <w:rsid w:val="009A7028"/>
    <w:rsid w:val="009A70DE"/>
    <w:rsid w:val="009A7158"/>
    <w:rsid w:val="009A7199"/>
    <w:rsid w:val="009A72FA"/>
    <w:rsid w:val="009A73F8"/>
    <w:rsid w:val="009A74A8"/>
    <w:rsid w:val="009A75B7"/>
    <w:rsid w:val="009A75CD"/>
    <w:rsid w:val="009A7629"/>
    <w:rsid w:val="009A76E0"/>
    <w:rsid w:val="009A77D4"/>
    <w:rsid w:val="009A78AE"/>
    <w:rsid w:val="009A78C1"/>
    <w:rsid w:val="009A7969"/>
    <w:rsid w:val="009A7A71"/>
    <w:rsid w:val="009A7B85"/>
    <w:rsid w:val="009A7C9E"/>
    <w:rsid w:val="009A7CCF"/>
    <w:rsid w:val="009A7D08"/>
    <w:rsid w:val="009A7D51"/>
    <w:rsid w:val="009A7E0B"/>
    <w:rsid w:val="009A7E54"/>
    <w:rsid w:val="009A7EA1"/>
    <w:rsid w:val="009A7EAB"/>
    <w:rsid w:val="009A7ECC"/>
    <w:rsid w:val="009A7EF4"/>
    <w:rsid w:val="009A7F23"/>
    <w:rsid w:val="009A7F2C"/>
    <w:rsid w:val="009A7FCD"/>
    <w:rsid w:val="009A7FE4"/>
    <w:rsid w:val="009B0005"/>
    <w:rsid w:val="009B0026"/>
    <w:rsid w:val="009B012C"/>
    <w:rsid w:val="009B0172"/>
    <w:rsid w:val="009B01D0"/>
    <w:rsid w:val="009B01D1"/>
    <w:rsid w:val="009B030A"/>
    <w:rsid w:val="009B033E"/>
    <w:rsid w:val="009B035E"/>
    <w:rsid w:val="009B036B"/>
    <w:rsid w:val="009B039B"/>
    <w:rsid w:val="009B041B"/>
    <w:rsid w:val="009B04EA"/>
    <w:rsid w:val="009B050C"/>
    <w:rsid w:val="009B0591"/>
    <w:rsid w:val="009B05BB"/>
    <w:rsid w:val="009B0634"/>
    <w:rsid w:val="009B07C9"/>
    <w:rsid w:val="009B07EB"/>
    <w:rsid w:val="009B0816"/>
    <w:rsid w:val="009B0853"/>
    <w:rsid w:val="009B0900"/>
    <w:rsid w:val="009B09A0"/>
    <w:rsid w:val="009B0A21"/>
    <w:rsid w:val="009B0AFD"/>
    <w:rsid w:val="009B0B44"/>
    <w:rsid w:val="009B0C15"/>
    <w:rsid w:val="009B0C33"/>
    <w:rsid w:val="009B0CD2"/>
    <w:rsid w:val="009B0D2E"/>
    <w:rsid w:val="009B0DE6"/>
    <w:rsid w:val="009B0E86"/>
    <w:rsid w:val="009B0F4C"/>
    <w:rsid w:val="009B0F7F"/>
    <w:rsid w:val="009B0F8B"/>
    <w:rsid w:val="009B0FC8"/>
    <w:rsid w:val="009B1052"/>
    <w:rsid w:val="009B106D"/>
    <w:rsid w:val="009B10F2"/>
    <w:rsid w:val="009B1119"/>
    <w:rsid w:val="009B1144"/>
    <w:rsid w:val="009B11DC"/>
    <w:rsid w:val="009B1354"/>
    <w:rsid w:val="009B13A3"/>
    <w:rsid w:val="009B1427"/>
    <w:rsid w:val="009B156A"/>
    <w:rsid w:val="009B1698"/>
    <w:rsid w:val="009B16E5"/>
    <w:rsid w:val="009B185C"/>
    <w:rsid w:val="009B19D8"/>
    <w:rsid w:val="009B1A0B"/>
    <w:rsid w:val="009B1A9B"/>
    <w:rsid w:val="009B1AE9"/>
    <w:rsid w:val="009B1C72"/>
    <w:rsid w:val="009B1C93"/>
    <w:rsid w:val="009B1D43"/>
    <w:rsid w:val="009B1D48"/>
    <w:rsid w:val="009B1DA3"/>
    <w:rsid w:val="009B1E1F"/>
    <w:rsid w:val="009B1EFB"/>
    <w:rsid w:val="009B21F4"/>
    <w:rsid w:val="009B21FB"/>
    <w:rsid w:val="009B21FC"/>
    <w:rsid w:val="009B2224"/>
    <w:rsid w:val="009B22F3"/>
    <w:rsid w:val="009B233A"/>
    <w:rsid w:val="009B2446"/>
    <w:rsid w:val="009B2447"/>
    <w:rsid w:val="009B246B"/>
    <w:rsid w:val="009B246D"/>
    <w:rsid w:val="009B24E0"/>
    <w:rsid w:val="009B26E5"/>
    <w:rsid w:val="009B2700"/>
    <w:rsid w:val="009B2758"/>
    <w:rsid w:val="009B27A6"/>
    <w:rsid w:val="009B27E8"/>
    <w:rsid w:val="009B28D8"/>
    <w:rsid w:val="009B2A12"/>
    <w:rsid w:val="009B2A34"/>
    <w:rsid w:val="009B2A90"/>
    <w:rsid w:val="009B2AD3"/>
    <w:rsid w:val="009B2AE2"/>
    <w:rsid w:val="009B2B0C"/>
    <w:rsid w:val="009B2BF5"/>
    <w:rsid w:val="009B2D67"/>
    <w:rsid w:val="009B2DE1"/>
    <w:rsid w:val="009B2E39"/>
    <w:rsid w:val="009B2FF4"/>
    <w:rsid w:val="009B3010"/>
    <w:rsid w:val="009B3094"/>
    <w:rsid w:val="009B309C"/>
    <w:rsid w:val="009B30EF"/>
    <w:rsid w:val="009B3223"/>
    <w:rsid w:val="009B3252"/>
    <w:rsid w:val="009B33AD"/>
    <w:rsid w:val="009B3419"/>
    <w:rsid w:val="009B3461"/>
    <w:rsid w:val="009B3473"/>
    <w:rsid w:val="009B3480"/>
    <w:rsid w:val="009B34EA"/>
    <w:rsid w:val="009B35D4"/>
    <w:rsid w:val="009B3604"/>
    <w:rsid w:val="009B3649"/>
    <w:rsid w:val="009B36CE"/>
    <w:rsid w:val="009B37D0"/>
    <w:rsid w:val="009B37F5"/>
    <w:rsid w:val="009B381D"/>
    <w:rsid w:val="009B38D6"/>
    <w:rsid w:val="009B38EF"/>
    <w:rsid w:val="009B393D"/>
    <w:rsid w:val="009B39D6"/>
    <w:rsid w:val="009B39ED"/>
    <w:rsid w:val="009B3A10"/>
    <w:rsid w:val="009B3A7D"/>
    <w:rsid w:val="009B3AC5"/>
    <w:rsid w:val="009B3B09"/>
    <w:rsid w:val="009B3C72"/>
    <w:rsid w:val="009B3CF5"/>
    <w:rsid w:val="009B3D16"/>
    <w:rsid w:val="009B3D17"/>
    <w:rsid w:val="009B3DC5"/>
    <w:rsid w:val="009B3E8A"/>
    <w:rsid w:val="009B3EF8"/>
    <w:rsid w:val="009B3F44"/>
    <w:rsid w:val="009B3F4F"/>
    <w:rsid w:val="009B3F60"/>
    <w:rsid w:val="009B405D"/>
    <w:rsid w:val="009B40DC"/>
    <w:rsid w:val="009B4194"/>
    <w:rsid w:val="009B4257"/>
    <w:rsid w:val="009B42AA"/>
    <w:rsid w:val="009B42BE"/>
    <w:rsid w:val="009B4313"/>
    <w:rsid w:val="009B4362"/>
    <w:rsid w:val="009B4393"/>
    <w:rsid w:val="009B43A3"/>
    <w:rsid w:val="009B43A6"/>
    <w:rsid w:val="009B43B9"/>
    <w:rsid w:val="009B43D3"/>
    <w:rsid w:val="009B444A"/>
    <w:rsid w:val="009B4555"/>
    <w:rsid w:val="009B4574"/>
    <w:rsid w:val="009B46CB"/>
    <w:rsid w:val="009B4737"/>
    <w:rsid w:val="009B481B"/>
    <w:rsid w:val="009B483D"/>
    <w:rsid w:val="009B4886"/>
    <w:rsid w:val="009B4A5D"/>
    <w:rsid w:val="009B4BB0"/>
    <w:rsid w:val="009B4BFF"/>
    <w:rsid w:val="009B4C41"/>
    <w:rsid w:val="009B4C8B"/>
    <w:rsid w:val="009B4CFB"/>
    <w:rsid w:val="009B4DC4"/>
    <w:rsid w:val="009B4E96"/>
    <w:rsid w:val="009B4EE7"/>
    <w:rsid w:val="009B4EFE"/>
    <w:rsid w:val="009B4F38"/>
    <w:rsid w:val="009B4FDE"/>
    <w:rsid w:val="009B500A"/>
    <w:rsid w:val="009B502D"/>
    <w:rsid w:val="009B515B"/>
    <w:rsid w:val="009B5164"/>
    <w:rsid w:val="009B51D5"/>
    <w:rsid w:val="009B5283"/>
    <w:rsid w:val="009B5345"/>
    <w:rsid w:val="009B5370"/>
    <w:rsid w:val="009B5495"/>
    <w:rsid w:val="009B54BD"/>
    <w:rsid w:val="009B54C1"/>
    <w:rsid w:val="009B556D"/>
    <w:rsid w:val="009B5608"/>
    <w:rsid w:val="009B5688"/>
    <w:rsid w:val="009B56B1"/>
    <w:rsid w:val="009B5700"/>
    <w:rsid w:val="009B572E"/>
    <w:rsid w:val="009B5735"/>
    <w:rsid w:val="009B5801"/>
    <w:rsid w:val="009B592C"/>
    <w:rsid w:val="009B5AC3"/>
    <w:rsid w:val="009B5ADE"/>
    <w:rsid w:val="009B5AF4"/>
    <w:rsid w:val="009B5B8C"/>
    <w:rsid w:val="009B5C2A"/>
    <w:rsid w:val="009B5C2C"/>
    <w:rsid w:val="009B5C37"/>
    <w:rsid w:val="009B5D06"/>
    <w:rsid w:val="009B5D61"/>
    <w:rsid w:val="009B5DF4"/>
    <w:rsid w:val="009B5EC7"/>
    <w:rsid w:val="009B5EDC"/>
    <w:rsid w:val="009B5F2B"/>
    <w:rsid w:val="009B5F7A"/>
    <w:rsid w:val="009B6000"/>
    <w:rsid w:val="009B6005"/>
    <w:rsid w:val="009B6044"/>
    <w:rsid w:val="009B60C1"/>
    <w:rsid w:val="009B60F5"/>
    <w:rsid w:val="009B62CD"/>
    <w:rsid w:val="009B62E2"/>
    <w:rsid w:val="009B634C"/>
    <w:rsid w:val="009B63A2"/>
    <w:rsid w:val="009B63CC"/>
    <w:rsid w:val="009B640F"/>
    <w:rsid w:val="009B650B"/>
    <w:rsid w:val="009B6529"/>
    <w:rsid w:val="009B65C1"/>
    <w:rsid w:val="009B6644"/>
    <w:rsid w:val="009B6669"/>
    <w:rsid w:val="009B675F"/>
    <w:rsid w:val="009B67AF"/>
    <w:rsid w:val="009B688C"/>
    <w:rsid w:val="009B68E8"/>
    <w:rsid w:val="009B6A30"/>
    <w:rsid w:val="009B6A35"/>
    <w:rsid w:val="009B6AF2"/>
    <w:rsid w:val="009B6AF5"/>
    <w:rsid w:val="009B6CEE"/>
    <w:rsid w:val="009B6D5A"/>
    <w:rsid w:val="009B6E04"/>
    <w:rsid w:val="009B6E30"/>
    <w:rsid w:val="009B6E50"/>
    <w:rsid w:val="009B70E7"/>
    <w:rsid w:val="009B70F0"/>
    <w:rsid w:val="009B7131"/>
    <w:rsid w:val="009B7174"/>
    <w:rsid w:val="009B718F"/>
    <w:rsid w:val="009B71CE"/>
    <w:rsid w:val="009B72B9"/>
    <w:rsid w:val="009B72F3"/>
    <w:rsid w:val="009B7352"/>
    <w:rsid w:val="009B7369"/>
    <w:rsid w:val="009B73FF"/>
    <w:rsid w:val="009B7419"/>
    <w:rsid w:val="009B7429"/>
    <w:rsid w:val="009B7466"/>
    <w:rsid w:val="009B74D2"/>
    <w:rsid w:val="009B74E7"/>
    <w:rsid w:val="009B7524"/>
    <w:rsid w:val="009B7559"/>
    <w:rsid w:val="009B75F7"/>
    <w:rsid w:val="009B763B"/>
    <w:rsid w:val="009B7649"/>
    <w:rsid w:val="009B76A6"/>
    <w:rsid w:val="009B76B2"/>
    <w:rsid w:val="009B773F"/>
    <w:rsid w:val="009B776E"/>
    <w:rsid w:val="009B78D5"/>
    <w:rsid w:val="009B7959"/>
    <w:rsid w:val="009B799E"/>
    <w:rsid w:val="009B79E2"/>
    <w:rsid w:val="009B7A3C"/>
    <w:rsid w:val="009B7A49"/>
    <w:rsid w:val="009B7B00"/>
    <w:rsid w:val="009B7BCD"/>
    <w:rsid w:val="009B7BDA"/>
    <w:rsid w:val="009B7D8E"/>
    <w:rsid w:val="009B7DD0"/>
    <w:rsid w:val="009B7E07"/>
    <w:rsid w:val="009B7E57"/>
    <w:rsid w:val="009BD181"/>
    <w:rsid w:val="009C01E0"/>
    <w:rsid w:val="009C01EF"/>
    <w:rsid w:val="009C02E3"/>
    <w:rsid w:val="009C0300"/>
    <w:rsid w:val="009C0395"/>
    <w:rsid w:val="009C0449"/>
    <w:rsid w:val="009C0486"/>
    <w:rsid w:val="009C053D"/>
    <w:rsid w:val="009C05BD"/>
    <w:rsid w:val="009C0606"/>
    <w:rsid w:val="009C067D"/>
    <w:rsid w:val="009C09FB"/>
    <w:rsid w:val="009C0B44"/>
    <w:rsid w:val="009C0C2D"/>
    <w:rsid w:val="009C0CBE"/>
    <w:rsid w:val="009C0DFC"/>
    <w:rsid w:val="009C0E62"/>
    <w:rsid w:val="009C0E7F"/>
    <w:rsid w:val="009C0EF1"/>
    <w:rsid w:val="009C0F01"/>
    <w:rsid w:val="009C0F6D"/>
    <w:rsid w:val="009C0FCB"/>
    <w:rsid w:val="009C1098"/>
    <w:rsid w:val="009C10E3"/>
    <w:rsid w:val="009C10F0"/>
    <w:rsid w:val="009C10F7"/>
    <w:rsid w:val="009C1195"/>
    <w:rsid w:val="009C1201"/>
    <w:rsid w:val="009C122F"/>
    <w:rsid w:val="009C1285"/>
    <w:rsid w:val="009C1384"/>
    <w:rsid w:val="009C1392"/>
    <w:rsid w:val="009C140C"/>
    <w:rsid w:val="009C141B"/>
    <w:rsid w:val="009C149D"/>
    <w:rsid w:val="009C1617"/>
    <w:rsid w:val="009C162D"/>
    <w:rsid w:val="009C167F"/>
    <w:rsid w:val="009C16B9"/>
    <w:rsid w:val="009C16E7"/>
    <w:rsid w:val="009C171A"/>
    <w:rsid w:val="009C1747"/>
    <w:rsid w:val="009C178D"/>
    <w:rsid w:val="009C17C3"/>
    <w:rsid w:val="009C1952"/>
    <w:rsid w:val="009C1957"/>
    <w:rsid w:val="009C198F"/>
    <w:rsid w:val="009C19AA"/>
    <w:rsid w:val="009C19F4"/>
    <w:rsid w:val="009C1B9F"/>
    <w:rsid w:val="009C1BA0"/>
    <w:rsid w:val="009C1BA5"/>
    <w:rsid w:val="009C1BC1"/>
    <w:rsid w:val="009C1BC7"/>
    <w:rsid w:val="009C1BC8"/>
    <w:rsid w:val="009C1CC1"/>
    <w:rsid w:val="009C1D7D"/>
    <w:rsid w:val="009C1E32"/>
    <w:rsid w:val="009C1F5E"/>
    <w:rsid w:val="009C1F69"/>
    <w:rsid w:val="009C1FF9"/>
    <w:rsid w:val="009C2229"/>
    <w:rsid w:val="009C2261"/>
    <w:rsid w:val="009C227A"/>
    <w:rsid w:val="009C2283"/>
    <w:rsid w:val="009C22D3"/>
    <w:rsid w:val="009C2395"/>
    <w:rsid w:val="009C2446"/>
    <w:rsid w:val="009C247A"/>
    <w:rsid w:val="009C256B"/>
    <w:rsid w:val="009C2624"/>
    <w:rsid w:val="009C2677"/>
    <w:rsid w:val="009C2692"/>
    <w:rsid w:val="009C26FA"/>
    <w:rsid w:val="009C27CD"/>
    <w:rsid w:val="009C280C"/>
    <w:rsid w:val="009C282B"/>
    <w:rsid w:val="009C2842"/>
    <w:rsid w:val="009C2992"/>
    <w:rsid w:val="009C29C3"/>
    <w:rsid w:val="009C2A05"/>
    <w:rsid w:val="009C2A4E"/>
    <w:rsid w:val="009C2ABD"/>
    <w:rsid w:val="009C2AC3"/>
    <w:rsid w:val="009C2AEF"/>
    <w:rsid w:val="009C2AF3"/>
    <w:rsid w:val="009C2BBB"/>
    <w:rsid w:val="009C2BF6"/>
    <w:rsid w:val="009C2C5E"/>
    <w:rsid w:val="009C2CB6"/>
    <w:rsid w:val="009C2D56"/>
    <w:rsid w:val="009C2D6E"/>
    <w:rsid w:val="009C2D9B"/>
    <w:rsid w:val="009C2DBE"/>
    <w:rsid w:val="009C2E57"/>
    <w:rsid w:val="009C2EF0"/>
    <w:rsid w:val="009C2EFC"/>
    <w:rsid w:val="009C2F36"/>
    <w:rsid w:val="009C2F3B"/>
    <w:rsid w:val="009C2FCE"/>
    <w:rsid w:val="009C2FD4"/>
    <w:rsid w:val="009C30B5"/>
    <w:rsid w:val="009C30BD"/>
    <w:rsid w:val="009C30E1"/>
    <w:rsid w:val="009C311E"/>
    <w:rsid w:val="009C31A7"/>
    <w:rsid w:val="009C31AB"/>
    <w:rsid w:val="009C3246"/>
    <w:rsid w:val="009C332F"/>
    <w:rsid w:val="009C334F"/>
    <w:rsid w:val="009C34E9"/>
    <w:rsid w:val="009C35B1"/>
    <w:rsid w:val="009C35D2"/>
    <w:rsid w:val="009C361A"/>
    <w:rsid w:val="009C365E"/>
    <w:rsid w:val="009C36AD"/>
    <w:rsid w:val="009C36AE"/>
    <w:rsid w:val="009C36DE"/>
    <w:rsid w:val="009C3891"/>
    <w:rsid w:val="009C39F8"/>
    <w:rsid w:val="009C3A8C"/>
    <w:rsid w:val="009C3A90"/>
    <w:rsid w:val="009C3AF9"/>
    <w:rsid w:val="009C3B0E"/>
    <w:rsid w:val="009C3BB6"/>
    <w:rsid w:val="009C3BDC"/>
    <w:rsid w:val="009C3CBF"/>
    <w:rsid w:val="009C3CD0"/>
    <w:rsid w:val="009C3E72"/>
    <w:rsid w:val="009C3F15"/>
    <w:rsid w:val="009C3F2F"/>
    <w:rsid w:val="009C3F91"/>
    <w:rsid w:val="009C3F9D"/>
    <w:rsid w:val="009C4029"/>
    <w:rsid w:val="009C424E"/>
    <w:rsid w:val="009C4263"/>
    <w:rsid w:val="009C42A9"/>
    <w:rsid w:val="009C4321"/>
    <w:rsid w:val="009C43AB"/>
    <w:rsid w:val="009C43BA"/>
    <w:rsid w:val="009C455C"/>
    <w:rsid w:val="009C469A"/>
    <w:rsid w:val="009C46FC"/>
    <w:rsid w:val="009C47B4"/>
    <w:rsid w:val="009C4826"/>
    <w:rsid w:val="009C4888"/>
    <w:rsid w:val="009C4945"/>
    <w:rsid w:val="009C494B"/>
    <w:rsid w:val="009C4A8F"/>
    <w:rsid w:val="009C4B1B"/>
    <w:rsid w:val="009C4B7B"/>
    <w:rsid w:val="009C4BE8"/>
    <w:rsid w:val="009C4C60"/>
    <w:rsid w:val="009C4CA8"/>
    <w:rsid w:val="009C4CBE"/>
    <w:rsid w:val="009C4D3F"/>
    <w:rsid w:val="009C4D74"/>
    <w:rsid w:val="009C4DCE"/>
    <w:rsid w:val="009C4E03"/>
    <w:rsid w:val="009C4E18"/>
    <w:rsid w:val="009C4EFF"/>
    <w:rsid w:val="009C4FD2"/>
    <w:rsid w:val="009C5050"/>
    <w:rsid w:val="009C509B"/>
    <w:rsid w:val="009C50BA"/>
    <w:rsid w:val="009C5159"/>
    <w:rsid w:val="009C515D"/>
    <w:rsid w:val="009C51C6"/>
    <w:rsid w:val="009C51CF"/>
    <w:rsid w:val="009C520D"/>
    <w:rsid w:val="009C525D"/>
    <w:rsid w:val="009C52E2"/>
    <w:rsid w:val="009C5493"/>
    <w:rsid w:val="009C54FB"/>
    <w:rsid w:val="009C550A"/>
    <w:rsid w:val="009C5642"/>
    <w:rsid w:val="009C56F6"/>
    <w:rsid w:val="009C57B6"/>
    <w:rsid w:val="009C5808"/>
    <w:rsid w:val="009C58B5"/>
    <w:rsid w:val="009C59C9"/>
    <w:rsid w:val="009C59CA"/>
    <w:rsid w:val="009C5A17"/>
    <w:rsid w:val="009C5ABA"/>
    <w:rsid w:val="009C5BC3"/>
    <w:rsid w:val="009C5C23"/>
    <w:rsid w:val="009C5DCA"/>
    <w:rsid w:val="009C5E4E"/>
    <w:rsid w:val="009C5E6E"/>
    <w:rsid w:val="009C5F3F"/>
    <w:rsid w:val="009C6070"/>
    <w:rsid w:val="009C60A5"/>
    <w:rsid w:val="009C60AC"/>
    <w:rsid w:val="009C60BB"/>
    <w:rsid w:val="009C60ED"/>
    <w:rsid w:val="009C618C"/>
    <w:rsid w:val="009C621A"/>
    <w:rsid w:val="009C6314"/>
    <w:rsid w:val="009C6355"/>
    <w:rsid w:val="009C6387"/>
    <w:rsid w:val="009C63AF"/>
    <w:rsid w:val="009C63D5"/>
    <w:rsid w:val="009C642F"/>
    <w:rsid w:val="009C652C"/>
    <w:rsid w:val="009C657C"/>
    <w:rsid w:val="009C65B5"/>
    <w:rsid w:val="009C65DA"/>
    <w:rsid w:val="009C661B"/>
    <w:rsid w:val="009C66F9"/>
    <w:rsid w:val="009C674E"/>
    <w:rsid w:val="009C67A5"/>
    <w:rsid w:val="009C681D"/>
    <w:rsid w:val="009C6884"/>
    <w:rsid w:val="009C690B"/>
    <w:rsid w:val="009C6918"/>
    <w:rsid w:val="009C692B"/>
    <w:rsid w:val="009C695C"/>
    <w:rsid w:val="009C6A39"/>
    <w:rsid w:val="009C6A70"/>
    <w:rsid w:val="009C6AB5"/>
    <w:rsid w:val="009C6AD1"/>
    <w:rsid w:val="009C6AD4"/>
    <w:rsid w:val="009C6B7D"/>
    <w:rsid w:val="009C6CC1"/>
    <w:rsid w:val="009C6CD0"/>
    <w:rsid w:val="009C6CE2"/>
    <w:rsid w:val="009C6CF1"/>
    <w:rsid w:val="009C6DD1"/>
    <w:rsid w:val="009C6E5E"/>
    <w:rsid w:val="009C7067"/>
    <w:rsid w:val="009C70FD"/>
    <w:rsid w:val="009C7135"/>
    <w:rsid w:val="009C715F"/>
    <w:rsid w:val="009C721F"/>
    <w:rsid w:val="009C7332"/>
    <w:rsid w:val="009C7407"/>
    <w:rsid w:val="009C74B6"/>
    <w:rsid w:val="009C7521"/>
    <w:rsid w:val="009C76CC"/>
    <w:rsid w:val="009C76DA"/>
    <w:rsid w:val="009C7701"/>
    <w:rsid w:val="009C770A"/>
    <w:rsid w:val="009C770D"/>
    <w:rsid w:val="009C7737"/>
    <w:rsid w:val="009C773C"/>
    <w:rsid w:val="009C7781"/>
    <w:rsid w:val="009C7793"/>
    <w:rsid w:val="009C793D"/>
    <w:rsid w:val="009C7A53"/>
    <w:rsid w:val="009C7AC1"/>
    <w:rsid w:val="009C7B0D"/>
    <w:rsid w:val="009C7B56"/>
    <w:rsid w:val="009C7BA2"/>
    <w:rsid w:val="009C7C32"/>
    <w:rsid w:val="009C7CAB"/>
    <w:rsid w:val="009C7CB7"/>
    <w:rsid w:val="009C7CBE"/>
    <w:rsid w:val="009C7CE5"/>
    <w:rsid w:val="009C7D0E"/>
    <w:rsid w:val="009C7D2F"/>
    <w:rsid w:val="009C7D32"/>
    <w:rsid w:val="009C7DD0"/>
    <w:rsid w:val="009C7E5A"/>
    <w:rsid w:val="009C7E67"/>
    <w:rsid w:val="009C7F30"/>
    <w:rsid w:val="009C7F4B"/>
    <w:rsid w:val="009C7F5E"/>
    <w:rsid w:val="009C7FF4"/>
    <w:rsid w:val="009D0023"/>
    <w:rsid w:val="009D0076"/>
    <w:rsid w:val="009D008D"/>
    <w:rsid w:val="009D012E"/>
    <w:rsid w:val="009D025F"/>
    <w:rsid w:val="009D04A3"/>
    <w:rsid w:val="009D0506"/>
    <w:rsid w:val="009D0552"/>
    <w:rsid w:val="009D0580"/>
    <w:rsid w:val="009D0622"/>
    <w:rsid w:val="009D0623"/>
    <w:rsid w:val="009D07C2"/>
    <w:rsid w:val="009D0929"/>
    <w:rsid w:val="009D0A22"/>
    <w:rsid w:val="009D0A35"/>
    <w:rsid w:val="009D0AD4"/>
    <w:rsid w:val="009D0AF0"/>
    <w:rsid w:val="009D0B11"/>
    <w:rsid w:val="009D0B90"/>
    <w:rsid w:val="009D0C11"/>
    <w:rsid w:val="009D0C13"/>
    <w:rsid w:val="009D0C43"/>
    <w:rsid w:val="009D0CBE"/>
    <w:rsid w:val="009D0D7C"/>
    <w:rsid w:val="009D0D7D"/>
    <w:rsid w:val="009D0E19"/>
    <w:rsid w:val="009D0F82"/>
    <w:rsid w:val="009D0FFE"/>
    <w:rsid w:val="009D1014"/>
    <w:rsid w:val="009D1034"/>
    <w:rsid w:val="009D1069"/>
    <w:rsid w:val="009D11A8"/>
    <w:rsid w:val="009D1215"/>
    <w:rsid w:val="009D1247"/>
    <w:rsid w:val="009D125F"/>
    <w:rsid w:val="009D1286"/>
    <w:rsid w:val="009D131F"/>
    <w:rsid w:val="009D151A"/>
    <w:rsid w:val="009D15F6"/>
    <w:rsid w:val="009D1657"/>
    <w:rsid w:val="009D1666"/>
    <w:rsid w:val="009D1711"/>
    <w:rsid w:val="009D1769"/>
    <w:rsid w:val="009D17DB"/>
    <w:rsid w:val="009D1822"/>
    <w:rsid w:val="009D185E"/>
    <w:rsid w:val="009D1864"/>
    <w:rsid w:val="009D18AD"/>
    <w:rsid w:val="009D18F9"/>
    <w:rsid w:val="009D1943"/>
    <w:rsid w:val="009D1A9F"/>
    <w:rsid w:val="009D1ABA"/>
    <w:rsid w:val="009D1AC2"/>
    <w:rsid w:val="009D1AF4"/>
    <w:rsid w:val="009D1AF7"/>
    <w:rsid w:val="009D1BB8"/>
    <w:rsid w:val="009D1BDA"/>
    <w:rsid w:val="009D1BE7"/>
    <w:rsid w:val="009D1BF4"/>
    <w:rsid w:val="009D1C0B"/>
    <w:rsid w:val="009D1C0F"/>
    <w:rsid w:val="009D1C58"/>
    <w:rsid w:val="009D1D20"/>
    <w:rsid w:val="009D1D71"/>
    <w:rsid w:val="009D1F2A"/>
    <w:rsid w:val="009D1F35"/>
    <w:rsid w:val="009D1F8B"/>
    <w:rsid w:val="009D1F8D"/>
    <w:rsid w:val="009D1FA3"/>
    <w:rsid w:val="009D1FD4"/>
    <w:rsid w:val="009D204F"/>
    <w:rsid w:val="009D20C0"/>
    <w:rsid w:val="009D216A"/>
    <w:rsid w:val="009D2228"/>
    <w:rsid w:val="009D2256"/>
    <w:rsid w:val="009D2343"/>
    <w:rsid w:val="009D24D3"/>
    <w:rsid w:val="009D257B"/>
    <w:rsid w:val="009D272B"/>
    <w:rsid w:val="009D272D"/>
    <w:rsid w:val="009D2795"/>
    <w:rsid w:val="009D284D"/>
    <w:rsid w:val="009D2899"/>
    <w:rsid w:val="009D28A2"/>
    <w:rsid w:val="009D2912"/>
    <w:rsid w:val="009D2961"/>
    <w:rsid w:val="009D2995"/>
    <w:rsid w:val="009D2A0A"/>
    <w:rsid w:val="009D2CE5"/>
    <w:rsid w:val="009D2D3D"/>
    <w:rsid w:val="009D2D7E"/>
    <w:rsid w:val="009D2F90"/>
    <w:rsid w:val="009D305B"/>
    <w:rsid w:val="009D30D8"/>
    <w:rsid w:val="009D30E4"/>
    <w:rsid w:val="009D30F9"/>
    <w:rsid w:val="009D30FB"/>
    <w:rsid w:val="009D314C"/>
    <w:rsid w:val="009D315D"/>
    <w:rsid w:val="009D31B0"/>
    <w:rsid w:val="009D31DE"/>
    <w:rsid w:val="009D32BE"/>
    <w:rsid w:val="009D32D5"/>
    <w:rsid w:val="009D340D"/>
    <w:rsid w:val="009D352C"/>
    <w:rsid w:val="009D354D"/>
    <w:rsid w:val="009D355D"/>
    <w:rsid w:val="009D35AD"/>
    <w:rsid w:val="009D361E"/>
    <w:rsid w:val="009D3637"/>
    <w:rsid w:val="009D3654"/>
    <w:rsid w:val="009D3726"/>
    <w:rsid w:val="009D37B1"/>
    <w:rsid w:val="009D3902"/>
    <w:rsid w:val="009D3926"/>
    <w:rsid w:val="009D3939"/>
    <w:rsid w:val="009D394D"/>
    <w:rsid w:val="009D3AA8"/>
    <w:rsid w:val="009D3ADE"/>
    <w:rsid w:val="009D3BC2"/>
    <w:rsid w:val="009D3CDD"/>
    <w:rsid w:val="009D3D55"/>
    <w:rsid w:val="009D3DFD"/>
    <w:rsid w:val="009D3E08"/>
    <w:rsid w:val="009D3E1A"/>
    <w:rsid w:val="009D3EE1"/>
    <w:rsid w:val="009D4024"/>
    <w:rsid w:val="009D409B"/>
    <w:rsid w:val="009D40B4"/>
    <w:rsid w:val="009D4101"/>
    <w:rsid w:val="009D4111"/>
    <w:rsid w:val="009D41B1"/>
    <w:rsid w:val="009D42BE"/>
    <w:rsid w:val="009D4318"/>
    <w:rsid w:val="009D4368"/>
    <w:rsid w:val="009D4472"/>
    <w:rsid w:val="009D44E9"/>
    <w:rsid w:val="009D45DA"/>
    <w:rsid w:val="009D45E5"/>
    <w:rsid w:val="009D465D"/>
    <w:rsid w:val="009D46BF"/>
    <w:rsid w:val="009D4702"/>
    <w:rsid w:val="009D4731"/>
    <w:rsid w:val="009D4859"/>
    <w:rsid w:val="009D48E8"/>
    <w:rsid w:val="009D492D"/>
    <w:rsid w:val="009D49D6"/>
    <w:rsid w:val="009D4A92"/>
    <w:rsid w:val="009D4AFA"/>
    <w:rsid w:val="009D4D03"/>
    <w:rsid w:val="009D4DC4"/>
    <w:rsid w:val="009D4DEC"/>
    <w:rsid w:val="009D4E51"/>
    <w:rsid w:val="009D4E61"/>
    <w:rsid w:val="009D4FE4"/>
    <w:rsid w:val="009D507A"/>
    <w:rsid w:val="009D511C"/>
    <w:rsid w:val="009D51A9"/>
    <w:rsid w:val="009D526C"/>
    <w:rsid w:val="009D52E2"/>
    <w:rsid w:val="009D554F"/>
    <w:rsid w:val="009D55A2"/>
    <w:rsid w:val="009D5605"/>
    <w:rsid w:val="009D568F"/>
    <w:rsid w:val="009D56FF"/>
    <w:rsid w:val="009D57D9"/>
    <w:rsid w:val="009D5874"/>
    <w:rsid w:val="009D5920"/>
    <w:rsid w:val="009D59D0"/>
    <w:rsid w:val="009D5A1E"/>
    <w:rsid w:val="009D5B4C"/>
    <w:rsid w:val="009D5BD0"/>
    <w:rsid w:val="009D5C9D"/>
    <w:rsid w:val="009D5D42"/>
    <w:rsid w:val="009D5D97"/>
    <w:rsid w:val="009D5DC7"/>
    <w:rsid w:val="009D5DE0"/>
    <w:rsid w:val="009D5E39"/>
    <w:rsid w:val="009D5EB8"/>
    <w:rsid w:val="009D5ED7"/>
    <w:rsid w:val="009D5F54"/>
    <w:rsid w:val="009D5F9B"/>
    <w:rsid w:val="009D601E"/>
    <w:rsid w:val="009D604F"/>
    <w:rsid w:val="009D6105"/>
    <w:rsid w:val="009D611E"/>
    <w:rsid w:val="009D614F"/>
    <w:rsid w:val="009D616F"/>
    <w:rsid w:val="009D6200"/>
    <w:rsid w:val="009D6274"/>
    <w:rsid w:val="009D63CB"/>
    <w:rsid w:val="009D63F0"/>
    <w:rsid w:val="009D659F"/>
    <w:rsid w:val="009D65A3"/>
    <w:rsid w:val="009D65F0"/>
    <w:rsid w:val="009D6677"/>
    <w:rsid w:val="009D66AA"/>
    <w:rsid w:val="009D6723"/>
    <w:rsid w:val="009D6791"/>
    <w:rsid w:val="009D67E7"/>
    <w:rsid w:val="009D6806"/>
    <w:rsid w:val="009D681F"/>
    <w:rsid w:val="009D69EA"/>
    <w:rsid w:val="009D69ED"/>
    <w:rsid w:val="009D6ACE"/>
    <w:rsid w:val="009D6B1E"/>
    <w:rsid w:val="009D6C83"/>
    <w:rsid w:val="009D6CA4"/>
    <w:rsid w:val="009D6D41"/>
    <w:rsid w:val="009D6D84"/>
    <w:rsid w:val="009D6E53"/>
    <w:rsid w:val="009D6EEB"/>
    <w:rsid w:val="009D6F2E"/>
    <w:rsid w:val="009D6F46"/>
    <w:rsid w:val="009D6F5A"/>
    <w:rsid w:val="009D7011"/>
    <w:rsid w:val="009D7035"/>
    <w:rsid w:val="009D7040"/>
    <w:rsid w:val="009D726D"/>
    <w:rsid w:val="009D7272"/>
    <w:rsid w:val="009D72EF"/>
    <w:rsid w:val="009D74C5"/>
    <w:rsid w:val="009D756D"/>
    <w:rsid w:val="009D76BE"/>
    <w:rsid w:val="009D7722"/>
    <w:rsid w:val="009D7771"/>
    <w:rsid w:val="009D77BA"/>
    <w:rsid w:val="009D77C6"/>
    <w:rsid w:val="009D77DF"/>
    <w:rsid w:val="009D7809"/>
    <w:rsid w:val="009D780E"/>
    <w:rsid w:val="009D7835"/>
    <w:rsid w:val="009D78FC"/>
    <w:rsid w:val="009D7904"/>
    <w:rsid w:val="009D7946"/>
    <w:rsid w:val="009D7967"/>
    <w:rsid w:val="009D7970"/>
    <w:rsid w:val="009D79E9"/>
    <w:rsid w:val="009D7A35"/>
    <w:rsid w:val="009D7A5C"/>
    <w:rsid w:val="009D7B87"/>
    <w:rsid w:val="009D7BD0"/>
    <w:rsid w:val="009D7BF9"/>
    <w:rsid w:val="009D7C87"/>
    <w:rsid w:val="009D7D8A"/>
    <w:rsid w:val="009D7E35"/>
    <w:rsid w:val="009D7E43"/>
    <w:rsid w:val="009D7EBF"/>
    <w:rsid w:val="009D7EFA"/>
    <w:rsid w:val="009E0066"/>
    <w:rsid w:val="009E00E4"/>
    <w:rsid w:val="009E00F6"/>
    <w:rsid w:val="009E0112"/>
    <w:rsid w:val="009E0171"/>
    <w:rsid w:val="009E0235"/>
    <w:rsid w:val="009E02E7"/>
    <w:rsid w:val="009E0338"/>
    <w:rsid w:val="009E0366"/>
    <w:rsid w:val="009E03D3"/>
    <w:rsid w:val="009E047C"/>
    <w:rsid w:val="009E04BF"/>
    <w:rsid w:val="009E04E3"/>
    <w:rsid w:val="009E0511"/>
    <w:rsid w:val="009E057A"/>
    <w:rsid w:val="009E05CE"/>
    <w:rsid w:val="009E065F"/>
    <w:rsid w:val="009E06A0"/>
    <w:rsid w:val="009E06DF"/>
    <w:rsid w:val="009E0752"/>
    <w:rsid w:val="009E077E"/>
    <w:rsid w:val="009E0837"/>
    <w:rsid w:val="009E084D"/>
    <w:rsid w:val="009E0919"/>
    <w:rsid w:val="009E096A"/>
    <w:rsid w:val="009E0A43"/>
    <w:rsid w:val="009E0B19"/>
    <w:rsid w:val="009E0BB4"/>
    <w:rsid w:val="009E0C9B"/>
    <w:rsid w:val="009E0C9F"/>
    <w:rsid w:val="009E0CAF"/>
    <w:rsid w:val="009E0D31"/>
    <w:rsid w:val="009E0E81"/>
    <w:rsid w:val="009E0F8D"/>
    <w:rsid w:val="009E0FD8"/>
    <w:rsid w:val="009E0FD9"/>
    <w:rsid w:val="009E11AF"/>
    <w:rsid w:val="009E1369"/>
    <w:rsid w:val="009E1375"/>
    <w:rsid w:val="009E1381"/>
    <w:rsid w:val="009E13BF"/>
    <w:rsid w:val="009E143A"/>
    <w:rsid w:val="009E1478"/>
    <w:rsid w:val="009E1514"/>
    <w:rsid w:val="009E160C"/>
    <w:rsid w:val="009E161D"/>
    <w:rsid w:val="009E1623"/>
    <w:rsid w:val="009E1636"/>
    <w:rsid w:val="009E16AC"/>
    <w:rsid w:val="009E16C4"/>
    <w:rsid w:val="009E16F0"/>
    <w:rsid w:val="009E1716"/>
    <w:rsid w:val="009E17A5"/>
    <w:rsid w:val="009E189C"/>
    <w:rsid w:val="009E19BE"/>
    <w:rsid w:val="009E1A41"/>
    <w:rsid w:val="009E1A65"/>
    <w:rsid w:val="009E1A6A"/>
    <w:rsid w:val="009E1AAA"/>
    <w:rsid w:val="009E1AB9"/>
    <w:rsid w:val="009E1B1B"/>
    <w:rsid w:val="009E1C45"/>
    <w:rsid w:val="009E1CD3"/>
    <w:rsid w:val="009E1D05"/>
    <w:rsid w:val="009E1D07"/>
    <w:rsid w:val="009E1D46"/>
    <w:rsid w:val="009E1E1D"/>
    <w:rsid w:val="009E1E6D"/>
    <w:rsid w:val="009E1E7E"/>
    <w:rsid w:val="009E1E91"/>
    <w:rsid w:val="009E1FEB"/>
    <w:rsid w:val="009E2114"/>
    <w:rsid w:val="009E2115"/>
    <w:rsid w:val="009E217C"/>
    <w:rsid w:val="009E2222"/>
    <w:rsid w:val="009E2281"/>
    <w:rsid w:val="009E2313"/>
    <w:rsid w:val="009E2392"/>
    <w:rsid w:val="009E23A3"/>
    <w:rsid w:val="009E23D3"/>
    <w:rsid w:val="009E240C"/>
    <w:rsid w:val="009E249E"/>
    <w:rsid w:val="009E251B"/>
    <w:rsid w:val="009E253F"/>
    <w:rsid w:val="009E25E3"/>
    <w:rsid w:val="009E2607"/>
    <w:rsid w:val="009E267C"/>
    <w:rsid w:val="009E26C3"/>
    <w:rsid w:val="009E26E3"/>
    <w:rsid w:val="009E273A"/>
    <w:rsid w:val="009E27EB"/>
    <w:rsid w:val="009E2985"/>
    <w:rsid w:val="009E2A27"/>
    <w:rsid w:val="009E2B79"/>
    <w:rsid w:val="009E2CDF"/>
    <w:rsid w:val="009E2D52"/>
    <w:rsid w:val="009E2D64"/>
    <w:rsid w:val="009E2F67"/>
    <w:rsid w:val="009E2F90"/>
    <w:rsid w:val="009E303F"/>
    <w:rsid w:val="009E3056"/>
    <w:rsid w:val="009E3090"/>
    <w:rsid w:val="009E30EC"/>
    <w:rsid w:val="009E311A"/>
    <w:rsid w:val="009E3288"/>
    <w:rsid w:val="009E3313"/>
    <w:rsid w:val="009E332E"/>
    <w:rsid w:val="009E334B"/>
    <w:rsid w:val="009E3385"/>
    <w:rsid w:val="009E33B9"/>
    <w:rsid w:val="009E34A1"/>
    <w:rsid w:val="009E34B8"/>
    <w:rsid w:val="009E34CC"/>
    <w:rsid w:val="009E350F"/>
    <w:rsid w:val="009E35A1"/>
    <w:rsid w:val="009E35D8"/>
    <w:rsid w:val="009E35E5"/>
    <w:rsid w:val="009E360B"/>
    <w:rsid w:val="009E3830"/>
    <w:rsid w:val="009E3864"/>
    <w:rsid w:val="009E3878"/>
    <w:rsid w:val="009E392A"/>
    <w:rsid w:val="009E3A1F"/>
    <w:rsid w:val="009E3AB2"/>
    <w:rsid w:val="009E3B4B"/>
    <w:rsid w:val="009E3B6D"/>
    <w:rsid w:val="009E3B82"/>
    <w:rsid w:val="009E3B8A"/>
    <w:rsid w:val="009E3C5D"/>
    <w:rsid w:val="009E3C75"/>
    <w:rsid w:val="009E3C97"/>
    <w:rsid w:val="009E3E3B"/>
    <w:rsid w:val="009E3E46"/>
    <w:rsid w:val="009E4016"/>
    <w:rsid w:val="009E4028"/>
    <w:rsid w:val="009E40A2"/>
    <w:rsid w:val="009E4161"/>
    <w:rsid w:val="009E42E8"/>
    <w:rsid w:val="009E4339"/>
    <w:rsid w:val="009E438E"/>
    <w:rsid w:val="009E4500"/>
    <w:rsid w:val="009E4604"/>
    <w:rsid w:val="009E46B5"/>
    <w:rsid w:val="009E46FF"/>
    <w:rsid w:val="009E470F"/>
    <w:rsid w:val="009E4795"/>
    <w:rsid w:val="009E47C4"/>
    <w:rsid w:val="009E47D9"/>
    <w:rsid w:val="009E489B"/>
    <w:rsid w:val="009E48F4"/>
    <w:rsid w:val="009E4900"/>
    <w:rsid w:val="009E494B"/>
    <w:rsid w:val="009E498E"/>
    <w:rsid w:val="009E49FF"/>
    <w:rsid w:val="009E4A40"/>
    <w:rsid w:val="009E4AAB"/>
    <w:rsid w:val="009E4AE8"/>
    <w:rsid w:val="009E4B4F"/>
    <w:rsid w:val="009E4BA5"/>
    <w:rsid w:val="009E4BED"/>
    <w:rsid w:val="009E4C0B"/>
    <w:rsid w:val="009E4C4F"/>
    <w:rsid w:val="009E4D5C"/>
    <w:rsid w:val="009E4E0D"/>
    <w:rsid w:val="009E4EA0"/>
    <w:rsid w:val="009E4EAE"/>
    <w:rsid w:val="009E50C3"/>
    <w:rsid w:val="009E5139"/>
    <w:rsid w:val="009E5150"/>
    <w:rsid w:val="009E51F0"/>
    <w:rsid w:val="009E51F8"/>
    <w:rsid w:val="009E525E"/>
    <w:rsid w:val="009E52C1"/>
    <w:rsid w:val="009E5321"/>
    <w:rsid w:val="009E5368"/>
    <w:rsid w:val="009E5425"/>
    <w:rsid w:val="009E5558"/>
    <w:rsid w:val="009E5567"/>
    <w:rsid w:val="009E55CF"/>
    <w:rsid w:val="009E560B"/>
    <w:rsid w:val="009E5693"/>
    <w:rsid w:val="009E5801"/>
    <w:rsid w:val="009E583F"/>
    <w:rsid w:val="009E5853"/>
    <w:rsid w:val="009E5886"/>
    <w:rsid w:val="009E58F9"/>
    <w:rsid w:val="009E5926"/>
    <w:rsid w:val="009E5938"/>
    <w:rsid w:val="009E599B"/>
    <w:rsid w:val="009E59E4"/>
    <w:rsid w:val="009E5A9F"/>
    <w:rsid w:val="009E5AAA"/>
    <w:rsid w:val="009E5AF4"/>
    <w:rsid w:val="009E5CE6"/>
    <w:rsid w:val="009E5CFC"/>
    <w:rsid w:val="009E5CFE"/>
    <w:rsid w:val="009E5D04"/>
    <w:rsid w:val="009E5D4F"/>
    <w:rsid w:val="009E5D56"/>
    <w:rsid w:val="009E5DE5"/>
    <w:rsid w:val="009E5F68"/>
    <w:rsid w:val="009E60CB"/>
    <w:rsid w:val="009E6111"/>
    <w:rsid w:val="009E614B"/>
    <w:rsid w:val="009E61D7"/>
    <w:rsid w:val="009E6244"/>
    <w:rsid w:val="009E6328"/>
    <w:rsid w:val="009E633C"/>
    <w:rsid w:val="009E636A"/>
    <w:rsid w:val="009E64C1"/>
    <w:rsid w:val="009E64E8"/>
    <w:rsid w:val="009E64F7"/>
    <w:rsid w:val="009E657B"/>
    <w:rsid w:val="009E6593"/>
    <w:rsid w:val="009E659E"/>
    <w:rsid w:val="009E66CD"/>
    <w:rsid w:val="009E66DC"/>
    <w:rsid w:val="009E671D"/>
    <w:rsid w:val="009E671E"/>
    <w:rsid w:val="009E68E9"/>
    <w:rsid w:val="009E690A"/>
    <w:rsid w:val="009E6961"/>
    <w:rsid w:val="009E69C7"/>
    <w:rsid w:val="009E6A1F"/>
    <w:rsid w:val="009E6A4F"/>
    <w:rsid w:val="009E6AC8"/>
    <w:rsid w:val="009E6C03"/>
    <w:rsid w:val="009E6D5F"/>
    <w:rsid w:val="009E6F19"/>
    <w:rsid w:val="009E7021"/>
    <w:rsid w:val="009E70D2"/>
    <w:rsid w:val="009E7118"/>
    <w:rsid w:val="009E7121"/>
    <w:rsid w:val="009E7192"/>
    <w:rsid w:val="009E7196"/>
    <w:rsid w:val="009E728C"/>
    <w:rsid w:val="009E72FF"/>
    <w:rsid w:val="009E7306"/>
    <w:rsid w:val="009E737B"/>
    <w:rsid w:val="009E742C"/>
    <w:rsid w:val="009E7437"/>
    <w:rsid w:val="009E762B"/>
    <w:rsid w:val="009E7632"/>
    <w:rsid w:val="009E7657"/>
    <w:rsid w:val="009E76AA"/>
    <w:rsid w:val="009E76B7"/>
    <w:rsid w:val="009E76BC"/>
    <w:rsid w:val="009E7714"/>
    <w:rsid w:val="009E7752"/>
    <w:rsid w:val="009E7789"/>
    <w:rsid w:val="009E7821"/>
    <w:rsid w:val="009E79C2"/>
    <w:rsid w:val="009E7B3D"/>
    <w:rsid w:val="009E7B60"/>
    <w:rsid w:val="009E7BCF"/>
    <w:rsid w:val="009E7CC4"/>
    <w:rsid w:val="009E7D52"/>
    <w:rsid w:val="009E7DD4"/>
    <w:rsid w:val="009E7E59"/>
    <w:rsid w:val="009E7ECF"/>
    <w:rsid w:val="009E7ED5"/>
    <w:rsid w:val="009E7EDF"/>
    <w:rsid w:val="009E7F9F"/>
    <w:rsid w:val="009E7FAD"/>
    <w:rsid w:val="009E7FB7"/>
    <w:rsid w:val="009F0092"/>
    <w:rsid w:val="009F0095"/>
    <w:rsid w:val="009F00DC"/>
    <w:rsid w:val="009F012C"/>
    <w:rsid w:val="009F0253"/>
    <w:rsid w:val="009F02B2"/>
    <w:rsid w:val="009F02C3"/>
    <w:rsid w:val="009F0353"/>
    <w:rsid w:val="009F03F1"/>
    <w:rsid w:val="009F043B"/>
    <w:rsid w:val="009F047E"/>
    <w:rsid w:val="009F052B"/>
    <w:rsid w:val="009F052D"/>
    <w:rsid w:val="009F0591"/>
    <w:rsid w:val="009F0598"/>
    <w:rsid w:val="009F05CB"/>
    <w:rsid w:val="009F068D"/>
    <w:rsid w:val="009F06FD"/>
    <w:rsid w:val="009F07F1"/>
    <w:rsid w:val="009F084C"/>
    <w:rsid w:val="009F0873"/>
    <w:rsid w:val="009F08A3"/>
    <w:rsid w:val="009F090D"/>
    <w:rsid w:val="009F0913"/>
    <w:rsid w:val="009F0A37"/>
    <w:rsid w:val="009F0A78"/>
    <w:rsid w:val="009F0AF3"/>
    <w:rsid w:val="009F0B2C"/>
    <w:rsid w:val="009F0B52"/>
    <w:rsid w:val="009F0CAD"/>
    <w:rsid w:val="009F0D21"/>
    <w:rsid w:val="009F0D36"/>
    <w:rsid w:val="009F0D40"/>
    <w:rsid w:val="009F0D4B"/>
    <w:rsid w:val="009F0F13"/>
    <w:rsid w:val="009F0F64"/>
    <w:rsid w:val="009F0F7F"/>
    <w:rsid w:val="009F0F9D"/>
    <w:rsid w:val="009F1004"/>
    <w:rsid w:val="009F10D3"/>
    <w:rsid w:val="009F10E9"/>
    <w:rsid w:val="009F117B"/>
    <w:rsid w:val="009F1196"/>
    <w:rsid w:val="009F11D3"/>
    <w:rsid w:val="009F1225"/>
    <w:rsid w:val="009F123C"/>
    <w:rsid w:val="009F1390"/>
    <w:rsid w:val="009F1492"/>
    <w:rsid w:val="009F149B"/>
    <w:rsid w:val="009F14BE"/>
    <w:rsid w:val="009F1517"/>
    <w:rsid w:val="009F1522"/>
    <w:rsid w:val="009F1551"/>
    <w:rsid w:val="009F168A"/>
    <w:rsid w:val="009F17EC"/>
    <w:rsid w:val="009F1854"/>
    <w:rsid w:val="009F195E"/>
    <w:rsid w:val="009F196B"/>
    <w:rsid w:val="009F19D1"/>
    <w:rsid w:val="009F1A0D"/>
    <w:rsid w:val="009F1A1B"/>
    <w:rsid w:val="009F1A2A"/>
    <w:rsid w:val="009F1ADE"/>
    <w:rsid w:val="009F1B41"/>
    <w:rsid w:val="009F1E01"/>
    <w:rsid w:val="009F1E38"/>
    <w:rsid w:val="009F1EDD"/>
    <w:rsid w:val="009F1EF0"/>
    <w:rsid w:val="009F1FC8"/>
    <w:rsid w:val="009F1FF4"/>
    <w:rsid w:val="009F20DE"/>
    <w:rsid w:val="009F214C"/>
    <w:rsid w:val="009F2166"/>
    <w:rsid w:val="009F2193"/>
    <w:rsid w:val="009F219D"/>
    <w:rsid w:val="009F2207"/>
    <w:rsid w:val="009F22E3"/>
    <w:rsid w:val="009F2383"/>
    <w:rsid w:val="009F23F6"/>
    <w:rsid w:val="009F2430"/>
    <w:rsid w:val="009F2444"/>
    <w:rsid w:val="009F2458"/>
    <w:rsid w:val="009F24AE"/>
    <w:rsid w:val="009F256F"/>
    <w:rsid w:val="009F258F"/>
    <w:rsid w:val="009F25C8"/>
    <w:rsid w:val="009F25F8"/>
    <w:rsid w:val="009F2608"/>
    <w:rsid w:val="009F27E9"/>
    <w:rsid w:val="009F2815"/>
    <w:rsid w:val="009F283F"/>
    <w:rsid w:val="009F29B4"/>
    <w:rsid w:val="009F2A6A"/>
    <w:rsid w:val="009F2B38"/>
    <w:rsid w:val="009F2B77"/>
    <w:rsid w:val="009F2B8A"/>
    <w:rsid w:val="009F2CC6"/>
    <w:rsid w:val="009F2D3D"/>
    <w:rsid w:val="009F2D47"/>
    <w:rsid w:val="009F2DD5"/>
    <w:rsid w:val="009F2EDF"/>
    <w:rsid w:val="009F30E7"/>
    <w:rsid w:val="009F314F"/>
    <w:rsid w:val="009F3190"/>
    <w:rsid w:val="009F326F"/>
    <w:rsid w:val="009F32BA"/>
    <w:rsid w:val="009F32D7"/>
    <w:rsid w:val="009F32EB"/>
    <w:rsid w:val="009F3398"/>
    <w:rsid w:val="009F33DE"/>
    <w:rsid w:val="009F34C3"/>
    <w:rsid w:val="009F3542"/>
    <w:rsid w:val="009F3630"/>
    <w:rsid w:val="009F365B"/>
    <w:rsid w:val="009F3693"/>
    <w:rsid w:val="009F369F"/>
    <w:rsid w:val="009F36B7"/>
    <w:rsid w:val="009F3742"/>
    <w:rsid w:val="009F379F"/>
    <w:rsid w:val="009F37AC"/>
    <w:rsid w:val="009F37E9"/>
    <w:rsid w:val="009F37ED"/>
    <w:rsid w:val="009F37FC"/>
    <w:rsid w:val="009F387C"/>
    <w:rsid w:val="009F3965"/>
    <w:rsid w:val="009F39A0"/>
    <w:rsid w:val="009F3A79"/>
    <w:rsid w:val="009F3AD3"/>
    <w:rsid w:val="009F3B7B"/>
    <w:rsid w:val="009F3BAA"/>
    <w:rsid w:val="009F3BD2"/>
    <w:rsid w:val="009F3C0D"/>
    <w:rsid w:val="009F3DDD"/>
    <w:rsid w:val="009F3E78"/>
    <w:rsid w:val="009F3F51"/>
    <w:rsid w:val="009F409B"/>
    <w:rsid w:val="009F40A3"/>
    <w:rsid w:val="009F40E0"/>
    <w:rsid w:val="009F410C"/>
    <w:rsid w:val="009F417F"/>
    <w:rsid w:val="009F4203"/>
    <w:rsid w:val="009F421D"/>
    <w:rsid w:val="009F422C"/>
    <w:rsid w:val="009F42B1"/>
    <w:rsid w:val="009F42B2"/>
    <w:rsid w:val="009F430C"/>
    <w:rsid w:val="009F4339"/>
    <w:rsid w:val="009F43A2"/>
    <w:rsid w:val="009F4423"/>
    <w:rsid w:val="009F44C1"/>
    <w:rsid w:val="009F4623"/>
    <w:rsid w:val="009F468F"/>
    <w:rsid w:val="009F46C7"/>
    <w:rsid w:val="009F46D2"/>
    <w:rsid w:val="009F46E9"/>
    <w:rsid w:val="009F478D"/>
    <w:rsid w:val="009F47FC"/>
    <w:rsid w:val="009F4805"/>
    <w:rsid w:val="009F4911"/>
    <w:rsid w:val="009F497E"/>
    <w:rsid w:val="009F4A8A"/>
    <w:rsid w:val="009F4B0C"/>
    <w:rsid w:val="009F4B47"/>
    <w:rsid w:val="009F4B59"/>
    <w:rsid w:val="009F4C1B"/>
    <w:rsid w:val="009F4D37"/>
    <w:rsid w:val="009F4D43"/>
    <w:rsid w:val="009F4D5E"/>
    <w:rsid w:val="009F4E3D"/>
    <w:rsid w:val="009F4F5E"/>
    <w:rsid w:val="009F4F6B"/>
    <w:rsid w:val="009F4F96"/>
    <w:rsid w:val="009F4FCE"/>
    <w:rsid w:val="009F50EB"/>
    <w:rsid w:val="009F51D1"/>
    <w:rsid w:val="009F5282"/>
    <w:rsid w:val="009F52AD"/>
    <w:rsid w:val="009F52C3"/>
    <w:rsid w:val="009F53D6"/>
    <w:rsid w:val="009F53DA"/>
    <w:rsid w:val="009F53FF"/>
    <w:rsid w:val="009F544C"/>
    <w:rsid w:val="009F5548"/>
    <w:rsid w:val="009F5570"/>
    <w:rsid w:val="009F5595"/>
    <w:rsid w:val="009F5624"/>
    <w:rsid w:val="009F568D"/>
    <w:rsid w:val="009F5748"/>
    <w:rsid w:val="009F57BA"/>
    <w:rsid w:val="009F57DA"/>
    <w:rsid w:val="009F5889"/>
    <w:rsid w:val="009F58F7"/>
    <w:rsid w:val="009F5930"/>
    <w:rsid w:val="009F5A1A"/>
    <w:rsid w:val="009F5A87"/>
    <w:rsid w:val="009F5AD0"/>
    <w:rsid w:val="009F5B46"/>
    <w:rsid w:val="009F5B8B"/>
    <w:rsid w:val="009F5D6E"/>
    <w:rsid w:val="009F5DCB"/>
    <w:rsid w:val="009F5FBC"/>
    <w:rsid w:val="009F5FC0"/>
    <w:rsid w:val="009F5FCB"/>
    <w:rsid w:val="009F60AE"/>
    <w:rsid w:val="009F60B4"/>
    <w:rsid w:val="009F6115"/>
    <w:rsid w:val="009F61E3"/>
    <w:rsid w:val="009F622E"/>
    <w:rsid w:val="009F62F6"/>
    <w:rsid w:val="009F632C"/>
    <w:rsid w:val="009F6520"/>
    <w:rsid w:val="009F6560"/>
    <w:rsid w:val="009F6561"/>
    <w:rsid w:val="009F674E"/>
    <w:rsid w:val="009F677B"/>
    <w:rsid w:val="009F68A8"/>
    <w:rsid w:val="009F698A"/>
    <w:rsid w:val="009F6994"/>
    <w:rsid w:val="009F69DF"/>
    <w:rsid w:val="009F6A49"/>
    <w:rsid w:val="009F6ACE"/>
    <w:rsid w:val="009F6B2E"/>
    <w:rsid w:val="009F6B52"/>
    <w:rsid w:val="009F6D15"/>
    <w:rsid w:val="009F6D8A"/>
    <w:rsid w:val="009F6DEF"/>
    <w:rsid w:val="009F6E03"/>
    <w:rsid w:val="009F6EC3"/>
    <w:rsid w:val="009F6ED2"/>
    <w:rsid w:val="009F6FF8"/>
    <w:rsid w:val="009F703B"/>
    <w:rsid w:val="009F70DE"/>
    <w:rsid w:val="009F7175"/>
    <w:rsid w:val="009F725E"/>
    <w:rsid w:val="009F726F"/>
    <w:rsid w:val="009F72A5"/>
    <w:rsid w:val="009F735E"/>
    <w:rsid w:val="009F7380"/>
    <w:rsid w:val="009F7396"/>
    <w:rsid w:val="009F73C9"/>
    <w:rsid w:val="009F73F9"/>
    <w:rsid w:val="009F741D"/>
    <w:rsid w:val="009F755C"/>
    <w:rsid w:val="009F7586"/>
    <w:rsid w:val="009F7606"/>
    <w:rsid w:val="009F763A"/>
    <w:rsid w:val="009F76A7"/>
    <w:rsid w:val="009F76E4"/>
    <w:rsid w:val="009F7720"/>
    <w:rsid w:val="009F781C"/>
    <w:rsid w:val="009F79C4"/>
    <w:rsid w:val="009F79E9"/>
    <w:rsid w:val="009F7A21"/>
    <w:rsid w:val="009F7B44"/>
    <w:rsid w:val="009F7BE6"/>
    <w:rsid w:val="009F7C48"/>
    <w:rsid w:val="009F7E2E"/>
    <w:rsid w:val="009F7E48"/>
    <w:rsid w:val="009F7E78"/>
    <w:rsid w:val="009F7F4E"/>
    <w:rsid w:val="009F7F69"/>
    <w:rsid w:val="009FCB06"/>
    <w:rsid w:val="00A00012"/>
    <w:rsid w:val="00A0002D"/>
    <w:rsid w:val="00A00176"/>
    <w:rsid w:val="00A0021F"/>
    <w:rsid w:val="00A0026E"/>
    <w:rsid w:val="00A0029F"/>
    <w:rsid w:val="00A003BC"/>
    <w:rsid w:val="00A00439"/>
    <w:rsid w:val="00A004D4"/>
    <w:rsid w:val="00A00537"/>
    <w:rsid w:val="00A0079C"/>
    <w:rsid w:val="00A00918"/>
    <w:rsid w:val="00A009C8"/>
    <w:rsid w:val="00A00A78"/>
    <w:rsid w:val="00A00A8B"/>
    <w:rsid w:val="00A00AE5"/>
    <w:rsid w:val="00A00C06"/>
    <w:rsid w:val="00A00DE5"/>
    <w:rsid w:val="00A01054"/>
    <w:rsid w:val="00A010EE"/>
    <w:rsid w:val="00A0117A"/>
    <w:rsid w:val="00A011E7"/>
    <w:rsid w:val="00A0124F"/>
    <w:rsid w:val="00A01256"/>
    <w:rsid w:val="00A01366"/>
    <w:rsid w:val="00A013B2"/>
    <w:rsid w:val="00A013CC"/>
    <w:rsid w:val="00A01433"/>
    <w:rsid w:val="00A01440"/>
    <w:rsid w:val="00A01464"/>
    <w:rsid w:val="00A014D4"/>
    <w:rsid w:val="00A015E7"/>
    <w:rsid w:val="00A0170A"/>
    <w:rsid w:val="00A019BC"/>
    <w:rsid w:val="00A019FC"/>
    <w:rsid w:val="00A01A34"/>
    <w:rsid w:val="00A01B1C"/>
    <w:rsid w:val="00A01CA7"/>
    <w:rsid w:val="00A01CAE"/>
    <w:rsid w:val="00A01D9D"/>
    <w:rsid w:val="00A01DE2"/>
    <w:rsid w:val="00A01E03"/>
    <w:rsid w:val="00A01E5B"/>
    <w:rsid w:val="00A01E7E"/>
    <w:rsid w:val="00A01EE2"/>
    <w:rsid w:val="00A01F90"/>
    <w:rsid w:val="00A01FC8"/>
    <w:rsid w:val="00A02074"/>
    <w:rsid w:val="00A020BD"/>
    <w:rsid w:val="00A020EB"/>
    <w:rsid w:val="00A0215D"/>
    <w:rsid w:val="00A0218F"/>
    <w:rsid w:val="00A022F9"/>
    <w:rsid w:val="00A0231E"/>
    <w:rsid w:val="00A0232E"/>
    <w:rsid w:val="00A02347"/>
    <w:rsid w:val="00A0239A"/>
    <w:rsid w:val="00A023C2"/>
    <w:rsid w:val="00A023F7"/>
    <w:rsid w:val="00A0244C"/>
    <w:rsid w:val="00A0254B"/>
    <w:rsid w:val="00A025BA"/>
    <w:rsid w:val="00A026E3"/>
    <w:rsid w:val="00A02717"/>
    <w:rsid w:val="00A0278D"/>
    <w:rsid w:val="00A02886"/>
    <w:rsid w:val="00A028DA"/>
    <w:rsid w:val="00A02938"/>
    <w:rsid w:val="00A029E8"/>
    <w:rsid w:val="00A02A1D"/>
    <w:rsid w:val="00A02A3B"/>
    <w:rsid w:val="00A02A9A"/>
    <w:rsid w:val="00A02AB7"/>
    <w:rsid w:val="00A02ADE"/>
    <w:rsid w:val="00A02B80"/>
    <w:rsid w:val="00A02CD4"/>
    <w:rsid w:val="00A02D5A"/>
    <w:rsid w:val="00A02E8E"/>
    <w:rsid w:val="00A02EB2"/>
    <w:rsid w:val="00A02EF9"/>
    <w:rsid w:val="00A03302"/>
    <w:rsid w:val="00A033C1"/>
    <w:rsid w:val="00A03460"/>
    <w:rsid w:val="00A0348E"/>
    <w:rsid w:val="00A0349A"/>
    <w:rsid w:val="00A034E6"/>
    <w:rsid w:val="00A03549"/>
    <w:rsid w:val="00A035B6"/>
    <w:rsid w:val="00A0363E"/>
    <w:rsid w:val="00A03738"/>
    <w:rsid w:val="00A037B4"/>
    <w:rsid w:val="00A037F6"/>
    <w:rsid w:val="00A0387B"/>
    <w:rsid w:val="00A0388B"/>
    <w:rsid w:val="00A03891"/>
    <w:rsid w:val="00A038C7"/>
    <w:rsid w:val="00A038E0"/>
    <w:rsid w:val="00A0392F"/>
    <w:rsid w:val="00A03940"/>
    <w:rsid w:val="00A039A2"/>
    <w:rsid w:val="00A03A2C"/>
    <w:rsid w:val="00A03A9C"/>
    <w:rsid w:val="00A03B88"/>
    <w:rsid w:val="00A03BAD"/>
    <w:rsid w:val="00A03C02"/>
    <w:rsid w:val="00A03C55"/>
    <w:rsid w:val="00A03D56"/>
    <w:rsid w:val="00A03D6E"/>
    <w:rsid w:val="00A03E21"/>
    <w:rsid w:val="00A03F2F"/>
    <w:rsid w:val="00A03F85"/>
    <w:rsid w:val="00A04082"/>
    <w:rsid w:val="00A0411B"/>
    <w:rsid w:val="00A04164"/>
    <w:rsid w:val="00A04379"/>
    <w:rsid w:val="00A044AB"/>
    <w:rsid w:val="00A044B5"/>
    <w:rsid w:val="00A04520"/>
    <w:rsid w:val="00A04525"/>
    <w:rsid w:val="00A04546"/>
    <w:rsid w:val="00A0467A"/>
    <w:rsid w:val="00A046D6"/>
    <w:rsid w:val="00A047E0"/>
    <w:rsid w:val="00A047E7"/>
    <w:rsid w:val="00A04822"/>
    <w:rsid w:val="00A048EF"/>
    <w:rsid w:val="00A0499D"/>
    <w:rsid w:val="00A049F7"/>
    <w:rsid w:val="00A04AB1"/>
    <w:rsid w:val="00A04B04"/>
    <w:rsid w:val="00A04BFC"/>
    <w:rsid w:val="00A04C13"/>
    <w:rsid w:val="00A04D12"/>
    <w:rsid w:val="00A04DEF"/>
    <w:rsid w:val="00A04F55"/>
    <w:rsid w:val="00A0502C"/>
    <w:rsid w:val="00A0502D"/>
    <w:rsid w:val="00A050E3"/>
    <w:rsid w:val="00A05112"/>
    <w:rsid w:val="00A051DC"/>
    <w:rsid w:val="00A05209"/>
    <w:rsid w:val="00A05261"/>
    <w:rsid w:val="00A05298"/>
    <w:rsid w:val="00A05330"/>
    <w:rsid w:val="00A0539D"/>
    <w:rsid w:val="00A053BF"/>
    <w:rsid w:val="00A05466"/>
    <w:rsid w:val="00A0549C"/>
    <w:rsid w:val="00A054FF"/>
    <w:rsid w:val="00A05508"/>
    <w:rsid w:val="00A0553E"/>
    <w:rsid w:val="00A05584"/>
    <w:rsid w:val="00A0562B"/>
    <w:rsid w:val="00A056E6"/>
    <w:rsid w:val="00A0581B"/>
    <w:rsid w:val="00A05878"/>
    <w:rsid w:val="00A058B1"/>
    <w:rsid w:val="00A058DE"/>
    <w:rsid w:val="00A058FA"/>
    <w:rsid w:val="00A05A56"/>
    <w:rsid w:val="00A05AAB"/>
    <w:rsid w:val="00A05AF9"/>
    <w:rsid w:val="00A05DFF"/>
    <w:rsid w:val="00A05E07"/>
    <w:rsid w:val="00A05F36"/>
    <w:rsid w:val="00A05FC3"/>
    <w:rsid w:val="00A06118"/>
    <w:rsid w:val="00A0616D"/>
    <w:rsid w:val="00A061A3"/>
    <w:rsid w:val="00A061F0"/>
    <w:rsid w:val="00A06259"/>
    <w:rsid w:val="00A062F9"/>
    <w:rsid w:val="00A06360"/>
    <w:rsid w:val="00A0637E"/>
    <w:rsid w:val="00A06430"/>
    <w:rsid w:val="00A064E0"/>
    <w:rsid w:val="00A064FE"/>
    <w:rsid w:val="00A0662C"/>
    <w:rsid w:val="00A066D9"/>
    <w:rsid w:val="00A0678F"/>
    <w:rsid w:val="00A06801"/>
    <w:rsid w:val="00A06826"/>
    <w:rsid w:val="00A0682B"/>
    <w:rsid w:val="00A068A7"/>
    <w:rsid w:val="00A068AB"/>
    <w:rsid w:val="00A06A11"/>
    <w:rsid w:val="00A06A48"/>
    <w:rsid w:val="00A06A91"/>
    <w:rsid w:val="00A06E54"/>
    <w:rsid w:val="00A06EB2"/>
    <w:rsid w:val="00A06EE8"/>
    <w:rsid w:val="00A06EF7"/>
    <w:rsid w:val="00A06F6F"/>
    <w:rsid w:val="00A06F7E"/>
    <w:rsid w:val="00A07080"/>
    <w:rsid w:val="00A07158"/>
    <w:rsid w:val="00A07164"/>
    <w:rsid w:val="00A071E5"/>
    <w:rsid w:val="00A0722A"/>
    <w:rsid w:val="00A072CF"/>
    <w:rsid w:val="00A073D7"/>
    <w:rsid w:val="00A07449"/>
    <w:rsid w:val="00A074D7"/>
    <w:rsid w:val="00A074E9"/>
    <w:rsid w:val="00A07532"/>
    <w:rsid w:val="00A0755A"/>
    <w:rsid w:val="00A0757C"/>
    <w:rsid w:val="00A07657"/>
    <w:rsid w:val="00A07665"/>
    <w:rsid w:val="00A07675"/>
    <w:rsid w:val="00A0776D"/>
    <w:rsid w:val="00A07797"/>
    <w:rsid w:val="00A07823"/>
    <w:rsid w:val="00A079AB"/>
    <w:rsid w:val="00A07A2D"/>
    <w:rsid w:val="00A07AEF"/>
    <w:rsid w:val="00A07B94"/>
    <w:rsid w:val="00A07D63"/>
    <w:rsid w:val="00A07D6C"/>
    <w:rsid w:val="00A07E2A"/>
    <w:rsid w:val="00A07FA1"/>
    <w:rsid w:val="00A07FE8"/>
    <w:rsid w:val="00A07FF2"/>
    <w:rsid w:val="00A10029"/>
    <w:rsid w:val="00A1014C"/>
    <w:rsid w:val="00A101E6"/>
    <w:rsid w:val="00A101F6"/>
    <w:rsid w:val="00A1021A"/>
    <w:rsid w:val="00A102DA"/>
    <w:rsid w:val="00A102F2"/>
    <w:rsid w:val="00A10349"/>
    <w:rsid w:val="00A104B8"/>
    <w:rsid w:val="00A10679"/>
    <w:rsid w:val="00A107DD"/>
    <w:rsid w:val="00A10856"/>
    <w:rsid w:val="00A1089A"/>
    <w:rsid w:val="00A108CE"/>
    <w:rsid w:val="00A10926"/>
    <w:rsid w:val="00A10947"/>
    <w:rsid w:val="00A109A7"/>
    <w:rsid w:val="00A10A18"/>
    <w:rsid w:val="00A10B01"/>
    <w:rsid w:val="00A10B17"/>
    <w:rsid w:val="00A10B2B"/>
    <w:rsid w:val="00A10B2D"/>
    <w:rsid w:val="00A10B6E"/>
    <w:rsid w:val="00A10BA0"/>
    <w:rsid w:val="00A10C60"/>
    <w:rsid w:val="00A10CF8"/>
    <w:rsid w:val="00A10D0F"/>
    <w:rsid w:val="00A10D62"/>
    <w:rsid w:val="00A10DC0"/>
    <w:rsid w:val="00A10E18"/>
    <w:rsid w:val="00A10E2E"/>
    <w:rsid w:val="00A10EEE"/>
    <w:rsid w:val="00A10EFE"/>
    <w:rsid w:val="00A11002"/>
    <w:rsid w:val="00A11154"/>
    <w:rsid w:val="00A1116E"/>
    <w:rsid w:val="00A111B8"/>
    <w:rsid w:val="00A112F6"/>
    <w:rsid w:val="00A1133F"/>
    <w:rsid w:val="00A113D6"/>
    <w:rsid w:val="00A11451"/>
    <w:rsid w:val="00A11544"/>
    <w:rsid w:val="00A11571"/>
    <w:rsid w:val="00A11607"/>
    <w:rsid w:val="00A1161A"/>
    <w:rsid w:val="00A116C3"/>
    <w:rsid w:val="00A1189E"/>
    <w:rsid w:val="00A118B9"/>
    <w:rsid w:val="00A11908"/>
    <w:rsid w:val="00A11980"/>
    <w:rsid w:val="00A119B6"/>
    <w:rsid w:val="00A11AB4"/>
    <w:rsid w:val="00A11B07"/>
    <w:rsid w:val="00A11BAA"/>
    <w:rsid w:val="00A11BE9"/>
    <w:rsid w:val="00A11BF7"/>
    <w:rsid w:val="00A11C2D"/>
    <w:rsid w:val="00A11CC3"/>
    <w:rsid w:val="00A11CC8"/>
    <w:rsid w:val="00A11D38"/>
    <w:rsid w:val="00A11D5C"/>
    <w:rsid w:val="00A11EE2"/>
    <w:rsid w:val="00A11EF5"/>
    <w:rsid w:val="00A11F61"/>
    <w:rsid w:val="00A11F90"/>
    <w:rsid w:val="00A11F9C"/>
    <w:rsid w:val="00A12042"/>
    <w:rsid w:val="00A1205C"/>
    <w:rsid w:val="00A12137"/>
    <w:rsid w:val="00A12144"/>
    <w:rsid w:val="00A12164"/>
    <w:rsid w:val="00A121D7"/>
    <w:rsid w:val="00A1237E"/>
    <w:rsid w:val="00A1239A"/>
    <w:rsid w:val="00A123F7"/>
    <w:rsid w:val="00A12534"/>
    <w:rsid w:val="00A1256D"/>
    <w:rsid w:val="00A12672"/>
    <w:rsid w:val="00A1272F"/>
    <w:rsid w:val="00A127AB"/>
    <w:rsid w:val="00A127EA"/>
    <w:rsid w:val="00A1280B"/>
    <w:rsid w:val="00A12889"/>
    <w:rsid w:val="00A128CD"/>
    <w:rsid w:val="00A128E4"/>
    <w:rsid w:val="00A12952"/>
    <w:rsid w:val="00A12A9B"/>
    <w:rsid w:val="00A12AEA"/>
    <w:rsid w:val="00A12B08"/>
    <w:rsid w:val="00A12B83"/>
    <w:rsid w:val="00A12CC8"/>
    <w:rsid w:val="00A12D02"/>
    <w:rsid w:val="00A12D1A"/>
    <w:rsid w:val="00A12D8A"/>
    <w:rsid w:val="00A12E43"/>
    <w:rsid w:val="00A12F67"/>
    <w:rsid w:val="00A13014"/>
    <w:rsid w:val="00A130AC"/>
    <w:rsid w:val="00A13114"/>
    <w:rsid w:val="00A13274"/>
    <w:rsid w:val="00A13397"/>
    <w:rsid w:val="00A134C5"/>
    <w:rsid w:val="00A134E8"/>
    <w:rsid w:val="00A13543"/>
    <w:rsid w:val="00A13555"/>
    <w:rsid w:val="00A1357A"/>
    <w:rsid w:val="00A13599"/>
    <w:rsid w:val="00A13704"/>
    <w:rsid w:val="00A1371D"/>
    <w:rsid w:val="00A13722"/>
    <w:rsid w:val="00A137B6"/>
    <w:rsid w:val="00A139FD"/>
    <w:rsid w:val="00A13A07"/>
    <w:rsid w:val="00A13AAC"/>
    <w:rsid w:val="00A13AB3"/>
    <w:rsid w:val="00A13B50"/>
    <w:rsid w:val="00A13BCD"/>
    <w:rsid w:val="00A13BCF"/>
    <w:rsid w:val="00A13CDB"/>
    <w:rsid w:val="00A13CF9"/>
    <w:rsid w:val="00A13D60"/>
    <w:rsid w:val="00A13D65"/>
    <w:rsid w:val="00A13DBE"/>
    <w:rsid w:val="00A13DF0"/>
    <w:rsid w:val="00A13E6F"/>
    <w:rsid w:val="00A13F61"/>
    <w:rsid w:val="00A1404D"/>
    <w:rsid w:val="00A14065"/>
    <w:rsid w:val="00A140E7"/>
    <w:rsid w:val="00A140F4"/>
    <w:rsid w:val="00A14130"/>
    <w:rsid w:val="00A14216"/>
    <w:rsid w:val="00A14222"/>
    <w:rsid w:val="00A14238"/>
    <w:rsid w:val="00A142C7"/>
    <w:rsid w:val="00A14340"/>
    <w:rsid w:val="00A143C9"/>
    <w:rsid w:val="00A143E7"/>
    <w:rsid w:val="00A14497"/>
    <w:rsid w:val="00A144AA"/>
    <w:rsid w:val="00A14587"/>
    <w:rsid w:val="00A145F5"/>
    <w:rsid w:val="00A14875"/>
    <w:rsid w:val="00A148D8"/>
    <w:rsid w:val="00A14940"/>
    <w:rsid w:val="00A14978"/>
    <w:rsid w:val="00A14984"/>
    <w:rsid w:val="00A149F5"/>
    <w:rsid w:val="00A14A13"/>
    <w:rsid w:val="00A14A35"/>
    <w:rsid w:val="00A14A72"/>
    <w:rsid w:val="00A14B4B"/>
    <w:rsid w:val="00A14B74"/>
    <w:rsid w:val="00A14B7D"/>
    <w:rsid w:val="00A14BCE"/>
    <w:rsid w:val="00A14C11"/>
    <w:rsid w:val="00A14C45"/>
    <w:rsid w:val="00A14C97"/>
    <w:rsid w:val="00A14CE1"/>
    <w:rsid w:val="00A14DAA"/>
    <w:rsid w:val="00A14E1E"/>
    <w:rsid w:val="00A14E21"/>
    <w:rsid w:val="00A14F5F"/>
    <w:rsid w:val="00A14FDD"/>
    <w:rsid w:val="00A1516F"/>
    <w:rsid w:val="00A1517D"/>
    <w:rsid w:val="00A151E3"/>
    <w:rsid w:val="00A15312"/>
    <w:rsid w:val="00A153D8"/>
    <w:rsid w:val="00A1540C"/>
    <w:rsid w:val="00A15542"/>
    <w:rsid w:val="00A156F6"/>
    <w:rsid w:val="00A15826"/>
    <w:rsid w:val="00A1585B"/>
    <w:rsid w:val="00A1586F"/>
    <w:rsid w:val="00A15988"/>
    <w:rsid w:val="00A15A04"/>
    <w:rsid w:val="00A15A15"/>
    <w:rsid w:val="00A15A25"/>
    <w:rsid w:val="00A15BDF"/>
    <w:rsid w:val="00A15C5E"/>
    <w:rsid w:val="00A15C5F"/>
    <w:rsid w:val="00A15CDD"/>
    <w:rsid w:val="00A15E55"/>
    <w:rsid w:val="00A15F3E"/>
    <w:rsid w:val="00A15F62"/>
    <w:rsid w:val="00A15F81"/>
    <w:rsid w:val="00A1602B"/>
    <w:rsid w:val="00A1606B"/>
    <w:rsid w:val="00A1614C"/>
    <w:rsid w:val="00A1617F"/>
    <w:rsid w:val="00A1618F"/>
    <w:rsid w:val="00A161E7"/>
    <w:rsid w:val="00A16355"/>
    <w:rsid w:val="00A163D6"/>
    <w:rsid w:val="00A1651B"/>
    <w:rsid w:val="00A16540"/>
    <w:rsid w:val="00A1655C"/>
    <w:rsid w:val="00A16637"/>
    <w:rsid w:val="00A1666F"/>
    <w:rsid w:val="00A166F0"/>
    <w:rsid w:val="00A166F5"/>
    <w:rsid w:val="00A1676F"/>
    <w:rsid w:val="00A167B0"/>
    <w:rsid w:val="00A167DA"/>
    <w:rsid w:val="00A16841"/>
    <w:rsid w:val="00A168B4"/>
    <w:rsid w:val="00A16917"/>
    <w:rsid w:val="00A169CE"/>
    <w:rsid w:val="00A16A00"/>
    <w:rsid w:val="00A16AAE"/>
    <w:rsid w:val="00A16AC0"/>
    <w:rsid w:val="00A16B1F"/>
    <w:rsid w:val="00A16B9B"/>
    <w:rsid w:val="00A16C17"/>
    <w:rsid w:val="00A16C59"/>
    <w:rsid w:val="00A16CE7"/>
    <w:rsid w:val="00A16D59"/>
    <w:rsid w:val="00A16DB5"/>
    <w:rsid w:val="00A16E6E"/>
    <w:rsid w:val="00A16ECD"/>
    <w:rsid w:val="00A16F58"/>
    <w:rsid w:val="00A16F5A"/>
    <w:rsid w:val="00A16F97"/>
    <w:rsid w:val="00A16F9A"/>
    <w:rsid w:val="00A1709F"/>
    <w:rsid w:val="00A170FD"/>
    <w:rsid w:val="00A1723A"/>
    <w:rsid w:val="00A17308"/>
    <w:rsid w:val="00A173AB"/>
    <w:rsid w:val="00A175ED"/>
    <w:rsid w:val="00A1771D"/>
    <w:rsid w:val="00A17727"/>
    <w:rsid w:val="00A17883"/>
    <w:rsid w:val="00A178E4"/>
    <w:rsid w:val="00A1797C"/>
    <w:rsid w:val="00A179A3"/>
    <w:rsid w:val="00A179C2"/>
    <w:rsid w:val="00A17A33"/>
    <w:rsid w:val="00A17ABC"/>
    <w:rsid w:val="00A17C66"/>
    <w:rsid w:val="00A17EF6"/>
    <w:rsid w:val="00A17FF6"/>
    <w:rsid w:val="00A2012C"/>
    <w:rsid w:val="00A20198"/>
    <w:rsid w:val="00A20238"/>
    <w:rsid w:val="00A202D1"/>
    <w:rsid w:val="00A20387"/>
    <w:rsid w:val="00A203BE"/>
    <w:rsid w:val="00A204A2"/>
    <w:rsid w:val="00A204A5"/>
    <w:rsid w:val="00A204E3"/>
    <w:rsid w:val="00A2053D"/>
    <w:rsid w:val="00A20564"/>
    <w:rsid w:val="00A205C1"/>
    <w:rsid w:val="00A2060F"/>
    <w:rsid w:val="00A206F3"/>
    <w:rsid w:val="00A20725"/>
    <w:rsid w:val="00A2074C"/>
    <w:rsid w:val="00A2088F"/>
    <w:rsid w:val="00A20901"/>
    <w:rsid w:val="00A2093B"/>
    <w:rsid w:val="00A2094C"/>
    <w:rsid w:val="00A2094F"/>
    <w:rsid w:val="00A209D2"/>
    <w:rsid w:val="00A20A73"/>
    <w:rsid w:val="00A20AA4"/>
    <w:rsid w:val="00A20AFD"/>
    <w:rsid w:val="00A20BB1"/>
    <w:rsid w:val="00A20BE0"/>
    <w:rsid w:val="00A20C03"/>
    <w:rsid w:val="00A20C12"/>
    <w:rsid w:val="00A20C3E"/>
    <w:rsid w:val="00A20D09"/>
    <w:rsid w:val="00A20DA6"/>
    <w:rsid w:val="00A20DD7"/>
    <w:rsid w:val="00A20DF6"/>
    <w:rsid w:val="00A20E13"/>
    <w:rsid w:val="00A20EE8"/>
    <w:rsid w:val="00A20EEC"/>
    <w:rsid w:val="00A20F4F"/>
    <w:rsid w:val="00A20F5B"/>
    <w:rsid w:val="00A21145"/>
    <w:rsid w:val="00A21383"/>
    <w:rsid w:val="00A213B7"/>
    <w:rsid w:val="00A2140B"/>
    <w:rsid w:val="00A21498"/>
    <w:rsid w:val="00A214E4"/>
    <w:rsid w:val="00A21523"/>
    <w:rsid w:val="00A21678"/>
    <w:rsid w:val="00A216A4"/>
    <w:rsid w:val="00A21759"/>
    <w:rsid w:val="00A21A99"/>
    <w:rsid w:val="00A21B3D"/>
    <w:rsid w:val="00A21DE7"/>
    <w:rsid w:val="00A21ED1"/>
    <w:rsid w:val="00A22156"/>
    <w:rsid w:val="00A221F6"/>
    <w:rsid w:val="00A22275"/>
    <w:rsid w:val="00A22313"/>
    <w:rsid w:val="00A2237F"/>
    <w:rsid w:val="00A223B4"/>
    <w:rsid w:val="00A22412"/>
    <w:rsid w:val="00A224E5"/>
    <w:rsid w:val="00A225EC"/>
    <w:rsid w:val="00A22630"/>
    <w:rsid w:val="00A22677"/>
    <w:rsid w:val="00A22682"/>
    <w:rsid w:val="00A227E6"/>
    <w:rsid w:val="00A2281F"/>
    <w:rsid w:val="00A2287C"/>
    <w:rsid w:val="00A228CB"/>
    <w:rsid w:val="00A22906"/>
    <w:rsid w:val="00A229D4"/>
    <w:rsid w:val="00A22A08"/>
    <w:rsid w:val="00A22AC5"/>
    <w:rsid w:val="00A22ADD"/>
    <w:rsid w:val="00A22B3B"/>
    <w:rsid w:val="00A22B5D"/>
    <w:rsid w:val="00A22B9A"/>
    <w:rsid w:val="00A22BEF"/>
    <w:rsid w:val="00A22C44"/>
    <w:rsid w:val="00A22CE7"/>
    <w:rsid w:val="00A22E06"/>
    <w:rsid w:val="00A22E7D"/>
    <w:rsid w:val="00A22ED1"/>
    <w:rsid w:val="00A22EFC"/>
    <w:rsid w:val="00A22F6E"/>
    <w:rsid w:val="00A230AC"/>
    <w:rsid w:val="00A230E9"/>
    <w:rsid w:val="00A231BC"/>
    <w:rsid w:val="00A23249"/>
    <w:rsid w:val="00A2327D"/>
    <w:rsid w:val="00A232A1"/>
    <w:rsid w:val="00A23337"/>
    <w:rsid w:val="00A23399"/>
    <w:rsid w:val="00A23463"/>
    <w:rsid w:val="00A236DE"/>
    <w:rsid w:val="00A23761"/>
    <w:rsid w:val="00A237BB"/>
    <w:rsid w:val="00A2382C"/>
    <w:rsid w:val="00A238C8"/>
    <w:rsid w:val="00A238DC"/>
    <w:rsid w:val="00A239C6"/>
    <w:rsid w:val="00A23A1B"/>
    <w:rsid w:val="00A23A58"/>
    <w:rsid w:val="00A23A5C"/>
    <w:rsid w:val="00A23AAC"/>
    <w:rsid w:val="00A23ACE"/>
    <w:rsid w:val="00A23AFA"/>
    <w:rsid w:val="00A23B09"/>
    <w:rsid w:val="00A23B53"/>
    <w:rsid w:val="00A23B67"/>
    <w:rsid w:val="00A23C2E"/>
    <w:rsid w:val="00A23C98"/>
    <w:rsid w:val="00A23D21"/>
    <w:rsid w:val="00A23D2E"/>
    <w:rsid w:val="00A23D3D"/>
    <w:rsid w:val="00A23D7E"/>
    <w:rsid w:val="00A23D83"/>
    <w:rsid w:val="00A23D96"/>
    <w:rsid w:val="00A23DAE"/>
    <w:rsid w:val="00A23E70"/>
    <w:rsid w:val="00A23F10"/>
    <w:rsid w:val="00A23F2E"/>
    <w:rsid w:val="00A23F71"/>
    <w:rsid w:val="00A23F96"/>
    <w:rsid w:val="00A241E5"/>
    <w:rsid w:val="00A2424F"/>
    <w:rsid w:val="00A242D8"/>
    <w:rsid w:val="00A242FE"/>
    <w:rsid w:val="00A2430A"/>
    <w:rsid w:val="00A24327"/>
    <w:rsid w:val="00A24348"/>
    <w:rsid w:val="00A2452A"/>
    <w:rsid w:val="00A245F5"/>
    <w:rsid w:val="00A24600"/>
    <w:rsid w:val="00A2466C"/>
    <w:rsid w:val="00A24679"/>
    <w:rsid w:val="00A247EA"/>
    <w:rsid w:val="00A247F0"/>
    <w:rsid w:val="00A2481E"/>
    <w:rsid w:val="00A24840"/>
    <w:rsid w:val="00A24852"/>
    <w:rsid w:val="00A248B1"/>
    <w:rsid w:val="00A248DD"/>
    <w:rsid w:val="00A24B7C"/>
    <w:rsid w:val="00A24C5E"/>
    <w:rsid w:val="00A24CD2"/>
    <w:rsid w:val="00A24D98"/>
    <w:rsid w:val="00A24DA7"/>
    <w:rsid w:val="00A24E3A"/>
    <w:rsid w:val="00A24F2F"/>
    <w:rsid w:val="00A24FF6"/>
    <w:rsid w:val="00A24FF7"/>
    <w:rsid w:val="00A2500E"/>
    <w:rsid w:val="00A250C1"/>
    <w:rsid w:val="00A250E3"/>
    <w:rsid w:val="00A251A7"/>
    <w:rsid w:val="00A25201"/>
    <w:rsid w:val="00A252B3"/>
    <w:rsid w:val="00A25356"/>
    <w:rsid w:val="00A25393"/>
    <w:rsid w:val="00A25432"/>
    <w:rsid w:val="00A25527"/>
    <w:rsid w:val="00A2553E"/>
    <w:rsid w:val="00A25567"/>
    <w:rsid w:val="00A2557F"/>
    <w:rsid w:val="00A255B2"/>
    <w:rsid w:val="00A25684"/>
    <w:rsid w:val="00A25687"/>
    <w:rsid w:val="00A2575E"/>
    <w:rsid w:val="00A25800"/>
    <w:rsid w:val="00A258FD"/>
    <w:rsid w:val="00A25944"/>
    <w:rsid w:val="00A2597C"/>
    <w:rsid w:val="00A25997"/>
    <w:rsid w:val="00A25A2E"/>
    <w:rsid w:val="00A25A98"/>
    <w:rsid w:val="00A25AA6"/>
    <w:rsid w:val="00A25AFA"/>
    <w:rsid w:val="00A25BA9"/>
    <w:rsid w:val="00A25BD6"/>
    <w:rsid w:val="00A25C2A"/>
    <w:rsid w:val="00A25C2D"/>
    <w:rsid w:val="00A25EFA"/>
    <w:rsid w:val="00A25F61"/>
    <w:rsid w:val="00A25F6A"/>
    <w:rsid w:val="00A25F84"/>
    <w:rsid w:val="00A2600F"/>
    <w:rsid w:val="00A2614B"/>
    <w:rsid w:val="00A26185"/>
    <w:rsid w:val="00A26298"/>
    <w:rsid w:val="00A262C1"/>
    <w:rsid w:val="00A26352"/>
    <w:rsid w:val="00A2636D"/>
    <w:rsid w:val="00A26381"/>
    <w:rsid w:val="00A26385"/>
    <w:rsid w:val="00A26387"/>
    <w:rsid w:val="00A264C6"/>
    <w:rsid w:val="00A264C7"/>
    <w:rsid w:val="00A264E5"/>
    <w:rsid w:val="00A26568"/>
    <w:rsid w:val="00A26583"/>
    <w:rsid w:val="00A265B8"/>
    <w:rsid w:val="00A265BA"/>
    <w:rsid w:val="00A26664"/>
    <w:rsid w:val="00A266AD"/>
    <w:rsid w:val="00A266B7"/>
    <w:rsid w:val="00A26754"/>
    <w:rsid w:val="00A267A1"/>
    <w:rsid w:val="00A2684C"/>
    <w:rsid w:val="00A26868"/>
    <w:rsid w:val="00A26A20"/>
    <w:rsid w:val="00A26AC2"/>
    <w:rsid w:val="00A26B50"/>
    <w:rsid w:val="00A26BCB"/>
    <w:rsid w:val="00A26C98"/>
    <w:rsid w:val="00A26EE0"/>
    <w:rsid w:val="00A26F77"/>
    <w:rsid w:val="00A270AC"/>
    <w:rsid w:val="00A27113"/>
    <w:rsid w:val="00A272FE"/>
    <w:rsid w:val="00A2738F"/>
    <w:rsid w:val="00A273C6"/>
    <w:rsid w:val="00A27409"/>
    <w:rsid w:val="00A27416"/>
    <w:rsid w:val="00A27475"/>
    <w:rsid w:val="00A274F1"/>
    <w:rsid w:val="00A275C9"/>
    <w:rsid w:val="00A275DF"/>
    <w:rsid w:val="00A275EC"/>
    <w:rsid w:val="00A2769F"/>
    <w:rsid w:val="00A276DE"/>
    <w:rsid w:val="00A276EA"/>
    <w:rsid w:val="00A27769"/>
    <w:rsid w:val="00A277C7"/>
    <w:rsid w:val="00A277D8"/>
    <w:rsid w:val="00A278B2"/>
    <w:rsid w:val="00A278C1"/>
    <w:rsid w:val="00A27950"/>
    <w:rsid w:val="00A27960"/>
    <w:rsid w:val="00A279A1"/>
    <w:rsid w:val="00A27AA6"/>
    <w:rsid w:val="00A27AB9"/>
    <w:rsid w:val="00A27B1C"/>
    <w:rsid w:val="00A27BDA"/>
    <w:rsid w:val="00A27C15"/>
    <w:rsid w:val="00A27C2B"/>
    <w:rsid w:val="00A27CE7"/>
    <w:rsid w:val="00A27D0B"/>
    <w:rsid w:val="00A27EE0"/>
    <w:rsid w:val="00A27F31"/>
    <w:rsid w:val="00A27FF8"/>
    <w:rsid w:val="00A30111"/>
    <w:rsid w:val="00A302CC"/>
    <w:rsid w:val="00A302DD"/>
    <w:rsid w:val="00A30319"/>
    <w:rsid w:val="00A30496"/>
    <w:rsid w:val="00A3054F"/>
    <w:rsid w:val="00A3058E"/>
    <w:rsid w:val="00A305CE"/>
    <w:rsid w:val="00A305EF"/>
    <w:rsid w:val="00A306A8"/>
    <w:rsid w:val="00A3072D"/>
    <w:rsid w:val="00A307A3"/>
    <w:rsid w:val="00A307D7"/>
    <w:rsid w:val="00A30958"/>
    <w:rsid w:val="00A30AB0"/>
    <w:rsid w:val="00A30B34"/>
    <w:rsid w:val="00A30B9F"/>
    <w:rsid w:val="00A30C52"/>
    <w:rsid w:val="00A30CBC"/>
    <w:rsid w:val="00A30CEA"/>
    <w:rsid w:val="00A30D28"/>
    <w:rsid w:val="00A30D86"/>
    <w:rsid w:val="00A30E63"/>
    <w:rsid w:val="00A30F9F"/>
    <w:rsid w:val="00A31057"/>
    <w:rsid w:val="00A31221"/>
    <w:rsid w:val="00A3124A"/>
    <w:rsid w:val="00A31282"/>
    <w:rsid w:val="00A312D2"/>
    <w:rsid w:val="00A312DE"/>
    <w:rsid w:val="00A31394"/>
    <w:rsid w:val="00A3144C"/>
    <w:rsid w:val="00A314B3"/>
    <w:rsid w:val="00A31509"/>
    <w:rsid w:val="00A31510"/>
    <w:rsid w:val="00A315B6"/>
    <w:rsid w:val="00A315B7"/>
    <w:rsid w:val="00A31634"/>
    <w:rsid w:val="00A3164F"/>
    <w:rsid w:val="00A316A0"/>
    <w:rsid w:val="00A318AB"/>
    <w:rsid w:val="00A318ED"/>
    <w:rsid w:val="00A318F7"/>
    <w:rsid w:val="00A31934"/>
    <w:rsid w:val="00A31A02"/>
    <w:rsid w:val="00A31A6F"/>
    <w:rsid w:val="00A31ABC"/>
    <w:rsid w:val="00A31C41"/>
    <w:rsid w:val="00A31CFC"/>
    <w:rsid w:val="00A31D37"/>
    <w:rsid w:val="00A31E40"/>
    <w:rsid w:val="00A31F3E"/>
    <w:rsid w:val="00A31F8A"/>
    <w:rsid w:val="00A31FEF"/>
    <w:rsid w:val="00A3215F"/>
    <w:rsid w:val="00A32178"/>
    <w:rsid w:val="00A321BE"/>
    <w:rsid w:val="00A32206"/>
    <w:rsid w:val="00A3225A"/>
    <w:rsid w:val="00A3237B"/>
    <w:rsid w:val="00A323C5"/>
    <w:rsid w:val="00A323EE"/>
    <w:rsid w:val="00A32446"/>
    <w:rsid w:val="00A324E0"/>
    <w:rsid w:val="00A3254B"/>
    <w:rsid w:val="00A3263D"/>
    <w:rsid w:val="00A32648"/>
    <w:rsid w:val="00A32679"/>
    <w:rsid w:val="00A327C7"/>
    <w:rsid w:val="00A32812"/>
    <w:rsid w:val="00A32837"/>
    <w:rsid w:val="00A32886"/>
    <w:rsid w:val="00A32887"/>
    <w:rsid w:val="00A328A9"/>
    <w:rsid w:val="00A3290A"/>
    <w:rsid w:val="00A32925"/>
    <w:rsid w:val="00A3298A"/>
    <w:rsid w:val="00A32B28"/>
    <w:rsid w:val="00A32B46"/>
    <w:rsid w:val="00A32BC9"/>
    <w:rsid w:val="00A32CCC"/>
    <w:rsid w:val="00A32D20"/>
    <w:rsid w:val="00A32DAB"/>
    <w:rsid w:val="00A32EAD"/>
    <w:rsid w:val="00A32F01"/>
    <w:rsid w:val="00A32F80"/>
    <w:rsid w:val="00A32F9A"/>
    <w:rsid w:val="00A33000"/>
    <w:rsid w:val="00A330DD"/>
    <w:rsid w:val="00A3316B"/>
    <w:rsid w:val="00A3334B"/>
    <w:rsid w:val="00A333B1"/>
    <w:rsid w:val="00A333CA"/>
    <w:rsid w:val="00A333CC"/>
    <w:rsid w:val="00A334BD"/>
    <w:rsid w:val="00A334E3"/>
    <w:rsid w:val="00A335BD"/>
    <w:rsid w:val="00A33613"/>
    <w:rsid w:val="00A3363C"/>
    <w:rsid w:val="00A3365A"/>
    <w:rsid w:val="00A33698"/>
    <w:rsid w:val="00A33715"/>
    <w:rsid w:val="00A337BC"/>
    <w:rsid w:val="00A337C5"/>
    <w:rsid w:val="00A337F9"/>
    <w:rsid w:val="00A33926"/>
    <w:rsid w:val="00A3392A"/>
    <w:rsid w:val="00A3392C"/>
    <w:rsid w:val="00A33998"/>
    <w:rsid w:val="00A339B8"/>
    <w:rsid w:val="00A33AD2"/>
    <w:rsid w:val="00A33B25"/>
    <w:rsid w:val="00A33B36"/>
    <w:rsid w:val="00A33BAA"/>
    <w:rsid w:val="00A33C02"/>
    <w:rsid w:val="00A33C70"/>
    <w:rsid w:val="00A33C72"/>
    <w:rsid w:val="00A33CA8"/>
    <w:rsid w:val="00A33E83"/>
    <w:rsid w:val="00A33EEC"/>
    <w:rsid w:val="00A34097"/>
    <w:rsid w:val="00A341A7"/>
    <w:rsid w:val="00A3422F"/>
    <w:rsid w:val="00A34267"/>
    <w:rsid w:val="00A342E3"/>
    <w:rsid w:val="00A34318"/>
    <w:rsid w:val="00A34396"/>
    <w:rsid w:val="00A34420"/>
    <w:rsid w:val="00A344B4"/>
    <w:rsid w:val="00A344C9"/>
    <w:rsid w:val="00A3453D"/>
    <w:rsid w:val="00A34582"/>
    <w:rsid w:val="00A34671"/>
    <w:rsid w:val="00A346AC"/>
    <w:rsid w:val="00A346BE"/>
    <w:rsid w:val="00A346FB"/>
    <w:rsid w:val="00A347E7"/>
    <w:rsid w:val="00A34800"/>
    <w:rsid w:val="00A3487E"/>
    <w:rsid w:val="00A348CD"/>
    <w:rsid w:val="00A349E2"/>
    <w:rsid w:val="00A34A78"/>
    <w:rsid w:val="00A34B09"/>
    <w:rsid w:val="00A34B18"/>
    <w:rsid w:val="00A34D71"/>
    <w:rsid w:val="00A34DEA"/>
    <w:rsid w:val="00A34E72"/>
    <w:rsid w:val="00A34E83"/>
    <w:rsid w:val="00A34F15"/>
    <w:rsid w:val="00A34F42"/>
    <w:rsid w:val="00A34F76"/>
    <w:rsid w:val="00A34FC8"/>
    <w:rsid w:val="00A34FE8"/>
    <w:rsid w:val="00A3516E"/>
    <w:rsid w:val="00A35190"/>
    <w:rsid w:val="00A351D2"/>
    <w:rsid w:val="00A35219"/>
    <w:rsid w:val="00A3522A"/>
    <w:rsid w:val="00A35275"/>
    <w:rsid w:val="00A3527E"/>
    <w:rsid w:val="00A35280"/>
    <w:rsid w:val="00A35303"/>
    <w:rsid w:val="00A35365"/>
    <w:rsid w:val="00A353AD"/>
    <w:rsid w:val="00A35579"/>
    <w:rsid w:val="00A355C1"/>
    <w:rsid w:val="00A35675"/>
    <w:rsid w:val="00A356E8"/>
    <w:rsid w:val="00A35782"/>
    <w:rsid w:val="00A357F6"/>
    <w:rsid w:val="00A3596B"/>
    <w:rsid w:val="00A35995"/>
    <w:rsid w:val="00A359CA"/>
    <w:rsid w:val="00A35A5B"/>
    <w:rsid w:val="00A35AE2"/>
    <w:rsid w:val="00A35AF9"/>
    <w:rsid w:val="00A35B93"/>
    <w:rsid w:val="00A35BD1"/>
    <w:rsid w:val="00A35C96"/>
    <w:rsid w:val="00A35CAA"/>
    <w:rsid w:val="00A35CB4"/>
    <w:rsid w:val="00A35CB5"/>
    <w:rsid w:val="00A35CE8"/>
    <w:rsid w:val="00A35CF1"/>
    <w:rsid w:val="00A35D06"/>
    <w:rsid w:val="00A35D85"/>
    <w:rsid w:val="00A35E1E"/>
    <w:rsid w:val="00A35EB5"/>
    <w:rsid w:val="00A35ECE"/>
    <w:rsid w:val="00A35F7B"/>
    <w:rsid w:val="00A35F94"/>
    <w:rsid w:val="00A35FA1"/>
    <w:rsid w:val="00A35FBD"/>
    <w:rsid w:val="00A36057"/>
    <w:rsid w:val="00A360F4"/>
    <w:rsid w:val="00A36133"/>
    <w:rsid w:val="00A36166"/>
    <w:rsid w:val="00A361C1"/>
    <w:rsid w:val="00A361D8"/>
    <w:rsid w:val="00A3621F"/>
    <w:rsid w:val="00A362A9"/>
    <w:rsid w:val="00A362BE"/>
    <w:rsid w:val="00A362C5"/>
    <w:rsid w:val="00A362F8"/>
    <w:rsid w:val="00A3630E"/>
    <w:rsid w:val="00A363B1"/>
    <w:rsid w:val="00A363FB"/>
    <w:rsid w:val="00A36402"/>
    <w:rsid w:val="00A36467"/>
    <w:rsid w:val="00A364B7"/>
    <w:rsid w:val="00A364C7"/>
    <w:rsid w:val="00A364E9"/>
    <w:rsid w:val="00A364FC"/>
    <w:rsid w:val="00A36582"/>
    <w:rsid w:val="00A36583"/>
    <w:rsid w:val="00A3666A"/>
    <w:rsid w:val="00A36755"/>
    <w:rsid w:val="00A3676C"/>
    <w:rsid w:val="00A3678D"/>
    <w:rsid w:val="00A36812"/>
    <w:rsid w:val="00A3685F"/>
    <w:rsid w:val="00A36867"/>
    <w:rsid w:val="00A368B7"/>
    <w:rsid w:val="00A36909"/>
    <w:rsid w:val="00A3699D"/>
    <w:rsid w:val="00A369AB"/>
    <w:rsid w:val="00A36A4B"/>
    <w:rsid w:val="00A36B2A"/>
    <w:rsid w:val="00A36B55"/>
    <w:rsid w:val="00A36C02"/>
    <w:rsid w:val="00A36C14"/>
    <w:rsid w:val="00A36E65"/>
    <w:rsid w:val="00A36F6D"/>
    <w:rsid w:val="00A370C4"/>
    <w:rsid w:val="00A371A7"/>
    <w:rsid w:val="00A3729F"/>
    <w:rsid w:val="00A372B6"/>
    <w:rsid w:val="00A372DB"/>
    <w:rsid w:val="00A3730D"/>
    <w:rsid w:val="00A37452"/>
    <w:rsid w:val="00A3746C"/>
    <w:rsid w:val="00A3750D"/>
    <w:rsid w:val="00A375D7"/>
    <w:rsid w:val="00A37672"/>
    <w:rsid w:val="00A376D1"/>
    <w:rsid w:val="00A3777D"/>
    <w:rsid w:val="00A378C2"/>
    <w:rsid w:val="00A378D8"/>
    <w:rsid w:val="00A378E8"/>
    <w:rsid w:val="00A3793F"/>
    <w:rsid w:val="00A37985"/>
    <w:rsid w:val="00A37A79"/>
    <w:rsid w:val="00A37AA9"/>
    <w:rsid w:val="00A37B16"/>
    <w:rsid w:val="00A37B24"/>
    <w:rsid w:val="00A37B4C"/>
    <w:rsid w:val="00A37BE0"/>
    <w:rsid w:val="00A37D6A"/>
    <w:rsid w:val="00A37E15"/>
    <w:rsid w:val="00A37E1B"/>
    <w:rsid w:val="00A37F5F"/>
    <w:rsid w:val="00A37FCD"/>
    <w:rsid w:val="00A37FE1"/>
    <w:rsid w:val="00A400A8"/>
    <w:rsid w:val="00A40116"/>
    <w:rsid w:val="00A40125"/>
    <w:rsid w:val="00A40141"/>
    <w:rsid w:val="00A40151"/>
    <w:rsid w:val="00A401BC"/>
    <w:rsid w:val="00A40308"/>
    <w:rsid w:val="00A4035C"/>
    <w:rsid w:val="00A4048B"/>
    <w:rsid w:val="00A404C3"/>
    <w:rsid w:val="00A404E0"/>
    <w:rsid w:val="00A40534"/>
    <w:rsid w:val="00A40577"/>
    <w:rsid w:val="00A4070E"/>
    <w:rsid w:val="00A407A8"/>
    <w:rsid w:val="00A407AA"/>
    <w:rsid w:val="00A407D1"/>
    <w:rsid w:val="00A407DA"/>
    <w:rsid w:val="00A40815"/>
    <w:rsid w:val="00A40838"/>
    <w:rsid w:val="00A40839"/>
    <w:rsid w:val="00A40853"/>
    <w:rsid w:val="00A40950"/>
    <w:rsid w:val="00A40B05"/>
    <w:rsid w:val="00A40B53"/>
    <w:rsid w:val="00A40B78"/>
    <w:rsid w:val="00A40B92"/>
    <w:rsid w:val="00A40E45"/>
    <w:rsid w:val="00A40F4C"/>
    <w:rsid w:val="00A40FAA"/>
    <w:rsid w:val="00A41021"/>
    <w:rsid w:val="00A41056"/>
    <w:rsid w:val="00A410E1"/>
    <w:rsid w:val="00A4116F"/>
    <w:rsid w:val="00A41173"/>
    <w:rsid w:val="00A412BD"/>
    <w:rsid w:val="00A413B7"/>
    <w:rsid w:val="00A413CD"/>
    <w:rsid w:val="00A413EA"/>
    <w:rsid w:val="00A41477"/>
    <w:rsid w:val="00A41483"/>
    <w:rsid w:val="00A41550"/>
    <w:rsid w:val="00A4159E"/>
    <w:rsid w:val="00A415B4"/>
    <w:rsid w:val="00A41682"/>
    <w:rsid w:val="00A41786"/>
    <w:rsid w:val="00A41806"/>
    <w:rsid w:val="00A4191A"/>
    <w:rsid w:val="00A41959"/>
    <w:rsid w:val="00A41A26"/>
    <w:rsid w:val="00A41BD9"/>
    <w:rsid w:val="00A41BFB"/>
    <w:rsid w:val="00A41CBC"/>
    <w:rsid w:val="00A41CBF"/>
    <w:rsid w:val="00A41E17"/>
    <w:rsid w:val="00A41E2E"/>
    <w:rsid w:val="00A41E66"/>
    <w:rsid w:val="00A41E8B"/>
    <w:rsid w:val="00A41F0A"/>
    <w:rsid w:val="00A41F8A"/>
    <w:rsid w:val="00A4204F"/>
    <w:rsid w:val="00A42202"/>
    <w:rsid w:val="00A42217"/>
    <w:rsid w:val="00A4225F"/>
    <w:rsid w:val="00A4235C"/>
    <w:rsid w:val="00A42365"/>
    <w:rsid w:val="00A42457"/>
    <w:rsid w:val="00A4251E"/>
    <w:rsid w:val="00A42544"/>
    <w:rsid w:val="00A425E1"/>
    <w:rsid w:val="00A426F9"/>
    <w:rsid w:val="00A42725"/>
    <w:rsid w:val="00A42799"/>
    <w:rsid w:val="00A42841"/>
    <w:rsid w:val="00A42882"/>
    <w:rsid w:val="00A428E0"/>
    <w:rsid w:val="00A429BD"/>
    <w:rsid w:val="00A42AA9"/>
    <w:rsid w:val="00A42B83"/>
    <w:rsid w:val="00A42B96"/>
    <w:rsid w:val="00A42BF8"/>
    <w:rsid w:val="00A42C27"/>
    <w:rsid w:val="00A42DA8"/>
    <w:rsid w:val="00A42DFB"/>
    <w:rsid w:val="00A42E1E"/>
    <w:rsid w:val="00A42E9E"/>
    <w:rsid w:val="00A42EF7"/>
    <w:rsid w:val="00A42FBA"/>
    <w:rsid w:val="00A430AC"/>
    <w:rsid w:val="00A430CA"/>
    <w:rsid w:val="00A4313E"/>
    <w:rsid w:val="00A4314B"/>
    <w:rsid w:val="00A431DC"/>
    <w:rsid w:val="00A43225"/>
    <w:rsid w:val="00A4324F"/>
    <w:rsid w:val="00A43282"/>
    <w:rsid w:val="00A43330"/>
    <w:rsid w:val="00A433A2"/>
    <w:rsid w:val="00A433E5"/>
    <w:rsid w:val="00A434C7"/>
    <w:rsid w:val="00A43586"/>
    <w:rsid w:val="00A43610"/>
    <w:rsid w:val="00A4363F"/>
    <w:rsid w:val="00A43654"/>
    <w:rsid w:val="00A436A1"/>
    <w:rsid w:val="00A436F7"/>
    <w:rsid w:val="00A43742"/>
    <w:rsid w:val="00A439EB"/>
    <w:rsid w:val="00A43ABF"/>
    <w:rsid w:val="00A43B2C"/>
    <w:rsid w:val="00A43B3B"/>
    <w:rsid w:val="00A43BCB"/>
    <w:rsid w:val="00A43BCE"/>
    <w:rsid w:val="00A43BDE"/>
    <w:rsid w:val="00A43C30"/>
    <w:rsid w:val="00A43C4B"/>
    <w:rsid w:val="00A43CBC"/>
    <w:rsid w:val="00A43D43"/>
    <w:rsid w:val="00A43D95"/>
    <w:rsid w:val="00A43EBB"/>
    <w:rsid w:val="00A4408E"/>
    <w:rsid w:val="00A441FE"/>
    <w:rsid w:val="00A4424E"/>
    <w:rsid w:val="00A4437B"/>
    <w:rsid w:val="00A44391"/>
    <w:rsid w:val="00A443C4"/>
    <w:rsid w:val="00A446BB"/>
    <w:rsid w:val="00A446C2"/>
    <w:rsid w:val="00A447AD"/>
    <w:rsid w:val="00A44859"/>
    <w:rsid w:val="00A4492C"/>
    <w:rsid w:val="00A4497E"/>
    <w:rsid w:val="00A449CD"/>
    <w:rsid w:val="00A44A1C"/>
    <w:rsid w:val="00A44A2B"/>
    <w:rsid w:val="00A44A83"/>
    <w:rsid w:val="00A44B5B"/>
    <w:rsid w:val="00A44C14"/>
    <w:rsid w:val="00A44C83"/>
    <w:rsid w:val="00A44D43"/>
    <w:rsid w:val="00A44E41"/>
    <w:rsid w:val="00A44EC4"/>
    <w:rsid w:val="00A44ECF"/>
    <w:rsid w:val="00A44ED9"/>
    <w:rsid w:val="00A44FB1"/>
    <w:rsid w:val="00A44FC7"/>
    <w:rsid w:val="00A450FA"/>
    <w:rsid w:val="00A45103"/>
    <w:rsid w:val="00A45153"/>
    <w:rsid w:val="00A451A1"/>
    <w:rsid w:val="00A45244"/>
    <w:rsid w:val="00A45286"/>
    <w:rsid w:val="00A4528A"/>
    <w:rsid w:val="00A453C5"/>
    <w:rsid w:val="00A4548C"/>
    <w:rsid w:val="00A45519"/>
    <w:rsid w:val="00A45550"/>
    <w:rsid w:val="00A4578F"/>
    <w:rsid w:val="00A458ED"/>
    <w:rsid w:val="00A459CB"/>
    <w:rsid w:val="00A459D5"/>
    <w:rsid w:val="00A45BE3"/>
    <w:rsid w:val="00A45C13"/>
    <w:rsid w:val="00A45C28"/>
    <w:rsid w:val="00A45C69"/>
    <w:rsid w:val="00A45CC0"/>
    <w:rsid w:val="00A45CE7"/>
    <w:rsid w:val="00A45EE9"/>
    <w:rsid w:val="00A45F84"/>
    <w:rsid w:val="00A45FC2"/>
    <w:rsid w:val="00A45FD3"/>
    <w:rsid w:val="00A4608B"/>
    <w:rsid w:val="00A46137"/>
    <w:rsid w:val="00A4619D"/>
    <w:rsid w:val="00A46220"/>
    <w:rsid w:val="00A46300"/>
    <w:rsid w:val="00A46418"/>
    <w:rsid w:val="00A46449"/>
    <w:rsid w:val="00A4646E"/>
    <w:rsid w:val="00A46481"/>
    <w:rsid w:val="00A46569"/>
    <w:rsid w:val="00A465B2"/>
    <w:rsid w:val="00A465DE"/>
    <w:rsid w:val="00A46647"/>
    <w:rsid w:val="00A46668"/>
    <w:rsid w:val="00A46692"/>
    <w:rsid w:val="00A466B1"/>
    <w:rsid w:val="00A466F2"/>
    <w:rsid w:val="00A46787"/>
    <w:rsid w:val="00A4688C"/>
    <w:rsid w:val="00A468B4"/>
    <w:rsid w:val="00A4698D"/>
    <w:rsid w:val="00A469CA"/>
    <w:rsid w:val="00A469FA"/>
    <w:rsid w:val="00A46A86"/>
    <w:rsid w:val="00A46A93"/>
    <w:rsid w:val="00A46BBF"/>
    <w:rsid w:val="00A46C1D"/>
    <w:rsid w:val="00A46CFA"/>
    <w:rsid w:val="00A46E2C"/>
    <w:rsid w:val="00A46E88"/>
    <w:rsid w:val="00A46F3A"/>
    <w:rsid w:val="00A46FAA"/>
    <w:rsid w:val="00A4702C"/>
    <w:rsid w:val="00A4705C"/>
    <w:rsid w:val="00A47081"/>
    <w:rsid w:val="00A47161"/>
    <w:rsid w:val="00A47199"/>
    <w:rsid w:val="00A47200"/>
    <w:rsid w:val="00A4720B"/>
    <w:rsid w:val="00A47337"/>
    <w:rsid w:val="00A473AE"/>
    <w:rsid w:val="00A473FF"/>
    <w:rsid w:val="00A47533"/>
    <w:rsid w:val="00A475B4"/>
    <w:rsid w:val="00A475BE"/>
    <w:rsid w:val="00A47653"/>
    <w:rsid w:val="00A477C5"/>
    <w:rsid w:val="00A47845"/>
    <w:rsid w:val="00A4784E"/>
    <w:rsid w:val="00A47881"/>
    <w:rsid w:val="00A478BC"/>
    <w:rsid w:val="00A47912"/>
    <w:rsid w:val="00A47A52"/>
    <w:rsid w:val="00A47A5B"/>
    <w:rsid w:val="00A47B2E"/>
    <w:rsid w:val="00A47B72"/>
    <w:rsid w:val="00A47B87"/>
    <w:rsid w:val="00A47C62"/>
    <w:rsid w:val="00A47CB5"/>
    <w:rsid w:val="00A47D5A"/>
    <w:rsid w:val="00A47D8C"/>
    <w:rsid w:val="00A47DFF"/>
    <w:rsid w:val="00A47E65"/>
    <w:rsid w:val="00A47ED1"/>
    <w:rsid w:val="00A47F33"/>
    <w:rsid w:val="00A50034"/>
    <w:rsid w:val="00A50069"/>
    <w:rsid w:val="00A50098"/>
    <w:rsid w:val="00A500A4"/>
    <w:rsid w:val="00A500DA"/>
    <w:rsid w:val="00A501E6"/>
    <w:rsid w:val="00A50209"/>
    <w:rsid w:val="00A502C5"/>
    <w:rsid w:val="00A503B8"/>
    <w:rsid w:val="00A5047B"/>
    <w:rsid w:val="00A50553"/>
    <w:rsid w:val="00A50558"/>
    <w:rsid w:val="00A5057A"/>
    <w:rsid w:val="00A505B5"/>
    <w:rsid w:val="00A5067A"/>
    <w:rsid w:val="00A506A2"/>
    <w:rsid w:val="00A506AA"/>
    <w:rsid w:val="00A506B2"/>
    <w:rsid w:val="00A507AC"/>
    <w:rsid w:val="00A507B8"/>
    <w:rsid w:val="00A507C8"/>
    <w:rsid w:val="00A507DB"/>
    <w:rsid w:val="00A50C5E"/>
    <w:rsid w:val="00A50D3A"/>
    <w:rsid w:val="00A50D43"/>
    <w:rsid w:val="00A50D94"/>
    <w:rsid w:val="00A50EF9"/>
    <w:rsid w:val="00A5100C"/>
    <w:rsid w:val="00A51029"/>
    <w:rsid w:val="00A510A9"/>
    <w:rsid w:val="00A51194"/>
    <w:rsid w:val="00A5122B"/>
    <w:rsid w:val="00A51238"/>
    <w:rsid w:val="00A512CF"/>
    <w:rsid w:val="00A5141C"/>
    <w:rsid w:val="00A51480"/>
    <w:rsid w:val="00A514F6"/>
    <w:rsid w:val="00A51626"/>
    <w:rsid w:val="00A51669"/>
    <w:rsid w:val="00A5171F"/>
    <w:rsid w:val="00A517E5"/>
    <w:rsid w:val="00A51803"/>
    <w:rsid w:val="00A5182F"/>
    <w:rsid w:val="00A5184C"/>
    <w:rsid w:val="00A518B0"/>
    <w:rsid w:val="00A51A22"/>
    <w:rsid w:val="00A51A7A"/>
    <w:rsid w:val="00A51BE4"/>
    <w:rsid w:val="00A51C35"/>
    <w:rsid w:val="00A51CAE"/>
    <w:rsid w:val="00A51CDD"/>
    <w:rsid w:val="00A51EC8"/>
    <w:rsid w:val="00A51EF0"/>
    <w:rsid w:val="00A51F84"/>
    <w:rsid w:val="00A52074"/>
    <w:rsid w:val="00A520E1"/>
    <w:rsid w:val="00A522AA"/>
    <w:rsid w:val="00A523C6"/>
    <w:rsid w:val="00A524CF"/>
    <w:rsid w:val="00A5254D"/>
    <w:rsid w:val="00A5261B"/>
    <w:rsid w:val="00A5264D"/>
    <w:rsid w:val="00A52674"/>
    <w:rsid w:val="00A52679"/>
    <w:rsid w:val="00A526E8"/>
    <w:rsid w:val="00A527C1"/>
    <w:rsid w:val="00A52864"/>
    <w:rsid w:val="00A52919"/>
    <w:rsid w:val="00A52957"/>
    <w:rsid w:val="00A52A4A"/>
    <w:rsid w:val="00A52B76"/>
    <w:rsid w:val="00A52B7F"/>
    <w:rsid w:val="00A52BCE"/>
    <w:rsid w:val="00A52BFF"/>
    <w:rsid w:val="00A52C08"/>
    <w:rsid w:val="00A52C18"/>
    <w:rsid w:val="00A52CD3"/>
    <w:rsid w:val="00A52D63"/>
    <w:rsid w:val="00A52DC0"/>
    <w:rsid w:val="00A52E47"/>
    <w:rsid w:val="00A52E6A"/>
    <w:rsid w:val="00A52EF6"/>
    <w:rsid w:val="00A52FE9"/>
    <w:rsid w:val="00A530C2"/>
    <w:rsid w:val="00A531EF"/>
    <w:rsid w:val="00A532E4"/>
    <w:rsid w:val="00A53429"/>
    <w:rsid w:val="00A53550"/>
    <w:rsid w:val="00A535CD"/>
    <w:rsid w:val="00A536B2"/>
    <w:rsid w:val="00A5378B"/>
    <w:rsid w:val="00A5394E"/>
    <w:rsid w:val="00A53998"/>
    <w:rsid w:val="00A539F6"/>
    <w:rsid w:val="00A53A04"/>
    <w:rsid w:val="00A53AFD"/>
    <w:rsid w:val="00A53B11"/>
    <w:rsid w:val="00A53B58"/>
    <w:rsid w:val="00A53C29"/>
    <w:rsid w:val="00A53C55"/>
    <w:rsid w:val="00A53C5B"/>
    <w:rsid w:val="00A53C9D"/>
    <w:rsid w:val="00A53D37"/>
    <w:rsid w:val="00A53D50"/>
    <w:rsid w:val="00A53DB8"/>
    <w:rsid w:val="00A53DDA"/>
    <w:rsid w:val="00A53ED4"/>
    <w:rsid w:val="00A53EF7"/>
    <w:rsid w:val="00A53FF8"/>
    <w:rsid w:val="00A5400D"/>
    <w:rsid w:val="00A540D5"/>
    <w:rsid w:val="00A54194"/>
    <w:rsid w:val="00A5422C"/>
    <w:rsid w:val="00A543D9"/>
    <w:rsid w:val="00A54537"/>
    <w:rsid w:val="00A545E9"/>
    <w:rsid w:val="00A545FE"/>
    <w:rsid w:val="00A5467D"/>
    <w:rsid w:val="00A546BE"/>
    <w:rsid w:val="00A546DF"/>
    <w:rsid w:val="00A546E3"/>
    <w:rsid w:val="00A54760"/>
    <w:rsid w:val="00A548E0"/>
    <w:rsid w:val="00A54A0F"/>
    <w:rsid w:val="00A54A41"/>
    <w:rsid w:val="00A54A8C"/>
    <w:rsid w:val="00A54B2F"/>
    <w:rsid w:val="00A54B8C"/>
    <w:rsid w:val="00A54BA8"/>
    <w:rsid w:val="00A54BD5"/>
    <w:rsid w:val="00A54C2C"/>
    <w:rsid w:val="00A54C47"/>
    <w:rsid w:val="00A54CC7"/>
    <w:rsid w:val="00A54CDC"/>
    <w:rsid w:val="00A54E59"/>
    <w:rsid w:val="00A54E85"/>
    <w:rsid w:val="00A54EC4"/>
    <w:rsid w:val="00A54F3E"/>
    <w:rsid w:val="00A55072"/>
    <w:rsid w:val="00A550A5"/>
    <w:rsid w:val="00A550D0"/>
    <w:rsid w:val="00A550F5"/>
    <w:rsid w:val="00A5512D"/>
    <w:rsid w:val="00A5526B"/>
    <w:rsid w:val="00A55322"/>
    <w:rsid w:val="00A553C6"/>
    <w:rsid w:val="00A55523"/>
    <w:rsid w:val="00A555D0"/>
    <w:rsid w:val="00A55672"/>
    <w:rsid w:val="00A55692"/>
    <w:rsid w:val="00A556F8"/>
    <w:rsid w:val="00A55765"/>
    <w:rsid w:val="00A5579C"/>
    <w:rsid w:val="00A5581C"/>
    <w:rsid w:val="00A55862"/>
    <w:rsid w:val="00A55913"/>
    <w:rsid w:val="00A55983"/>
    <w:rsid w:val="00A559F3"/>
    <w:rsid w:val="00A55A2A"/>
    <w:rsid w:val="00A55A87"/>
    <w:rsid w:val="00A55BBA"/>
    <w:rsid w:val="00A55BE9"/>
    <w:rsid w:val="00A55C51"/>
    <w:rsid w:val="00A55CBE"/>
    <w:rsid w:val="00A55CDC"/>
    <w:rsid w:val="00A55D00"/>
    <w:rsid w:val="00A55D30"/>
    <w:rsid w:val="00A55D8A"/>
    <w:rsid w:val="00A55DA9"/>
    <w:rsid w:val="00A55E2B"/>
    <w:rsid w:val="00A55E41"/>
    <w:rsid w:val="00A55E5F"/>
    <w:rsid w:val="00A55F68"/>
    <w:rsid w:val="00A55FAE"/>
    <w:rsid w:val="00A5616A"/>
    <w:rsid w:val="00A5617B"/>
    <w:rsid w:val="00A56194"/>
    <w:rsid w:val="00A561D1"/>
    <w:rsid w:val="00A563D1"/>
    <w:rsid w:val="00A5645D"/>
    <w:rsid w:val="00A56557"/>
    <w:rsid w:val="00A565EE"/>
    <w:rsid w:val="00A565F2"/>
    <w:rsid w:val="00A5663D"/>
    <w:rsid w:val="00A5663E"/>
    <w:rsid w:val="00A566B6"/>
    <w:rsid w:val="00A56748"/>
    <w:rsid w:val="00A5679F"/>
    <w:rsid w:val="00A567FB"/>
    <w:rsid w:val="00A56800"/>
    <w:rsid w:val="00A56841"/>
    <w:rsid w:val="00A56865"/>
    <w:rsid w:val="00A56942"/>
    <w:rsid w:val="00A56954"/>
    <w:rsid w:val="00A56C9E"/>
    <w:rsid w:val="00A56D5B"/>
    <w:rsid w:val="00A56DC3"/>
    <w:rsid w:val="00A56DC7"/>
    <w:rsid w:val="00A56DF7"/>
    <w:rsid w:val="00A56E19"/>
    <w:rsid w:val="00A56E66"/>
    <w:rsid w:val="00A56EF7"/>
    <w:rsid w:val="00A56F08"/>
    <w:rsid w:val="00A56F5C"/>
    <w:rsid w:val="00A56FB4"/>
    <w:rsid w:val="00A570B7"/>
    <w:rsid w:val="00A570F0"/>
    <w:rsid w:val="00A57134"/>
    <w:rsid w:val="00A5713C"/>
    <w:rsid w:val="00A57204"/>
    <w:rsid w:val="00A5729A"/>
    <w:rsid w:val="00A572AC"/>
    <w:rsid w:val="00A572B2"/>
    <w:rsid w:val="00A572D2"/>
    <w:rsid w:val="00A572FC"/>
    <w:rsid w:val="00A57367"/>
    <w:rsid w:val="00A573FC"/>
    <w:rsid w:val="00A57401"/>
    <w:rsid w:val="00A5742F"/>
    <w:rsid w:val="00A574EB"/>
    <w:rsid w:val="00A57676"/>
    <w:rsid w:val="00A57688"/>
    <w:rsid w:val="00A5777C"/>
    <w:rsid w:val="00A579A4"/>
    <w:rsid w:val="00A57A71"/>
    <w:rsid w:val="00A57ABD"/>
    <w:rsid w:val="00A57B38"/>
    <w:rsid w:val="00A57B7C"/>
    <w:rsid w:val="00A57BB7"/>
    <w:rsid w:val="00A57C19"/>
    <w:rsid w:val="00A57C1C"/>
    <w:rsid w:val="00A57C1D"/>
    <w:rsid w:val="00A57D1F"/>
    <w:rsid w:val="00A57D81"/>
    <w:rsid w:val="00A57DC4"/>
    <w:rsid w:val="00A57DFA"/>
    <w:rsid w:val="00A57E17"/>
    <w:rsid w:val="00A57EEF"/>
    <w:rsid w:val="00A57F06"/>
    <w:rsid w:val="00A57F4F"/>
    <w:rsid w:val="00A6006B"/>
    <w:rsid w:val="00A60090"/>
    <w:rsid w:val="00A60138"/>
    <w:rsid w:val="00A60218"/>
    <w:rsid w:val="00A60270"/>
    <w:rsid w:val="00A60359"/>
    <w:rsid w:val="00A603D3"/>
    <w:rsid w:val="00A60505"/>
    <w:rsid w:val="00A60528"/>
    <w:rsid w:val="00A60530"/>
    <w:rsid w:val="00A60695"/>
    <w:rsid w:val="00A60699"/>
    <w:rsid w:val="00A606AA"/>
    <w:rsid w:val="00A607AD"/>
    <w:rsid w:val="00A6087B"/>
    <w:rsid w:val="00A60989"/>
    <w:rsid w:val="00A609E0"/>
    <w:rsid w:val="00A609EB"/>
    <w:rsid w:val="00A60A28"/>
    <w:rsid w:val="00A60B0D"/>
    <w:rsid w:val="00A60BD4"/>
    <w:rsid w:val="00A60BFB"/>
    <w:rsid w:val="00A60C0D"/>
    <w:rsid w:val="00A60C1D"/>
    <w:rsid w:val="00A60C45"/>
    <w:rsid w:val="00A60C4C"/>
    <w:rsid w:val="00A60CD9"/>
    <w:rsid w:val="00A60D1C"/>
    <w:rsid w:val="00A60D26"/>
    <w:rsid w:val="00A60D6B"/>
    <w:rsid w:val="00A60DC5"/>
    <w:rsid w:val="00A60DF0"/>
    <w:rsid w:val="00A60DF3"/>
    <w:rsid w:val="00A60E0B"/>
    <w:rsid w:val="00A60E40"/>
    <w:rsid w:val="00A60E93"/>
    <w:rsid w:val="00A60F85"/>
    <w:rsid w:val="00A61097"/>
    <w:rsid w:val="00A613AA"/>
    <w:rsid w:val="00A6141B"/>
    <w:rsid w:val="00A6146C"/>
    <w:rsid w:val="00A6149F"/>
    <w:rsid w:val="00A61540"/>
    <w:rsid w:val="00A6156F"/>
    <w:rsid w:val="00A615D1"/>
    <w:rsid w:val="00A6168B"/>
    <w:rsid w:val="00A61757"/>
    <w:rsid w:val="00A617D2"/>
    <w:rsid w:val="00A617ED"/>
    <w:rsid w:val="00A617F9"/>
    <w:rsid w:val="00A618DC"/>
    <w:rsid w:val="00A61922"/>
    <w:rsid w:val="00A61A9C"/>
    <w:rsid w:val="00A61AFD"/>
    <w:rsid w:val="00A61BE1"/>
    <w:rsid w:val="00A61C71"/>
    <w:rsid w:val="00A61CBA"/>
    <w:rsid w:val="00A61DDB"/>
    <w:rsid w:val="00A61E22"/>
    <w:rsid w:val="00A61F43"/>
    <w:rsid w:val="00A61F94"/>
    <w:rsid w:val="00A61FAD"/>
    <w:rsid w:val="00A620A5"/>
    <w:rsid w:val="00A62276"/>
    <w:rsid w:val="00A62282"/>
    <w:rsid w:val="00A622A5"/>
    <w:rsid w:val="00A62362"/>
    <w:rsid w:val="00A62386"/>
    <w:rsid w:val="00A62447"/>
    <w:rsid w:val="00A62473"/>
    <w:rsid w:val="00A6248D"/>
    <w:rsid w:val="00A624A7"/>
    <w:rsid w:val="00A6255E"/>
    <w:rsid w:val="00A6266E"/>
    <w:rsid w:val="00A62762"/>
    <w:rsid w:val="00A62796"/>
    <w:rsid w:val="00A62807"/>
    <w:rsid w:val="00A6280B"/>
    <w:rsid w:val="00A6284F"/>
    <w:rsid w:val="00A6287A"/>
    <w:rsid w:val="00A628B6"/>
    <w:rsid w:val="00A6291F"/>
    <w:rsid w:val="00A62A84"/>
    <w:rsid w:val="00A62B7E"/>
    <w:rsid w:val="00A62C94"/>
    <w:rsid w:val="00A62CE7"/>
    <w:rsid w:val="00A62D2B"/>
    <w:rsid w:val="00A62F02"/>
    <w:rsid w:val="00A62F98"/>
    <w:rsid w:val="00A6301F"/>
    <w:rsid w:val="00A6307F"/>
    <w:rsid w:val="00A630C3"/>
    <w:rsid w:val="00A6318B"/>
    <w:rsid w:val="00A631AB"/>
    <w:rsid w:val="00A632A3"/>
    <w:rsid w:val="00A6331A"/>
    <w:rsid w:val="00A633A3"/>
    <w:rsid w:val="00A633B8"/>
    <w:rsid w:val="00A63404"/>
    <w:rsid w:val="00A634DF"/>
    <w:rsid w:val="00A63506"/>
    <w:rsid w:val="00A63560"/>
    <w:rsid w:val="00A635F6"/>
    <w:rsid w:val="00A636B1"/>
    <w:rsid w:val="00A636F9"/>
    <w:rsid w:val="00A6373C"/>
    <w:rsid w:val="00A63777"/>
    <w:rsid w:val="00A63809"/>
    <w:rsid w:val="00A6389E"/>
    <w:rsid w:val="00A63925"/>
    <w:rsid w:val="00A63989"/>
    <w:rsid w:val="00A63993"/>
    <w:rsid w:val="00A6399E"/>
    <w:rsid w:val="00A639CF"/>
    <w:rsid w:val="00A63AC8"/>
    <w:rsid w:val="00A63C5F"/>
    <w:rsid w:val="00A63CE2"/>
    <w:rsid w:val="00A63D2A"/>
    <w:rsid w:val="00A63D67"/>
    <w:rsid w:val="00A63D7A"/>
    <w:rsid w:val="00A63DE2"/>
    <w:rsid w:val="00A63F6A"/>
    <w:rsid w:val="00A63F75"/>
    <w:rsid w:val="00A640A6"/>
    <w:rsid w:val="00A64123"/>
    <w:rsid w:val="00A641DE"/>
    <w:rsid w:val="00A6422E"/>
    <w:rsid w:val="00A642EF"/>
    <w:rsid w:val="00A6439B"/>
    <w:rsid w:val="00A64517"/>
    <w:rsid w:val="00A64566"/>
    <w:rsid w:val="00A6456A"/>
    <w:rsid w:val="00A645AB"/>
    <w:rsid w:val="00A645D3"/>
    <w:rsid w:val="00A6469D"/>
    <w:rsid w:val="00A646F9"/>
    <w:rsid w:val="00A647EA"/>
    <w:rsid w:val="00A6489F"/>
    <w:rsid w:val="00A648A2"/>
    <w:rsid w:val="00A64922"/>
    <w:rsid w:val="00A64A5E"/>
    <w:rsid w:val="00A64AC4"/>
    <w:rsid w:val="00A64C2A"/>
    <w:rsid w:val="00A64C33"/>
    <w:rsid w:val="00A64CBA"/>
    <w:rsid w:val="00A64CDB"/>
    <w:rsid w:val="00A64D81"/>
    <w:rsid w:val="00A64E7F"/>
    <w:rsid w:val="00A64EF3"/>
    <w:rsid w:val="00A65009"/>
    <w:rsid w:val="00A6501F"/>
    <w:rsid w:val="00A6515C"/>
    <w:rsid w:val="00A65167"/>
    <w:rsid w:val="00A651B4"/>
    <w:rsid w:val="00A65221"/>
    <w:rsid w:val="00A65236"/>
    <w:rsid w:val="00A652A2"/>
    <w:rsid w:val="00A65491"/>
    <w:rsid w:val="00A654E2"/>
    <w:rsid w:val="00A6553E"/>
    <w:rsid w:val="00A65540"/>
    <w:rsid w:val="00A6558B"/>
    <w:rsid w:val="00A655EA"/>
    <w:rsid w:val="00A65606"/>
    <w:rsid w:val="00A65673"/>
    <w:rsid w:val="00A656DD"/>
    <w:rsid w:val="00A657A1"/>
    <w:rsid w:val="00A657EE"/>
    <w:rsid w:val="00A65808"/>
    <w:rsid w:val="00A6583D"/>
    <w:rsid w:val="00A658E7"/>
    <w:rsid w:val="00A658F7"/>
    <w:rsid w:val="00A6595C"/>
    <w:rsid w:val="00A6596A"/>
    <w:rsid w:val="00A659F6"/>
    <w:rsid w:val="00A65A52"/>
    <w:rsid w:val="00A65AB7"/>
    <w:rsid w:val="00A65AF3"/>
    <w:rsid w:val="00A65BCC"/>
    <w:rsid w:val="00A65CBB"/>
    <w:rsid w:val="00A65CDA"/>
    <w:rsid w:val="00A65D52"/>
    <w:rsid w:val="00A65D53"/>
    <w:rsid w:val="00A65D6D"/>
    <w:rsid w:val="00A65F70"/>
    <w:rsid w:val="00A65F8B"/>
    <w:rsid w:val="00A660CD"/>
    <w:rsid w:val="00A66164"/>
    <w:rsid w:val="00A66433"/>
    <w:rsid w:val="00A665E8"/>
    <w:rsid w:val="00A66645"/>
    <w:rsid w:val="00A6665F"/>
    <w:rsid w:val="00A666B5"/>
    <w:rsid w:val="00A667DE"/>
    <w:rsid w:val="00A667DF"/>
    <w:rsid w:val="00A668A1"/>
    <w:rsid w:val="00A668C5"/>
    <w:rsid w:val="00A669D0"/>
    <w:rsid w:val="00A66A9A"/>
    <w:rsid w:val="00A66AE6"/>
    <w:rsid w:val="00A66B0A"/>
    <w:rsid w:val="00A66B10"/>
    <w:rsid w:val="00A66B39"/>
    <w:rsid w:val="00A66B5E"/>
    <w:rsid w:val="00A66B84"/>
    <w:rsid w:val="00A66B8E"/>
    <w:rsid w:val="00A66BFF"/>
    <w:rsid w:val="00A66C75"/>
    <w:rsid w:val="00A66CDF"/>
    <w:rsid w:val="00A66CF0"/>
    <w:rsid w:val="00A66D55"/>
    <w:rsid w:val="00A66D85"/>
    <w:rsid w:val="00A66DFB"/>
    <w:rsid w:val="00A66E58"/>
    <w:rsid w:val="00A66E97"/>
    <w:rsid w:val="00A66F1E"/>
    <w:rsid w:val="00A66F66"/>
    <w:rsid w:val="00A66F93"/>
    <w:rsid w:val="00A67305"/>
    <w:rsid w:val="00A67356"/>
    <w:rsid w:val="00A675FD"/>
    <w:rsid w:val="00A67659"/>
    <w:rsid w:val="00A67742"/>
    <w:rsid w:val="00A6788E"/>
    <w:rsid w:val="00A679B1"/>
    <w:rsid w:val="00A67A58"/>
    <w:rsid w:val="00A67A94"/>
    <w:rsid w:val="00A67B10"/>
    <w:rsid w:val="00A67C6E"/>
    <w:rsid w:val="00A67D05"/>
    <w:rsid w:val="00A67D4B"/>
    <w:rsid w:val="00A67DC9"/>
    <w:rsid w:val="00A67DDA"/>
    <w:rsid w:val="00A67E3C"/>
    <w:rsid w:val="00A67F5C"/>
    <w:rsid w:val="00A701C8"/>
    <w:rsid w:val="00A7026D"/>
    <w:rsid w:val="00A702C2"/>
    <w:rsid w:val="00A7030B"/>
    <w:rsid w:val="00A70385"/>
    <w:rsid w:val="00A7039A"/>
    <w:rsid w:val="00A7043D"/>
    <w:rsid w:val="00A70496"/>
    <w:rsid w:val="00A7062F"/>
    <w:rsid w:val="00A706F6"/>
    <w:rsid w:val="00A70721"/>
    <w:rsid w:val="00A70756"/>
    <w:rsid w:val="00A70894"/>
    <w:rsid w:val="00A70AAA"/>
    <w:rsid w:val="00A70AFB"/>
    <w:rsid w:val="00A70C13"/>
    <w:rsid w:val="00A70C37"/>
    <w:rsid w:val="00A70C6D"/>
    <w:rsid w:val="00A70D18"/>
    <w:rsid w:val="00A70D29"/>
    <w:rsid w:val="00A70D86"/>
    <w:rsid w:val="00A70E76"/>
    <w:rsid w:val="00A70EDD"/>
    <w:rsid w:val="00A70F42"/>
    <w:rsid w:val="00A7105F"/>
    <w:rsid w:val="00A712D6"/>
    <w:rsid w:val="00A712EF"/>
    <w:rsid w:val="00A71327"/>
    <w:rsid w:val="00A7148A"/>
    <w:rsid w:val="00A714AF"/>
    <w:rsid w:val="00A715BC"/>
    <w:rsid w:val="00A7161E"/>
    <w:rsid w:val="00A71793"/>
    <w:rsid w:val="00A7198B"/>
    <w:rsid w:val="00A71995"/>
    <w:rsid w:val="00A7199E"/>
    <w:rsid w:val="00A71AD6"/>
    <w:rsid w:val="00A71B16"/>
    <w:rsid w:val="00A71B2D"/>
    <w:rsid w:val="00A71BD5"/>
    <w:rsid w:val="00A71BD6"/>
    <w:rsid w:val="00A71D2D"/>
    <w:rsid w:val="00A71D74"/>
    <w:rsid w:val="00A71E0E"/>
    <w:rsid w:val="00A71EDE"/>
    <w:rsid w:val="00A71EE2"/>
    <w:rsid w:val="00A71EE8"/>
    <w:rsid w:val="00A71EF0"/>
    <w:rsid w:val="00A71F40"/>
    <w:rsid w:val="00A72036"/>
    <w:rsid w:val="00A720E7"/>
    <w:rsid w:val="00A721AF"/>
    <w:rsid w:val="00A72280"/>
    <w:rsid w:val="00A72331"/>
    <w:rsid w:val="00A72432"/>
    <w:rsid w:val="00A7247F"/>
    <w:rsid w:val="00A724B0"/>
    <w:rsid w:val="00A724D2"/>
    <w:rsid w:val="00A72518"/>
    <w:rsid w:val="00A7258F"/>
    <w:rsid w:val="00A7260B"/>
    <w:rsid w:val="00A72638"/>
    <w:rsid w:val="00A72669"/>
    <w:rsid w:val="00A72735"/>
    <w:rsid w:val="00A72758"/>
    <w:rsid w:val="00A727BC"/>
    <w:rsid w:val="00A727E4"/>
    <w:rsid w:val="00A72852"/>
    <w:rsid w:val="00A728AA"/>
    <w:rsid w:val="00A728D1"/>
    <w:rsid w:val="00A728F2"/>
    <w:rsid w:val="00A729AA"/>
    <w:rsid w:val="00A72A07"/>
    <w:rsid w:val="00A72AF8"/>
    <w:rsid w:val="00A72B4F"/>
    <w:rsid w:val="00A72B6D"/>
    <w:rsid w:val="00A72C05"/>
    <w:rsid w:val="00A72D62"/>
    <w:rsid w:val="00A72E6A"/>
    <w:rsid w:val="00A72E9D"/>
    <w:rsid w:val="00A72EDD"/>
    <w:rsid w:val="00A72EFC"/>
    <w:rsid w:val="00A72F33"/>
    <w:rsid w:val="00A72F37"/>
    <w:rsid w:val="00A72FA5"/>
    <w:rsid w:val="00A72FC2"/>
    <w:rsid w:val="00A72FF9"/>
    <w:rsid w:val="00A730DF"/>
    <w:rsid w:val="00A731AA"/>
    <w:rsid w:val="00A731EF"/>
    <w:rsid w:val="00A73203"/>
    <w:rsid w:val="00A732CB"/>
    <w:rsid w:val="00A73346"/>
    <w:rsid w:val="00A7340F"/>
    <w:rsid w:val="00A734DA"/>
    <w:rsid w:val="00A7353D"/>
    <w:rsid w:val="00A735BC"/>
    <w:rsid w:val="00A7361C"/>
    <w:rsid w:val="00A7371C"/>
    <w:rsid w:val="00A73783"/>
    <w:rsid w:val="00A73825"/>
    <w:rsid w:val="00A73A76"/>
    <w:rsid w:val="00A73B39"/>
    <w:rsid w:val="00A73BB4"/>
    <w:rsid w:val="00A73BF6"/>
    <w:rsid w:val="00A73C64"/>
    <w:rsid w:val="00A73C6F"/>
    <w:rsid w:val="00A73CFA"/>
    <w:rsid w:val="00A73D38"/>
    <w:rsid w:val="00A73D48"/>
    <w:rsid w:val="00A73D7C"/>
    <w:rsid w:val="00A73D90"/>
    <w:rsid w:val="00A73E1C"/>
    <w:rsid w:val="00A73FD6"/>
    <w:rsid w:val="00A74017"/>
    <w:rsid w:val="00A74128"/>
    <w:rsid w:val="00A741A4"/>
    <w:rsid w:val="00A74217"/>
    <w:rsid w:val="00A74254"/>
    <w:rsid w:val="00A742BA"/>
    <w:rsid w:val="00A74318"/>
    <w:rsid w:val="00A7434E"/>
    <w:rsid w:val="00A7435A"/>
    <w:rsid w:val="00A743D3"/>
    <w:rsid w:val="00A74402"/>
    <w:rsid w:val="00A744B6"/>
    <w:rsid w:val="00A7459D"/>
    <w:rsid w:val="00A745A4"/>
    <w:rsid w:val="00A745AC"/>
    <w:rsid w:val="00A746AA"/>
    <w:rsid w:val="00A746E0"/>
    <w:rsid w:val="00A7472C"/>
    <w:rsid w:val="00A7480E"/>
    <w:rsid w:val="00A74811"/>
    <w:rsid w:val="00A7481C"/>
    <w:rsid w:val="00A74830"/>
    <w:rsid w:val="00A7486F"/>
    <w:rsid w:val="00A748D0"/>
    <w:rsid w:val="00A7492B"/>
    <w:rsid w:val="00A7492D"/>
    <w:rsid w:val="00A74989"/>
    <w:rsid w:val="00A74A67"/>
    <w:rsid w:val="00A74A79"/>
    <w:rsid w:val="00A74C02"/>
    <w:rsid w:val="00A74DC7"/>
    <w:rsid w:val="00A74DCE"/>
    <w:rsid w:val="00A74E20"/>
    <w:rsid w:val="00A74F05"/>
    <w:rsid w:val="00A74F53"/>
    <w:rsid w:val="00A74F97"/>
    <w:rsid w:val="00A74F9F"/>
    <w:rsid w:val="00A74FC4"/>
    <w:rsid w:val="00A75077"/>
    <w:rsid w:val="00A75238"/>
    <w:rsid w:val="00A752A0"/>
    <w:rsid w:val="00A752AD"/>
    <w:rsid w:val="00A752D9"/>
    <w:rsid w:val="00A753E8"/>
    <w:rsid w:val="00A75432"/>
    <w:rsid w:val="00A75648"/>
    <w:rsid w:val="00A756EA"/>
    <w:rsid w:val="00A7574B"/>
    <w:rsid w:val="00A7589E"/>
    <w:rsid w:val="00A758CE"/>
    <w:rsid w:val="00A75921"/>
    <w:rsid w:val="00A7593A"/>
    <w:rsid w:val="00A75982"/>
    <w:rsid w:val="00A7599D"/>
    <w:rsid w:val="00A75A24"/>
    <w:rsid w:val="00A75A3E"/>
    <w:rsid w:val="00A75ACE"/>
    <w:rsid w:val="00A75B26"/>
    <w:rsid w:val="00A75DA0"/>
    <w:rsid w:val="00A75DF4"/>
    <w:rsid w:val="00A75E2D"/>
    <w:rsid w:val="00A75E45"/>
    <w:rsid w:val="00A75E6A"/>
    <w:rsid w:val="00A7603C"/>
    <w:rsid w:val="00A7609E"/>
    <w:rsid w:val="00A7614A"/>
    <w:rsid w:val="00A761AA"/>
    <w:rsid w:val="00A76228"/>
    <w:rsid w:val="00A763F3"/>
    <w:rsid w:val="00A76491"/>
    <w:rsid w:val="00A76521"/>
    <w:rsid w:val="00A7652F"/>
    <w:rsid w:val="00A76565"/>
    <w:rsid w:val="00A765C3"/>
    <w:rsid w:val="00A76667"/>
    <w:rsid w:val="00A76671"/>
    <w:rsid w:val="00A76768"/>
    <w:rsid w:val="00A767A3"/>
    <w:rsid w:val="00A768F5"/>
    <w:rsid w:val="00A76CD6"/>
    <w:rsid w:val="00A76D0A"/>
    <w:rsid w:val="00A76DCC"/>
    <w:rsid w:val="00A76EDE"/>
    <w:rsid w:val="00A76F7E"/>
    <w:rsid w:val="00A76F90"/>
    <w:rsid w:val="00A76FA5"/>
    <w:rsid w:val="00A77015"/>
    <w:rsid w:val="00A770B3"/>
    <w:rsid w:val="00A7710D"/>
    <w:rsid w:val="00A7713C"/>
    <w:rsid w:val="00A77222"/>
    <w:rsid w:val="00A7743D"/>
    <w:rsid w:val="00A77526"/>
    <w:rsid w:val="00A77562"/>
    <w:rsid w:val="00A775B4"/>
    <w:rsid w:val="00A7765C"/>
    <w:rsid w:val="00A77730"/>
    <w:rsid w:val="00A77756"/>
    <w:rsid w:val="00A777D4"/>
    <w:rsid w:val="00A777E7"/>
    <w:rsid w:val="00A77972"/>
    <w:rsid w:val="00A77997"/>
    <w:rsid w:val="00A77A4E"/>
    <w:rsid w:val="00A77A57"/>
    <w:rsid w:val="00A77A8E"/>
    <w:rsid w:val="00A77AB3"/>
    <w:rsid w:val="00A77ADD"/>
    <w:rsid w:val="00A77B9B"/>
    <w:rsid w:val="00A77BD7"/>
    <w:rsid w:val="00A77C25"/>
    <w:rsid w:val="00A77C58"/>
    <w:rsid w:val="00A77CC3"/>
    <w:rsid w:val="00A77D0B"/>
    <w:rsid w:val="00A77D2D"/>
    <w:rsid w:val="00A77DE1"/>
    <w:rsid w:val="00A77DEC"/>
    <w:rsid w:val="00A77E61"/>
    <w:rsid w:val="00A77F0E"/>
    <w:rsid w:val="00A77F73"/>
    <w:rsid w:val="00A77FA7"/>
    <w:rsid w:val="00A80083"/>
    <w:rsid w:val="00A801C9"/>
    <w:rsid w:val="00A8036F"/>
    <w:rsid w:val="00A803DC"/>
    <w:rsid w:val="00A8050F"/>
    <w:rsid w:val="00A80517"/>
    <w:rsid w:val="00A80657"/>
    <w:rsid w:val="00A80740"/>
    <w:rsid w:val="00A80803"/>
    <w:rsid w:val="00A80841"/>
    <w:rsid w:val="00A808B8"/>
    <w:rsid w:val="00A808CA"/>
    <w:rsid w:val="00A80902"/>
    <w:rsid w:val="00A80910"/>
    <w:rsid w:val="00A8092F"/>
    <w:rsid w:val="00A80A16"/>
    <w:rsid w:val="00A80A3E"/>
    <w:rsid w:val="00A80AA2"/>
    <w:rsid w:val="00A80AE2"/>
    <w:rsid w:val="00A80B1A"/>
    <w:rsid w:val="00A80B55"/>
    <w:rsid w:val="00A80B5B"/>
    <w:rsid w:val="00A80B9D"/>
    <w:rsid w:val="00A80BA9"/>
    <w:rsid w:val="00A80BF2"/>
    <w:rsid w:val="00A80BF7"/>
    <w:rsid w:val="00A80C35"/>
    <w:rsid w:val="00A80D52"/>
    <w:rsid w:val="00A80D6A"/>
    <w:rsid w:val="00A80DFC"/>
    <w:rsid w:val="00A80EC7"/>
    <w:rsid w:val="00A80F9F"/>
    <w:rsid w:val="00A81000"/>
    <w:rsid w:val="00A811A5"/>
    <w:rsid w:val="00A812F0"/>
    <w:rsid w:val="00A812F6"/>
    <w:rsid w:val="00A81356"/>
    <w:rsid w:val="00A81413"/>
    <w:rsid w:val="00A81643"/>
    <w:rsid w:val="00A8164D"/>
    <w:rsid w:val="00A81683"/>
    <w:rsid w:val="00A81692"/>
    <w:rsid w:val="00A816B4"/>
    <w:rsid w:val="00A81805"/>
    <w:rsid w:val="00A818E0"/>
    <w:rsid w:val="00A819C7"/>
    <w:rsid w:val="00A81AC3"/>
    <w:rsid w:val="00A81B29"/>
    <w:rsid w:val="00A81BCB"/>
    <w:rsid w:val="00A81BE3"/>
    <w:rsid w:val="00A81C08"/>
    <w:rsid w:val="00A81C2A"/>
    <w:rsid w:val="00A81C57"/>
    <w:rsid w:val="00A81C88"/>
    <w:rsid w:val="00A81D29"/>
    <w:rsid w:val="00A81E32"/>
    <w:rsid w:val="00A81F31"/>
    <w:rsid w:val="00A81F70"/>
    <w:rsid w:val="00A820F0"/>
    <w:rsid w:val="00A821C4"/>
    <w:rsid w:val="00A82266"/>
    <w:rsid w:val="00A8228F"/>
    <w:rsid w:val="00A822C1"/>
    <w:rsid w:val="00A82325"/>
    <w:rsid w:val="00A823BB"/>
    <w:rsid w:val="00A823DF"/>
    <w:rsid w:val="00A824AB"/>
    <w:rsid w:val="00A824CD"/>
    <w:rsid w:val="00A824E6"/>
    <w:rsid w:val="00A82522"/>
    <w:rsid w:val="00A8253C"/>
    <w:rsid w:val="00A825CD"/>
    <w:rsid w:val="00A82643"/>
    <w:rsid w:val="00A827A4"/>
    <w:rsid w:val="00A828AE"/>
    <w:rsid w:val="00A8290D"/>
    <w:rsid w:val="00A8298F"/>
    <w:rsid w:val="00A829A4"/>
    <w:rsid w:val="00A829E8"/>
    <w:rsid w:val="00A829FF"/>
    <w:rsid w:val="00A82A62"/>
    <w:rsid w:val="00A82B45"/>
    <w:rsid w:val="00A82B48"/>
    <w:rsid w:val="00A82E34"/>
    <w:rsid w:val="00A82E58"/>
    <w:rsid w:val="00A82F02"/>
    <w:rsid w:val="00A83002"/>
    <w:rsid w:val="00A83054"/>
    <w:rsid w:val="00A830CC"/>
    <w:rsid w:val="00A830DE"/>
    <w:rsid w:val="00A830F9"/>
    <w:rsid w:val="00A8314F"/>
    <w:rsid w:val="00A83212"/>
    <w:rsid w:val="00A835ED"/>
    <w:rsid w:val="00A8366A"/>
    <w:rsid w:val="00A836CA"/>
    <w:rsid w:val="00A836F4"/>
    <w:rsid w:val="00A83769"/>
    <w:rsid w:val="00A8384D"/>
    <w:rsid w:val="00A83889"/>
    <w:rsid w:val="00A83A09"/>
    <w:rsid w:val="00A83A1E"/>
    <w:rsid w:val="00A83A3D"/>
    <w:rsid w:val="00A83A57"/>
    <w:rsid w:val="00A83B1C"/>
    <w:rsid w:val="00A83BDA"/>
    <w:rsid w:val="00A83C33"/>
    <w:rsid w:val="00A83C42"/>
    <w:rsid w:val="00A83CF0"/>
    <w:rsid w:val="00A83D40"/>
    <w:rsid w:val="00A83DC9"/>
    <w:rsid w:val="00A83DEA"/>
    <w:rsid w:val="00A83EB2"/>
    <w:rsid w:val="00A83EFF"/>
    <w:rsid w:val="00A83FA7"/>
    <w:rsid w:val="00A83FBD"/>
    <w:rsid w:val="00A8400C"/>
    <w:rsid w:val="00A84061"/>
    <w:rsid w:val="00A8416C"/>
    <w:rsid w:val="00A841C9"/>
    <w:rsid w:val="00A84311"/>
    <w:rsid w:val="00A8438A"/>
    <w:rsid w:val="00A84506"/>
    <w:rsid w:val="00A8450C"/>
    <w:rsid w:val="00A84526"/>
    <w:rsid w:val="00A84561"/>
    <w:rsid w:val="00A845F4"/>
    <w:rsid w:val="00A84632"/>
    <w:rsid w:val="00A8483D"/>
    <w:rsid w:val="00A84970"/>
    <w:rsid w:val="00A8499E"/>
    <w:rsid w:val="00A84A60"/>
    <w:rsid w:val="00A84AEB"/>
    <w:rsid w:val="00A84B8C"/>
    <w:rsid w:val="00A84C19"/>
    <w:rsid w:val="00A84C9E"/>
    <w:rsid w:val="00A84CD4"/>
    <w:rsid w:val="00A84DAD"/>
    <w:rsid w:val="00A84E60"/>
    <w:rsid w:val="00A84E63"/>
    <w:rsid w:val="00A84EA3"/>
    <w:rsid w:val="00A84EE8"/>
    <w:rsid w:val="00A84EFD"/>
    <w:rsid w:val="00A84F0F"/>
    <w:rsid w:val="00A84F2A"/>
    <w:rsid w:val="00A85016"/>
    <w:rsid w:val="00A8503A"/>
    <w:rsid w:val="00A850CB"/>
    <w:rsid w:val="00A8510C"/>
    <w:rsid w:val="00A85203"/>
    <w:rsid w:val="00A8523E"/>
    <w:rsid w:val="00A852BA"/>
    <w:rsid w:val="00A852C9"/>
    <w:rsid w:val="00A85450"/>
    <w:rsid w:val="00A8546A"/>
    <w:rsid w:val="00A854DA"/>
    <w:rsid w:val="00A854F5"/>
    <w:rsid w:val="00A854FE"/>
    <w:rsid w:val="00A85562"/>
    <w:rsid w:val="00A855DA"/>
    <w:rsid w:val="00A85628"/>
    <w:rsid w:val="00A857D6"/>
    <w:rsid w:val="00A8581B"/>
    <w:rsid w:val="00A8590E"/>
    <w:rsid w:val="00A85954"/>
    <w:rsid w:val="00A859CF"/>
    <w:rsid w:val="00A859DE"/>
    <w:rsid w:val="00A85B1B"/>
    <w:rsid w:val="00A85B9C"/>
    <w:rsid w:val="00A85C27"/>
    <w:rsid w:val="00A85C91"/>
    <w:rsid w:val="00A85CB5"/>
    <w:rsid w:val="00A8600D"/>
    <w:rsid w:val="00A86062"/>
    <w:rsid w:val="00A86070"/>
    <w:rsid w:val="00A86197"/>
    <w:rsid w:val="00A861D6"/>
    <w:rsid w:val="00A861DF"/>
    <w:rsid w:val="00A8624F"/>
    <w:rsid w:val="00A8634F"/>
    <w:rsid w:val="00A86382"/>
    <w:rsid w:val="00A86587"/>
    <w:rsid w:val="00A8666A"/>
    <w:rsid w:val="00A866B8"/>
    <w:rsid w:val="00A866C9"/>
    <w:rsid w:val="00A86707"/>
    <w:rsid w:val="00A8693D"/>
    <w:rsid w:val="00A86B04"/>
    <w:rsid w:val="00A86BEB"/>
    <w:rsid w:val="00A86C3D"/>
    <w:rsid w:val="00A86CF0"/>
    <w:rsid w:val="00A86D1E"/>
    <w:rsid w:val="00A86D8C"/>
    <w:rsid w:val="00A86EC5"/>
    <w:rsid w:val="00A86EE4"/>
    <w:rsid w:val="00A86FB9"/>
    <w:rsid w:val="00A86FC1"/>
    <w:rsid w:val="00A870A1"/>
    <w:rsid w:val="00A870EE"/>
    <w:rsid w:val="00A870F8"/>
    <w:rsid w:val="00A87160"/>
    <w:rsid w:val="00A871C8"/>
    <w:rsid w:val="00A871CF"/>
    <w:rsid w:val="00A8727B"/>
    <w:rsid w:val="00A8729C"/>
    <w:rsid w:val="00A872A5"/>
    <w:rsid w:val="00A872F4"/>
    <w:rsid w:val="00A87332"/>
    <w:rsid w:val="00A87380"/>
    <w:rsid w:val="00A873D7"/>
    <w:rsid w:val="00A87469"/>
    <w:rsid w:val="00A874E9"/>
    <w:rsid w:val="00A8763B"/>
    <w:rsid w:val="00A87666"/>
    <w:rsid w:val="00A8770D"/>
    <w:rsid w:val="00A87728"/>
    <w:rsid w:val="00A87776"/>
    <w:rsid w:val="00A87926"/>
    <w:rsid w:val="00A87989"/>
    <w:rsid w:val="00A879CD"/>
    <w:rsid w:val="00A87A0A"/>
    <w:rsid w:val="00A87AD3"/>
    <w:rsid w:val="00A87AEB"/>
    <w:rsid w:val="00A87B8C"/>
    <w:rsid w:val="00A87BB0"/>
    <w:rsid w:val="00A87BC7"/>
    <w:rsid w:val="00A87C2B"/>
    <w:rsid w:val="00A87D45"/>
    <w:rsid w:val="00A87D92"/>
    <w:rsid w:val="00A87DCF"/>
    <w:rsid w:val="00A87E2D"/>
    <w:rsid w:val="00A87E9A"/>
    <w:rsid w:val="00A87EB1"/>
    <w:rsid w:val="00A87ECB"/>
    <w:rsid w:val="00A87EF1"/>
    <w:rsid w:val="00A87F2A"/>
    <w:rsid w:val="00A90033"/>
    <w:rsid w:val="00A90077"/>
    <w:rsid w:val="00A90123"/>
    <w:rsid w:val="00A9013E"/>
    <w:rsid w:val="00A9021F"/>
    <w:rsid w:val="00A90221"/>
    <w:rsid w:val="00A90226"/>
    <w:rsid w:val="00A9024F"/>
    <w:rsid w:val="00A9034E"/>
    <w:rsid w:val="00A904B9"/>
    <w:rsid w:val="00A90543"/>
    <w:rsid w:val="00A905AA"/>
    <w:rsid w:val="00A90823"/>
    <w:rsid w:val="00A90857"/>
    <w:rsid w:val="00A909C1"/>
    <w:rsid w:val="00A90A15"/>
    <w:rsid w:val="00A90BBC"/>
    <w:rsid w:val="00A90C14"/>
    <w:rsid w:val="00A90CA8"/>
    <w:rsid w:val="00A90D68"/>
    <w:rsid w:val="00A90F2F"/>
    <w:rsid w:val="00A91015"/>
    <w:rsid w:val="00A9106B"/>
    <w:rsid w:val="00A91111"/>
    <w:rsid w:val="00A91147"/>
    <w:rsid w:val="00A9114C"/>
    <w:rsid w:val="00A91211"/>
    <w:rsid w:val="00A9121E"/>
    <w:rsid w:val="00A91257"/>
    <w:rsid w:val="00A912DF"/>
    <w:rsid w:val="00A91319"/>
    <w:rsid w:val="00A91386"/>
    <w:rsid w:val="00A9146D"/>
    <w:rsid w:val="00A914DA"/>
    <w:rsid w:val="00A9154B"/>
    <w:rsid w:val="00A91564"/>
    <w:rsid w:val="00A91620"/>
    <w:rsid w:val="00A91677"/>
    <w:rsid w:val="00A916D1"/>
    <w:rsid w:val="00A916D6"/>
    <w:rsid w:val="00A916F5"/>
    <w:rsid w:val="00A91778"/>
    <w:rsid w:val="00A9177B"/>
    <w:rsid w:val="00A9184B"/>
    <w:rsid w:val="00A9184D"/>
    <w:rsid w:val="00A919AB"/>
    <w:rsid w:val="00A919C2"/>
    <w:rsid w:val="00A919C9"/>
    <w:rsid w:val="00A91A3D"/>
    <w:rsid w:val="00A91B59"/>
    <w:rsid w:val="00A91C45"/>
    <w:rsid w:val="00A91C9A"/>
    <w:rsid w:val="00A91DEA"/>
    <w:rsid w:val="00A91E59"/>
    <w:rsid w:val="00A91E88"/>
    <w:rsid w:val="00A91E93"/>
    <w:rsid w:val="00A91EC8"/>
    <w:rsid w:val="00A91F2F"/>
    <w:rsid w:val="00A92044"/>
    <w:rsid w:val="00A92064"/>
    <w:rsid w:val="00A920F3"/>
    <w:rsid w:val="00A921A9"/>
    <w:rsid w:val="00A92316"/>
    <w:rsid w:val="00A9235B"/>
    <w:rsid w:val="00A923BD"/>
    <w:rsid w:val="00A924A9"/>
    <w:rsid w:val="00A924FE"/>
    <w:rsid w:val="00A9254D"/>
    <w:rsid w:val="00A925A8"/>
    <w:rsid w:val="00A92689"/>
    <w:rsid w:val="00A926BB"/>
    <w:rsid w:val="00A926FA"/>
    <w:rsid w:val="00A9274D"/>
    <w:rsid w:val="00A927A9"/>
    <w:rsid w:val="00A92883"/>
    <w:rsid w:val="00A92930"/>
    <w:rsid w:val="00A9296A"/>
    <w:rsid w:val="00A92A22"/>
    <w:rsid w:val="00A92AF6"/>
    <w:rsid w:val="00A92B69"/>
    <w:rsid w:val="00A92C26"/>
    <w:rsid w:val="00A92E90"/>
    <w:rsid w:val="00A92FAF"/>
    <w:rsid w:val="00A93024"/>
    <w:rsid w:val="00A93041"/>
    <w:rsid w:val="00A930BD"/>
    <w:rsid w:val="00A930C5"/>
    <w:rsid w:val="00A9312C"/>
    <w:rsid w:val="00A93144"/>
    <w:rsid w:val="00A9318A"/>
    <w:rsid w:val="00A93207"/>
    <w:rsid w:val="00A9323A"/>
    <w:rsid w:val="00A932F4"/>
    <w:rsid w:val="00A93342"/>
    <w:rsid w:val="00A933CB"/>
    <w:rsid w:val="00A934BA"/>
    <w:rsid w:val="00A934CD"/>
    <w:rsid w:val="00A934F3"/>
    <w:rsid w:val="00A9350D"/>
    <w:rsid w:val="00A9355F"/>
    <w:rsid w:val="00A935B0"/>
    <w:rsid w:val="00A93637"/>
    <w:rsid w:val="00A93677"/>
    <w:rsid w:val="00A936EA"/>
    <w:rsid w:val="00A937CD"/>
    <w:rsid w:val="00A9391C"/>
    <w:rsid w:val="00A9396F"/>
    <w:rsid w:val="00A939A6"/>
    <w:rsid w:val="00A93B38"/>
    <w:rsid w:val="00A93C4F"/>
    <w:rsid w:val="00A93CB0"/>
    <w:rsid w:val="00A93FE9"/>
    <w:rsid w:val="00A94036"/>
    <w:rsid w:val="00A941B5"/>
    <w:rsid w:val="00A941D1"/>
    <w:rsid w:val="00A942B4"/>
    <w:rsid w:val="00A942E3"/>
    <w:rsid w:val="00A943BF"/>
    <w:rsid w:val="00A94424"/>
    <w:rsid w:val="00A94459"/>
    <w:rsid w:val="00A94469"/>
    <w:rsid w:val="00A94486"/>
    <w:rsid w:val="00A944D7"/>
    <w:rsid w:val="00A945CA"/>
    <w:rsid w:val="00A94660"/>
    <w:rsid w:val="00A94696"/>
    <w:rsid w:val="00A946D3"/>
    <w:rsid w:val="00A94721"/>
    <w:rsid w:val="00A94744"/>
    <w:rsid w:val="00A947BA"/>
    <w:rsid w:val="00A9487A"/>
    <w:rsid w:val="00A948AE"/>
    <w:rsid w:val="00A948C1"/>
    <w:rsid w:val="00A9493A"/>
    <w:rsid w:val="00A94A0D"/>
    <w:rsid w:val="00A94B6A"/>
    <w:rsid w:val="00A94C47"/>
    <w:rsid w:val="00A94C60"/>
    <w:rsid w:val="00A94C64"/>
    <w:rsid w:val="00A94C97"/>
    <w:rsid w:val="00A94CDB"/>
    <w:rsid w:val="00A94DBD"/>
    <w:rsid w:val="00A94DDC"/>
    <w:rsid w:val="00A94E85"/>
    <w:rsid w:val="00A94FF8"/>
    <w:rsid w:val="00A95005"/>
    <w:rsid w:val="00A95010"/>
    <w:rsid w:val="00A9502B"/>
    <w:rsid w:val="00A950E2"/>
    <w:rsid w:val="00A95127"/>
    <w:rsid w:val="00A95164"/>
    <w:rsid w:val="00A95180"/>
    <w:rsid w:val="00A951B4"/>
    <w:rsid w:val="00A951B7"/>
    <w:rsid w:val="00A951C9"/>
    <w:rsid w:val="00A9520D"/>
    <w:rsid w:val="00A953BC"/>
    <w:rsid w:val="00A953C0"/>
    <w:rsid w:val="00A953F6"/>
    <w:rsid w:val="00A9551B"/>
    <w:rsid w:val="00A95550"/>
    <w:rsid w:val="00A955B2"/>
    <w:rsid w:val="00A9562B"/>
    <w:rsid w:val="00A956B9"/>
    <w:rsid w:val="00A95739"/>
    <w:rsid w:val="00A95825"/>
    <w:rsid w:val="00A9588E"/>
    <w:rsid w:val="00A95AAB"/>
    <w:rsid w:val="00A95B41"/>
    <w:rsid w:val="00A95B76"/>
    <w:rsid w:val="00A95BAE"/>
    <w:rsid w:val="00A95BE9"/>
    <w:rsid w:val="00A95CF3"/>
    <w:rsid w:val="00A95DF2"/>
    <w:rsid w:val="00A95F24"/>
    <w:rsid w:val="00A96048"/>
    <w:rsid w:val="00A960CB"/>
    <w:rsid w:val="00A96186"/>
    <w:rsid w:val="00A961E5"/>
    <w:rsid w:val="00A9625D"/>
    <w:rsid w:val="00A964F2"/>
    <w:rsid w:val="00A965D0"/>
    <w:rsid w:val="00A966DF"/>
    <w:rsid w:val="00A96753"/>
    <w:rsid w:val="00A96886"/>
    <w:rsid w:val="00A9689F"/>
    <w:rsid w:val="00A968D2"/>
    <w:rsid w:val="00A9691C"/>
    <w:rsid w:val="00A96995"/>
    <w:rsid w:val="00A969D7"/>
    <w:rsid w:val="00A96A0B"/>
    <w:rsid w:val="00A96A1F"/>
    <w:rsid w:val="00A96ABF"/>
    <w:rsid w:val="00A96ADE"/>
    <w:rsid w:val="00A96AE6"/>
    <w:rsid w:val="00A96CD1"/>
    <w:rsid w:val="00A96EBE"/>
    <w:rsid w:val="00A96EC1"/>
    <w:rsid w:val="00A96F56"/>
    <w:rsid w:val="00A96FAE"/>
    <w:rsid w:val="00A97016"/>
    <w:rsid w:val="00A971DC"/>
    <w:rsid w:val="00A9726B"/>
    <w:rsid w:val="00A9726F"/>
    <w:rsid w:val="00A972A0"/>
    <w:rsid w:val="00A972B2"/>
    <w:rsid w:val="00A972C3"/>
    <w:rsid w:val="00A973FB"/>
    <w:rsid w:val="00A9741E"/>
    <w:rsid w:val="00A97466"/>
    <w:rsid w:val="00A97487"/>
    <w:rsid w:val="00A97517"/>
    <w:rsid w:val="00A97544"/>
    <w:rsid w:val="00A97569"/>
    <w:rsid w:val="00A9773E"/>
    <w:rsid w:val="00A977B8"/>
    <w:rsid w:val="00A97834"/>
    <w:rsid w:val="00A978D9"/>
    <w:rsid w:val="00A97906"/>
    <w:rsid w:val="00A97AD0"/>
    <w:rsid w:val="00A97B10"/>
    <w:rsid w:val="00A97B4C"/>
    <w:rsid w:val="00A97B63"/>
    <w:rsid w:val="00A97BBA"/>
    <w:rsid w:val="00A97CE6"/>
    <w:rsid w:val="00A97DA4"/>
    <w:rsid w:val="00A97E3B"/>
    <w:rsid w:val="00A97E77"/>
    <w:rsid w:val="00A97E89"/>
    <w:rsid w:val="00A97EDB"/>
    <w:rsid w:val="00A97F04"/>
    <w:rsid w:val="00A97F56"/>
    <w:rsid w:val="00A97F72"/>
    <w:rsid w:val="00A97F87"/>
    <w:rsid w:val="00AA0019"/>
    <w:rsid w:val="00AA0084"/>
    <w:rsid w:val="00AA00C4"/>
    <w:rsid w:val="00AA016D"/>
    <w:rsid w:val="00AA0192"/>
    <w:rsid w:val="00AA01FB"/>
    <w:rsid w:val="00AA036B"/>
    <w:rsid w:val="00AA039B"/>
    <w:rsid w:val="00AA03A4"/>
    <w:rsid w:val="00AA0410"/>
    <w:rsid w:val="00AA0411"/>
    <w:rsid w:val="00AA0437"/>
    <w:rsid w:val="00AA0447"/>
    <w:rsid w:val="00AA051D"/>
    <w:rsid w:val="00AA0543"/>
    <w:rsid w:val="00AA054D"/>
    <w:rsid w:val="00AA0589"/>
    <w:rsid w:val="00AA05F3"/>
    <w:rsid w:val="00AA088A"/>
    <w:rsid w:val="00AA0893"/>
    <w:rsid w:val="00AA08E7"/>
    <w:rsid w:val="00AA0981"/>
    <w:rsid w:val="00AA0B12"/>
    <w:rsid w:val="00AA0B20"/>
    <w:rsid w:val="00AA0B82"/>
    <w:rsid w:val="00AA0BB1"/>
    <w:rsid w:val="00AA0C91"/>
    <w:rsid w:val="00AA0D3B"/>
    <w:rsid w:val="00AA0DE9"/>
    <w:rsid w:val="00AA0E00"/>
    <w:rsid w:val="00AA0E24"/>
    <w:rsid w:val="00AA0EBA"/>
    <w:rsid w:val="00AA0EFD"/>
    <w:rsid w:val="00AA0F52"/>
    <w:rsid w:val="00AA0FAD"/>
    <w:rsid w:val="00AA1036"/>
    <w:rsid w:val="00AA10B1"/>
    <w:rsid w:val="00AA11D0"/>
    <w:rsid w:val="00AA11E8"/>
    <w:rsid w:val="00AA1254"/>
    <w:rsid w:val="00AA126C"/>
    <w:rsid w:val="00AA1271"/>
    <w:rsid w:val="00AA12C2"/>
    <w:rsid w:val="00AA12CE"/>
    <w:rsid w:val="00AA12D7"/>
    <w:rsid w:val="00AA12EC"/>
    <w:rsid w:val="00AA12FA"/>
    <w:rsid w:val="00AA1412"/>
    <w:rsid w:val="00AA14C3"/>
    <w:rsid w:val="00AA14E3"/>
    <w:rsid w:val="00AA1562"/>
    <w:rsid w:val="00AA1659"/>
    <w:rsid w:val="00AA16EA"/>
    <w:rsid w:val="00AA16F2"/>
    <w:rsid w:val="00AA16F6"/>
    <w:rsid w:val="00AA1717"/>
    <w:rsid w:val="00AA1775"/>
    <w:rsid w:val="00AA1893"/>
    <w:rsid w:val="00AA18B6"/>
    <w:rsid w:val="00AA1904"/>
    <w:rsid w:val="00AA1928"/>
    <w:rsid w:val="00AA19A0"/>
    <w:rsid w:val="00AA19C8"/>
    <w:rsid w:val="00AA19EE"/>
    <w:rsid w:val="00AA19F2"/>
    <w:rsid w:val="00AA1A14"/>
    <w:rsid w:val="00AA1AC6"/>
    <w:rsid w:val="00AA1B8E"/>
    <w:rsid w:val="00AA1BDC"/>
    <w:rsid w:val="00AA1C1A"/>
    <w:rsid w:val="00AA1D05"/>
    <w:rsid w:val="00AA1D31"/>
    <w:rsid w:val="00AA1D3C"/>
    <w:rsid w:val="00AA1D45"/>
    <w:rsid w:val="00AA1F16"/>
    <w:rsid w:val="00AA1F58"/>
    <w:rsid w:val="00AA2006"/>
    <w:rsid w:val="00AA219F"/>
    <w:rsid w:val="00AA21F4"/>
    <w:rsid w:val="00AA2256"/>
    <w:rsid w:val="00AA22A6"/>
    <w:rsid w:val="00AA22D6"/>
    <w:rsid w:val="00AA22DD"/>
    <w:rsid w:val="00AA2306"/>
    <w:rsid w:val="00AA2329"/>
    <w:rsid w:val="00AA2499"/>
    <w:rsid w:val="00AA249E"/>
    <w:rsid w:val="00AA24B6"/>
    <w:rsid w:val="00AA24C0"/>
    <w:rsid w:val="00AA250E"/>
    <w:rsid w:val="00AA25DA"/>
    <w:rsid w:val="00AA25EA"/>
    <w:rsid w:val="00AA2647"/>
    <w:rsid w:val="00AA27C0"/>
    <w:rsid w:val="00AA2811"/>
    <w:rsid w:val="00AA281F"/>
    <w:rsid w:val="00AA2984"/>
    <w:rsid w:val="00AA29D0"/>
    <w:rsid w:val="00AA2A44"/>
    <w:rsid w:val="00AA2A8F"/>
    <w:rsid w:val="00AA2B9D"/>
    <w:rsid w:val="00AA2BE5"/>
    <w:rsid w:val="00AA2C7D"/>
    <w:rsid w:val="00AA2C98"/>
    <w:rsid w:val="00AA2CDE"/>
    <w:rsid w:val="00AA2D13"/>
    <w:rsid w:val="00AA2D27"/>
    <w:rsid w:val="00AA2E73"/>
    <w:rsid w:val="00AA2F26"/>
    <w:rsid w:val="00AA2F37"/>
    <w:rsid w:val="00AA3011"/>
    <w:rsid w:val="00AA3035"/>
    <w:rsid w:val="00AA3048"/>
    <w:rsid w:val="00AA305A"/>
    <w:rsid w:val="00AA30AA"/>
    <w:rsid w:val="00AA311C"/>
    <w:rsid w:val="00AA31BE"/>
    <w:rsid w:val="00AA31D0"/>
    <w:rsid w:val="00AA31FA"/>
    <w:rsid w:val="00AA33AA"/>
    <w:rsid w:val="00AA3417"/>
    <w:rsid w:val="00AA346E"/>
    <w:rsid w:val="00AA347D"/>
    <w:rsid w:val="00AA34CA"/>
    <w:rsid w:val="00AA34D9"/>
    <w:rsid w:val="00AA3560"/>
    <w:rsid w:val="00AA35EE"/>
    <w:rsid w:val="00AA3625"/>
    <w:rsid w:val="00AA3673"/>
    <w:rsid w:val="00AA36E8"/>
    <w:rsid w:val="00AA37E8"/>
    <w:rsid w:val="00AA391B"/>
    <w:rsid w:val="00AA3973"/>
    <w:rsid w:val="00AA39B3"/>
    <w:rsid w:val="00AA3AE6"/>
    <w:rsid w:val="00AA3B1B"/>
    <w:rsid w:val="00AA3B39"/>
    <w:rsid w:val="00AA3B58"/>
    <w:rsid w:val="00AA3B94"/>
    <w:rsid w:val="00AA3BF2"/>
    <w:rsid w:val="00AA3C01"/>
    <w:rsid w:val="00AA3CCC"/>
    <w:rsid w:val="00AA3E45"/>
    <w:rsid w:val="00AA3EA3"/>
    <w:rsid w:val="00AA401F"/>
    <w:rsid w:val="00AA4064"/>
    <w:rsid w:val="00AA4118"/>
    <w:rsid w:val="00AA42A0"/>
    <w:rsid w:val="00AA42CB"/>
    <w:rsid w:val="00AA4383"/>
    <w:rsid w:val="00AA4482"/>
    <w:rsid w:val="00AA44D2"/>
    <w:rsid w:val="00AA45F2"/>
    <w:rsid w:val="00AA4719"/>
    <w:rsid w:val="00AA474C"/>
    <w:rsid w:val="00AA4797"/>
    <w:rsid w:val="00AA47D3"/>
    <w:rsid w:val="00AA48BF"/>
    <w:rsid w:val="00AA499A"/>
    <w:rsid w:val="00AA49FC"/>
    <w:rsid w:val="00AA4A09"/>
    <w:rsid w:val="00AA4A1D"/>
    <w:rsid w:val="00AA4A20"/>
    <w:rsid w:val="00AA4A5F"/>
    <w:rsid w:val="00AA4B55"/>
    <w:rsid w:val="00AA4B97"/>
    <w:rsid w:val="00AA4C40"/>
    <w:rsid w:val="00AA4C5D"/>
    <w:rsid w:val="00AA4C7A"/>
    <w:rsid w:val="00AA4D02"/>
    <w:rsid w:val="00AA4DEC"/>
    <w:rsid w:val="00AA4E37"/>
    <w:rsid w:val="00AA4EDB"/>
    <w:rsid w:val="00AA4F33"/>
    <w:rsid w:val="00AA4F70"/>
    <w:rsid w:val="00AA4FAB"/>
    <w:rsid w:val="00AA5043"/>
    <w:rsid w:val="00AA5066"/>
    <w:rsid w:val="00AA519D"/>
    <w:rsid w:val="00AA51C2"/>
    <w:rsid w:val="00AA5213"/>
    <w:rsid w:val="00AA5337"/>
    <w:rsid w:val="00AA53CE"/>
    <w:rsid w:val="00AA53DF"/>
    <w:rsid w:val="00AA543D"/>
    <w:rsid w:val="00AA5490"/>
    <w:rsid w:val="00AA54A8"/>
    <w:rsid w:val="00AA55BA"/>
    <w:rsid w:val="00AA55E3"/>
    <w:rsid w:val="00AA5612"/>
    <w:rsid w:val="00AA567B"/>
    <w:rsid w:val="00AA56D8"/>
    <w:rsid w:val="00AA57CB"/>
    <w:rsid w:val="00AA5840"/>
    <w:rsid w:val="00AA5854"/>
    <w:rsid w:val="00AA59B7"/>
    <w:rsid w:val="00AA5A25"/>
    <w:rsid w:val="00AA5A44"/>
    <w:rsid w:val="00AA5AB3"/>
    <w:rsid w:val="00AA5AB4"/>
    <w:rsid w:val="00AA5B42"/>
    <w:rsid w:val="00AA5B56"/>
    <w:rsid w:val="00AA5C66"/>
    <w:rsid w:val="00AA5D78"/>
    <w:rsid w:val="00AA5E09"/>
    <w:rsid w:val="00AA5EE1"/>
    <w:rsid w:val="00AA5F06"/>
    <w:rsid w:val="00AA6034"/>
    <w:rsid w:val="00AA6121"/>
    <w:rsid w:val="00AA6144"/>
    <w:rsid w:val="00AA6164"/>
    <w:rsid w:val="00AA6165"/>
    <w:rsid w:val="00AA651C"/>
    <w:rsid w:val="00AA6608"/>
    <w:rsid w:val="00AA6624"/>
    <w:rsid w:val="00AA6640"/>
    <w:rsid w:val="00AA6664"/>
    <w:rsid w:val="00AA6673"/>
    <w:rsid w:val="00AA667A"/>
    <w:rsid w:val="00AA667F"/>
    <w:rsid w:val="00AA6733"/>
    <w:rsid w:val="00AA6818"/>
    <w:rsid w:val="00AA683B"/>
    <w:rsid w:val="00AA6886"/>
    <w:rsid w:val="00AA68A1"/>
    <w:rsid w:val="00AA68FE"/>
    <w:rsid w:val="00AA699C"/>
    <w:rsid w:val="00AA6A41"/>
    <w:rsid w:val="00AA6A6D"/>
    <w:rsid w:val="00AA6AA3"/>
    <w:rsid w:val="00AA6B2F"/>
    <w:rsid w:val="00AA6B66"/>
    <w:rsid w:val="00AA6C3D"/>
    <w:rsid w:val="00AA6C74"/>
    <w:rsid w:val="00AA6C94"/>
    <w:rsid w:val="00AA6D2D"/>
    <w:rsid w:val="00AA6D63"/>
    <w:rsid w:val="00AA6D73"/>
    <w:rsid w:val="00AA6FCF"/>
    <w:rsid w:val="00AA70C5"/>
    <w:rsid w:val="00AA711C"/>
    <w:rsid w:val="00AA727F"/>
    <w:rsid w:val="00AA73C8"/>
    <w:rsid w:val="00AA73FF"/>
    <w:rsid w:val="00AA75FF"/>
    <w:rsid w:val="00AA7691"/>
    <w:rsid w:val="00AA7742"/>
    <w:rsid w:val="00AA774E"/>
    <w:rsid w:val="00AA77EB"/>
    <w:rsid w:val="00AA7835"/>
    <w:rsid w:val="00AA78C2"/>
    <w:rsid w:val="00AA78EB"/>
    <w:rsid w:val="00AA790D"/>
    <w:rsid w:val="00AA7A10"/>
    <w:rsid w:val="00AA7A69"/>
    <w:rsid w:val="00AA7B03"/>
    <w:rsid w:val="00AA7C34"/>
    <w:rsid w:val="00AA7C79"/>
    <w:rsid w:val="00AA7CAC"/>
    <w:rsid w:val="00AA7D3E"/>
    <w:rsid w:val="00AA7E9C"/>
    <w:rsid w:val="00AA7F43"/>
    <w:rsid w:val="00AA7F9E"/>
    <w:rsid w:val="00AB0126"/>
    <w:rsid w:val="00AB0137"/>
    <w:rsid w:val="00AB01D4"/>
    <w:rsid w:val="00AB02FE"/>
    <w:rsid w:val="00AB039D"/>
    <w:rsid w:val="00AB04A3"/>
    <w:rsid w:val="00AB04DE"/>
    <w:rsid w:val="00AB0543"/>
    <w:rsid w:val="00AB0545"/>
    <w:rsid w:val="00AB068A"/>
    <w:rsid w:val="00AB069A"/>
    <w:rsid w:val="00AB06C3"/>
    <w:rsid w:val="00AB079E"/>
    <w:rsid w:val="00AB07A0"/>
    <w:rsid w:val="00AB07FB"/>
    <w:rsid w:val="00AB0907"/>
    <w:rsid w:val="00AB092D"/>
    <w:rsid w:val="00AB094D"/>
    <w:rsid w:val="00AB0960"/>
    <w:rsid w:val="00AB0970"/>
    <w:rsid w:val="00AB09F8"/>
    <w:rsid w:val="00AB0A4A"/>
    <w:rsid w:val="00AB0A50"/>
    <w:rsid w:val="00AB0AF5"/>
    <w:rsid w:val="00AB0B21"/>
    <w:rsid w:val="00AB0B23"/>
    <w:rsid w:val="00AB0B6F"/>
    <w:rsid w:val="00AB0C90"/>
    <w:rsid w:val="00AB0CAA"/>
    <w:rsid w:val="00AB0CC5"/>
    <w:rsid w:val="00AB0D61"/>
    <w:rsid w:val="00AB0DE7"/>
    <w:rsid w:val="00AB0E03"/>
    <w:rsid w:val="00AB0E08"/>
    <w:rsid w:val="00AB0E09"/>
    <w:rsid w:val="00AB0FED"/>
    <w:rsid w:val="00AB1023"/>
    <w:rsid w:val="00AB1084"/>
    <w:rsid w:val="00AB10BC"/>
    <w:rsid w:val="00AB11A0"/>
    <w:rsid w:val="00AB11BA"/>
    <w:rsid w:val="00AB11F7"/>
    <w:rsid w:val="00AB13A5"/>
    <w:rsid w:val="00AB13C4"/>
    <w:rsid w:val="00AB13EF"/>
    <w:rsid w:val="00AB13F2"/>
    <w:rsid w:val="00AB141A"/>
    <w:rsid w:val="00AB1522"/>
    <w:rsid w:val="00AB158F"/>
    <w:rsid w:val="00AB1658"/>
    <w:rsid w:val="00AB1659"/>
    <w:rsid w:val="00AB1705"/>
    <w:rsid w:val="00AB170B"/>
    <w:rsid w:val="00AB173B"/>
    <w:rsid w:val="00AB1751"/>
    <w:rsid w:val="00AB17F6"/>
    <w:rsid w:val="00AB1871"/>
    <w:rsid w:val="00AB1945"/>
    <w:rsid w:val="00AB1A27"/>
    <w:rsid w:val="00AB1ACB"/>
    <w:rsid w:val="00AB1B61"/>
    <w:rsid w:val="00AB1B8C"/>
    <w:rsid w:val="00AB1BC8"/>
    <w:rsid w:val="00AB1E0D"/>
    <w:rsid w:val="00AB1E17"/>
    <w:rsid w:val="00AB1E31"/>
    <w:rsid w:val="00AB1EFD"/>
    <w:rsid w:val="00AB1FA4"/>
    <w:rsid w:val="00AB1FE5"/>
    <w:rsid w:val="00AB2021"/>
    <w:rsid w:val="00AB207F"/>
    <w:rsid w:val="00AB226E"/>
    <w:rsid w:val="00AB2275"/>
    <w:rsid w:val="00AB22CC"/>
    <w:rsid w:val="00AB2415"/>
    <w:rsid w:val="00AB2468"/>
    <w:rsid w:val="00AB254E"/>
    <w:rsid w:val="00AB2574"/>
    <w:rsid w:val="00AB2638"/>
    <w:rsid w:val="00AB2644"/>
    <w:rsid w:val="00AB26CF"/>
    <w:rsid w:val="00AB2752"/>
    <w:rsid w:val="00AB27A3"/>
    <w:rsid w:val="00AB27CB"/>
    <w:rsid w:val="00AB2857"/>
    <w:rsid w:val="00AB2862"/>
    <w:rsid w:val="00AB28B3"/>
    <w:rsid w:val="00AB28B6"/>
    <w:rsid w:val="00AB28F4"/>
    <w:rsid w:val="00AB291F"/>
    <w:rsid w:val="00AB2922"/>
    <w:rsid w:val="00AB2A7C"/>
    <w:rsid w:val="00AB2A8F"/>
    <w:rsid w:val="00AB2BA4"/>
    <w:rsid w:val="00AB2BCD"/>
    <w:rsid w:val="00AB2BF2"/>
    <w:rsid w:val="00AB2D38"/>
    <w:rsid w:val="00AB2DE7"/>
    <w:rsid w:val="00AB2E07"/>
    <w:rsid w:val="00AB2EF0"/>
    <w:rsid w:val="00AB2F3E"/>
    <w:rsid w:val="00AB2FC4"/>
    <w:rsid w:val="00AB300A"/>
    <w:rsid w:val="00AB3060"/>
    <w:rsid w:val="00AB30DE"/>
    <w:rsid w:val="00AB3133"/>
    <w:rsid w:val="00AB3147"/>
    <w:rsid w:val="00AB31C7"/>
    <w:rsid w:val="00AB3324"/>
    <w:rsid w:val="00AB3384"/>
    <w:rsid w:val="00AB348B"/>
    <w:rsid w:val="00AB3505"/>
    <w:rsid w:val="00AB356B"/>
    <w:rsid w:val="00AB35CD"/>
    <w:rsid w:val="00AB36E2"/>
    <w:rsid w:val="00AB378D"/>
    <w:rsid w:val="00AB38C4"/>
    <w:rsid w:val="00AB392E"/>
    <w:rsid w:val="00AB395E"/>
    <w:rsid w:val="00AB39E6"/>
    <w:rsid w:val="00AB3A40"/>
    <w:rsid w:val="00AB3A97"/>
    <w:rsid w:val="00AB3AED"/>
    <w:rsid w:val="00AB3C21"/>
    <w:rsid w:val="00AB3C66"/>
    <w:rsid w:val="00AB3C67"/>
    <w:rsid w:val="00AB3C7F"/>
    <w:rsid w:val="00AB3DE6"/>
    <w:rsid w:val="00AB3F91"/>
    <w:rsid w:val="00AB3FD2"/>
    <w:rsid w:val="00AB4151"/>
    <w:rsid w:val="00AB416F"/>
    <w:rsid w:val="00AB42E9"/>
    <w:rsid w:val="00AB43EA"/>
    <w:rsid w:val="00AB4474"/>
    <w:rsid w:val="00AB4648"/>
    <w:rsid w:val="00AB480C"/>
    <w:rsid w:val="00AB486B"/>
    <w:rsid w:val="00AB49A5"/>
    <w:rsid w:val="00AB49AF"/>
    <w:rsid w:val="00AB4A14"/>
    <w:rsid w:val="00AB4ADB"/>
    <w:rsid w:val="00AB4B1E"/>
    <w:rsid w:val="00AB4C37"/>
    <w:rsid w:val="00AB4D15"/>
    <w:rsid w:val="00AB4D78"/>
    <w:rsid w:val="00AB4ED4"/>
    <w:rsid w:val="00AB4EDA"/>
    <w:rsid w:val="00AB4EF5"/>
    <w:rsid w:val="00AB4F2D"/>
    <w:rsid w:val="00AB4F49"/>
    <w:rsid w:val="00AB5036"/>
    <w:rsid w:val="00AB505C"/>
    <w:rsid w:val="00AB509E"/>
    <w:rsid w:val="00AB515C"/>
    <w:rsid w:val="00AB51C7"/>
    <w:rsid w:val="00AB5203"/>
    <w:rsid w:val="00AB521B"/>
    <w:rsid w:val="00AB521E"/>
    <w:rsid w:val="00AB52D6"/>
    <w:rsid w:val="00AB52EB"/>
    <w:rsid w:val="00AB52F7"/>
    <w:rsid w:val="00AB533B"/>
    <w:rsid w:val="00AB53C7"/>
    <w:rsid w:val="00AB540D"/>
    <w:rsid w:val="00AB540F"/>
    <w:rsid w:val="00AB54F3"/>
    <w:rsid w:val="00AB552D"/>
    <w:rsid w:val="00AB5600"/>
    <w:rsid w:val="00AB5715"/>
    <w:rsid w:val="00AB5777"/>
    <w:rsid w:val="00AB57E9"/>
    <w:rsid w:val="00AB5906"/>
    <w:rsid w:val="00AB591A"/>
    <w:rsid w:val="00AB59F8"/>
    <w:rsid w:val="00AB5A31"/>
    <w:rsid w:val="00AB5A43"/>
    <w:rsid w:val="00AB5AFC"/>
    <w:rsid w:val="00AB5BE4"/>
    <w:rsid w:val="00AB5C24"/>
    <w:rsid w:val="00AB5C84"/>
    <w:rsid w:val="00AB5D35"/>
    <w:rsid w:val="00AB5D39"/>
    <w:rsid w:val="00AB5F76"/>
    <w:rsid w:val="00AB5F90"/>
    <w:rsid w:val="00AB5F9F"/>
    <w:rsid w:val="00AB5FB0"/>
    <w:rsid w:val="00AB60FD"/>
    <w:rsid w:val="00AB6352"/>
    <w:rsid w:val="00AB6414"/>
    <w:rsid w:val="00AB6480"/>
    <w:rsid w:val="00AB64D2"/>
    <w:rsid w:val="00AB651E"/>
    <w:rsid w:val="00AB65D5"/>
    <w:rsid w:val="00AB6814"/>
    <w:rsid w:val="00AB683F"/>
    <w:rsid w:val="00AB6901"/>
    <w:rsid w:val="00AB693A"/>
    <w:rsid w:val="00AB694D"/>
    <w:rsid w:val="00AB6AC2"/>
    <w:rsid w:val="00AB6B07"/>
    <w:rsid w:val="00AB6B09"/>
    <w:rsid w:val="00AB6B1A"/>
    <w:rsid w:val="00AB6C3E"/>
    <w:rsid w:val="00AB6CF1"/>
    <w:rsid w:val="00AB6D3A"/>
    <w:rsid w:val="00AB6D4E"/>
    <w:rsid w:val="00AB6E50"/>
    <w:rsid w:val="00AB6E7F"/>
    <w:rsid w:val="00AB6EDD"/>
    <w:rsid w:val="00AB6F30"/>
    <w:rsid w:val="00AB6F40"/>
    <w:rsid w:val="00AB6FB4"/>
    <w:rsid w:val="00AB7002"/>
    <w:rsid w:val="00AB7082"/>
    <w:rsid w:val="00AB7201"/>
    <w:rsid w:val="00AB7204"/>
    <w:rsid w:val="00AB7253"/>
    <w:rsid w:val="00AB72AB"/>
    <w:rsid w:val="00AB72B9"/>
    <w:rsid w:val="00AB730C"/>
    <w:rsid w:val="00AB734E"/>
    <w:rsid w:val="00AB73DD"/>
    <w:rsid w:val="00AB73FD"/>
    <w:rsid w:val="00AB749C"/>
    <w:rsid w:val="00AB7544"/>
    <w:rsid w:val="00AB755A"/>
    <w:rsid w:val="00AB7587"/>
    <w:rsid w:val="00AB773E"/>
    <w:rsid w:val="00AB7746"/>
    <w:rsid w:val="00AB7753"/>
    <w:rsid w:val="00AB7780"/>
    <w:rsid w:val="00AB7784"/>
    <w:rsid w:val="00AB779A"/>
    <w:rsid w:val="00AB77A1"/>
    <w:rsid w:val="00AB7822"/>
    <w:rsid w:val="00AB785D"/>
    <w:rsid w:val="00AB78DB"/>
    <w:rsid w:val="00AB7943"/>
    <w:rsid w:val="00AB7AA2"/>
    <w:rsid w:val="00AB7BC9"/>
    <w:rsid w:val="00AB7CE5"/>
    <w:rsid w:val="00AB7D33"/>
    <w:rsid w:val="00AB7D65"/>
    <w:rsid w:val="00AB7E7E"/>
    <w:rsid w:val="00AB7EA4"/>
    <w:rsid w:val="00AB7F02"/>
    <w:rsid w:val="00ABEB28"/>
    <w:rsid w:val="00AC000E"/>
    <w:rsid w:val="00AC004D"/>
    <w:rsid w:val="00AC00B9"/>
    <w:rsid w:val="00AC0283"/>
    <w:rsid w:val="00AC0326"/>
    <w:rsid w:val="00AC0419"/>
    <w:rsid w:val="00AC0430"/>
    <w:rsid w:val="00AC0469"/>
    <w:rsid w:val="00AC04D4"/>
    <w:rsid w:val="00AC0561"/>
    <w:rsid w:val="00AC0613"/>
    <w:rsid w:val="00AC0649"/>
    <w:rsid w:val="00AC064E"/>
    <w:rsid w:val="00AC06D1"/>
    <w:rsid w:val="00AC0793"/>
    <w:rsid w:val="00AC07D9"/>
    <w:rsid w:val="00AC0816"/>
    <w:rsid w:val="00AC086E"/>
    <w:rsid w:val="00AC0872"/>
    <w:rsid w:val="00AC088A"/>
    <w:rsid w:val="00AC08E8"/>
    <w:rsid w:val="00AC0B15"/>
    <w:rsid w:val="00AC0B2C"/>
    <w:rsid w:val="00AC0B7B"/>
    <w:rsid w:val="00AC0B8F"/>
    <w:rsid w:val="00AC0BFF"/>
    <w:rsid w:val="00AC0C04"/>
    <w:rsid w:val="00AC0CD6"/>
    <w:rsid w:val="00AC0E4E"/>
    <w:rsid w:val="00AC0EC8"/>
    <w:rsid w:val="00AC112C"/>
    <w:rsid w:val="00AC11AD"/>
    <w:rsid w:val="00AC11BC"/>
    <w:rsid w:val="00AC11CD"/>
    <w:rsid w:val="00AC11FD"/>
    <w:rsid w:val="00AC12EC"/>
    <w:rsid w:val="00AC147C"/>
    <w:rsid w:val="00AC147F"/>
    <w:rsid w:val="00AC15E1"/>
    <w:rsid w:val="00AC1668"/>
    <w:rsid w:val="00AC1755"/>
    <w:rsid w:val="00AC17B2"/>
    <w:rsid w:val="00AC17D7"/>
    <w:rsid w:val="00AC17FC"/>
    <w:rsid w:val="00AC1829"/>
    <w:rsid w:val="00AC1843"/>
    <w:rsid w:val="00AC18E0"/>
    <w:rsid w:val="00AC1A6B"/>
    <w:rsid w:val="00AC1A8C"/>
    <w:rsid w:val="00AC1ACB"/>
    <w:rsid w:val="00AC1AEB"/>
    <w:rsid w:val="00AC1B67"/>
    <w:rsid w:val="00AC1C78"/>
    <w:rsid w:val="00AC1DFA"/>
    <w:rsid w:val="00AC1EE1"/>
    <w:rsid w:val="00AC1FE7"/>
    <w:rsid w:val="00AC2005"/>
    <w:rsid w:val="00AC2061"/>
    <w:rsid w:val="00AC20D8"/>
    <w:rsid w:val="00AC2137"/>
    <w:rsid w:val="00AC213C"/>
    <w:rsid w:val="00AC21B5"/>
    <w:rsid w:val="00AC21D2"/>
    <w:rsid w:val="00AC225D"/>
    <w:rsid w:val="00AC226D"/>
    <w:rsid w:val="00AC22CD"/>
    <w:rsid w:val="00AC22EC"/>
    <w:rsid w:val="00AC234E"/>
    <w:rsid w:val="00AC245D"/>
    <w:rsid w:val="00AC246B"/>
    <w:rsid w:val="00AC2545"/>
    <w:rsid w:val="00AC259C"/>
    <w:rsid w:val="00AC26D2"/>
    <w:rsid w:val="00AC2803"/>
    <w:rsid w:val="00AC2893"/>
    <w:rsid w:val="00AC2969"/>
    <w:rsid w:val="00AC2A34"/>
    <w:rsid w:val="00AC2A71"/>
    <w:rsid w:val="00AC2A74"/>
    <w:rsid w:val="00AC2A80"/>
    <w:rsid w:val="00AC2A99"/>
    <w:rsid w:val="00AC2AA9"/>
    <w:rsid w:val="00AC2BB6"/>
    <w:rsid w:val="00AC2C2F"/>
    <w:rsid w:val="00AC2C93"/>
    <w:rsid w:val="00AC2CCF"/>
    <w:rsid w:val="00AC2D70"/>
    <w:rsid w:val="00AC2D7F"/>
    <w:rsid w:val="00AC2E74"/>
    <w:rsid w:val="00AC2EE4"/>
    <w:rsid w:val="00AC2F49"/>
    <w:rsid w:val="00AC307F"/>
    <w:rsid w:val="00AC30D4"/>
    <w:rsid w:val="00AC31CB"/>
    <w:rsid w:val="00AC32A4"/>
    <w:rsid w:val="00AC3345"/>
    <w:rsid w:val="00AC33AC"/>
    <w:rsid w:val="00AC3467"/>
    <w:rsid w:val="00AC34A1"/>
    <w:rsid w:val="00AC35C1"/>
    <w:rsid w:val="00AC366B"/>
    <w:rsid w:val="00AC368F"/>
    <w:rsid w:val="00AC36B7"/>
    <w:rsid w:val="00AC3761"/>
    <w:rsid w:val="00AC37D2"/>
    <w:rsid w:val="00AC3848"/>
    <w:rsid w:val="00AC3857"/>
    <w:rsid w:val="00AC38B1"/>
    <w:rsid w:val="00AC39FD"/>
    <w:rsid w:val="00AC3A0F"/>
    <w:rsid w:val="00AC3A17"/>
    <w:rsid w:val="00AC3A86"/>
    <w:rsid w:val="00AC3A9A"/>
    <w:rsid w:val="00AC3B59"/>
    <w:rsid w:val="00AC3B6F"/>
    <w:rsid w:val="00AC3BC7"/>
    <w:rsid w:val="00AC3D85"/>
    <w:rsid w:val="00AC3DD1"/>
    <w:rsid w:val="00AC3DF3"/>
    <w:rsid w:val="00AC3E51"/>
    <w:rsid w:val="00AC3F33"/>
    <w:rsid w:val="00AC3FAB"/>
    <w:rsid w:val="00AC3FFD"/>
    <w:rsid w:val="00AC400A"/>
    <w:rsid w:val="00AC4021"/>
    <w:rsid w:val="00AC405C"/>
    <w:rsid w:val="00AC4086"/>
    <w:rsid w:val="00AC40B4"/>
    <w:rsid w:val="00AC419B"/>
    <w:rsid w:val="00AC42AA"/>
    <w:rsid w:val="00AC42BF"/>
    <w:rsid w:val="00AC42F3"/>
    <w:rsid w:val="00AC435F"/>
    <w:rsid w:val="00AC45AC"/>
    <w:rsid w:val="00AC461B"/>
    <w:rsid w:val="00AC463B"/>
    <w:rsid w:val="00AC4704"/>
    <w:rsid w:val="00AC4791"/>
    <w:rsid w:val="00AC48A0"/>
    <w:rsid w:val="00AC4ACA"/>
    <w:rsid w:val="00AC4B1D"/>
    <w:rsid w:val="00AC4BC4"/>
    <w:rsid w:val="00AC4C81"/>
    <w:rsid w:val="00AC4C87"/>
    <w:rsid w:val="00AC4CA5"/>
    <w:rsid w:val="00AC4D79"/>
    <w:rsid w:val="00AC4D8A"/>
    <w:rsid w:val="00AC4DE0"/>
    <w:rsid w:val="00AC4EF2"/>
    <w:rsid w:val="00AC4FCE"/>
    <w:rsid w:val="00AC4FF7"/>
    <w:rsid w:val="00AC5033"/>
    <w:rsid w:val="00AC50BD"/>
    <w:rsid w:val="00AC5147"/>
    <w:rsid w:val="00AC524C"/>
    <w:rsid w:val="00AC5340"/>
    <w:rsid w:val="00AC5449"/>
    <w:rsid w:val="00AC54B0"/>
    <w:rsid w:val="00AC54D0"/>
    <w:rsid w:val="00AC54F0"/>
    <w:rsid w:val="00AC55C8"/>
    <w:rsid w:val="00AC5649"/>
    <w:rsid w:val="00AC5659"/>
    <w:rsid w:val="00AC573A"/>
    <w:rsid w:val="00AC574F"/>
    <w:rsid w:val="00AC5771"/>
    <w:rsid w:val="00AC5788"/>
    <w:rsid w:val="00AC57BA"/>
    <w:rsid w:val="00AC58A4"/>
    <w:rsid w:val="00AC5A78"/>
    <w:rsid w:val="00AC5AE7"/>
    <w:rsid w:val="00AC5C6D"/>
    <w:rsid w:val="00AC5CD9"/>
    <w:rsid w:val="00AC5D9A"/>
    <w:rsid w:val="00AC5E0C"/>
    <w:rsid w:val="00AC5EB3"/>
    <w:rsid w:val="00AC5F09"/>
    <w:rsid w:val="00AC5F96"/>
    <w:rsid w:val="00AC5FFD"/>
    <w:rsid w:val="00AC601A"/>
    <w:rsid w:val="00AC60CB"/>
    <w:rsid w:val="00AC6115"/>
    <w:rsid w:val="00AC613A"/>
    <w:rsid w:val="00AC6179"/>
    <w:rsid w:val="00AC618D"/>
    <w:rsid w:val="00AC61B8"/>
    <w:rsid w:val="00AC628C"/>
    <w:rsid w:val="00AC62AB"/>
    <w:rsid w:val="00AC630D"/>
    <w:rsid w:val="00AC6336"/>
    <w:rsid w:val="00AC6481"/>
    <w:rsid w:val="00AC64E6"/>
    <w:rsid w:val="00AC650B"/>
    <w:rsid w:val="00AC654F"/>
    <w:rsid w:val="00AC658D"/>
    <w:rsid w:val="00AC65B8"/>
    <w:rsid w:val="00AC6622"/>
    <w:rsid w:val="00AC66F5"/>
    <w:rsid w:val="00AC683A"/>
    <w:rsid w:val="00AC68AA"/>
    <w:rsid w:val="00AC68B3"/>
    <w:rsid w:val="00AC68C6"/>
    <w:rsid w:val="00AC694D"/>
    <w:rsid w:val="00AC6979"/>
    <w:rsid w:val="00AC699D"/>
    <w:rsid w:val="00AC6A44"/>
    <w:rsid w:val="00AC6AE9"/>
    <w:rsid w:val="00AC6AFE"/>
    <w:rsid w:val="00AC6B19"/>
    <w:rsid w:val="00AC6C16"/>
    <w:rsid w:val="00AC6C19"/>
    <w:rsid w:val="00AC6C30"/>
    <w:rsid w:val="00AC6C76"/>
    <w:rsid w:val="00AC6D09"/>
    <w:rsid w:val="00AC6DC6"/>
    <w:rsid w:val="00AC6E8A"/>
    <w:rsid w:val="00AC6F8B"/>
    <w:rsid w:val="00AC6FB7"/>
    <w:rsid w:val="00AC6FE7"/>
    <w:rsid w:val="00AC707A"/>
    <w:rsid w:val="00AC70AE"/>
    <w:rsid w:val="00AC71BA"/>
    <w:rsid w:val="00AC7225"/>
    <w:rsid w:val="00AC7259"/>
    <w:rsid w:val="00AC730A"/>
    <w:rsid w:val="00AC7310"/>
    <w:rsid w:val="00AC7346"/>
    <w:rsid w:val="00AC739D"/>
    <w:rsid w:val="00AC7477"/>
    <w:rsid w:val="00AC75D1"/>
    <w:rsid w:val="00AC7693"/>
    <w:rsid w:val="00AC76B9"/>
    <w:rsid w:val="00AC76C4"/>
    <w:rsid w:val="00AC779A"/>
    <w:rsid w:val="00AC7818"/>
    <w:rsid w:val="00AC786B"/>
    <w:rsid w:val="00AC7969"/>
    <w:rsid w:val="00AC7A13"/>
    <w:rsid w:val="00AC7A25"/>
    <w:rsid w:val="00AC7B02"/>
    <w:rsid w:val="00AC7B72"/>
    <w:rsid w:val="00AC7B88"/>
    <w:rsid w:val="00AC7B9D"/>
    <w:rsid w:val="00AC7BFD"/>
    <w:rsid w:val="00AC7C2B"/>
    <w:rsid w:val="00AC7D0E"/>
    <w:rsid w:val="00AC7D73"/>
    <w:rsid w:val="00AC7DDD"/>
    <w:rsid w:val="00AC7DF1"/>
    <w:rsid w:val="00AC7EF3"/>
    <w:rsid w:val="00AC7F4E"/>
    <w:rsid w:val="00AC7FAC"/>
    <w:rsid w:val="00AD0116"/>
    <w:rsid w:val="00AD019C"/>
    <w:rsid w:val="00AD01E1"/>
    <w:rsid w:val="00AD02D0"/>
    <w:rsid w:val="00AD02E0"/>
    <w:rsid w:val="00AD0357"/>
    <w:rsid w:val="00AD036C"/>
    <w:rsid w:val="00AD03C4"/>
    <w:rsid w:val="00AD03E4"/>
    <w:rsid w:val="00AD04D7"/>
    <w:rsid w:val="00AD05E2"/>
    <w:rsid w:val="00AD0640"/>
    <w:rsid w:val="00AD0675"/>
    <w:rsid w:val="00AD06B5"/>
    <w:rsid w:val="00AD07B0"/>
    <w:rsid w:val="00AD0878"/>
    <w:rsid w:val="00AD0A72"/>
    <w:rsid w:val="00AD0A99"/>
    <w:rsid w:val="00AD0AB4"/>
    <w:rsid w:val="00AD0ACF"/>
    <w:rsid w:val="00AD0B5E"/>
    <w:rsid w:val="00AD0B63"/>
    <w:rsid w:val="00AD0C48"/>
    <w:rsid w:val="00AD0CAD"/>
    <w:rsid w:val="00AD0D03"/>
    <w:rsid w:val="00AD0D2B"/>
    <w:rsid w:val="00AD0D81"/>
    <w:rsid w:val="00AD0DEB"/>
    <w:rsid w:val="00AD0E53"/>
    <w:rsid w:val="00AD0E7F"/>
    <w:rsid w:val="00AD0E89"/>
    <w:rsid w:val="00AD0EDC"/>
    <w:rsid w:val="00AD1000"/>
    <w:rsid w:val="00AD1078"/>
    <w:rsid w:val="00AD10A8"/>
    <w:rsid w:val="00AD1135"/>
    <w:rsid w:val="00AD1183"/>
    <w:rsid w:val="00AD1327"/>
    <w:rsid w:val="00AD136B"/>
    <w:rsid w:val="00AD13C9"/>
    <w:rsid w:val="00AD143A"/>
    <w:rsid w:val="00AD144D"/>
    <w:rsid w:val="00AD1454"/>
    <w:rsid w:val="00AD1518"/>
    <w:rsid w:val="00AD1529"/>
    <w:rsid w:val="00AD1537"/>
    <w:rsid w:val="00AD1585"/>
    <w:rsid w:val="00AD15EA"/>
    <w:rsid w:val="00AD16E8"/>
    <w:rsid w:val="00AD1786"/>
    <w:rsid w:val="00AD186E"/>
    <w:rsid w:val="00AD18E4"/>
    <w:rsid w:val="00AD1A16"/>
    <w:rsid w:val="00AD1A42"/>
    <w:rsid w:val="00AD1A9F"/>
    <w:rsid w:val="00AD1B46"/>
    <w:rsid w:val="00AD1B52"/>
    <w:rsid w:val="00AD1C48"/>
    <w:rsid w:val="00AD1E80"/>
    <w:rsid w:val="00AD1FB6"/>
    <w:rsid w:val="00AD208B"/>
    <w:rsid w:val="00AD20AF"/>
    <w:rsid w:val="00AD21AB"/>
    <w:rsid w:val="00AD21CE"/>
    <w:rsid w:val="00AD21D2"/>
    <w:rsid w:val="00AD2237"/>
    <w:rsid w:val="00AD2390"/>
    <w:rsid w:val="00AD23F3"/>
    <w:rsid w:val="00AD2505"/>
    <w:rsid w:val="00AD25A4"/>
    <w:rsid w:val="00AD260E"/>
    <w:rsid w:val="00AD260F"/>
    <w:rsid w:val="00AD273F"/>
    <w:rsid w:val="00AD27DC"/>
    <w:rsid w:val="00AD2883"/>
    <w:rsid w:val="00AD2895"/>
    <w:rsid w:val="00AD28F5"/>
    <w:rsid w:val="00AD29C7"/>
    <w:rsid w:val="00AD2AA7"/>
    <w:rsid w:val="00AD2ABD"/>
    <w:rsid w:val="00AD2AF0"/>
    <w:rsid w:val="00AD2B17"/>
    <w:rsid w:val="00AD2BD2"/>
    <w:rsid w:val="00AD2C29"/>
    <w:rsid w:val="00AD2C5D"/>
    <w:rsid w:val="00AD2C63"/>
    <w:rsid w:val="00AD2C88"/>
    <w:rsid w:val="00AD2CCE"/>
    <w:rsid w:val="00AD2CD5"/>
    <w:rsid w:val="00AD2D42"/>
    <w:rsid w:val="00AD2E15"/>
    <w:rsid w:val="00AD2E43"/>
    <w:rsid w:val="00AD2E49"/>
    <w:rsid w:val="00AD2EA3"/>
    <w:rsid w:val="00AD2FF6"/>
    <w:rsid w:val="00AD30CA"/>
    <w:rsid w:val="00AD3149"/>
    <w:rsid w:val="00AD3192"/>
    <w:rsid w:val="00AD31B1"/>
    <w:rsid w:val="00AD320E"/>
    <w:rsid w:val="00AD3224"/>
    <w:rsid w:val="00AD3233"/>
    <w:rsid w:val="00AD3282"/>
    <w:rsid w:val="00AD32F5"/>
    <w:rsid w:val="00AD338A"/>
    <w:rsid w:val="00AD341A"/>
    <w:rsid w:val="00AD3474"/>
    <w:rsid w:val="00AD34B2"/>
    <w:rsid w:val="00AD3703"/>
    <w:rsid w:val="00AD378D"/>
    <w:rsid w:val="00AD37E6"/>
    <w:rsid w:val="00AD38CC"/>
    <w:rsid w:val="00AD39D2"/>
    <w:rsid w:val="00AD3A3B"/>
    <w:rsid w:val="00AD3AA0"/>
    <w:rsid w:val="00AD3ABE"/>
    <w:rsid w:val="00AD3B0D"/>
    <w:rsid w:val="00AD3B29"/>
    <w:rsid w:val="00AD3B44"/>
    <w:rsid w:val="00AD3C4C"/>
    <w:rsid w:val="00AD3CD4"/>
    <w:rsid w:val="00AD3CDA"/>
    <w:rsid w:val="00AD3D6D"/>
    <w:rsid w:val="00AD3DEF"/>
    <w:rsid w:val="00AD3E2B"/>
    <w:rsid w:val="00AD3F45"/>
    <w:rsid w:val="00AD3F55"/>
    <w:rsid w:val="00AD3F61"/>
    <w:rsid w:val="00AD407A"/>
    <w:rsid w:val="00AD40D8"/>
    <w:rsid w:val="00AD4168"/>
    <w:rsid w:val="00AD41A1"/>
    <w:rsid w:val="00AD41A2"/>
    <w:rsid w:val="00AD4315"/>
    <w:rsid w:val="00AD454C"/>
    <w:rsid w:val="00AD4602"/>
    <w:rsid w:val="00AD4666"/>
    <w:rsid w:val="00AD4692"/>
    <w:rsid w:val="00AD46F2"/>
    <w:rsid w:val="00AD4776"/>
    <w:rsid w:val="00AD4879"/>
    <w:rsid w:val="00AD48C0"/>
    <w:rsid w:val="00AD4939"/>
    <w:rsid w:val="00AD4A59"/>
    <w:rsid w:val="00AD4B26"/>
    <w:rsid w:val="00AD4B54"/>
    <w:rsid w:val="00AD4B78"/>
    <w:rsid w:val="00AD4B84"/>
    <w:rsid w:val="00AD4B94"/>
    <w:rsid w:val="00AD4BCC"/>
    <w:rsid w:val="00AD4CAC"/>
    <w:rsid w:val="00AD4CD0"/>
    <w:rsid w:val="00AD4D20"/>
    <w:rsid w:val="00AD4D40"/>
    <w:rsid w:val="00AD4E08"/>
    <w:rsid w:val="00AD4E77"/>
    <w:rsid w:val="00AD4FC7"/>
    <w:rsid w:val="00AD5140"/>
    <w:rsid w:val="00AD5297"/>
    <w:rsid w:val="00AD5401"/>
    <w:rsid w:val="00AD5448"/>
    <w:rsid w:val="00AD544C"/>
    <w:rsid w:val="00AD5484"/>
    <w:rsid w:val="00AD54EE"/>
    <w:rsid w:val="00AD5691"/>
    <w:rsid w:val="00AD56F4"/>
    <w:rsid w:val="00AD5810"/>
    <w:rsid w:val="00AD58BE"/>
    <w:rsid w:val="00AD58CF"/>
    <w:rsid w:val="00AD595A"/>
    <w:rsid w:val="00AD5971"/>
    <w:rsid w:val="00AD5ABD"/>
    <w:rsid w:val="00AD5AFB"/>
    <w:rsid w:val="00AD5B0A"/>
    <w:rsid w:val="00AD5C31"/>
    <w:rsid w:val="00AD5CB9"/>
    <w:rsid w:val="00AD5D0C"/>
    <w:rsid w:val="00AD5D0E"/>
    <w:rsid w:val="00AD5D9C"/>
    <w:rsid w:val="00AD5D9E"/>
    <w:rsid w:val="00AD5E6A"/>
    <w:rsid w:val="00AD5ED1"/>
    <w:rsid w:val="00AD5F35"/>
    <w:rsid w:val="00AD5F74"/>
    <w:rsid w:val="00AD5F7C"/>
    <w:rsid w:val="00AD5F81"/>
    <w:rsid w:val="00AD6071"/>
    <w:rsid w:val="00AD6092"/>
    <w:rsid w:val="00AD60AA"/>
    <w:rsid w:val="00AD60C8"/>
    <w:rsid w:val="00AD610A"/>
    <w:rsid w:val="00AD6110"/>
    <w:rsid w:val="00AD61A3"/>
    <w:rsid w:val="00AD61EB"/>
    <w:rsid w:val="00AD6212"/>
    <w:rsid w:val="00AD626E"/>
    <w:rsid w:val="00AD627A"/>
    <w:rsid w:val="00AD6291"/>
    <w:rsid w:val="00AD6439"/>
    <w:rsid w:val="00AD6479"/>
    <w:rsid w:val="00AD64DC"/>
    <w:rsid w:val="00AD64EC"/>
    <w:rsid w:val="00AD64EE"/>
    <w:rsid w:val="00AD6503"/>
    <w:rsid w:val="00AD6576"/>
    <w:rsid w:val="00AD65A6"/>
    <w:rsid w:val="00AD65C0"/>
    <w:rsid w:val="00AD66E5"/>
    <w:rsid w:val="00AD6720"/>
    <w:rsid w:val="00AD6743"/>
    <w:rsid w:val="00AD6770"/>
    <w:rsid w:val="00AD6807"/>
    <w:rsid w:val="00AD69CA"/>
    <w:rsid w:val="00AD6A3F"/>
    <w:rsid w:val="00AD6ACB"/>
    <w:rsid w:val="00AD6B20"/>
    <w:rsid w:val="00AD6B6C"/>
    <w:rsid w:val="00AD6BAC"/>
    <w:rsid w:val="00AD6BE6"/>
    <w:rsid w:val="00AD6C08"/>
    <w:rsid w:val="00AD6C0E"/>
    <w:rsid w:val="00AD6CB1"/>
    <w:rsid w:val="00AD6CC4"/>
    <w:rsid w:val="00AD6D00"/>
    <w:rsid w:val="00AD6DA1"/>
    <w:rsid w:val="00AD6E47"/>
    <w:rsid w:val="00AD6EC4"/>
    <w:rsid w:val="00AD6F6D"/>
    <w:rsid w:val="00AD7052"/>
    <w:rsid w:val="00AD707F"/>
    <w:rsid w:val="00AD71DB"/>
    <w:rsid w:val="00AD7350"/>
    <w:rsid w:val="00AD7370"/>
    <w:rsid w:val="00AD73A7"/>
    <w:rsid w:val="00AD73C1"/>
    <w:rsid w:val="00AD741D"/>
    <w:rsid w:val="00AD7456"/>
    <w:rsid w:val="00AD74DF"/>
    <w:rsid w:val="00AD7525"/>
    <w:rsid w:val="00AD7527"/>
    <w:rsid w:val="00AD76D9"/>
    <w:rsid w:val="00AD770E"/>
    <w:rsid w:val="00AD7864"/>
    <w:rsid w:val="00AD7868"/>
    <w:rsid w:val="00AD7892"/>
    <w:rsid w:val="00AD78C0"/>
    <w:rsid w:val="00AD78EB"/>
    <w:rsid w:val="00AD7908"/>
    <w:rsid w:val="00AD790C"/>
    <w:rsid w:val="00AD7A10"/>
    <w:rsid w:val="00AD7B44"/>
    <w:rsid w:val="00AD7BAA"/>
    <w:rsid w:val="00AD7BFA"/>
    <w:rsid w:val="00AD7CF6"/>
    <w:rsid w:val="00AD7D2E"/>
    <w:rsid w:val="00AD7D79"/>
    <w:rsid w:val="00AD7E35"/>
    <w:rsid w:val="00AD7E60"/>
    <w:rsid w:val="00AD7E7B"/>
    <w:rsid w:val="00AD7EDF"/>
    <w:rsid w:val="00AD7F04"/>
    <w:rsid w:val="00AD7F8F"/>
    <w:rsid w:val="00AE0003"/>
    <w:rsid w:val="00AE0005"/>
    <w:rsid w:val="00AE0027"/>
    <w:rsid w:val="00AE007F"/>
    <w:rsid w:val="00AE00F9"/>
    <w:rsid w:val="00AE01BC"/>
    <w:rsid w:val="00AE02DD"/>
    <w:rsid w:val="00AE03D4"/>
    <w:rsid w:val="00AE05BB"/>
    <w:rsid w:val="00AE0634"/>
    <w:rsid w:val="00AE0682"/>
    <w:rsid w:val="00AE069B"/>
    <w:rsid w:val="00AE06BB"/>
    <w:rsid w:val="00AE0760"/>
    <w:rsid w:val="00AE0775"/>
    <w:rsid w:val="00AE07BC"/>
    <w:rsid w:val="00AE0821"/>
    <w:rsid w:val="00AE0930"/>
    <w:rsid w:val="00AE093D"/>
    <w:rsid w:val="00AE09E5"/>
    <w:rsid w:val="00AE0A76"/>
    <w:rsid w:val="00AE0AB8"/>
    <w:rsid w:val="00AE0ACD"/>
    <w:rsid w:val="00AE0AFD"/>
    <w:rsid w:val="00AE0B1A"/>
    <w:rsid w:val="00AE0B2D"/>
    <w:rsid w:val="00AE0B4B"/>
    <w:rsid w:val="00AE0B7C"/>
    <w:rsid w:val="00AE0C1D"/>
    <w:rsid w:val="00AE0CFF"/>
    <w:rsid w:val="00AE0D90"/>
    <w:rsid w:val="00AE0E80"/>
    <w:rsid w:val="00AE0EE5"/>
    <w:rsid w:val="00AE0F47"/>
    <w:rsid w:val="00AE1014"/>
    <w:rsid w:val="00AE1112"/>
    <w:rsid w:val="00AE12EA"/>
    <w:rsid w:val="00AE140A"/>
    <w:rsid w:val="00AE14A0"/>
    <w:rsid w:val="00AE14C8"/>
    <w:rsid w:val="00AE158D"/>
    <w:rsid w:val="00AE15B2"/>
    <w:rsid w:val="00AE1605"/>
    <w:rsid w:val="00AE160F"/>
    <w:rsid w:val="00AE175B"/>
    <w:rsid w:val="00AE1779"/>
    <w:rsid w:val="00AE17AE"/>
    <w:rsid w:val="00AE17F4"/>
    <w:rsid w:val="00AE1988"/>
    <w:rsid w:val="00AE1A62"/>
    <w:rsid w:val="00AE1A7D"/>
    <w:rsid w:val="00AE1A9F"/>
    <w:rsid w:val="00AE1B80"/>
    <w:rsid w:val="00AE1C68"/>
    <w:rsid w:val="00AE1C80"/>
    <w:rsid w:val="00AE1CC3"/>
    <w:rsid w:val="00AE1CC8"/>
    <w:rsid w:val="00AE1DC0"/>
    <w:rsid w:val="00AE1E20"/>
    <w:rsid w:val="00AE1F96"/>
    <w:rsid w:val="00AE1F98"/>
    <w:rsid w:val="00AE2197"/>
    <w:rsid w:val="00AE232B"/>
    <w:rsid w:val="00AE238A"/>
    <w:rsid w:val="00AE2396"/>
    <w:rsid w:val="00AE23F1"/>
    <w:rsid w:val="00AE246C"/>
    <w:rsid w:val="00AE2542"/>
    <w:rsid w:val="00AE2558"/>
    <w:rsid w:val="00AE25EB"/>
    <w:rsid w:val="00AE260A"/>
    <w:rsid w:val="00AE2625"/>
    <w:rsid w:val="00AE2788"/>
    <w:rsid w:val="00AE29DF"/>
    <w:rsid w:val="00AE2A1A"/>
    <w:rsid w:val="00AE2A7C"/>
    <w:rsid w:val="00AE2ADB"/>
    <w:rsid w:val="00AE2B00"/>
    <w:rsid w:val="00AE2DFF"/>
    <w:rsid w:val="00AE2E53"/>
    <w:rsid w:val="00AE2E57"/>
    <w:rsid w:val="00AE2F1A"/>
    <w:rsid w:val="00AE2F64"/>
    <w:rsid w:val="00AE2F6F"/>
    <w:rsid w:val="00AE2F71"/>
    <w:rsid w:val="00AE2FFA"/>
    <w:rsid w:val="00AE3019"/>
    <w:rsid w:val="00AE302D"/>
    <w:rsid w:val="00AE30CF"/>
    <w:rsid w:val="00AE3161"/>
    <w:rsid w:val="00AE3182"/>
    <w:rsid w:val="00AE3189"/>
    <w:rsid w:val="00AE31A5"/>
    <w:rsid w:val="00AE325F"/>
    <w:rsid w:val="00AE32F2"/>
    <w:rsid w:val="00AE336B"/>
    <w:rsid w:val="00AE33B1"/>
    <w:rsid w:val="00AE3413"/>
    <w:rsid w:val="00AE3463"/>
    <w:rsid w:val="00AE3548"/>
    <w:rsid w:val="00AE35F9"/>
    <w:rsid w:val="00AE360B"/>
    <w:rsid w:val="00AE3612"/>
    <w:rsid w:val="00AE36A0"/>
    <w:rsid w:val="00AE36C2"/>
    <w:rsid w:val="00AE3724"/>
    <w:rsid w:val="00AE374F"/>
    <w:rsid w:val="00AE381C"/>
    <w:rsid w:val="00AE3856"/>
    <w:rsid w:val="00AE38E3"/>
    <w:rsid w:val="00AE39AA"/>
    <w:rsid w:val="00AE39BF"/>
    <w:rsid w:val="00AE3ADB"/>
    <w:rsid w:val="00AE3AFD"/>
    <w:rsid w:val="00AE3B0A"/>
    <w:rsid w:val="00AE3B27"/>
    <w:rsid w:val="00AE3C3A"/>
    <w:rsid w:val="00AE3C74"/>
    <w:rsid w:val="00AE3C9C"/>
    <w:rsid w:val="00AE3CD2"/>
    <w:rsid w:val="00AE3D1A"/>
    <w:rsid w:val="00AE3F5C"/>
    <w:rsid w:val="00AE3FCD"/>
    <w:rsid w:val="00AE3FD8"/>
    <w:rsid w:val="00AE4011"/>
    <w:rsid w:val="00AE404E"/>
    <w:rsid w:val="00AE40D0"/>
    <w:rsid w:val="00AE40EE"/>
    <w:rsid w:val="00AE4177"/>
    <w:rsid w:val="00AE41B3"/>
    <w:rsid w:val="00AE41EC"/>
    <w:rsid w:val="00AE4306"/>
    <w:rsid w:val="00AE4388"/>
    <w:rsid w:val="00AE43A6"/>
    <w:rsid w:val="00AE4477"/>
    <w:rsid w:val="00AE44A1"/>
    <w:rsid w:val="00AE45D0"/>
    <w:rsid w:val="00AE4714"/>
    <w:rsid w:val="00AE4819"/>
    <w:rsid w:val="00AE4997"/>
    <w:rsid w:val="00AE4A2C"/>
    <w:rsid w:val="00AE4AD3"/>
    <w:rsid w:val="00AE4BAC"/>
    <w:rsid w:val="00AE4C24"/>
    <w:rsid w:val="00AE4CC9"/>
    <w:rsid w:val="00AE4DEB"/>
    <w:rsid w:val="00AE4E50"/>
    <w:rsid w:val="00AE4E95"/>
    <w:rsid w:val="00AE4E9E"/>
    <w:rsid w:val="00AE4ED7"/>
    <w:rsid w:val="00AE4FAF"/>
    <w:rsid w:val="00AE4FC1"/>
    <w:rsid w:val="00AE505D"/>
    <w:rsid w:val="00AE507C"/>
    <w:rsid w:val="00AE50BA"/>
    <w:rsid w:val="00AE50BB"/>
    <w:rsid w:val="00AE50E6"/>
    <w:rsid w:val="00AE511B"/>
    <w:rsid w:val="00AE5141"/>
    <w:rsid w:val="00AE5153"/>
    <w:rsid w:val="00AE5166"/>
    <w:rsid w:val="00AE5194"/>
    <w:rsid w:val="00AE51BC"/>
    <w:rsid w:val="00AE51F8"/>
    <w:rsid w:val="00AE5224"/>
    <w:rsid w:val="00AE530F"/>
    <w:rsid w:val="00AE5398"/>
    <w:rsid w:val="00AE53AE"/>
    <w:rsid w:val="00AE53B2"/>
    <w:rsid w:val="00AE53E2"/>
    <w:rsid w:val="00AE53EB"/>
    <w:rsid w:val="00AE540E"/>
    <w:rsid w:val="00AE543A"/>
    <w:rsid w:val="00AE5454"/>
    <w:rsid w:val="00AE54F2"/>
    <w:rsid w:val="00AE55DC"/>
    <w:rsid w:val="00AE563C"/>
    <w:rsid w:val="00AE56EA"/>
    <w:rsid w:val="00AE582B"/>
    <w:rsid w:val="00AE5939"/>
    <w:rsid w:val="00AE5A5A"/>
    <w:rsid w:val="00AE5B36"/>
    <w:rsid w:val="00AE5BB7"/>
    <w:rsid w:val="00AE5BD9"/>
    <w:rsid w:val="00AE5D3B"/>
    <w:rsid w:val="00AE5D93"/>
    <w:rsid w:val="00AE5EB5"/>
    <w:rsid w:val="00AE5F0B"/>
    <w:rsid w:val="00AE5F2F"/>
    <w:rsid w:val="00AE5FF2"/>
    <w:rsid w:val="00AE6010"/>
    <w:rsid w:val="00AE6070"/>
    <w:rsid w:val="00AE6095"/>
    <w:rsid w:val="00AE60F0"/>
    <w:rsid w:val="00AE6151"/>
    <w:rsid w:val="00AE61A3"/>
    <w:rsid w:val="00AE6243"/>
    <w:rsid w:val="00AE6256"/>
    <w:rsid w:val="00AE6321"/>
    <w:rsid w:val="00AE6353"/>
    <w:rsid w:val="00AE63CF"/>
    <w:rsid w:val="00AE6433"/>
    <w:rsid w:val="00AE658E"/>
    <w:rsid w:val="00AE672F"/>
    <w:rsid w:val="00AE6763"/>
    <w:rsid w:val="00AE67E4"/>
    <w:rsid w:val="00AE688B"/>
    <w:rsid w:val="00AE6892"/>
    <w:rsid w:val="00AE68A2"/>
    <w:rsid w:val="00AE68B4"/>
    <w:rsid w:val="00AE6925"/>
    <w:rsid w:val="00AE69C4"/>
    <w:rsid w:val="00AE6A66"/>
    <w:rsid w:val="00AE6AB1"/>
    <w:rsid w:val="00AE6AFE"/>
    <w:rsid w:val="00AE6B16"/>
    <w:rsid w:val="00AE6BEC"/>
    <w:rsid w:val="00AE6C77"/>
    <w:rsid w:val="00AE6CD6"/>
    <w:rsid w:val="00AE6CFF"/>
    <w:rsid w:val="00AE6D8E"/>
    <w:rsid w:val="00AE6E07"/>
    <w:rsid w:val="00AE6E59"/>
    <w:rsid w:val="00AE6F8C"/>
    <w:rsid w:val="00AE6F9E"/>
    <w:rsid w:val="00AE6FA6"/>
    <w:rsid w:val="00AE703A"/>
    <w:rsid w:val="00AE704D"/>
    <w:rsid w:val="00AE739B"/>
    <w:rsid w:val="00AE746E"/>
    <w:rsid w:val="00AE7470"/>
    <w:rsid w:val="00AE7507"/>
    <w:rsid w:val="00AE753A"/>
    <w:rsid w:val="00AE757A"/>
    <w:rsid w:val="00AE758B"/>
    <w:rsid w:val="00AE75AF"/>
    <w:rsid w:val="00AE760B"/>
    <w:rsid w:val="00AE7668"/>
    <w:rsid w:val="00AE772D"/>
    <w:rsid w:val="00AE7763"/>
    <w:rsid w:val="00AE77F8"/>
    <w:rsid w:val="00AE7823"/>
    <w:rsid w:val="00AE7876"/>
    <w:rsid w:val="00AE7898"/>
    <w:rsid w:val="00AE78D1"/>
    <w:rsid w:val="00AE78FC"/>
    <w:rsid w:val="00AE7992"/>
    <w:rsid w:val="00AE79A1"/>
    <w:rsid w:val="00AE7B72"/>
    <w:rsid w:val="00AE7B7E"/>
    <w:rsid w:val="00AE7BB9"/>
    <w:rsid w:val="00AE7D38"/>
    <w:rsid w:val="00AE7D5E"/>
    <w:rsid w:val="00AE7DBA"/>
    <w:rsid w:val="00AE7E7E"/>
    <w:rsid w:val="00AE7F0F"/>
    <w:rsid w:val="00AE7F33"/>
    <w:rsid w:val="00AE7F73"/>
    <w:rsid w:val="00AF00CA"/>
    <w:rsid w:val="00AF0100"/>
    <w:rsid w:val="00AF01E3"/>
    <w:rsid w:val="00AF01FB"/>
    <w:rsid w:val="00AF029F"/>
    <w:rsid w:val="00AF0335"/>
    <w:rsid w:val="00AF039E"/>
    <w:rsid w:val="00AF03A9"/>
    <w:rsid w:val="00AF03C0"/>
    <w:rsid w:val="00AF041D"/>
    <w:rsid w:val="00AF04FA"/>
    <w:rsid w:val="00AF0532"/>
    <w:rsid w:val="00AF0535"/>
    <w:rsid w:val="00AF0622"/>
    <w:rsid w:val="00AF0723"/>
    <w:rsid w:val="00AF075C"/>
    <w:rsid w:val="00AF07AB"/>
    <w:rsid w:val="00AF0A20"/>
    <w:rsid w:val="00AF0AE0"/>
    <w:rsid w:val="00AF0AFE"/>
    <w:rsid w:val="00AF0BAF"/>
    <w:rsid w:val="00AF0C03"/>
    <w:rsid w:val="00AF0CDD"/>
    <w:rsid w:val="00AF0D7E"/>
    <w:rsid w:val="00AF0E89"/>
    <w:rsid w:val="00AF0F08"/>
    <w:rsid w:val="00AF0FAE"/>
    <w:rsid w:val="00AF0FC1"/>
    <w:rsid w:val="00AF1030"/>
    <w:rsid w:val="00AF10BA"/>
    <w:rsid w:val="00AF1126"/>
    <w:rsid w:val="00AF1188"/>
    <w:rsid w:val="00AF11EC"/>
    <w:rsid w:val="00AF1204"/>
    <w:rsid w:val="00AF1216"/>
    <w:rsid w:val="00AF1278"/>
    <w:rsid w:val="00AF12CA"/>
    <w:rsid w:val="00AF137E"/>
    <w:rsid w:val="00AF1452"/>
    <w:rsid w:val="00AF1496"/>
    <w:rsid w:val="00AF154B"/>
    <w:rsid w:val="00AF161F"/>
    <w:rsid w:val="00AF1660"/>
    <w:rsid w:val="00AF1677"/>
    <w:rsid w:val="00AF1688"/>
    <w:rsid w:val="00AF16CF"/>
    <w:rsid w:val="00AF16D4"/>
    <w:rsid w:val="00AF1720"/>
    <w:rsid w:val="00AF183A"/>
    <w:rsid w:val="00AF185B"/>
    <w:rsid w:val="00AF19AC"/>
    <w:rsid w:val="00AF1A77"/>
    <w:rsid w:val="00AF1A83"/>
    <w:rsid w:val="00AF1A96"/>
    <w:rsid w:val="00AF1ABB"/>
    <w:rsid w:val="00AF1AE0"/>
    <w:rsid w:val="00AF1C14"/>
    <w:rsid w:val="00AF1C21"/>
    <w:rsid w:val="00AF1E24"/>
    <w:rsid w:val="00AF1E4C"/>
    <w:rsid w:val="00AF1F40"/>
    <w:rsid w:val="00AF1FD8"/>
    <w:rsid w:val="00AF2102"/>
    <w:rsid w:val="00AF216F"/>
    <w:rsid w:val="00AF21DB"/>
    <w:rsid w:val="00AF21E1"/>
    <w:rsid w:val="00AF2202"/>
    <w:rsid w:val="00AF22B5"/>
    <w:rsid w:val="00AF238B"/>
    <w:rsid w:val="00AF23E7"/>
    <w:rsid w:val="00AF2476"/>
    <w:rsid w:val="00AF24EE"/>
    <w:rsid w:val="00AF25A0"/>
    <w:rsid w:val="00AF25BD"/>
    <w:rsid w:val="00AF25F1"/>
    <w:rsid w:val="00AF2640"/>
    <w:rsid w:val="00AF2672"/>
    <w:rsid w:val="00AF2678"/>
    <w:rsid w:val="00AF26B1"/>
    <w:rsid w:val="00AF272B"/>
    <w:rsid w:val="00AF277D"/>
    <w:rsid w:val="00AF278A"/>
    <w:rsid w:val="00AF280B"/>
    <w:rsid w:val="00AF2845"/>
    <w:rsid w:val="00AF2874"/>
    <w:rsid w:val="00AF289D"/>
    <w:rsid w:val="00AF289F"/>
    <w:rsid w:val="00AF2AB7"/>
    <w:rsid w:val="00AF2AEE"/>
    <w:rsid w:val="00AF2B4A"/>
    <w:rsid w:val="00AF2B53"/>
    <w:rsid w:val="00AF2BDB"/>
    <w:rsid w:val="00AF2CC7"/>
    <w:rsid w:val="00AF2CD4"/>
    <w:rsid w:val="00AF2D1D"/>
    <w:rsid w:val="00AF2D62"/>
    <w:rsid w:val="00AF2DCF"/>
    <w:rsid w:val="00AF2E92"/>
    <w:rsid w:val="00AF2F0F"/>
    <w:rsid w:val="00AF2F93"/>
    <w:rsid w:val="00AF2FBC"/>
    <w:rsid w:val="00AF3130"/>
    <w:rsid w:val="00AF3137"/>
    <w:rsid w:val="00AF3293"/>
    <w:rsid w:val="00AF33D6"/>
    <w:rsid w:val="00AF343A"/>
    <w:rsid w:val="00AF3455"/>
    <w:rsid w:val="00AF3458"/>
    <w:rsid w:val="00AF34D8"/>
    <w:rsid w:val="00AF351A"/>
    <w:rsid w:val="00AF353D"/>
    <w:rsid w:val="00AF356F"/>
    <w:rsid w:val="00AF35B5"/>
    <w:rsid w:val="00AF35F0"/>
    <w:rsid w:val="00AF3607"/>
    <w:rsid w:val="00AF3675"/>
    <w:rsid w:val="00AF3676"/>
    <w:rsid w:val="00AF37D6"/>
    <w:rsid w:val="00AF37EA"/>
    <w:rsid w:val="00AF3825"/>
    <w:rsid w:val="00AF3A1E"/>
    <w:rsid w:val="00AF3AF8"/>
    <w:rsid w:val="00AF3BC8"/>
    <w:rsid w:val="00AF3BE3"/>
    <w:rsid w:val="00AF3C78"/>
    <w:rsid w:val="00AF3D1F"/>
    <w:rsid w:val="00AF3DCB"/>
    <w:rsid w:val="00AF3E9B"/>
    <w:rsid w:val="00AF3EB7"/>
    <w:rsid w:val="00AF3EC0"/>
    <w:rsid w:val="00AF3FFA"/>
    <w:rsid w:val="00AF401C"/>
    <w:rsid w:val="00AF4125"/>
    <w:rsid w:val="00AF4183"/>
    <w:rsid w:val="00AF419E"/>
    <w:rsid w:val="00AF4242"/>
    <w:rsid w:val="00AF4254"/>
    <w:rsid w:val="00AF42D7"/>
    <w:rsid w:val="00AF4388"/>
    <w:rsid w:val="00AF43DD"/>
    <w:rsid w:val="00AF4444"/>
    <w:rsid w:val="00AF444A"/>
    <w:rsid w:val="00AF44BB"/>
    <w:rsid w:val="00AF44D2"/>
    <w:rsid w:val="00AF4544"/>
    <w:rsid w:val="00AF4574"/>
    <w:rsid w:val="00AF4663"/>
    <w:rsid w:val="00AF473F"/>
    <w:rsid w:val="00AF47EA"/>
    <w:rsid w:val="00AF48D9"/>
    <w:rsid w:val="00AF48DD"/>
    <w:rsid w:val="00AF4952"/>
    <w:rsid w:val="00AF4956"/>
    <w:rsid w:val="00AF498E"/>
    <w:rsid w:val="00AF49E2"/>
    <w:rsid w:val="00AF4A12"/>
    <w:rsid w:val="00AF4AC8"/>
    <w:rsid w:val="00AF4AF0"/>
    <w:rsid w:val="00AF4AFD"/>
    <w:rsid w:val="00AF4B85"/>
    <w:rsid w:val="00AF4BB9"/>
    <w:rsid w:val="00AF4BE5"/>
    <w:rsid w:val="00AF4C6E"/>
    <w:rsid w:val="00AF4C87"/>
    <w:rsid w:val="00AF4CFB"/>
    <w:rsid w:val="00AF4D0C"/>
    <w:rsid w:val="00AF4E59"/>
    <w:rsid w:val="00AF4EA3"/>
    <w:rsid w:val="00AF4F14"/>
    <w:rsid w:val="00AF4F2C"/>
    <w:rsid w:val="00AF4FBC"/>
    <w:rsid w:val="00AF5091"/>
    <w:rsid w:val="00AF509C"/>
    <w:rsid w:val="00AF51AC"/>
    <w:rsid w:val="00AF5267"/>
    <w:rsid w:val="00AF5277"/>
    <w:rsid w:val="00AF52C3"/>
    <w:rsid w:val="00AF53F1"/>
    <w:rsid w:val="00AF5446"/>
    <w:rsid w:val="00AF55EB"/>
    <w:rsid w:val="00AF573F"/>
    <w:rsid w:val="00AF57DC"/>
    <w:rsid w:val="00AF58BD"/>
    <w:rsid w:val="00AF58E8"/>
    <w:rsid w:val="00AF58FD"/>
    <w:rsid w:val="00AF5919"/>
    <w:rsid w:val="00AF591A"/>
    <w:rsid w:val="00AF5995"/>
    <w:rsid w:val="00AF5AAE"/>
    <w:rsid w:val="00AF5B9D"/>
    <w:rsid w:val="00AF5BA2"/>
    <w:rsid w:val="00AF5C2F"/>
    <w:rsid w:val="00AF5C88"/>
    <w:rsid w:val="00AF5D87"/>
    <w:rsid w:val="00AF5D9D"/>
    <w:rsid w:val="00AF5DCD"/>
    <w:rsid w:val="00AF5E91"/>
    <w:rsid w:val="00AF5FA9"/>
    <w:rsid w:val="00AF5FE7"/>
    <w:rsid w:val="00AF6059"/>
    <w:rsid w:val="00AF6087"/>
    <w:rsid w:val="00AF6145"/>
    <w:rsid w:val="00AF614C"/>
    <w:rsid w:val="00AF6324"/>
    <w:rsid w:val="00AF640A"/>
    <w:rsid w:val="00AF64EE"/>
    <w:rsid w:val="00AF6517"/>
    <w:rsid w:val="00AF652A"/>
    <w:rsid w:val="00AF6577"/>
    <w:rsid w:val="00AF67B0"/>
    <w:rsid w:val="00AF68EA"/>
    <w:rsid w:val="00AF690D"/>
    <w:rsid w:val="00AF6930"/>
    <w:rsid w:val="00AF6964"/>
    <w:rsid w:val="00AF6A83"/>
    <w:rsid w:val="00AF6C23"/>
    <w:rsid w:val="00AF6C36"/>
    <w:rsid w:val="00AF6D0E"/>
    <w:rsid w:val="00AF6DAE"/>
    <w:rsid w:val="00AF6F08"/>
    <w:rsid w:val="00AF6FB5"/>
    <w:rsid w:val="00AF6FBA"/>
    <w:rsid w:val="00AF7145"/>
    <w:rsid w:val="00AF71D0"/>
    <w:rsid w:val="00AF71D3"/>
    <w:rsid w:val="00AF7390"/>
    <w:rsid w:val="00AF7393"/>
    <w:rsid w:val="00AF73BD"/>
    <w:rsid w:val="00AF73D6"/>
    <w:rsid w:val="00AF73E1"/>
    <w:rsid w:val="00AF7463"/>
    <w:rsid w:val="00AF747C"/>
    <w:rsid w:val="00AF769F"/>
    <w:rsid w:val="00AF76B3"/>
    <w:rsid w:val="00AF7798"/>
    <w:rsid w:val="00AF7848"/>
    <w:rsid w:val="00AF78FA"/>
    <w:rsid w:val="00AF794C"/>
    <w:rsid w:val="00AF7A36"/>
    <w:rsid w:val="00AF7A6F"/>
    <w:rsid w:val="00AF7B57"/>
    <w:rsid w:val="00AF7B75"/>
    <w:rsid w:val="00AF7BA3"/>
    <w:rsid w:val="00AF7C6D"/>
    <w:rsid w:val="00AF7C89"/>
    <w:rsid w:val="00AF7D34"/>
    <w:rsid w:val="00AF7DA9"/>
    <w:rsid w:val="00AF7DD9"/>
    <w:rsid w:val="00AF7E2B"/>
    <w:rsid w:val="00AF7E8F"/>
    <w:rsid w:val="00AF7EB8"/>
    <w:rsid w:val="00AFE4BD"/>
    <w:rsid w:val="00B0000E"/>
    <w:rsid w:val="00B00044"/>
    <w:rsid w:val="00B00113"/>
    <w:rsid w:val="00B00141"/>
    <w:rsid w:val="00B00144"/>
    <w:rsid w:val="00B00218"/>
    <w:rsid w:val="00B00323"/>
    <w:rsid w:val="00B00339"/>
    <w:rsid w:val="00B0035C"/>
    <w:rsid w:val="00B00373"/>
    <w:rsid w:val="00B00384"/>
    <w:rsid w:val="00B0039B"/>
    <w:rsid w:val="00B0039C"/>
    <w:rsid w:val="00B003E1"/>
    <w:rsid w:val="00B004FC"/>
    <w:rsid w:val="00B004FF"/>
    <w:rsid w:val="00B00647"/>
    <w:rsid w:val="00B00714"/>
    <w:rsid w:val="00B00736"/>
    <w:rsid w:val="00B00784"/>
    <w:rsid w:val="00B007B7"/>
    <w:rsid w:val="00B007FC"/>
    <w:rsid w:val="00B00808"/>
    <w:rsid w:val="00B0092C"/>
    <w:rsid w:val="00B00942"/>
    <w:rsid w:val="00B009D8"/>
    <w:rsid w:val="00B00A0A"/>
    <w:rsid w:val="00B00A63"/>
    <w:rsid w:val="00B00AAA"/>
    <w:rsid w:val="00B00CA1"/>
    <w:rsid w:val="00B00D8D"/>
    <w:rsid w:val="00B00DD1"/>
    <w:rsid w:val="00B00DEC"/>
    <w:rsid w:val="00B00E68"/>
    <w:rsid w:val="00B00E6F"/>
    <w:rsid w:val="00B0105E"/>
    <w:rsid w:val="00B010C9"/>
    <w:rsid w:val="00B0115D"/>
    <w:rsid w:val="00B0119B"/>
    <w:rsid w:val="00B011C5"/>
    <w:rsid w:val="00B01241"/>
    <w:rsid w:val="00B012EC"/>
    <w:rsid w:val="00B012ED"/>
    <w:rsid w:val="00B012EF"/>
    <w:rsid w:val="00B012FF"/>
    <w:rsid w:val="00B01347"/>
    <w:rsid w:val="00B013A9"/>
    <w:rsid w:val="00B0144B"/>
    <w:rsid w:val="00B0184F"/>
    <w:rsid w:val="00B01908"/>
    <w:rsid w:val="00B0193F"/>
    <w:rsid w:val="00B01970"/>
    <w:rsid w:val="00B01983"/>
    <w:rsid w:val="00B01989"/>
    <w:rsid w:val="00B019D8"/>
    <w:rsid w:val="00B01A68"/>
    <w:rsid w:val="00B01BAB"/>
    <w:rsid w:val="00B01BC8"/>
    <w:rsid w:val="00B01BFC"/>
    <w:rsid w:val="00B01C75"/>
    <w:rsid w:val="00B01C7B"/>
    <w:rsid w:val="00B01C87"/>
    <w:rsid w:val="00B01CA5"/>
    <w:rsid w:val="00B01CB2"/>
    <w:rsid w:val="00B01CCC"/>
    <w:rsid w:val="00B01D67"/>
    <w:rsid w:val="00B01DBA"/>
    <w:rsid w:val="00B01EF2"/>
    <w:rsid w:val="00B020D1"/>
    <w:rsid w:val="00B02212"/>
    <w:rsid w:val="00B02259"/>
    <w:rsid w:val="00B0228B"/>
    <w:rsid w:val="00B0235A"/>
    <w:rsid w:val="00B02437"/>
    <w:rsid w:val="00B024C4"/>
    <w:rsid w:val="00B024D3"/>
    <w:rsid w:val="00B02565"/>
    <w:rsid w:val="00B025A0"/>
    <w:rsid w:val="00B02706"/>
    <w:rsid w:val="00B028BB"/>
    <w:rsid w:val="00B02B96"/>
    <w:rsid w:val="00B02C75"/>
    <w:rsid w:val="00B02CD4"/>
    <w:rsid w:val="00B02D6A"/>
    <w:rsid w:val="00B02D6B"/>
    <w:rsid w:val="00B02D76"/>
    <w:rsid w:val="00B02EA2"/>
    <w:rsid w:val="00B02EB5"/>
    <w:rsid w:val="00B02F39"/>
    <w:rsid w:val="00B02F40"/>
    <w:rsid w:val="00B02F6D"/>
    <w:rsid w:val="00B02FE9"/>
    <w:rsid w:val="00B02FF3"/>
    <w:rsid w:val="00B03097"/>
    <w:rsid w:val="00B031CD"/>
    <w:rsid w:val="00B031F7"/>
    <w:rsid w:val="00B03268"/>
    <w:rsid w:val="00B0331B"/>
    <w:rsid w:val="00B0334C"/>
    <w:rsid w:val="00B03355"/>
    <w:rsid w:val="00B03359"/>
    <w:rsid w:val="00B0338A"/>
    <w:rsid w:val="00B033E2"/>
    <w:rsid w:val="00B0354E"/>
    <w:rsid w:val="00B0355D"/>
    <w:rsid w:val="00B0357B"/>
    <w:rsid w:val="00B0382A"/>
    <w:rsid w:val="00B03870"/>
    <w:rsid w:val="00B03873"/>
    <w:rsid w:val="00B03914"/>
    <w:rsid w:val="00B03B83"/>
    <w:rsid w:val="00B03C1D"/>
    <w:rsid w:val="00B03CA0"/>
    <w:rsid w:val="00B03CE7"/>
    <w:rsid w:val="00B03D2C"/>
    <w:rsid w:val="00B03D45"/>
    <w:rsid w:val="00B03D80"/>
    <w:rsid w:val="00B03DDE"/>
    <w:rsid w:val="00B03DF8"/>
    <w:rsid w:val="00B03E5B"/>
    <w:rsid w:val="00B03EB6"/>
    <w:rsid w:val="00B03EF5"/>
    <w:rsid w:val="00B03F43"/>
    <w:rsid w:val="00B04046"/>
    <w:rsid w:val="00B040AD"/>
    <w:rsid w:val="00B040C2"/>
    <w:rsid w:val="00B04118"/>
    <w:rsid w:val="00B041B0"/>
    <w:rsid w:val="00B041D2"/>
    <w:rsid w:val="00B04261"/>
    <w:rsid w:val="00B042C2"/>
    <w:rsid w:val="00B04320"/>
    <w:rsid w:val="00B04454"/>
    <w:rsid w:val="00B0455D"/>
    <w:rsid w:val="00B04571"/>
    <w:rsid w:val="00B045D8"/>
    <w:rsid w:val="00B04604"/>
    <w:rsid w:val="00B04693"/>
    <w:rsid w:val="00B047A6"/>
    <w:rsid w:val="00B047BB"/>
    <w:rsid w:val="00B047DD"/>
    <w:rsid w:val="00B047F9"/>
    <w:rsid w:val="00B04832"/>
    <w:rsid w:val="00B0492A"/>
    <w:rsid w:val="00B04954"/>
    <w:rsid w:val="00B04B9A"/>
    <w:rsid w:val="00B04BEA"/>
    <w:rsid w:val="00B04D2A"/>
    <w:rsid w:val="00B04D5A"/>
    <w:rsid w:val="00B04DB9"/>
    <w:rsid w:val="00B04DD6"/>
    <w:rsid w:val="00B04E44"/>
    <w:rsid w:val="00B04ECA"/>
    <w:rsid w:val="00B04FF8"/>
    <w:rsid w:val="00B04FF9"/>
    <w:rsid w:val="00B0502A"/>
    <w:rsid w:val="00B0505E"/>
    <w:rsid w:val="00B050CF"/>
    <w:rsid w:val="00B050FA"/>
    <w:rsid w:val="00B051B9"/>
    <w:rsid w:val="00B0524D"/>
    <w:rsid w:val="00B05272"/>
    <w:rsid w:val="00B0528E"/>
    <w:rsid w:val="00B052A2"/>
    <w:rsid w:val="00B052B0"/>
    <w:rsid w:val="00B053C6"/>
    <w:rsid w:val="00B053FA"/>
    <w:rsid w:val="00B05590"/>
    <w:rsid w:val="00B055A7"/>
    <w:rsid w:val="00B055DC"/>
    <w:rsid w:val="00B059E1"/>
    <w:rsid w:val="00B059E2"/>
    <w:rsid w:val="00B059F7"/>
    <w:rsid w:val="00B05A27"/>
    <w:rsid w:val="00B05A71"/>
    <w:rsid w:val="00B05A8E"/>
    <w:rsid w:val="00B05AFB"/>
    <w:rsid w:val="00B05B86"/>
    <w:rsid w:val="00B05D12"/>
    <w:rsid w:val="00B05D29"/>
    <w:rsid w:val="00B05D37"/>
    <w:rsid w:val="00B05E1B"/>
    <w:rsid w:val="00B05F2C"/>
    <w:rsid w:val="00B05F4A"/>
    <w:rsid w:val="00B05FC3"/>
    <w:rsid w:val="00B05FC7"/>
    <w:rsid w:val="00B06219"/>
    <w:rsid w:val="00B0636C"/>
    <w:rsid w:val="00B0636F"/>
    <w:rsid w:val="00B06477"/>
    <w:rsid w:val="00B064E4"/>
    <w:rsid w:val="00B06532"/>
    <w:rsid w:val="00B06540"/>
    <w:rsid w:val="00B06585"/>
    <w:rsid w:val="00B065F5"/>
    <w:rsid w:val="00B0663D"/>
    <w:rsid w:val="00B06640"/>
    <w:rsid w:val="00B0674C"/>
    <w:rsid w:val="00B06878"/>
    <w:rsid w:val="00B06908"/>
    <w:rsid w:val="00B06957"/>
    <w:rsid w:val="00B06964"/>
    <w:rsid w:val="00B06966"/>
    <w:rsid w:val="00B06AE1"/>
    <w:rsid w:val="00B06BD5"/>
    <w:rsid w:val="00B06C25"/>
    <w:rsid w:val="00B06C9B"/>
    <w:rsid w:val="00B06CA2"/>
    <w:rsid w:val="00B06CD0"/>
    <w:rsid w:val="00B06D9A"/>
    <w:rsid w:val="00B06D9F"/>
    <w:rsid w:val="00B06E5C"/>
    <w:rsid w:val="00B06E94"/>
    <w:rsid w:val="00B06F27"/>
    <w:rsid w:val="00B06F76"/>
    <w:rsid w:val="00B06FD2"/>
    <w:rsid w:val="00B0700A"/>
    <w:rsid w:val="00B0703E"/>
    <w:rsid w:val="00B07054"/>
    <w:rsid w:val="00B07131"/>
    <w:rsid w:val="00B07134"/>
    <w:rsid w:val="00B071E5"/>
    <w:rsid w:val="00B07251"/>
    <w:rsid w:val="00B07257"/>
    <w:rsid w:val="00B0725D"/>
    <w:rsid w:val="00B072E2"/>
    <w:rsid w:val="00B072EB"/>
    <w:rsid w:val="00B07311"/>
    <w:rsid w:val="00B07398"/>
    <w:rsid w:val="00B0746C"/>
    <w:rsid w:val="00B074A7"/>
    <w:rsid w:val="00B07520"/>
    <w:rsid w:val="00B0760C"/>
    <w:rsid w:val="00B0765E"/>
    <w:rsid w:val="00B07690"/>
    <w:rsid w:val="00B076D2"/>
    <w:rsid w:val="00B076F5"/>
    <w:rsid w:val="00B07703"/>
    <w:rsid w:val="00B07742"/>
    <w:rsid w:val="00B07768"/>
    <w:rsid w:val="00B07789"/>
    <w:rsid w:val="00B077CE"/>
    <w:rsid w:val="00B077FD"/>
    <w:rsid w:val="00B07867"/>
    <w:rsid w:val="00B078B4"/>
    <w:rsid w:val="00B078FA"/>
    <w:rsid w:val="00B07904"/>
    <w:rsid w:val="00B07928"/>
    <w:rsid w:val="00B079D2"/>
    <w:rsid w:val="00B07BE2"/>
    <w:rsid w:val="00B07C06"/>
    <w:rsid w:val="00B07C7B"/>
    <w:rsid w:val="00B07D12"/>
    <w:rsid w:val="00B07D53"/>
    <w:rsid w:val="00B07D5D"/>
    <w:rsid w:val="00B07E2B"/>
    <w:rsid w:val="00B07EA4"/>
    <w:rsid w:val="00B07EF8"/>
    <w:rsid w:val="00B10020"/>
    <w:rsid w:val="00B100A8"/>
    <w:rsid w:val="00B100CD"/>
    <w:rsid w:val="00B10118"/>
    <w:rsid w:val="00B10327"/>
    <w:rsid w:val="00B10504"/>
    <w:rsid w:val="00B105B2"/>
    <w:rsid w:val="00B105FA"/>
    <w:rsid w:val="00B106D7"/>
    <w:rsid w:val="00B10724"/>
    <w:rsid w:val="00B107FE"/>
    <w:rsid w:val="00B1082D"/>
    <w:rsid w:val="00B108C7"/>
    <w:rsid w:val="00B10911"/>
    <w:rsid w:val="00B10BB6"/>
    <w:rsid w:val="00B10BEE"/>
    <w:rsid w:val="00B10DDD"/>
    <w:rsid w:val="00B10E5F"/>
    <w:rsid w:val="00B10EA1"/>
    <w:rsid w:val="00B10EEE"/>
    <w:rsid w:val="00B11002"/>
    <w:rsid w:val="00B1101B"/>
    <w:rsid w:val="00B110C8"/>
    <w:rsid w:val="00B110E8"/>
    <w:rsid w:val="00B11156"/>
    <w:rsid w:val="00B11185"/>
    <w:rsid w:val="00B11223"/>
    <w:rsid w:val="00B11412"/>
    <w:rsid w:val="00B11448"/>
    <w:rsid w:val="00B11452"/>
    <w:rsid w:val="00B11457"/>
    <w:rsid w:val="00B11651"/>
    <w:rsid w:val="00B11799"/>
    <w:rsid w:val="00B1185B"/>
    <w:rsid w:val="00B1189F"/>
    <w:rsid w:val="00B119B9"/>
    <w:rsid w:val="00B11A5A"/>
    <w:rsid w:val="00B11BC4"/>
    <w:rsid w:val="00B11C25"/>
    <w:rsid w:val="00B11D83"/>
    <w:rsid w:val="00B11E8E"/>
    <w:rsid w:val="00B11FC2"/>
    <w:rsid w:val="00B1204C"/>
    <w:rsid w:val="00B120AF"/>
    <w:rsid w:val="00B12174"/>
    <w:rsid w:val="00B1217B"/>
    <w:rsid w:val="00B12192"/>
    <w:rsid w:val="00B121EA"/>
    <w:rsid w:val="00B12226"/>
    <w:rsid w:val="00B12229"/>
    <w:rsid w:val="00B1232B"/>
    <w:rsid w:val="00B123C7"/>
    <w:rsid w:val="00B123CA"/>
    <w:rsid w:val="00B123E7"/>
    <w:rsid w:val="00B123E9"/>
    <w:rsid w:val="00B12469"/>
    <w:rsid w:val="00B1253D"/>
    <w:rsid w:val="00B12732"/>
    <w:rsid w:val="00B12787"/>
    <w:rsid w:val="00B127C2"/>
    <w:rsid w:val="00B127F7"/>
    <w:rsid w:val="00B12837"/>
    <w:rsid w:val="00B1295C"/>
    <w:rsid w:val="00B1298F"/>
    <w:rsid w:val="00B129E8"/>
    <w:rsid w:val="00B12AAA"/>
    <w:rsid w:val="00B12BA1"/>
    <w:rsid w:val="00B12BA2"/>
    <w:rsid w:val="00B12BBC"/>
    <w:rsid w:val="00B12BE4"/>
    <w:rsid w:val="00B12C67"/>
    <w:rsid w:val="00B12D4F"/>
    <w:rsid w:val="00B12DDD"/>
    <w:rsid w:val="00B12E2C"/>
    <w:rsid w:val="00B12E4E"/>
    <w:rsid w:val="00B12FB0"/>
    <w:rsid w:val="00B130C2"/>
    <w:rsid w:val="00B130D2"/>
    <w:rsid w:val="00B13120"/>
    <w:rsid w:val="00B13145"/>
    <w:rsid w:val="00B1331E"/>
    <w:rsid w:val="00B13339"/>
    <w:rsid w:val="00B13402"/>
    <w:rsid w:val="00B1341E"/>
    <w:rsid w:val="00B134BF"/>
    <w:rsid w:val="00B1355A"/>
    <w:rsid w:val="00B13578"/>
    <w:rsid w:val="00B1366A"/>
    <w:rsid w:val="00B136BA"/>
    <w:rsid w:val="00B136ED"/>
    <w:rsid w:val="00B137D0"/>
    <w:rsid w:val="00B1384B"/>
    <w:rsid w:val="00B1385A"/>
    <w:rsid w:val="00B138E7"/>
    <w:rsid w:val="00B13918"/>
    <w:rsid w:val="00B13989"/>
    <w:rsid w:val="00B1398B"/>
    <w:rsid w:val="00B139E5"/>
    <w:rsid w:val="00B139FC"/>
    <w:rsid w:val="00B13A57"/>
    <w:rsid w:val="00B13A67"/>
    <w:rsid w:val="00B13ABC"/>
    <w:rsid w:val="00B13AE3"/>
    <w:rsid w:val="00B13BD7"/>
    <w:rsid w:val="00B13BF4"/>
    <w:rsid w:val="00B13C2E"/>
    <w:rsid w:val="00B13E1E"/>
    <w:rsid w:val="00B13EF1"/>
    <w:rsid w:val="00B13EF9"/>
    <w:rsid w:val="00B14014"/>
    <w:rsid w:val="00B14025"/>
    <w:rsid w:val="00B1406B"/>
    <w:rsid w:val="00B140BD"/>
    <w:rsid w:val="00B14133"/>
    <w:rsid w:val="00B14141"/>
    <w:rsid w:val="00B1441C"/>
    <w:rsid w:val="00B14431"/>
    <w:rsid w:val="00B14531"/>
    <w:rsid w:val="00B145BE"/>
    <w:rsid w:val="00B1464E"/>
    <w:rsid w:val="00B1467F"/>
    <w:rsid w:val="00B14782"/>
    <w:rsid w:val="00B1481C"/>
    <w:rsid w:val="00B14899"/>
    <w:rsid w:val="00B14A39"/>
    <w:rsid w:val="00B14A77"/>
    <w:rsid w:val="00B14B22"/>
    <w:rsid w:val="00B14B43"/>
    <w:rsid w:val="00B14BC6"/>
    <w:rsid w:val="00B14C3D"/>
    <w:rsid w:val="00B14D47"/>
    <w:rsid w:val="00B14D8D"/>
    <w:rsid w:val="00B14EC8"/>
    <w:rsid w:val="00B14F2F"/>
    <w:rsid w:val="00B14F88"/>
    <w:rsid w:val="00B15041"/>
    <w:rsid w:val="00B1506C"/>
    <w:rsid w:val="00B150D9"/>
    <w:rsid w:val="00B1526E"/>
    <w:rsid w:val="00B1527A"/>
    <w:rsid w:val="00B15313"/>
    <w:rsid w:val="00B15368"/>
    <w:rsid w:val="00B153B9"/>
    <w:rsid w:val="00B15446"/>
    <w:rsid w:val="00B154C1"/>
    <w:rsid w:val="00B154FF"/>
    <w:rsid w:val="00B15582"/>
    <w:rsid w:val="00B1565B"/>
    <w:rsid w:val="00B15826"/>
    <w:rsid w:val="00B1582F"/>
    <w:rsid w:val="00B15901"/>
    <w:rsid w:val="00B1593C"/>
    <w:rsid w:val="00B1593E"/>
    <w:rsid w:val="00B159DD"/>
    <w:rsid w:val="00B159E4"/>
    <w:rsid w:val="00B15B27"/>
    <w:rsid w:val="00B15B38"/>
    <w:rsid w:val="00B15BF6"/>
    <w:rsid w:val="00B15C38"/>
    <w:rsid w:val="00B15C87"/>
    <w:rsid w:val="00B15CBF"/>
    <w:rsid w:val="00B15CDF"/>
    <w:rsid w:val="00B15DD5"/>
    <w:rsid w:val="00B15EAA"/>
    <w:rsid w:val="00B15F9A"/>
    <w:rsid w:val="00B1601A"/>
    <w:rsid w:val="00B16026"/>
    <w:rsid w:val="00B1608B"/>
    <w:rsid w:val="00B160E4"/>
    <w:rsid w:val="00B16175"/>
    <w:rsid w:val="00B16277"/>
    <w:rsid w:val="00B16359"/>
    <w:rsid w:val="00B16428"/>
    <w:rsid w:val="00B16438"/>
    <w:rsid w:val="00B16574"/>
    <w:rsid w:val="00B165E8"/>
    <w:rsid w:val="00B165EE"/>
    <w:rsid w:val="00B16632"/>
    <w:rsid w:val="00B1663C"/>
    <w:rsid w:val="00B166CF"/>
    <w:rsid w:val="00B16721"/>
    <w:rsid w:val="00B1683B"/>
    <w:rsid w:val="00B168AB"/>
    <w:rsid w:val="00B168F5"/>
    <w:rsid w:val="00B1690B"/>
    <w:rsid w:val="00B16943"/>
    <w:rsid w:val="00B16AD6"/>
    <w:rsid w:val="00B16C36"/>
    <w:rsid w:val="00B16C81"/>
    <w:rsid w:val="00B16DDF"/>
    <w:rsid w:val="00B16E43"/>
    <w:rsid w:val="00B16EB4"/>
    <w:rsid w:val="00B16F08"/>
    <w:rsid w:val="00B16F2B"/>
    <w:rsid w:val="00B16F90"/>
    <w:rsid w:val="00B1703E"/>
    <w:rsid w:val="00B17099"/>
    <w:rsid w:val="00B17159"/>
    <w:rsid w:val="00B17171"/>
    <w:rsid w:val="00B171FD"/>
    <w:rsid w:val="00B17296"/>
    <w:rsid w:val="00B172C9"/>
    <w:rsid w:val="00B172E2"/>
    <w:rsid w:val="00B17456"/>
    <w:rsid w:val="00B1757D"/>
    <w:rsid w:val="00B1765D"/>
    <w:rsid w:val="00B17772"/>
    <w:rsid w:val="00B17823"/>
    <w:rsid w:val="00B17826"/>
    <w:rsid w:val="00B17858"/>
    <w:rsid w:val="00B178DD"/>
    <w:rsid w:val="00B17958"/>
    <w:rsid w:val="00B17A60"/>
    <w:rsid w:val="00B17A6C"/>
    <w:rsid w:val="00B17A86"/>
    <w:rsid w:val="00B17AC9"/>
    <w:rsid w:val="00B17E34"/>
    <w:rsid w:val="00B17ED4"/>
    <w:rsid w:val="00B17F37"/>
    <w:rsid w:val="00B17FE4"/>
    <w:rsid w:val="00B17FEE"/>
    <w:rsid w:val="00B1A5A4"/>
    <w:rsid w:val="00B20026"/>
    <w:rsid w:val="00B20041"/>
    <w:rsid w:val="00B200B4"/>
    <w:rsid w:val="00B2012A"/>
    <w:rsid w:val="00B2014B"/>
    <w:rsid w:val="00B20192"/>
    <w:rsid w:val="00B20293"/>
    <w:rsid w:val="00B202AB"/>
    <w:rsid w:val="00B20395"/>
    <w:rsid w:val="00B203C1"/>
    <w:rsid w:val="00B204DD"/>
    <w:rsid w:val="00B20552"/>
    <w:rsid w:val="00B20790"/>
    <w:rsid w:val="00B20887"/>
    <w:rsid w:val="00B20944"/>
    <w:rsid w:val="00B20B40"/>
    <w:rsid w:val="00B20B4F"/>
    <w:rsid w:val="00B20BC7"/>
    <w:rsid w:val="00B20C0D"/>
    <w:rsid w:val="00B20C23"/>
    <w:rsid w:val="00B20E3F"/>
    <w:rsid w:val="00B20E51"/>
    <w:rsid w:val="00B20EAC"/>
    <w:rsid w:val="00B20F0A"/>
    <w:rsid w:val="00B20F3C"/>
    <w:rsid w:val="00B20FF1"/>
    <w:rsid w:val="00B21062"/>
    <w:rsid w:val="00B2109B"/>
    <w:rsid w:val="00B21128"/>
    <w:rsid w:val="00B2113F"/>
    <w:rsid w:val="00B211BE"/>
    <w:rsid w:val="00B21213"/>
    <w:rsid w:val="00B21336"/>
    <w:rsid w:val="00B21369"/>
    <w:rsid w:val="00B21430"/>
    <w:rsid w:val="00B214DA"/>
    <w:rsid w:val="00B21635"/>
    <w:rsid w:val="00B21655"/>
    <w:rsid w:val="00B2173A"/>
    <w:rsid w:val="00B218BE"/>
    <w:rsid w:val="00B21982"/>
    <w:rsid w:val="00B21A47"/>
    <w:rsid w:val="00B21A8A"/>
    <w:rsid w:val="00B21B07"/>
    <w:rsid w:val="00B21B72"/>
    <w:rsid w:val="00B21BE4"/>
    <w:rsid w:val="00B21C65"/>
    <w:rsid w:val="00B21CB3"/>
    <w:rsid w:val="00B21D89"/>
    <w:rsid w:val="00B21E3D"/>
    <w:rsid w:val="00B21E82"/>
    <w:rsid w:val="00B22003"/>
    <w:rsid w:val="00B2202B"/>
    <w:rsid w:val="00B22033"/>
    <w:rsid w:val="00B2204E"/>
    <w:rsid w:val="00B22077"/>
    <w:rsid w:val="00B22131"/>
    <w:rsid w:val="00B22251"/>
    <w:rsid w:val="00B222A3"/>
    <w:rsid w:val="00B222D7"/>
    <w:rsid w:val="00B2235B"/>
    <w:rsid w:val="00B22369"/>
    <w:rsid w:val="00B223D6"/>
    <w:rsid w:val="00B223FA"/>
    <w:rsid w:val="00B2256E"/>
    <w:rsid w:val="00B22716"/>
    <w:rsid w:val="00B22726"/>
    <w:rsid w:val="00B22759"/>
    <w:rsid w:val="00B227DD"/>
    <w:rsid w:val="00B227E9"/>
    <w:rsid w:val="00B22815"/>
    <w:rsid w:val="00B229DE"/>
    <w:rsid w:val="00B22B1E"/>
    <w:rsid w:val="00B22B5A"/>
    <w:rsid w:val="00B22BCC"/>
    <w:rsid w:val="00B22BE4"/>
    <w:rsid w:val="00B22CF5"/>
    <w:rsid w:val="00B22F2C"/>
    <w:rsid w:val="00B22F4F"/>
    <w:rsid w:val="00B22FED"/>
    <w:rsid w:val="00B23024"/>
    <w:rsid w:val="00B2310A"/>
    <w:rsid w:val="00B2314E"/>
    <w:rsid w:val="00B2316A"/>
    <w:rsid w:val="00B231BB"/>
    <w:rsid w:val="00B2322C"/>
    <w:rsid w:val="00B2326F"/>
    <w:rsid w:val="00B233DE"/>
    <w:rsid w:val="00B23455"/>
    <w:rsid w:val="00B2356B"/>
    <w:rsid w:val="00B2356D"/>
    <w:rsid w:val="00B235F4"/>
    <w:rsid w:val="00B2364D"/>
    <w:rsid w:val="00B2374C"/>
    <w:rsid w:val="00B23A2A"/>
    <w:rsid w:val="00B23A6C"/>
    <w:rsid w:val="00B23A9E"/>
    <w:rsid w:val="00B23B54"/>
    <w:rsid w:val="00B23D26"/>
    <w:rsid w:val="00B23E5F"/>
    <w:rsid w:val="00B23EF1"/>
    <w:rsid w:val="00B23F97"/>
    <w:rsid w:val="00B240D9"/>
    <w:rsid w:val="00B240F2"/>
    <w:rsid w:val="00B240FA"/>
    <w:rsid w:val="00B2415D"/>
    <w:rsid w:val="00B241FD"/>
    <w:rsid w:val="00B242A8"/>
    <w:rsid w:val="00B24359"/>
    <w:rsid w:val="00B243C6"/>
    <w:rsid w:val="00B243F5"/>
    <w:rsid w:val="00B2443B"/>
    <w:rsid w:val="00B24445"/>
    <w:rsid w:val="00B24451"/>
    <w:rsid w:val="00B24479"/>
    <w:rsid w:val="00B24723"/>
    <w:rsid w:val="00B2474D"/>
    <w:rsid w:val="00B247D3"/>
    <w:rsid w:val="00B247DB"/>
    <w:rsid w:val="00B2480C"/>
    <w:rsid w:val="00B24926"/>
    <w:rsid w:val="00B24940"/>
    <w:rsid w:val="00B249BA"/>
    <w:rsid w:val="00B249EE"/>
    <w:rsid w:val="00B249F9"/>
    <w:rsid w:val="00B24B0D"/>
    <w:rsid w:val="00B24B45"/>
    <w:rsid w:val="00B24B8C"/>
    <w:rsid w:val="00B24C6B"/>
    <w:rsid w:val="00B24C9D"/>
    <w:rsid w:val="00B24D81"/>
    <w:rsid w:val="00B24E1B"/>
    <w:rsid w:val="00B24E61"/>
    <w:rsid w:val="00B24E99"/>
    <w:rsid w:val="00B24EBE"/>
    <w:rsid w:val="00B24F0D"/>
    <w:rsid w:val="00B2519D"/>
    <w:rsid w:val="00B2525F"/>
    <w:rsid w:val="00B25270"/>
    <w:rsid w:val="00B252A7"/>
    <w:rsid w:val="00B25337"/>
    <w:rsid w:val="00B2533B"/>
    <w:rsid w:val="00B25370"/>
    <w:rsid w:val="00B25389"/>
    <w:rsid w:val="00B25396"/>
    <w:rsid w:val="00B253CA"/>
    <w:rsid w:val="00B25404"/>
    <w:rsid w:val="00B25407"/>
    <w:rsid w:val="00B25549"/>
    <w:rsid w:val="00B2555D"/>
    <w:rsid w:val="00B255BA"/>
    <w:rsid w:val="00B2569C"/>
    <w:rsid w:val="00B256CF"/>
    <w:rsid w:val="00B256F5"/>
    <w:rsid w:val="00B2573D"/>
    <w:rsid w:val="00B25779"/>
    <w:rsid w:val="00B2577E"/>
    <w:rsid w:val="00B25780"/>
    <w:rsid w:val="00B257C0"/>
    <w:rsid w:val="00B25879"/>
    <w:rsid w:val="00B258E1"/>
    <w:rsid w:val="00B25935"/>
    <w:rsid w:val="00B259E2"/>
    <w:rsid w:val="00B25ABF"/>
    <w:rsid w:val="00B25ADD"/>
    <w:rsid w:val="00B25B37"/>
    <w:rsid w:val="00B25B9E"/>
    <w:rsid w:val="00B25BD8"/>
    <w:rsid w:val="00B25D27"/>
    <w:rsid w:val="00B25D60"/>
    <w:rsid w:val="00B25DE6"/>
    <w:rsid w:val="00B25E8E"/>
    <w:rsid w:val="00B25EA2"/>
    <w:rsid w:val="00B25EA6"/>
    <w:rsid w:val="00B25ED6"/>
    <w:rsid w:val="00B25F7A"/>
    <w:rsid w:val="00B25FDD"/>
    <w:rsid w:val="00B25FFC"/>
    <w:rsid w:val="00B2602D"/>
    <w:rsid w:val="00B2603A"/>
    <w:rsid w:val="00B2606A"/>
    <w:rsid w:val="00B26188"/>
    <w:rsid w:val="00B261C4"/>
    <w:rsid w:val="00B261DC"/>
    <w:rsid w:val="00B26218"/>
    <w:rsid w:val="00B2627D"/>
    <w:rsid w:val="00B26294"/>
    <w:rsid w:val="00B262AF"/>
    <w:rsid w:val="00B262C2"/>
    <w:rsid w:val="00B263FA"/>
    <w:rsid w:val="00B26421"/>
    <w:rsid w:val="00B26443"/>
    <w:rsid w:val="00B26471"/>
    <w:rsid w:val="00B264D5"/>
    <w:rsid w:val="00B264E4"/>
    <w:rsid w:val="00B26675"/>
    <w:rsid w:val="00B266D5"/>
    <w:rsid w:val="00B2674F"/>
    <w:rsid w:val="00B267AE"/>
    <w:rsid w:val="00B26863"/>
    <w:rsid w:val="00B268C4"/>
    <w:rsid w:val="00B268DD"/>
    <w:rsid w:val="00B2691E"/>
    <w:rsid w:val="00B269E8"/>
    <w:rsid w:val="00B26A5C"/>
    <w:rsid w:val="00B26A83"/>
    <w:rsid w:val="00B26B29"/>
    <w:rsid w:val="00B26C21"/>
    <w:rsid w:val="00B26C62"/>
    <w:rsid w:val="00B26C70"/>
    <w:rsid w:val="00B26CBD"/>
    <w:rsid w:val="00B26CE7"/>
    <w:rsid w:val="00B26DB5"/>
    <w:rsid w:val="00B26DC4"/>
    <w:rsid w:val="00B26E8F"/>
    <w:rsid w:val="00B26ED6"/>
    <w:rsid w:val="00B26F0A"/>
    <w:rsid w:val="00B26F32"/>
    <w:rsid w:val="00B26F41"/>
    <w:rsid w:val="00B26F86"/>
    <w:rsid w:val="00B27024"/>
    <w:rsid w:val="00B270AC"/>
    <w:rsid w:val="00B270CE"/>
    <w:rsid w:val="00B270FB"/>
    <w:rsid w:val="00B27108"/>
    <w:rsid w:val="00B2717B"/>
    <w:rsid w:val="00B271DB"/>
    <w:rsid w:val="00B2725B"/>
    <w:rsid w:val="00B2727F"/>
    <w:rsid w:val="00B272ED"/>
    <w:rsid w:val="00B272F7"/>
    <w:rsid w:val="00B2737B"/>
    <w:rsid w:val="00B273CE"/>
    <w:rsid w:val="00B275D5"/>
    <w:rsid w:val="00B27608"/>
    <w:rsid w:val="00B276A6"/>
    <w:rsid w:val="00B2775B"/>
    <w:rsid w:val="00B277AC"/>
    <w:rsid w:val="00B2781E"/>
    <w:rsid w:val="00B2795A"/>
    <w:rsid w:val="00B27A5A"/>
    <w:rsid w:val="00B27AD3"/>
    <w:rsid w:val="00B27B2C"/>
    <w:rsid w:val="00B27B7D"/>
    <w:rsid w:val="00B27BF2"/>
    <w:rsid w:val="00B27CB1"/>
    <w:rsid w:val="00B27D63"/>
    <w:rsid w:val="00B27DBF"/>
    <w:rsid w:val="00B27E40"/>
    <w:rsid w:val="00B27EE0"/>
    <w:rsid w:val="00B27FA8"/>
    <w:rsid w:val="00B30039"/>
    <w:rsid w:val="00B30068"/>
    <w:rsid w:val="00B3010E"/>
    <w:rsid w:val="00B30111"/>
    <w:rsid w:val="00B30134"/>
    <w:rsid w:val="00B3014C"/>
    <w:rsid w:val="00B301C4"/>
    <w:rsid w:val="00B3032F"/>
    <w:rsid w:val="00B30346"/>
    <w:rsid w:val="00B30366"/>
    <w:rsid w:val="00B304CF"/>
    <w:rsid w:val="00B304EE"/>
    <w:rsid w:val="00B30504"/>
    <w:rsid w:val="00B3057D"/>
    <w:rsid w:val="00B305A1"/>
    <w:rsid w:val="00B306A1"/>
    <w:rsid w:val="00B306E7"/>
    <w:rsid w:val="00B30839"/>
    <w:rsid w:val="00B3085B"/>
    <w:rsid w:val="00B3085D"/>
    <w:rsid w:val="00B30993"/>
    <w:rsid w:val="00B309A2"/>
    <w:rsid w:val="00B30B48"/>
    <w:rsid w:val="00B30C97"/>
    <w:rsid w:val="00B30CDD"/>
    <w:rsid w:val="00B30CEE"/>
    <w:rsid w:val="00B30D32"/>
    <w:rsid w:val="00B30DAC"/>
    <w:rsid w:val="00B30DE0"/>
    <w:rsid w:val="00B30E91"/>
    <w:rsid w:val="00B30F00"/>
    <w:rsid w:val="00B310DD"/>
    <w:rsid w:val="00B31104"/>
    <w:rsid w:val="00B31363"/>
    <w:rsid w:val="00B3142B"/>
    <w:rsid w:val="00B31542"/>
    <w:rsid w:val="00B315F4"/>
    <w:rsid w:val="00B315F8"/>
    <w:rsid w:val="00B315FF"/>
    <w:rsid w:val="00B3183D"/>
    <w:rsid w:val="00B31863"/>
    <w:rsid w:val="00B318A0"/>
    <w:rsid w:val="00B31940"/>
    <w:rsid w:val="00B3196E"/>
    <w:rsid w:val="00B31A58"/>
    <w:rsid w:val="00B31B40"/>
    <w:rsid w:val="00B31B49"/>
    <w:rsid w:val="00B31B76"/>
    <w:rsid w:val="00B31BA7"/>
    <w:rsid w:val="00B31C79"/>
    <w:rsid w:val="00B31CB4"/>
    <w:rsid w:val="00B31D7C"/>
    <w:rsid w:val="00B31DC7"/>
    <w:rsid w:val="00B31E01"/>
    <w:rsid w:val="00B31F77"/>
    <w:rsid w:val="00B31FB9"/>
    <w:rsid w:val="00B32026"/>
    <w:rsid w:val="00B32072"/>
    <w:rsid w:val="00B320AF"/>
    <w:rsid w:val="00B3229D"/>
    <w:rsid w:val="00B322C1"/>
    <w:rsid w:val="00B3254A"/>
    <w:rsid w:val="00B325BB"/>
    <w:rsid w:val="00B32673"/>
    <w:rsid w:val="00B326D2"/>
    <w:rsid w:val="00B3281F"/>
    <w:rsid w:val="00B32989"/>
    <w:rsid w:val="00B32992"/>
    <w:rsid w:val="00B32A30"/>
    <w:rsid w:val="00B32A8A"/>
    <w:rsid w:val="00B32B64"/>
    <w:rsid w:val="00B32C3D"/>
    <w:rsid w:val="00B32E26"/>
    <w:rsid w:val="00B32E43"/>
    <w:rsid w:val="00B32E8A"/>
    <w:rsid w:val="00B32E9F"/>
    <w:rsid w:val="00B32F20"/>
    <w:rsid w:val="00B32F2E"/>
    <w:rsid w:val="00B330FD"/>
    <w:rsid w:val="00B331AC"/>
    <w:rsid w:val="00B331DE"/>
    <w:rsid w:val="00B332CF"/>
    <w:rsid w:val="00B333D4"/>
    <w:rsid w:val="00B33452"/>
    <w:rsid w:val="00B334C0"/>
    <w:rsid w:val="00B33589"/>
    <w:rsid w:val="00B335C1"/>
    <w:rsid w:val="00B336BC"/>
    <w:rsid w:val="00B336BF"/>
    <w:rsid w:val="00B3371A"/>
    <w:rsid w:val="00B33746"/>
    <w:rsid w:val="00B33759"/>
    <w:rsid w:val="00B337DC"/>
    <w:rsid w:val="00B33897"/>
    <w:rsid w:val="00B3398E"/>
    <w:rsid w:val="00B33B79"/>
    <w:rsid w:val="00B33BA8"/>
    <w:rsid w:val="00B33BB8"/>
    <w:rsid w:val="00B33CAA"/>
    <w:rsid w:val="00B33CED"/>
    <w:rsid w:val="00B33D52"/>
    <w:rsid w:val="00B33EA2"/>
    <w:rsid w:val="00B33EE2"/>
    <w:rsid w:val="00B33EF6"/>
    <w:rsid w:val="00B33F3F"/>
    <w:rsid w:val="00B34230"/>
    <w:rsid w:val="00B3423E"/>
    <w:rsid w:val="00B34275"/>
    <w:rsid w:val="00B342C2"/>
    <w:rsid w:val="00B34432"/>
    <w:rsid w:val="00B344A1"/>
    <w:rsid w:val="00B34549"/>
    <w:rsid w:val="00B34575"/>
    <w:rsid w:val="00B345BE"/>
    <w:rsid w:val="00B346B7"/>
    <w:rsid w:val="00B348C1"/>
    <w:rsid w:val="00B34930"/>
    <w:rsid w:val="00B3495A"/>
    <w:rsid w:val="00B34993"/>
    <w:rsid w:val="00B349C5"/>
    <w:rsid w:val="00B349EE"/>
    <w:rsid w:val="00B34A2F"/>
    <w:rsid w:val="00B34ADB"/>
    <w:rsid w:val="00B34BB7"/>
    <w:rsid w:val="00B34BDC"/>
    <w:rsid w:val="00B34C0E"/>
    <w:rsid w:val="00B34C5F"/>
    <w:rsid w:val="00B34D20"/>
    <w:rsid w:val="00B34D3E"/>
    <w:rsid w:val="00B34E08"/>
    <w:rsid w:val="00B34E23"/>
    <w:rsid w:val="00B34E59"/>
    <w:rsid w:val="00B34F17"/>
    <w:rsid w:val="00B34F5B"/>
    <w:rsid w:val="00B34FAE"/>
    <w:rsid w:val="00B34FFC"/>
    <w:rsid w:val="00B350B4"/>
    <w:rsid w:val="00B35164"/>
    <w:rsid w:val="00B3516F"/>
    <w:rsid w:val="00B352E7"/>
    <w:rsid w:val="00B3534B"/>
    <w:rsid w:val="00B35388"/>
    <w:rsid w:val="00B3538F"/>
    <w:rsid w:val="00B35466"/>
    <w:rsid w:val="00B354A1"/>
    <w:rsid w:val="00B354E9"/>
    <w:rsid w:val="00B35662"/>
    <w:rsid w:val="00B35672"/>
    <w:rsid w:val="00B356B3"/>
    <w:rsid w:val="00B35853"/>
    <w:rsid w:val="00B3589B"/>
    <w:rsid w:val="00B358C5"/>
    <w:rsid w:val="00B358D8"/>
    <w:rsid w:val="00B358EF"/>
    <w:rsid w:val="00B35955"/>
    <w:rsid w:val="00B35995"/>
    <w:rsid w:val="00B35A16"/>
    <w:rsid w:val="00B35B43"/>
    <w:rsid w:val="00B35B62"/>
    <w:rsid w:val="00B35B9E"/>
    <w:rsid w:val="00B35BE2"/>
    <w:rsid w:val="00B35BEE"/>
    <w:rsid w:val="00B35C3C"/>
    <w:rsid w:val="00B35CD6"/>
    <w:rsid w:val="00B35DD8"/>
    <w:rsid w:val="00B35EF6"/>
    <w:rsid w:val="00B35F32"/>
    <w:rsid w:val="00B35FAC"/>
    <w:rsid w:val="00B360F4"/>
    <w:rsid w:val="00B361A6"/>
    <w:rsid w:val="00B363B7"/>
    <w:rsid w:val="00B36555"/>
    <w:rsid w:val="00B365E4"/>
    <w:rsid w:val="00B3672F"/>
    <w:rsid w:val="00B36770"/>
    <w:rsid w:val="00B36874"/>
    <w:rsid w:val="00B368A0"/>
    <w:rsid w:val="00B36919"/>
    <w:rsid w:val="00B36A6B"/>
    <w:rsid w:val="00B36AB0"/>
    <w:rsid w:val="00B36ABC"/>
    <w:rsid w:val="00B36B4E"/>
    <w:rsid w:val="00B36B9D"/>
    <w:rsid w:val="00B36BE9"/>
    <w:rsid w:val="00B36C58"/>
    <w:rsid w:val="00B36CA2"/>
    <w:rsid w:val="00B36D5A"/>
    <w:rsid w:val="00B36D5C"/>
    <w:rsid w:val="00B36E41"/>
    <w:rsid w:val="00B36F04"/>
    <w:rsid w:val="00B36F45"/>
    <w:rsid w:val="00B36F89"/>
    <w:rsid w:val="00B36FDE"/>
    <w:rsid w:val="00B36FF5"/>
    <w:rsid w:val="00B37035"/>
    <w:rsid w:val="00B3708A"/>
    <w:rsid w:val="00B3717D"/>
    <w:rsid w:val="00B371AD"/>
    <w:rsid w:val="00B371B7"/>
    <w:rsid w:val="00B37238"/>
    <w:rsid w:val="00B37322"/>
    <w:rsid w:val="00B37449"/>
    <w:rsid w:val="00B37489"/>
    <w:rsid w:val="00B374E0"/>
    <w:rsid w:val="00B376BA"/>
    <w:rsid w:val="00B376F9"/>
    <w:rsid w:val="00B3774A"/>
    <w:rsid w:val="00B377C6"/>
    <w:rsid w:val="00B3789A"/>
    <w:rsid w:val="00B3794C"/>
    <w:rsid w:val="00B3799B"/>
    <w:rsid w:val="00B379EC"/>
    <w:rsid w:val="00B37A7D"/>
    <w:rsid w:val="00B37A86"/>
    <w:rsid w:val="00B37B1A"/>
    <w:rsid w:val="00B37B75"/>
    <w:rsid w:val="00B37B97"/>
    <w:rsid w:val="00B37BA9"/>
    <w:rsid w:val="00B37CBF"/>
    <w:rsid w:val="00B37CDE"/>
    <w:rsid w:val="00B37CFA"/>
    <w:rsid w:val="00B37D0F"/>
    <w:rsid w:val="00B37EAB"/>
    <w:rsid w:val="00B37F1A"/>
    <w:rsid w:val="00B37F2C"/>
    <w:rsid w:val="00B4000F"/>
    <w:rsid w:val="00B40099"/>
    <w:rsid w:val="00B40117"/>
    <w:rsid w:val="00B40158"/>
    <w:rsid w:val="00B402E7"/>
    <w:rsid w:val="00B40394"/>
    <w:rsid w:val="00B403C8"/>
    <w:rsid w:val="00B40411"/>
    <w:rsid w:val="00B4042A"/>
    <w:rsid w:val="00B4048F"/>
    <w:rsid w:val="00B404EC"/>
    <w:rsid w:val="00B40562"/>
    <w:rsid w:val="00B40622"/>
    <w:rsid w:val="00B40707"/>
    <w:rsid w:val="00B40811"/>
    <w:rsid w:val="00B40889"/>
    <w:rsid w:val="00B4088F"/>
    <w:rsid w:val="00B40936"/>
    <w:rsid w:val="00B40B54"/>
    <w:rsid w:val="00B40CDD"/>
    <w:rsid w:val="00B40D26"/>
    <w:rsid w:val="00B40DC6"/>
    <w:rsid w:val="00B40E32"/>
    <w:rsid w:val="00B40F24"/>
    <w:rsid w:val="00B40F84"/>
    <w:rsid w:val="00B40F9B"/>
    <w:rsid w:val="00B41000"/>
    <w:rsid w:val="00B4102A"/>
    <w:rsid w:val="00B41057"/>
    <w:rsid w:val="00B4108E"/>
    <w:rsid w:val="00B410A3"/>
    <w:rsid w:val="00B4114A"/>
    <w:rsid w:val="00B4117D"/>
    <w:rsid w:val="00B411D1"/>
    <w:rsid w:val="00B411E6"/>
    <w:rsid w:val="00B41292"/>
    <w:rsid w:val="00B412B1"/>
    <w:rsid w:val="00B412EE"/>
    <w:rsid w:val="00B41308"/>
    <w:rsid w:val="00B41323"/>
    <w:rsid w:val="00B4135E"/>
    <w:rsid w:val="00B41362"/>
    <w:rsid w:val="00B41452"/>
    <w:rsid w:val="00B414FA"/>
    <w:rsid w:val="00B4156B"/>
    <w:rsid w:val="00B41589"/>
    <w:rsid w:val="00B41638"/>
    <w:rsid w:val="00B416CA"/>
    <w:rsid w:val="00B417BD"/>
    <w:rsid w:val="00B418BF"/>
    <w:rsid w:val="00B41921"/>
    <w:rsid w:val="00B41A17"/>
    <w:rsid w:val="00B41A4A"/>
    <w:rsid w:val="00B41A9F"/>
    <w:rsid w:val="00B41AE9"/>
    <w:rsid w:val="00B41C15"/>
    <w:rsid w:val="00B41C9F"/>
    <w:rsid w:val="00B41CDA"/>
    <w:rsid w:val="00B41D80"/>
    <w:rsid w:val="00B41DD5"/>
    <w:rsid w:val="00B41DE9"/>
    <w:rsid w:val="00B41E0A"/>
    <w:rsid w:val="00B41EBC"/>
    <w:rsid w:val="00B41F95"/>
    <w:rsid w:val="00B4201B"/>
    <w:rsid w:val="00B42034"/>
    <w:rsid w:val="00B42037"/>
    <w:rsid w:val="00B42059"/>
    <w:rsid w:val="00B42101"/>
    <w:rsid w:val="00B42105"/>
    <w:rsid w:val="00B421B8"/>
    <w:rsid w:val="00B421B9"/>
    <w:rsid w:val="00B422FE"/>
    <w:rsid w:val="00B42302"/>
    <w:rsid w:val="00B423D7"/>
    <w:rsid w:val="00B423ED"/>
    <w:rsid w:val="00B42408"/>
    <w:rsid w:val="00B4245F"/>
    <w:rsid w:val="00B425B0"/>
    <w:rsid w:val="00B42622"/>
    <w:rsid w:val="00B42676"/>
    <w:rsid w:val="00B42805"/>
    <w:rsid w:val="00B42911"/>
    <w:rsid w:val="00B42924"/>
    <w:rsid w:val="00B429CD"/>
    <w:rsid w:val="00B429DD"/>
    <w:rsid w:val="00B42A7B"/>
    <w:rsid w:val="00B42A95"/>
    <w:rsid w:val="00B42C23"/>
    <w:rsid w:val="00B42C36"/>
    <w:rsid w:val="00B42C83"/>
    <w:rsid w:val="00B42CEC"/>
    <w:rsid w:val="00B42DDA"/>
    <w:rsid w:val="00B42DF4"/>
    <w:rsid w:val="00B42E6A"/>
    <w:rsid w:val="00B42E9E"/>
    <w:rsid w:val="00B42EE5"/>
    <w:rsid w:val="00B42FF6"/>
    <w:rsid w:val="00B43081"/>
    <w:rsid w:val="00B4308F"/>
    <w:rsid w:val="00B430B0"/>
    <w:rsid w:val="00B4310D"/>
    <w:rsid w:val="00B4316F"/>
    <w:rsid w:val="00B4321E"/>
    <w:rsid w:val="00B432BE"/>
    <w:rsid w:val="00B4333B"/>
    <w:rsid w:val="00B43491"/>
    <w:rsid w:val="00B434CD"/>
    <w:rsid w:val="00B434D6"/>
    <w:rsid w:val="00B43669"/>
    <w:rsid w:val="00B436C8"/>
    <w:rsid w:val="00B436CD"/>
    <w:rsid w:val="00B43701"/>
    <w:rsid w:val="00B4386E"/>
    <w:rsid w:val="00B4388F"/>
    <w:rsid w:val="00B438AB"/>
    <w:rsid w:val="00B43936"/>
    <w:rsid w:val="00B43947"/>
    <w:rsid w:val="00B43959"/>
    <w:rsid w:val="00B4399F"/>
    <w:rsid w:val="00B43AEB"/>
    <w:rsid w:val="00B43B01"/>
    <w:rsid w:val="00B43CEC"/>
    <w:rsid w:val="00B43DAD"/>
    <w:rsid w:val="00B43E28"/>
    <w:rsid w:val="00B43E38"/>
    <w:rsid w:val="00B4413B"/>
    <w:rsid w:val="00B4415F"/>
    <w:rsid w:val="00B44168"/>
    <w:rsid w:val="00B44223"/>
    <w:rsid w:val="00B4433D"/>
    <w:rsid w:val="00B4443F"/>
    <w:rsid w:val="00B44446"/>
    <w:rsid w:val="00B44453"/>
    <w:rsid w:val="00B44538"/>
    <w:rsid w:val="00B4474C"/>
    <w:rsid w:val="00B44775"/>
    <w:rsid w:val="00B447B3"/>
    <w:rsid w:val="00B44811"/>
    <w:rsid w:val="00B4491E"/>
    <w:rsid w:val="00B44974"/>
    <w:rsid w:val="00B449BB"/>
    <w:rsid w:val="00B44A7E"/>
    <w:rsid w:val="00B44D11"/>
    <w:rsid w:val="00B44E9F"/>
    <w:rsid w:val="00B44EC3"/>
    <w:rsid w:val="00B44F65"/>
    <w:rsid w:val="00B45023"/>
    <w:rsid w:val="00B450B9"/>
    <w:rsid w:val="00B4517F"/>
    <w:rsid w:val="00B4531C"/>
    <w:rsid w:val="00B45492"/>
    <w:rsid w:val="00B454C0"/>
    <w:rsid w:val="00B45526"/>
    <w:rsid w:val="00B45565"/>
    <w:rsid w:val="00B4565B"/>
    <w:rsid w:val="00B456B3"/>
    <w:rsid w:val="00B457E1"/>
    <w:rsid w:val="00B458DE"/>
    <w:rsid w:val="00B45905"/>
    <w:rsid w:val="00B4590A"/>
    <w:rsid w:val="00B45935"/>
    <w:rsid w:val="00B45976"/>
    <w:rsid w:val="00B459BC"/>
    <w:rsid w:val="00B45B18"/>
    <w:rsid w:val="00B45B2E"/>
    <w:rsid w:val="00B45CB5"/>
    <w:rsid w:val="00B45CEC"/>
    <w:rsid w:val="00B45E9B"/>
    <w:rsid w:val="00B45FD1"/>
    <w:rsid w:val="00B46009"/>
    <w:rsid w:val="00B460BE"/>
    <w:rsid w:val="00B460DC"/>
    <w:rsid w:val="00B46138"/>
    <w:rsid w:val="00B4613C"/>
    <w:rsid w:val="00B46157"/>
    <w:rsid w:val="00B461B5"/>
    <w:rsid w:val="00B46288"/>
    <w:rsid w:val="00B46310"/>
    <w:rsid w:val="00B4631A"/>
    <w:rsid w:val="00B46364"/>
    <w:rsid w:val="00B46456"/>
    <w:rsid w:val="00B4653C"/>
    <w:rsid w:val="00B4654A"/>
    <w:rsid w:val="00B465EC"/>
    <w:rsid w:val="00B465F4"/>
    <w:rsid w:val="00B4662E"/>
    <w:rsid w:val="00B466CD"/>
    <w:rsid w:val="00B466E2"/>
    <w:rsid w:val="00B467D3"/>
    <w:rsid w:val="00B4683D"/>
    <w:rsid w:val="00B468D9"/>
    <w:rsid w:val="00B4690E"/>
    <w:rsid w:val="00B469F2"/>
    <w:rsid w:val="00B46A8F"/>
    <w:rsid w:val="00B46AD9"/>
    <w:rsid w:val="00B46C13"/>
    <w:rsid w:val="00B46D0A"/>
    <w:rsid w:val="00B46D10"/>
    <w:rsid w:val="00B46D47"/>
    <w:rsid w:val="00B46DD5"/>
    <w:rsid w:val="00B46E41"/>
    <w:rsid w:val="00B4714F"/>
    <w:rsid w:val="00B4715A"/>
    <w:rsid w:val="00B471F9"/>
    <w:rsid w:val="00B4732C"/>
    <w:rsid w:val="00B47333"/>
    <w:rsid w:val="00B47426"/>
    <w:rsid w:val="00B47446"/>
    <w:rsid w:val="00B47461"/>
    <w:rsid w:val="00B47476"/>
    <w:rsid w:val="00B474CA"/>
    <w:rsid w:val="00B474CD"/>
    <w:rsid w:val="00B474F4"/>
    <w:rsid w:val="00B474FA"/>
    <w:rsid w:val="00B4752D"/>
    <w:rsid w:val="00B475FE"/>
    <w:rsid w:val="00B47691"/>
    <w:rsid w:val="00B477CC"/>
    <w:rsid w:val="00B47840"/>
    <w:rsid w:val="00B4792E"/>
    <w:rsid w:val="00B479A0"/>
    <w:rsid w:val="00B479B6"/>
    <w:rsid w:val="00B47A01"/>
    <w:rsid w:val="00B47AB8"/>
    <w:rsid w:val="00B47AFF"/>
    <w:rsid w:val="00B47B11"/>
    <w:rsid w:val="00B47C84"/>
    <w:rsid w:val="00B47D78"/>
    <w:rsid w:val="00B47D8F"/>
    <w:rsid w:val="00B47E04"/>
    <w:rsid w:val="00B47E22"/>
    <w:rsid w:val="00B47E5B"/>
    <w:rsid w:val="00B47EA4"/>
    <w:rsid w:val="00B47F72"/>
    <w:rsid w:val="00B47F73"/>
    <w:rsid w:val="00B47F92"/>
    <w:rsid w:val="00B47FB1"/>
    <w:rsid w:val="00B47FDE"/>
    <w:rsid w:val="00B47FE3"/>
    <w:rsid w:val="00B47FE8"/>
    <w:rsid w:val="00B5004B"/>
    <w:rsid w:val="00B50064"/>
    <w:rsid w:val="00B500E4"/>
    <w:rsid w:val="00B50107"/>
    <w:rsid w:val="00B501F0"/>
    <w:rsid w:val="00B5024D"/>
    <w:rsid w:val="00B50274"/>
    <w:rsid w:val="00B502E4"/>
    <w:rsid w:val="00B502EB"/>
    <w:rsid w:val="00B50336"/>
    <w:rsid w:val="00B503CC"/>
    <w:rsid w:val="00B504A6"/>
    <w:rsid w:val="00B504CC"/>
    <w:rsid w:val="00B504D4"/>
    <w:rsid w:val="00B504EA"/>
    <w:rsid w:val="00B505D2"/>
    <w:rsid w:val="00B505DB"/>
    <w:rsid w:val="00B505F0"/>
    <w:rsid w:val="00B506B1"/>
    <w:rsid w:val="00B507D2"/>
    <w:rsid w:val="00B50843"/>
    <w:rsid w:val="00B50A4E"/>
    <w:rsid w:val="00B50A58"/>
    <w:rsid w:val="00B50A8E"/>
    <w:rsid w:val="00B50B31"/>
    <w:rsid w:val="00B50BE9"/>
    <w:rsid w:val="00B50C9E"/>
    <w:rsid w:val="00B50CF3"/>
    <w:rsid w:val="00B50D0A"/>
    <w:rsid w:val="00B50D15"/>
    <w:rsid w:val="00B50D32"/>
    <w:rsid w:val="00B50D48"/>
    <w:rsid w:val="00B50D4B"/>
    <w:rsid w:val="00B50DAF"/>
    <w:rsid w:val="00B50E47"/>
    <w:rsid w:val="00B50E5C"/>
    <w:rsid w:val="00B50E80"/>
    <w:rsid w:val="00B50F04"/>
    <w:rsid w:val="00B50F27"/>
    <w:rsid w:val="00B50F8D"/>
    <w:rsid w:val="00B510C9"/>
    <w:rsid w:val="00B510D9"/>
    <w:rsid w:val="00B51152"/>
    <w:rsid w:val="00B51183"/>
    <w:rsid w:val="00B511DE"/>
    <w:rsid w:val="00B5126F"/>
    <w:rsid w:val="00B51366"/>
    <w:rsid w:val="00B513BC"/>
    <w:rsid w:val="00B513BD"/>
    <w:rsid w:val="00B513E6"/>
    <w:rsid w:val="00B51412"/>
    <w:rsid w:val="00B5150D"/>
    <w:rsid w:val="00B5156D"/>
    <w:rsid w:val="00B51643"/>
    <w:rsid w:val="00B516CF"/>
    <w:rsid w:val="00B516E9"/>
    <w:rsid w:val="00B516ED"/>
    <w:rsid w:val="00B5173B"/>
    <w:rsid w:val="00B517EA"/>
    <w:rsid w:val="00B5181F"/>
    <w:rsid w:val="00B518E6"/>
    <w:rsid w:val="00B51B5A"/>
    <w:rsid w:val="00B51DDC"/>
    <w:rsid w:val="00B51E7B"/>
    <w:rsid w:val="00B51F1C"/>
    <w:rsid w:val="00B51F50"/>
    <w:rsid w:val="00B51F88"/>
    <w:rsid w:val="00B51FC7"/>
    <w:rsid w:val="00B51FF7"/>
    <w:rsid w:val="00B520B8"/>
    <w:rsid w:val="00B52169"/>
    <w:rsid w:val="00B5216D"/>
    <w:rsid w:val="00B521D6"/>
    <w:rsid w:val="00B52220"/>
    <w:rsid w:val="00B5240C"/>
    <w:rsid w:val="00B52442"/>
    <w:rsid w:val="00B52468"/>
    <w:rsid w:val="00B5249B"/>
    <w:rsid w:val="00B524F9"/>
    <w:rsid w:val="00B52521"/>
    <w:rsid w:val="00B52613"/>
    <w:rsid w:val="00B5265E"/>
    <w:rsid w:val="00B5279D"/>
    <w:rsid w:val="00B52916"/>
    <w:rsid w:val="00B52969"/>
    <w:rsid w:val="00B52970"/>
    <w:rsid w:val="00B529B2"/>
    <w:rsid w:val="00B529D8"/>
    <w:rsid w:val="00B52A36"/>
    <w:rsid w:val="00B52A37"/>
    <w:rsid w:val="00B52AC5"/>
    <w:rsid w:val="00B52AF2"/>
    <w:rsid w:val="00B52B8B"/>
    <w:rsid w:val="00B52CA7"/>
    <w:rsid w:val="00B52D1F"/>
    <w:rsid w:val="00B52D4A"/>
    <w:rsid w:val="00B52D8F"/>
    <w:rsid w:val="00B52DD5"/>
    <w:rsid w:val="00B52EFA"/>
    <w:rsid w:val="00B52FE2"/>
    <w:rsid w:val="00B53047"/>
    <w:rsid w:val="00B5305C"/>
    <w:rsid w:val="00B53083"/>
    <w:rsid w:val="00B53087"/>
    <w:rsid w:val="00B530B4"/>
    <w:rsid w:val="00B530D8"/>
    <w:rsid w:val="00B530E0"/>
    <w:rsid w:val="00B5319C"/>
    <w:rsid w:val="00B53211"/>
    <w:rsid w:val="00B53320"/>
    <w:rsid w:val="00B5336A"/>
    <w:rsid w:val="00B533A9"/>
    <w:rsid w:val="00B533FE"/>
    <w:rsid w:val="00B5348A"/>
    <w:rsid w:val="00B534C9"/>
    <w:rsid w:val="00B5355D"/>
    <w:rsid w:val="00B536A0"/>
    <w:rsid w:val="00B53746"/>
    <w:rsid w:val="00B537E4"/>
    <w:rsid w:val="00B53854"/>
    <w:rsid w:val="00B53865"/>
    <w:rsid w:val="00B538A0"/>
    <w:rsid w:val="00B538CD"/>
    <w:rsid w:val="00B5390D"/>
    <w:rsid w:val="00B5395A"/>
    <w:rsid w:val="00B53B2D"/>
    <w:rsid w:val="00B53BC6"/>
    <w:rsid w:val="00B53C39"/>
    <w:rsid w:val="00B53CDA"/>
    <w:rsid w:val="00B53CDF"/>
    <w:rsid w:val="00B53CE8"/>
    <w:rsid w:val="00B53CE9"/>
    <w:rsid w:val="00B53CF5"/>
    <w:rsid w:val="00B53D3D"/>
    <w:rsid w:val="00B53D5C"/>
    <w:rsid w:val="00B53D99"/>
    <w:rsid w:val="00B53D9B"/>
    <w:rsid w:val="00B53E19"/>
    <w:rsid w:val="00B53E54"/>
    <w:rsid w:val="00B53E69"/>
    <w:rsid w:val="00B53EB4"/>
    <w:rsid w:val="00B53F73"/>
    <w:rsid w:val="00B54000"/>
    <w:rsid w:val="00B54018"/>
    <w:rsid w:val="00B540D9"/>
    <w:rsid w:val="00B54127"/>
    <w:rsid w:val="00B54130"/>
    <w:rsid w:val="00B54132"/>
    <w:rsid w:val="00B54175"/>
    <w:rsid w:val="00B54233"/>
    <w:rsid w:val="00B54267"/>
    <w:rsid w:val="00B5430A"/>
    <w:rsid w:val="00B54339"/>
    <w:rsid w:val="00B5438D"/>
    <w:rsid w:val="00B543C0"/>
    <w:rsid w:val="00B543D5"/>
    <w:rsid w:val="00B545EA"/>
    <w:rsid w:val="00B54640"/>
    <w:rsid w:val="00B546F2"/>
    <w:rsid w:val="00B5473D"/>
    <w:rsid w:val="00B5479E"/>
    <w:rsid w:val="00B547A5"/>
    <w:rsid w:val="00B547B8"/>
    <w:rsid w:val="00B547EF"/>
    <w:rsid w:val="00B54827"/>
    <w:rsid w:val="00B54830"/>
    <w:rsid w:val="00B5490B"/>
    <w:rsid w:val="00B54919"/>
    <w:rsid w:val="00B54932"/>
    <w:rsid w:val="00B549E7"/>
    <w:rsid w:val="00B54A83"/>
    <w:rsid w:val="00B54B44"/>
    <w:rsid w:val="00B54BB8"/>
    <w:rsid w:val="00B54CB8"/>
    <w:rsid w:val="00B54CF0"/>
    <w:rsid w:val="00B54D03"/>
    <w:rsid w:val="00B54D0E"/>
    <w:rsid w:val="00B54D1B"/>
    <w:rsid w:val="00B54DE9"/>
    <w:rsid w:val="00B54E1E"/>
    <w:rsid w:val="00B54E3B"/>
    <w:rsid w:val="00B54E99"/>
    <w:rsid w:val="00B5501C"/>
    <w:rsid w:val="00B551CF"/>
    <w:rsid w:val="00B551FE"/>
    <w:rsid w:val="00B55261"/>
    <w:rsid w:val="00B5526D"/>
    <w:rsid w:val="00B552D9"/>
    <w:rsid w:val="00B553F4"/>
    <w:rsid w:val="00B55401"/>
    <w:rsid w:val="00B5544D"/>
    <w:rsid w:val="00B55481"/>
    <w:rsid w:val="00B55558"/>
    <w:rsid w:val="00B555CB"/>
    <w:rsid w:val="00B5560C"/>
    <w:rsid w:val="00B55687"/>
    <w:rsid w:val="00B556B2"/>
    <w:rsid w:val="00B556C2"/>
    <w:rsid w:val="00B556C6"/>
    <w:rsid w:val="00B558FD"/>
    <w:rsid w:val="00B55939"/>
    <w:rsid w:val="00B55952"/>
    <w:rsid w:val="00B55A02"/>
    <w:rsid w:val="00B55C2F"/>
    <w:rsid w:val="00B55CFF"/>
    <w:rsid w:val="00B55D79"/>
    <w:rsid w:val="00B55DAF"/>
    <w:rsid w:val="00B55E9B"/>
    <w:rsid w:val="00B55ED1"/>
    <w:rsid w:val="00B56086"/>
    <w:rsid w:val="00B56187"/>
    <w:rsid w:val="00B561D4"/>
    <w:rsid w:val="00B561D6"/>
    <w:rsid w:val="00B56204"/>
    <w:rsid w:val="00B5626A"/>
    <w:rsid w:val="00B5630C"/>
    <w:rsid w:val="00B56453"/>
    <w:rsid w:val="00B5648F"/>
    <w:rsid w:val="00B56564"/>
    <w:rsid w:val="00B565AC"/>
    <w:rsid w:val="00B5668C"/>
    <w:rsid w:val="00B5677D"/>
    <w:rsid w:val="00B567A3"/>
    <w:rsid w:val="00B56826"/>
    <w:rsid w:val="00B56AD8"/>
    <w:rsid w:val="00B56C1F"/>
    <w:rsid w:val="00B56C88"/>
    <w:rsid w:val="00B56CE3"/>
    <w:rsid w:val="00B56D57"/>
    <w:rsid w:val="00B56D98"/>
    <w:rsid w:val="00B56DF5"/>
    <w:rsid w:val="00B56E1D"/>
    <w:rsid w:val="00B56EEB"/>
    <w:rsid w:val="00B56F79"/>
    <w:rsid w:val="00B56F7C"/>
    <w:rsid w:val="00B56F83"/>
    <w:rsid w:val="00B571E2"/>
    <w:rsid w:val="00B57283"/>
    <w:rsid w:val="00B57307"/>
    <w:rsid w:val="00B5737A"/>
    <w:rsid w:val="00B5743E"/>
    <w:rsid w:val="00B5753E"/>
    <w:rsid w:val="00B575C4"/>
    <w:rsid w:val="00B5761B"/>
    <w:rsid w:val="00B57680"/>
    <w:rsid w:val="00B5771A"/>
    <w:rsid w:val="00B5777E"/>
    <w:rsid w:val="00B57780"/>
    <w:rsid w:val="00B577DC"/>
    <w:rsid w:val="00B578BA"/>
    <w:rsid w:val="00B578C2"/>
    <w:rsid w:val="00B578EE"/>
    <w:rsid w:val="00B579F9"/>
    <w:rsid w:val="00B57A4B"/>
    <w:rsid w:val="00B57AE3"/>
    <w:rsid w:val="00B57D58"/>
    <w:rsid w:val="00B57D92"/>
    <w:rsid w:val="00B57DAE"/>
    <w:rsid w:val="00B57DD9"/>
    <w:rsid w:val="00B57E3F"/>
    <w:rsid w:val="00B57EF6"/>
    <w:rsid w:val="00B57F45"/>
    <w:rsid w:val="00B57FED"/>
    <w:rsid w:val="00B60053"/>
    <w:rsid w:val="00B600F0"/>
    <w:rsid w:val="00B600FC"/>
    <w:rsid w:val="00B6011A"/>
    <w:rsid w:val="00B601E7"/>
    <w:rsid w:val="00B601F4"/>
    <w:rsid w:val="00B601F8"/>
    <w:rsid w:val="00B602D5"/>
    <w:rsid w:val="00B60595"/>
    <w:rsid w:val="00B605A8"/>
    <w:rsid w:val="00B60639"/>
    <w:rsid w:val="00B60681"/>
    <w:rsid w:val="00B606EA"/>
    <w:rsid w:val="00B607D3"/>
    <w:rsid w:val="00B60807"/>
    <w:rsid w:val="00B6083D"/>
    <w:rsid w:val="00B608C8"/>
    <w:rsid w:val="00B60AA0"/>
    <w:rsid w:val="00B60B09"/>
    <w:rsid w:val="00B60B2C"/>
    <w:rsid w:val="00B60B50"/>
    <w:rsid w:val="00B60BD8"/>
    <w:rsid w:val="00B60C02"/>
    <w:rsid w:val="00B60C0D"/>
    <w:rsid w:val="00B60C14"/>
    <w:rsid w:val="00B60CEC"/>
    <w:rsid w:val="00B60D62"/>
    <w:rsid w:val="00B60E8C"/>
    <w:rsid w:val="00B60EF6"/>
    <w:rsid w:val="00B6104D"/>
    <w:rsid w:val="00B6106F"/>
    <w:rsid w:val="00B610B8"/>
    <w:rsid w:val="00B610BF"/>
    <w:rsid w:val="00B6111F"/>
    <w:rsid w:val="00B6113D"/>
    <w:rsid w:val="00B61147"/>
    <w:rsid w:val="00B611DD"/>
    <w:rsid w:val="00B61279"/>
    <w:rsid w:val="00B61294"/>
    <w:rsid w:val="00B612AE"/>
    <w:rsid w:val="00B612CB"/>
    <w:rsid w:val="00B612EA"/>
    <w:rsid w:val="00B612EE"/>
    <w:rsid w:val="00B61402"/>
    <w:rsid w:val="00B61433"/>
    <w:rsid w:val="00B6146A"/>
    <w:rsid w:val="00B615EF"/>
    <w:rsid w:val="00B615F3"/>
    <w:rsid w:val="00B615FE"/>
    <w:rsid w:val="00B61632"/>
    <w:rsid w:val="00B61650"/>
    <w:rsid w:val="00B616BA"/>
    <w:rsid w:val="00B616BF"/>
    <w:rsid w:val="00B616EA"/>
    <w:rsid w:val="00B61726"/>
    <w:rsid w:val="00B61870"/>
    <w:rsid w:val="00B61912"/>
    <w:rsid w:val="00B61AB2"/>
    <w:rsid w:val="00B61B44"/>
    <w:rsid w:val="00B61C9D"/>
    <w:rsid w:val="00B61CAC"/>
    <w:rsid w:val="00B61D25"/>
    <w:rsid w:val="00B61D41"/>
    <w:rsid w:val="00B61E67"/>
    <w:rsid w:val="00B61EA6"/>
    <w:rsid w:val="00B61F3E"/>
    <w:rsid w:val="00B6200C"/>
    <w:rsid w:val="00B620A9"/>
    <w:rsid w:val="00B620E1"/>
    <w:rsid w:val="00B62126"/>
    <w:rsid w:val="00B621D9"/>
    <w:rsid w:val="00B62210"/>
    <w:rsid w:val="00B6237D"/>
    <w:rsid w:val="00B62430"/>
    <w:rsid w:val="00B6265B"/>
    <w:rsid w:val="00B626DF"/>
    <w:rsid w:val="00B6273A"/>
    <w:rsid w:val="00B62756"/>
    <w:rsid w:val="00B627A6"/>
    <w:rsid w:val="00B62920"/>
    <w:rsid w:val="00B629B1"/>
    <w:rsid w:val="00B62A37"/>
    <w:rsid w:val="00B62A6A"/>
    <w:rsid w:val="00B62A6F"/>
    <w:rsid w:val="00B62AF0"/>
    <w:rsid w:val="00B62B36"/>
    <w:rsid w:val="00B62B52"/>
    <w:rsid w:val="00B62B7E"/>
    <w:rsid w:val="00B62B94"/>
    <w:rsid w:val="00B62BB5"/>
    <w:rsid w:val="00B62BCF"/>
    <w:rsid w:val="00B62C23"/>
    <w:rsid w:val="00B62CD0"/>
    <w:rsid w:val="00B62CD6"/>
    <w:rsid w:val="00B62D0B"/>
    <w:rsid w:val="00B62D48"/>
    <w:rsid w:val="00B62DAA"/>
    <w:rsid w:val="00B62DFD"/>
    <w:rsid w:val="00B62E3C"/>
    <w:rsid w:val="00B62E81"/>
    <w:rsid w:val="00B62FB3"/>
    <w:rsid w:val="00B62FB4"/>
    <w:rsid w:val="00B62FCF"/>
    <w:rsid w:val="00B62FD3"/>
    <w:rsid w:val="00B630A8"/>
    <w:rsid w:val="00B630C3"/>
    <w:rsid w:val="00B631B0"/>
    <w:rsid w:val="00B6328D"/>
    <w:rsid w:val="00B63382"/>
    <w:rsid w:val="00B6348E"/>
    <w:rsid w:val="00B634BB"/>
    <w:rsid w:val="00B634CC"/>
    <w:rsid w:val="00B6350E"/>
    <w:rsid w:val="00B635DD"/>
    <w:rsid w:val="00B63624"/>
    <w:rsid w:val="00B6389A"/>
    <w:rsid w:val="00B63915"/>
    <w:rsid w:val="00B63AF4"/>
    <w:rsid w:val="00B63B9B"/>
    <w:rsid w:val="00B63BA0"/>
    <w:rsid w:val="00B63C11"/>
    <w:rsid w:val="00B63DDE"/>
    <w:rsid w:val="00B63E09"/>
    <w:rsid w:val="00B63E18"/>
    <w:rsid w:val="00B63F4F"/>
    <w:rsid w:val="00B63F68"/>
    <w:rsid w:val="00B63FC8"/>
    <w:rsid w:val="00B63FE0"/>
    <w:rsid w:val="00B64029"/>
    <w:rsid w:val="00B641AC"/>
    <w:rsid w:val="00B6428D"/>
    <w:rsid w:val="00B642B4"/>
    <w:rsid w:val="00B642CC"/>
    <w:rsid w:val="00B642EE"/>
    <w:rsid w:val="00B64419"/>
    <w:rsid w:val="00B64430"/>
    <w:rsid w:val="00B64497"/>
    <w:rsid w:val="00B644EE"/>
    <w:rsid w:val="00B645AC"/>
    <w:rsid w:val="00B64739"/>
    <w:rsid w:val="00B64741"/>
    <w:rsid w:val="00B64819"/>
    <w:rsid w:val="00B64861"/>
    <w:rsid w:val="00B648BF"/>
    <w:rsid w:val="00B64920"/>
    <w:rsid w:val="00B64960"/>
    <w:rsid w:val="00B64961"/>
    <w:rsid w:val="00B649E1"/>
    <w:rsid w:val="00B64AA5"/>
    <w:rsid w:val="00B64AFF"/>
    <w:rsid w:val="00B64B8F"/>
    <w:rsid w:val="00B64BA0"/>
    <w:rsid w:val="00B64C22"/>
    <w:rsid w:val="00B64C59"/>
    <w:rsid w:val="00B64C5C"/>
    <w:rsid w:val="00B64D1C"/>
    <w:rsid w:val="00B64D48"/>
    <w:rsid w:val="00B64DFE"/>
    <w:rsid w:val="00B64EBB"/>
    <w:rsid w:val="00B64EFA"/>
    <w:rsid w:val="00B64F48"/>
    <w:rsid w:val="00B64FBA"/>
    <w:rsid w:val="00B64FEF"/>
    <w:rsid w:val="00B65025"/>
    <w:rsid w:val="00B65084"/>
    <w:rsid w:val="00B650B3"/>
    <w:rsid w:val="00B650D0"/>
    <w:rsid w:val="00B650DF"/>
    <w:rsid w:val="00B65147"/>
    <w:rsid w:val="00B6521D"/>
    <w:rsid w:val="00B652BE"/>
    <w:rsid w:val="00B653A3"/>
    <w:rsid w:val="00B65409"/>
    <w:rsid w:val="00B65425"/>
    <w:rsid w:val="00B654D4"/>
    <w:rsid w:val="00B65584"/>
    <w:rsid w:val="00B65646"/>
    <w:rsid w:val="00B65659"/>
    <w:rsid w:val="00B656FA"/>
    <w:rsid w:val="00B6572E"/>
    <w:rsid w:val="00B657BC"/>
    <w:rsid w:val="00B65898"/>
    <w:rsid w:val="00B658EB"/>
    <w:rsid w:val="00B658FA"/>
    <w:rsid w:val="00B65907"/>
    <w:rsid w:val="00B6597E"/>
    <w:rsid w:val="00B65A21"/>
    <w:rsid w:val="00B65AEB"/>
    <w:rsid w:val="00B65B23"/>
    <w:rsid w:val="00B65B58"/>
    <w:rsid w:val="00B65B60"/>
    <w:rsid w:val="00B65BAD"/>
    <w:rsid w:val="00B65BDF"/>
    <w:rsid w:val="00B65C1F"/>
    <w:rsid w:val="00B65D01"/>
    <w:rsid w:val="00B65D41"/>
    <w:rsid w:val="00B65E37"/>
    <w:rsid w:val="00B65E5F"/>
    <w:rsid w:val="00B65ED9"/>
    <w:rsid w:val="00B65F3D"/>
    <w:rsid w:val="00B65FB6"/>
    <w:rsid w:val="00B660DE"/>
    <w:rsid w:val="00B66173"/>
    <w:rsid w:val="00B6638B"/>
    <w:rsid w:val="00B663F0"/>
    <w:rsid w:val="00B66435"/>
    <w:rsid w:val="00B66787"/>
    <w:rsid w:val="00B66797"/>
    <w:rsid w:val="00B667BE"/>
    <w:rsid w:val="00B667FC"/>
    <w:rsid w:val="00B66840"/>
    <w:rsid w:val="00B66866"/>
    <w:rsid w:val="00B66A4E"/>
    <w:rsid w:val="00B66A67"/>
    <w:rsid w:val="00B66AEF"/>
    <w:rsid w:val="00B66B90"/>
    <w:rsid w:val="00B66C8B"/>
    <w:rsid w:val="00B66E1B"/>
    <w:rsid w:val="00B66EB7"/>
    <w:rsid w:val="00B66F89"/>
    <w:rsid w:val="00B66FD6"/>
    <w:rsid w:val="00B6702E"/>
    <w:rsid w:val="00B6703B"/>
    <w:rsid w:val="00B67136"/>
    <w:rsid w:val="00B67182"/>
    <w:rsid w:val="00B6719A"/>
    <w:rsid w:val="00B67237"/>
    <w:rsid w:val="00B67287"/>
    <w:rsid w:val="00B672E3"/>
    <w:rsid w:val="00B6730A"/>
    <w:rsid w:val="00B6740C"/>
    <w:rsid w:val="00B674C2"/>
    <w:rsid w:val="00B67538"/>
    <w:rsid w:val="00B67599"/>
    <w:rsid w:val="00B67630"/>
    <w:rsid w:val="00B67715"/>
    <w:rsid w:val="00B67803"/>
    <w:rsid w:val="00B6783C"/>
    <w:rsid w:val="00B6786C"/>
    <w:rsid w:val="00B67988"/>
    <w:rsid w:val="00B67A03"/>
    <w:rsid w:val="00B67A43"/>
    <w:rsid w:val="00B67A8F"/>
    <w:rsid w:val="00B67AB7"/>
    <w:rsid w:val="00B67AC8"/>
    <w:rsid w:val="00B67ACD"/>
    <w:rsid w:val="00B67AF5"/>
    <w:rsid w:val="00B67B8C"/>
    <w:rsid w:val="00B67C1A"/>
    <w:rsid w:val="00B67C41"/>
    <w:rsid w:val="00B67C6E"/>
    <w:rsid w:val="00B67CBD"/>
    <w:rsid w:val="00B67DEF"/>
    <w:rsid w:val="00B67E33"/>
    <w:rsid w:val="00B67EB4"/>
    <w:rsid w:val="00B67F4C"/>
    <w:rsid w:val="00B70053"/>
    <w:rsid w:val="00B70064"/>
    <w:rsid w:val="00B701EF"/>
    <w:rsid w:val="00B701FD"/>
    <w:rsid w:val="00B7025D"/>
    <w:rsid w:val="00B703AD"/>
    <w:rsid w:val="00B7044C"/>
    <w:rsid w:val="00B70485"/>
    <w:rsid w:val="00B70575"/>
    <w:rsid w:val="00B705DF"/>
    <w:rsid w:val="00B7068A"/>
    <w:rsid w:val="00B706F9"/>
    <w:rsid w:val="00B708EA"/>
    <w:rsid w:val="00B70915"/>
    <w:rsid w:val="00B70927"/>
    <w:rsid w:val="00B70962"/>
    <w:rsid w:val="00B709FB"/>
    <w:rsid w:val="00B70B6E"/>
    <w:rsid w:val="00B70C2A"/>
    <w:rsid w:val="00B70C34"/>
    <w:rsid w:val="00B70C81"/>
    <w:rsid w:val="00B70D9F"/>
    <w:rsid w:val="00B70E1A"/>
    <w:rsid w:val="00B70E67"/>
    <w:rsid w:val="00B70EE2"/>
    <w:rsid w:val="00B70F5E"/>
    <w:rsid w:val="00B7106B"/>
    <w:rsid w:val="00B71087"/>
    <w:rsid w:val="00B710E6"/>
    <w:rsid w:val="00B710FD"/>
    <w:rsid w:val="00B71123"/>
    <w:rsid w:val="00B71170"/>
    <w:rsid w:val="00B711AB"/>
    <w:rsid w:val="00B71256"/>
    <w:rsid w:val="00B715D7"/>
    <w:rsid w:val="00B715DE"/>
    <w:rsid w:val="00B717F7"/>
    <w:rsid w:val="00B71987"/>
    <w:rsid w:val="00B719A0"/>
    <w:rsid w:val="00B71A13"/>
    <w:rsid w:val="00B71AA5"/>
    <w:rsid w:val="00B71ACA"/>
    <w:rsid w:val="00B71B97"/>
    <w:rsid w:val="00B71BFF"/>
    <w:rsid w:val="00B71C0C"/>
    <w:rsid w:val="00B71C12"/>
    <w:rsid w:val="00B71E1F"/>
    <w:rsid w:val="00B71E30"/>
    <w:rsid w:val="00B71E5B"/>
    <w:rsid w:val="00B71EDA"/>
    <w:rsid w:val="00B71F02"/>
    <w:rsid w:val="00B7208D"/>
    <w:rsid w:val="00B7210D"/>
    <w:rsid w:val="00B7228F"/>
    <w:rsid w:val="00B722D6"/>
    <w:rsid w:val="00B7232A"/>
    <w:rsid w:val="00B7248D"/>
    <w:rsid w:val="00B72503"/>
    <w:rsid w:val="00B725C4"/>
    <w:rsid w:val="00B7261D"/>
    <w:rsid w:val="00B726C7"/>
    <w:rsid w:val="00B72746"/>
    <w:rsid w:val="00B727AB"/>
    <w:rsid w:val="00B72869"/>
    <w:rsid w:val="00B7288B"/>
    <w:rsid w:val="00B728AE"/>
    <w:rsid w:val="00B72944"/>
    <w:rsid w:val="00B72A08"/>
    <w:rsid w:val="00B72A4E"/>
    <w:rsid w:val="00B72AD4"/>
    <w:rsid w:val="00B72B31"/>
    <w:rsid w:val="00B72B77"/>
    <w:rsid w:val="00B72BD2"/>
    <w:rsid w:val="00B72C2F"/>
    <w:rsid w:val="00B72C3E"/>
    <w:rsid w:val="00B72DFD"/>
    <w:rsid w:val="00B72E4E"/>
    <w:rsid w:val="00B72F1A"/>
    <w:rsid w:val="00B72F41"/>
    <w:rsid w:val="00B72F4F"/>
    <w:rsid w:val="00B730DA"/>
    <w:rsid w:val="00B731A5"/>
    <w:rsid w:val="00B7320A"/>
    <w:rsid w:val="00B734B2"/>
    <w:rsid w:val="00B7367B"/>
    <w:rsid w:val="00B73694"/>
    <w:rsid w:val="00B736FA"/>
    <w:rsid w:val="00B73707"/>
    <w:rsid w:val="00B73778"/>
    <w:rsid w:val="00B7377D"/>
    <w:rsid w:val="00B737DC"/>
    <w:rsid w:val="00B73852"/>
    <w:rsid w:val="00B738EC"/>
    <w:rsid w:val="00B73913"/>
    <w:rsid w:val="00B7391D"/>
    <w:rsid w:val="00B73A98"/>
    <w:rsid w:val="00B73BA0"/>
    <w:rsid w:val="00B73CE9"/>
    <w:rsid w:val="00B73E50"/>
    <w:rsid w:val="00B73EB1"/>
    <w:rsid w:val="00B73F42"/>
    <w:rsid w:val="00B73F9A"/>
    <w:rsid w:val="00B74050"/>
    <w:rsid w:val="00B740B8"/>
    <w:rsid w:val="00B74154"/>
    <w:rsid w:val="00B74190"/>
    <w:rsid w:val="00B741CE"/>
    <w:rsid w:val="00B74289"/>
    <w:rsid w:val="00B742F7"/>
    <w:rsid w:val="00B74301"/>
    <w:rsid w:val="00B74469"/>
    <w:rsid w:val="00B744BF"/>
    <w:rsid w:val="00B74557"/>
    <w:rsid w:val="00B745C6"/>
    <w:rsid w:val="00B745E9"/>
    <w:rsid w:val="00B74616"/>
    <w:rsid w:val="00B7468B"/>
    <w:rsid w:val="00B746CF"/>
    <w:rsid w:val="00B746E4"/>
    <w:rsid w:val="00B746E9"/>
    <w:rsid w:val="00B74817"/>
    <w:rsid w:val="00B74830"/>
    <w:rsid w:val="00B748C1"/>
    <w:rsid w:val="00B7490D"/>
    <w:rsid w:val="00B74928"/>
    <w:rsid w:val="00B7495D"/>
    <w:rsid w:val="00B7499B"/>
    <w:rsid w:val="00B749FE"/>
    <w:rsid w:val="00B74B33"/>
    <w:rsid w:val="00B74BAD"/>
    <w:rsid w:val="00B74CDF"/>
    <w:rsid w:val="00B74D13"/>
    <w:rsid w:val="00B74D1C"/>
    <w:rsid w:val="00B74DCA"/>
    <w:rsid w:val="00B74E0D"/>
    <w:rsid w:val="00B74E15"/>
    <w:rsid w:val="00B74E42"/>
    <w:rsid w:val="00B74E4E"/>
    <w:rsid w:val="00B74F30"/>
    <w:rsid w:val="00B750B1"/>
    <w:rsid w:val="00B75131"/>
    <w:rsid w:val="00B75149"/>
    <w:rsid w:val="00B75184"/>
    <w:rsid w:val="00B75245"/>
    <w:rsid w:val="00B752B7"/>
    <w:rsid w:val="00B752DF"/>
    <w:rsid w:val="00B752F3"/>
    <w:rsid w:val="00B75375"/>
    <w:rsid w:val="00B753F6"/>
    <w:rsid w:val="00B754C2"/>
    <w:rsid w:val="00B7550A"/>
    <w:rsid w:val="00B757FE"/>
    <w:rsid w:val="00B75981"/>
    <w:rsid w:val="00B759F5"/>
    <w:rsid w:val="00B75A0B"/>
    <w:rsid w:val="00B75A43"/>
    <w:rsid w:val="00B75B2C"/>
    <w:rsid w:val="00B75B68"/>
    <w:rsid w:val="00B75C66"/>
    <w:rsid w:val="00B75C97"/>
    <w:rsid w:val="00B75CA7"/>
    <w:rsid w:val="00B75CD0"/>
    <w:rsid w:val="00B75E56"/>
    <w:rsid w:val="00B75F4A"/>
    <w:rsid w:val="00B75FC0"/>
    <w:rsid w:val="00B75FF0"/>
    <w:rsid w:val="00B7602D"/>
    <w:rsid w:val="00B760E8"/>
    <w:rsid w:val="00B761B0"/>
    <w:rsid w:val="00B762EE"/>
    <w:rsid w:val="00B763AA"/>
    <w:rsid w:val="00B765D7"/>
    <w:rsid w:val="00B766E0"/>
    <w:rsid w:val="00B76736"/>
    <w:rsid w:val="00B7674A"/>
    <w:rsid w:val="00B7679B"/>
    <w:rsid w:val="00B76817"/>
    <w:rsid w:val="00B768E2"/>
    <w:rsid w:val="00B768EF"/>
    <w:rsid w:val="00B769D8"/>
    <w:rsid w:val="00B76BA1"/>
    <w:rsid w:val="00B76C65"/>
    <w:rsid w:val="00B76CDD"/>
    <w:rsid w:val="00B76D23"/>
    <w:rsid w:val="00B76E3E"/>
    <w:rsid w:val="00B76E51"/>
    <w:rsid w:val="00B76E89"/>
    <w:rsid w:val="00B76E94"/>
    <w:rsid w:val="00B76EFC"/>
    <w:rsid w:val="00B76FB2"/>
    <w:rsid w:val="00B77062"/>
    <w:rsid w:val="00B77074"/>
    <w:rsid w:val="00B7711F"/>
    <w:rsid w:val="00B77290"/>
    <w:rsid w:val="00B77307"/>
    <w:rsid w:val="00B7730E"/>
    <w:rsid w:val="00B77324"/>
    <w:rsid w:val="00B77352"/>
    <w:rsid w:val="00B77356"/>
    <w:rsid w:val="00B77381"/>
    <w:rsid w:val="00B77425"/>
    <w:rsid w:val="00B77474"/>
    <w:rsid w:val="00B775E6"/>
    <w:rsid w:val="00B77777"/>
    <w:rsid w:val="00B777D4"/>
    <w:rsid w:val="00B77805"/>
    <w:rsid w:val="00B77814"/>
    <w:rsid w:val="00B77921"/>
    <w:rsid w:val="00B77A9B"/>
    <w:rsid w:val="00B77B05"/>
    <w:rsid w:val="00B77B6E"/>
    <w:rsid w:val="00B77CAD"/>
    <w:rsid w:val="00B77D65"/>
    <w:rsid w:val="00B77E0E"/>
    <w:rsid w:val="00B77E11"/>
    <w:rsid w:val="00B77E22"/>
    <w:rsid w:val="00B77E6B"/>
    <w:rsid w:val="00B77EA2"/>
    <w:rsid w:val="00B77EA4"/>
    <w:rsid w:val="00B77F1D"/>
    <w:rsid w:val="00B77F35"/>
    <w:rsid w:val="00B77F86"/>
    <w:rsid w:val="00B80006"/>
    <w:rsid w:val="00B80039"/>
    <w:rsid w:val="00B8007E"/>
    <w:rsid w:val="00B8008A"/>
    <w:rsid w:val="00B800BB"/>
    <w:rsid w:val="00B80172"/>
    <w:rsid w:val="00B801C3"/>
    <w:rsid w:val="00B801FB"/>
    <w:rsid w:val="00B802B6"/>
    <w:rsid w:val="00B803F2"/>
    <w:rsid w:val="00B80564"/>
    <w:rsid w:val="00B8067C"/>
    <w:rsid w:val="00B806BD"/>
    <w:rsid w:val="00B80826"/>
    <w:rsid w:val="00B80938"/>
    <w:rsid w:val="00B809E0"/>
    <w:rsid w:val="00B80B64"/>
    <w:rsid w:val="00B80C3C"/>
    <w:rsid w:val="00B80C4C"/>
    <w:rsid w:val="00B80C51"/>
    <w:rsid w:val="00B80D79"/>
    <w:rsid w:val="00B80E20"/>
    <w:rsid w:val="00B80E91"/>
    <w:rsid w:val="00B80EAC"/>
    <w:rsid w:val="00B80F1A"/>
    <w:rsid w:val="00B80F21"/>
    <w:rsid w:val="00B80F8B"/>
    <w:rsid w:val="00B810D0"/>
    <w:rsid w:val="00B810EF"/>
    <w:rsid w:val="00B81151"/>
    <w:rsid w:val="00B812CD"/>
    <w:rsid w:val="00B813FB"/>
    <w:rsid w:val="00B813FD"/>
    <w:rsid w:val="00B814DF"/>
    <w:rsid w:val="00B8156D"/>
    <w:rsid w:val="00B8157B"/>
    <w:rsid w:val="00B815CD"/>
    <w:rsid w:val="00B815F7"/>
    <w:rsid w:val="00B81608"/>
    <w:rsid w:val="00B81612"/>
    <w:rsid w:val="00B8167A"/>
    <w:rsid w:val="00B816B0"/>
    <w:rsid w:val="00B816CA"/>
    <w:rsid w:val="00B816E8"/>
    <w:rsid w:val="00B81823"/>
    <w:rsid w:val="00B8190A"/>
    <w:rsid w:val="00B81910"/>
    <w:rsid w:val="00B819FF"/>
    <w:rsid w:val="00B81A99"/>
    <w:rsid w:val="00B81AE9"/>
    <w:rsid w:val="00B81BC8"/>
    <w:rsid w:val="00B81C2E"/>
    <w:rsid w:val="00B81D09"/>
    <w:rsid w:val="00B81D23"/>
    <w:rsid w:val="00B81E6D"/>
    <w:rsid w:val="00B81EFB"/>
    <w:rsid w:val="00B821B3"/>
    <w:rsid w:val="00B822EC"/>
    <w:rsid w:val="00B82445"/>
    <w:rsid w:val="00B82493"/>
    <w:rsid w:val="00B8251A"/>
    <w:rsid w:val="00B82548"/>
    <w:rsid w:val="00B825A6"/>
    <w:rsid w:val="00B82637"/>
    <w:rsid w:val="00B8265C"/>
    <w:rsid w:val="00B82674"/>
    <w:rsid w:val="00B82679"/>
    <w:rsid w:val="00B826AF"/>
    <w:rsid w:val="00B8279A"/>
    <w:rsid w:val="00B827AC"/>
    <w:rsid w:val="00B827C0"/>
    <w:rsid w:val="00B8281C"/>
    <w:rsid w:val="00B829D2"/>
    <w:rsid w:val="00B829FC"/>
    <w:rsid w:val="00B82A41"/>
    <w:rsid w:val="00B82AD1"/>
    <w:rsid w:val="00B82BE6"/>
    <w:rsid w:val="00B82C7E"/>
    <w:rsid w:val="00B82CB7"/>
    <w:rsid w:val="00B82CE8"/>
    <w:rsid w:val="00B82CF5"/>
    <w:rsid w:val="00B82D80"/>
    <w:rsid w:val="00B82D86"/>
    <w:rsid w:val="00B82E2C"/>
    <w:rsid w:val="00B82EB8"/>
    <w:rsid w:val="00B82F55"/>
    <w:rsid w:val="00B82F5D"/>
    <w:rsid w:val="00B82FA4"/>
    <w:rsid w:val="00B82FD4"/>
    <w:rsid w:val="00B82FD8"/>
    <w:rsid w:val="00B82FF3"/>
    <w:rsid w:val="00B830B9"/>
    <w:rsid w:val="00B830FD"/>
    <w:rsid w:val="00B83110"/>
    <w:rsid w:val="00B83154"/>
    <w:rsid w:val="00B831C1"/>
    <w:rsid w:val="00B8323E"/>
    <w:rsid w:val="00B83243"/>
    <w:rsid w:val="00B83376"/>
    <w:rsid w:val="00B834F0"/>
    <w:rsid w:val="00B834FA"/>
    <w:rsid w:val="00B83538"/>
    <w:rsid w:val="00B83582"/>
    <w:rsid w:val="00B8363A"/>
    <w:rsid w:val="00B8366A"/>
    <w:rsid w:val="00B83AFF"/>
    <w:rsid w:val="00B83B4D"/>
    <w:rsid w:val="00B83C05"/>
    <w:rsid w:val="00B83C48"/>
    <w:rsid w:val="00B83C6E"/>
    <w:rsid w:val="00B83C7D"/>
    <w:rsid w:val="00B83C83"/>
    <w:rsid w:val="00B83CD2"/>
    <w:rsid w:val="00B83CFF"/>
    <w:rsid w:val="00B83E1E"/>
    <w:rsid w:val="00B83E5E"/>
    <w:rsid w:val="00B83EB1"/>
    <w:rsid w:val="00B83FC8"/>
    <w:rsid w:val="00B83FCC"/>
    <w:rsid w:val="00B8400E"/>
    <w:rsid w:val="00B840C8"/>
    <w:rsid w:val="00B843E2"/>
    <w:rsid w:val="00B843E6"/>
    <w:rsid w:val="00B8441B"/>
    <w:rsid w:val="00B84622"/>
    <w:rsid w:val="00B846A1"/>
    <w:rsid w:val="00B846AB"/>
    <w:rsid w:val="00B846DE"/>
    <w:rsid w:val="00B846F2"/>
    <w:rsid w:val="00B8470F"/>
    <w:rsid w:val="00B8485E"/>
    <w:rsid w:val="00B84934"/>
    <w:rsid w:val="00B84BDF"/>
    <w:rsid w:val="00B84BE8"/>
    <w:rsid w:val="00B84BFC"/>
    <w:rsid w:val="00B84CB3"/>
    <w:rsid w:val="00B84CD7"/>
    <w:rsid w:val="00B84D8F"/>
    <w:rsid w:val="00B84E29"/>
    <w:rsid w:val="00B84F3C"/>
    <w:rsid w:val="00B84F4C"/>
    <w:rsid w:val="00B85133"/>
    <w:rsid w:val="00B85260"/>
    <w:rsid w:val="00B852A4"/>
    <w:rsid w:val="00B853E1"/>
    <w:rsid w:val="00B853F7"/>
    <w:rsid w:val="00B85415"/>
    <w:rsid w:val="00B854E0"/>
    <w:rsid w:val="00B855C0"/>
    <w:rsid w:val="00B85600"/>
    <w:rsid w:val="00B85829"/>
    <w:rsid w:val="00B858D2"/>
    <w:rsid w:val="00B858E0"/>
    <w:rsid w:val="00B8592F"/>
    <w:rsid w:val="00B859AF"/>
    <w:rsid w:val="00B85AD9"/>
    <w:rsid w:val="00B85B56"/>
    <w:rsid w:val="00B85BAA"/>
    <w:rsid w:val="00B85C1A"/>
    <w:rsid w:val="00B85CD4"/>
    <w:rsid w:val="00B85FCA"/>
    <w:rsid w:val="00B85FD6"/>
    <w:rsid w:val="00B8610D"/>
    <w:rsid w:val="00B8610E"/>
    <w:rsid w:val="00B86194"/>
    <w:rsid w:val="00B861A3"/>
    <w:rsid w:val="00B861D3"/>
    <w:rsid w:val="00B861D6"/>
    <w:rsid w:val="00B86220"/>
    <w:rsid w:val="00B86277"/>
    <w:rsid w:val="00B863B2"/>
    <w:rsid w:val="00B863EF"/>
    <w:rsid w:val="00B86406"/>
    <w:rsid w:val="00B8645C"/>
    <w:rsid w:val="00B86515"/>
    <w:rsid w:val="00B86553"/>
    <w:rsid w:val="00B86581"/>
    <w:rsid w:val="00B865E5"/>
    <w:rsid w:val="00B86626"/>
    <w:rsid w:val="00B8667A"/>
    <w:rsid w:val="00B866A5"/>
    <w:rsid w:val="00B8679C"/>
    <w:rsid w:val="00B8679E"/>
    <w:rsid w:val="00B8683D"/>
    <w:rsid w:val="00B86944"/>
    <w:rsid w:val="00B8699C"/>
    <w:rsid w:val="00B86B04"/>
    <w:rsid w:val="00B86BA2"/>
    <w:rsid w:val="00B86CC2"/>
    <w:rsid w:val="00B86D43"/>
    <w:rsid w:val="00B86D7D"/>
    <w:rsid w:val="00B86E29"/>
    <w:rsid w:val="00B86EB5"/>
    <w:rsid w:val="00B86F93"/>
    <w:rsid w:val="00B8725D"/>
    <w:rsid w:val="00B87354"/>
    <w:rsid w:val="00B8738A"/>
    <w:rsid w:val="00B873B0"/>
    <w:rsid w:val="00B87420"/>
    <w:rsid w:val="00B8742F"/>
    <w:rsid w:val="00B87449"/>
    <w:rsid w:val="00B8748B"/>
    <w:rsid w:val="00B8748E"/>
    <w:rsid w:val="00B874BC"/>
    <w:rsid w:val="00B87526"/>
    <w:rsid w:val="00B8759F"/>
    <w:rsid w:val="00B875A6"/>
    <w:rsid w:val="00B875B2"/>
    <w:rsid w:val="00B876B4"/>
    <w:rsid w:val="00B876FB"/>
    <w:rsid w:val="00B8779D"/>
    <w:rsid w:val="00B877FF"/>
    <w:rsid w:val="00B878A3"/>
    <w:rsid w:val="00B878ED"/>
    <w:rsid w:val="00B87B6A"/>
    <w:rsid w:val="00B87BD7"/>
    <w:rsid w:val="00B87C32"/>
    <w:rsid w:val="00B87C40"/>
    <w:rsid w:val="00B87C43"/>
    <w:rsid w:val="00B87D3B"/>
    <w:rsid w:val="00B87DFE"/>
    <w:rsid w:val="00B87EAA"/>
    <w:rsid w:val="00B87EEF"/>
    <w:rsid w:val="00B9002E"/>
    <w:rsid w:val="00B900A7"/>
    <w:rsid w:val="00B900E0"/>
    <w:rsid w:val="00B90136"/>
    <w:rsid w:val="00B90142"/>
    <w:rsid w:val="00B90165"/>
    <w:rsid w:val="00B9018B"/>
    <w:rsid w:val="00B9018D"/>
    <w:rsid w:val="00B902F3"/>
    <w:rsid w:val="00B9034B"/>
    <w:rsid w:val="00B9039C"/>
    <w:rsid w:val="00B903CC"/>
    <w:rsid w:val="00B905F7"/>
    <w:rsid w:val="00B905F8"/>
    <w:rsid w:val="00B906AB"/>
    <w:rsid w:val="00B9073C"/>
    <w:rsid w:val="00B907A6"/>
    <w:rsid w:val="00B908DD"/>
    <w:rsid w:val="00B90920"/>
    <w:rsid w:val="00B90973"/>
    <w:rsid w:val="00B90985"/>
    <w:rsid w:val="00B90A50"/>
    <w:rsid w:val="00B90AD4"/>
    <w:rsid w:val="00B90D84"/>
    <w:rsid w:val="00B90DE9"/>
    <w:rsid w:val="00B90E37"/>
    <w:rsid w:val="00B90F68"/>
    <w:rsid w:val="00B90F7C"/>
    <w:rsid w:val="00B90FC3"/>
    <w:rsid w:val="00B90FEF"/>
    <w:rsid w:val="00B91130"/>
    <w:rsid w:val="00B911D5"/>
    <w:rsid w:val="00B911EF"/>
    <w:rsid w:val="00B9127B"/>
    <w:rsid w:val="00B9128A"/>
    <w:rsid w:val="00B912EF"/>
    <w:rsid w:val="00B91308"/>
    <w:rsid w:val="00B91330"/>
    <w:rsid w:val="00B913DA"/>
    <w:rsid w:val="00B913EE"/>
    <w:rsid w:val="00B9147C"/>
    <w:rsid w:val="00B915C2"/>
    <w:rsid w:val="00B915CF"/>
    <w:rsid w:val="00B91672"/>
    <w:rsid w:val="00B916B9"/>
    <w:rsid w:val="00B916DE"/>
    <w:rsid w:val="00B9182A"/>
    <w:rsid w:val="00B9187C"/>
    <w:rsid w:val="00B918AC"/>
    <w:rsid w:val="00B91B07"/>
    <w:rsid w:val="00B91B36"/>
    <w:rsid w:val="00B91DEA"/>
    <w:rsid w:val="00B91DF3"/>
    <w:rsid w:val="00B91E8F"/>
    <w:rsid w:val="00B91F5D"/>
    <w:rsid w:val="00B92036"/>
    <w:rsid w:val="00B920CF"/>
    <w:rsid w:val="00B9212C"/>
    <w:rsid w:val="00B92139"/>
    <w:rsid w:val="00B921D6"/>
    <w:rsid w:val="00B9230D"/>
    <w:rsid w:val="00B9231C"/>
    <w:rsid w:val="00B9242D"/>
    <w:rsid w:val="00B92433"/>
    <w:rsid w:val="00B9248C"/>
    <w:rsid w:val="00B9255E"/>
    <w:rsid w:val="00B925A0"/>
    <w:rsid w:val="00B926C6"/>
    <w:rsid w:val="00B928BA"/>
    <w:rsid w:val="00B92936"/>
    <w:rsid w:val="00B9294D"/>
    <w:rsid w:val="00B929E0"/>
    <w:rsid w:val="00B92A27"/>
    <w:rsid w:val="00B92A7C"/>
    <w:rsid w:val="00B92AA2"/>
    <w:rsid w:val="00B92AFC"/>
    <w:rsid w:val="00B92B06"/>
    <w:rsid w:val="00B92B46"/>
    <w:rsid w:val="00B92BD1"/>
    <w:rsid w:val="00B92C3D"/>
    <w:rsid w:val="00B92C45"/>
    <w:rsid w:val="00B92C8A"/>
    <w:rsid w:val="00B92CC3"/>
    <w:rsid w:val="00B92D8B"/>
    <w:rsid w:val="00B92DC7"/>
    <w:rsid w:val="00B92DCD"/>
    <w:rsid w:val="00B92DE1"/>
    <w:rsid w:val="00B92E21"/>
    <w:rsid w:val="00B92F7A"/>
    <w:rsid w:val="00B92F8A"/>
    <w:rsid w:val="00B9306A"/>
    <w:rsid w:val="00B93116"/>
    <w:rsid w:val="00B931AA"/>
    <w:rsid w:val="00B93240"/>
    <w:rsid w:val="00B932B3"/>
    <w:rsid w:val="00B9331D"/>
    <w:rsid w:val="00B93370"/>
    <w:rsid w:val="00B934B9"/>
    <w:rsid w:val="00B934DD"/>
    <w:rsid w:val="00B935B2"/>
    <w:rsid w:val="00B935E8"/>
    <w:rsid w:val="00B93618"/>
    <w:rsid w:val="00B9363D"/>
    <w:rsid w:val="00B93681"/>
    <w:rsid w:val="00B936AE"/>
    <w:rsid w:val="00B936D4"/>
    <w:rsid w:val="00B936E1"/>
    <w:rsid w:val="00B93717"/>
    <w:rsid w:val="00B9374C"/>
    <w:rsid w:val="00B93840"/>
    <w:rsid w:val="00B938F8"/>
    <w:rsid w:val="00B939E4"/>
    <w:rsid w:val="00B939E6"/>
    <w:rsid w:val="00B93B57"/>
    <w:rsid w:val="00B93CD8"/>
    <w:rsid w:val="00B93D39"/>
    <w:rsid w:val="00B93D53"/>
    <w:rsid w:val="00B93DE0"/>
    <w:rsid w:val="00B93E19"/>
    <w:rsid w:val="00B93EA4"/>
    <w:rsid w:val="00B93F06"/>
    <w:rsid w:val="00B93F4A"/>
    <w:rsid w:val="00B93F6B"/>
    <w:rsid w:val="00B93FAE"/>
    <w:rsid w:val="00B9402C"/>
    <w:rsid w:val="00B94048"/>
    <w:rsid w:val="00B94076"/>
    <w:rsid w:val="00B9414E"/>
    <w:rsid w:val="00B94198"/>
    <w:rsid w:val="00B941C5"/>
    <w:rsid w:val="00B941C6"/>
    <w:rsid w:val="00B941D6"/>
    <w:rsid w:val="00B94320"/>
    <w:rsid w:val="00B94375"/>
    <w:rsid w:val="00B94391"/>
    <w:rsid w:val="00B944E6"/>
    <w:rsid w:val="00B94559"/>
    <w:rsid w:val="00B94592"/>
    <w:rsid w:val="00B94728"/>
    <w:rsid w:val="00B94780"/>
    <w:rsid w:val="00B947AB"/>
    <w:rsid w:val="00B949D8"/>
    <w:rsid w:val="00B94A4D"/>
    <w:rsid w:val="00B94ABD"/>
    <w:rsid w:val="00B94ABF"/>
    <w:rsid w:val="00B94BB2"/>
    <w:rsid w:val="00B94C06"/>
    <w:rsid w:val="00B94D4F"/>
    <w:rsid w:val="00B94D74"/>
    <w:rsid w:val="00B94D98"/>
    <w:rsid w:val="00B94E53"/>
    <w:rsid w:val="00B94EA4"/>
    <w:rsid w:val="00B94EB0"/>
    <w:rsid w:val="00B94EE5"/>
    <w:rsid w:val="00B94EFC"/>
    <w:rsid w:val="00B94F2C"/>
    <w:rsid w:val="00B94F76"/>
    <w:rsid w:val="00B94FA2"/>
    <w:rsid w:val="00B94FD5"/>
    <w:rsid w:val="00B95021"/>
    <w:rsid w:val="00B95071"/>
    <w:rsid w:val="00B95086"/>
    <w:rsid w:val="00B950CE"/>
    <w:rsid w:val="00B951B6"/>
    <w:rsid w:val="00B95312"/>
    <w:rsid w:val="00B95375"/>
    <w:rsid w:val="00B95404"/>
    <w:rsid w:val="00B95558"/>
    <w:rsid w:val="00B95579"/>
    <w:rsid w:val="00B95704"/>
    <w:rsid w:val="00B957E9"/>
    <w:rsid w:val="00B957F0"/>
    <w:rsid w:val="00B9583F"/>
    <w:rsid w:val="00B9587F"/>
    <w:rsid w:val="00B958BE"/>
    <w:rsid w:val="00B95973"/>
    <w:rsid w:val="00B959AF"/>
    <w:rsid w:val="00B95A17"/>
    <w:rsid w:val="00B95B45"/>
    <w:rsid w:val="00B95B5D"/>
    <w:rsid w:val="00B95BE3"/>
    <w:rsid w:val="00B95C24"/>
    <w:rsid w:val="00B95D01"/>
    <w:rsid w:val="00B95DA9"/>
    <w:rsid w:val="00B95DF6"/>
    <w:rsid w:val="00B95EF3"/>
    <w:rsid w:val="00B95FD6"/>
    <w:rsid w:val="00B96111"/>
    <w:rsid w:val="00B96167"/>
    <w:rsid w:val="00B96274"/>
    <w:rsid w:val="00B9627A"/>
    <w:rsid w:val="00B96304"/>
    <w:rsid w:val="00B96313"/>
    <w:rsid w:val="00B96379"/>
    <w:rsid w:val="00B963AD"/>
    <w:rsid w:val="00B963C3"/>
    <w:rsid w:val="00B963CB"/>
    <w:rsid w:val="00B96415"/>
    <w:rsid w:val="00B9648B"/>
    <w:rsid w:val="00B9658D"/>
    <w:rsid w:val="00B965B4"/>
    <w:rsid w:val="00B965EC"/>
    <w:rsid w:val="00B96626"/>
    <w:rsid w:val="00B966A4"/>
    <w:rsid w:val="00B9674C"/>
    <w:rsid w:val="00B967FC"/>
    <w:rsid w:val="00B9680A"/>
    <w:rsid w:val="00B96827"/>
    <w:rsid w:val="00B9682D"/>
    <w:rsid w:val="00B9686D"/>
    <w:rsid w:val="00B96876"/>
    <w:rsid w:val="00B968A7"/>
    <w:rsid w:val="00B96919"/>
    <w:rsid w:val="00B96983"/>
    <w:rsid w:val="00B96A85"/>
    <w:rsid w:val="00B96B01"/>
    <w:rsid w:val="00B96BA9"/>
    <w:rsid w:val="00B96BFC"/>
    <w:rsid w:val="00B96C63"/>
    <w:rsid w:val="00B96C77"/>
    <w:rsid w:val="00B96CF1"/>
    <w:rsid w:val="00B96CF8"/>
    <w:rsid w:val="00B96D90"/>
    <w:rsid w:val="00B96E0C"/>
    <w:rsid w:val="00B96E9F"/>
    <w:rsid w:val="00B96EAB"/>
    <w:rsid w:val="00B96F9B"/>
    <w:rsid w:val="00B97004"/>
    <w:rsid w:val="00B97121"/>
    <w:rsid w:val="00B97167"/>
    <w:rsid w:val="00B97232"/>
    <w:rsid w:val="00B97292"/>
    <w:rsid w:val="00B97293"/>
    <w:rsid w:val="00B97300"/>
    <w:rsid w:val="00B9733A"/>
    <w:rsid w:val="00B973B9"/>
    <w:rsid w:val="00B973C9"/>
    <w:rsid w:val="00B973D0"/>
    <w:rsid w:val="00B9743E"/>
    <w:rsid w:val="00B97445"/>
    <w:rsid w:val="00B9748C"/>
    <w:rsid w:val="00B97560"/>
    <w:rsid w:val="00B97585"/>
    <w:rsid w:val="00B975E4"/>
    <w:rsid w:val="00B976A3"/>
    <w:rsid w:val="00B97761"/>
    <w:rsid w:val="00B977A1"/>
    <w:rsid w:val="00B977D3"/>
    <w:rsid w:val="00B977E2"/>
    <w:rsid w:val="00B9782C"/>
    <w:rsid w:val="00B97935"/>
    <w:rsid w:val="00B97936"/>
    <w:rsid w:val="00B979DC"/>
    <w:rsid w:val="00B97A82"/>
    <w:rsid w:val="00B97AC0"/>
    <w:rsid w:val="00B97AE2"/>
    <w:rsid w:val="00B97BD0"/>
    <w:rsid w:val="00B97C02"/>
    <w:rsid w:val="00B97C37"/>
    <w:rsid w:val="00B97C3C"/>
    <w:rsid w:val="00B97D58"/>
    <w:rsid w:val="00B97FA7"/>
    <w:rsid w:val="00B97FB2"/>
    <w:rsid w:val="00B97FB4"/>
    <w:rsid w:val="00BA0033"/>
    <w:rsid w:val="00BA007E"/>
    <w:rsid w:val="00BA00E4"/>
    <w:rsid w:val="00BA0132"/>
    <w:rsid w:val="00BA0137"/>
    <w:rsid w:val="00BA01F2"/>
    <w:rsid w:val="00BA020C"/>
    <w:rsid w:val="00BA04BF"/>
    <w:rsid w:val="00BA058F"/>
    <w:rsid w:val="00BA0611"/>
    <w:rsid w:val="00BA0697"/>
    <w:rsid w:val="00BA06B7"/>
    <w:rsid w:val="00BA06B9"/>
    <w:rsid w:val="00BA0802"/>
    <w:rsid w:val="00BA08A5"/>
    <w:rsid w:val="00BA08AB"/>
    <w:rsid w:val="00BA08B4"/>
    <w:rsid w:val="00BA0943"/>
    <w:rsid w:val="00BA0976"/>
    <w:rsid w:val="00BA0AE7"/>
    <w:rsid w:val="00BA0BF0"/>
    <w:rsid w:val="00BA0C2F"/>
    <w:rsid w:val="00BA0C30"/>
    <w:rsid w:val="00BA0C84"/>
    <w:rsid w:val="00BA0CBA"/>
    <w:rsid w:val="00BA0D03"/>
    <w:rsid w:val="00BA0D58"/>
    <w:rsid w:val="00BA0D76"/>
    <w:rsid w:val="00BA0DB1"/>
    <w:rsid w:val="00BA0DBF"/>
    <w:rsid w:val="00BA0ED9"/>
    <w:rsid w:val="00BA0FB0"/>
    <w:rsid w:val="00BA1048"/>
    <w:rsid w:val="00BA115A"/>
    <w:rsid w:val="00BA135A"/>
    <w:rsid w:val="00BA1388"/>
    <w:rsid w:val="00BA143D"/>
    <w:rsid w:val="00BA14B1"/>
    <w:rsid w:val="00BA14B2"/>
    <w:rsid w:val="00BA1502"/>
    <w:rsid w:val="00BA1516"/>
    <w:rsid w:val="00BA15E2"/>
    <w:rsid w:val="00BA1697"/>
    <w:rsid w:val="00BA1707"/>
    <w:rsid w:val="00BA1787"/>
    <w:rsid w:val="00BA185B"/>
    <w:rsid w:val="00BA18CA"/>
    <w:rsid w:val="00BA1945"/>
    <w:rsid w:val="00BA1985"/>
    <w:rsid w:val="00BA1A25"/>
    <w:rsid w:val="00BA1A5C"/>
    <w:rsid w:val="00BA1B2E"/>
    <w:rsid w:val="00BA1B43"/>
    <w:rsid w:val="00BA1B64"/>
    <w:rsid w:val="00BA1BE5"/>
    <w:rsid w:val="00BA1CAA"/>
    <w:rsid w:val="00BA1D0E"/>
    <w:rsid w:val="00BA1D19"/>
    <w:rsid w:val="00BA1D25"/>
    <w:rsid w:val="00BA1FB6"/>
    <w:rsid w:val="00BA1FBE"/>
    <w:rsid w:val="00BA205B"/>
    <w:rsid w:val="00BA2071"/>
    <w:rsid w:val="00BA2186"/>
    <w:rsid w:val="00BA225F"/>
    <w:rsid w:val="00BA232E"/>
    <w:rsid w:val="00BA233B"/>
    <w:rsid w:val="00BA259B"/>
    <w:rsid w:val="00BA2659"/>
    <w:rsid w:val="00BA2668"/>
    <w:rsid w:val="00BA2671"/>
    <w:rsid w:val="00BA268B"/>
    <w:rsid w:val="00BA2696"/>
    <w:rsid w:val="00BA26EC"/>
    <w:rsid w:val="00BA28C7"/>
    <w:rsid w:val="00BA29A7"/>
    <w:rsid w:val="00BA29E4"/>
    <w:rsid w:val="00BA29FD"/>
    <w:rsid w:val="00BA2A36"/>
    <w:rsid w:val="00BA2A37"/>
    <w:rsid w:val="00BA2AC2"/>
    <w:rsid w:val="00BA2AE2"/>
    <w:rsid w:val="00BA2B84"/>
    <w:rsid w:val="00BA2B8E"/>
    <w:rsid w:val="00BA2BB3"/>
    <w:rsid w:val="00BA2C1F"/>
    <w:rsid w:val="00BA2C2E"/>
    <w:rsid w:val="00BA2CB1"/>
    <w:rsid w:val="00BA2CE4"/>
    <w:rsid w:val="00BA2DA9"/>
    <w:rsid w:val="00BA2E9A"/>
    <w:rsid w:val="00BA2FE5"/>
    <w:rsid w:val="00BA314E"/>
    <w:rsid w:val="00BA31F9"/>
    <w:rsid w:val="00BA32BD"/>
    <w:rsid w:val="00BA32F3"/>
    <w:rsid w:val="00BA333B"/>
    <w:rsid w:val="00BA33E5"/>
    <w:rsid w:val="00BA3405"/>
    <w:rsid w:val="00BA3482"/>
    <w:rsid w:val="00BA34B0"/>
    <w:rsid w:val="00BA3566"/>
    <w:rsid w:val="00BA35CF"/>
    <w:rsid w:val="00BA35F9"/>
    <w:rsid w:val="00BA3689"/>
    <w:rsid w:val="00BA3713"/>
    <w:rsid w:val="00BA388B"/>
    <w:rsid w:val="00BA3925"/>
    <w:rsid w:val="00BA3A04"/>
    <w:rsid w:val="00BA3A27"/>
    <w:rsid w:val="00BA3B10"/>
    <w:rsid w:val="00BA3B37"/>
    <w:rsid w:val="00BA3B51"/>
    <w:rsid w:val="00BA3B9F"/>
    <w:rsid w:val="00BA3C1B"/>
    <w:rsid w:val="00BA3D5C"/>
    <w:rsid w:val="00BA3D74"/>
    <w:rsid w:val="00BA3E27"/>
    <w:rsid w:val="00BA3EEB"/>
    <w:rsid w:val="00BA3F10"/>
    <w:rsid w:val="00BA3F5D"/>
    <w:rsid w:val="00BA4084"/>
    <w:rsid w:val="00BA40C3"/>
    <w:rsid w:val="00BA4164"/>
    <w:rsid w:val="00BA41F7"/>
    <w:rsid w:val="00BA4325"/>
    <w:rsid w:val="00BA4341"/>
    <w:rsid w:val="00BA444E"/>
    <w:rsid w:val="00BA449F"/>
    <w:rsid w:val="00BA4586"/>
    <w:rsid w:val="00BA45D3"/>
    <w:rsid w:val="00BA46D8"/>
    <w:rsid w:val="00BA485E"/>
    <w:rsid w:val="00BA487E"/>
    <w:rsid w:val="00BA488D"/>
    <w:rsid w:val="00BA48B8"/>
    <w:rsid w:val="00BA4955"/>
    <w:rsid w:val="00BA49B5"/>
    <w:rsid w:val="00BA49BE"/>
    <w:rsid w:val="00BA4A38"/>
    <w:rsid w:val="00BA4BC0"/>
    <w:rsid w:val="00BA4BCD"/>
    <w:rsid w:val="00BA4C12"/>
    <w:rsid w:val="00BA4CCB"/>
    <w:rsid w:val="00BA4D75"/>
    <w:rsid w:val="00BA4D9B"/>
    <w:rsid w:val="00BA4E5A"/>
    <w:rsid w:val="00BA4F36"/>
    <w:rsid w:val="00BA4FEC"/>
    <w:rsid w:val="00BA5001"/>
    <w:rsid w:val="00BA5003"/>
    <w:rsid w:val="00BA5058"/>
    <w:rsid w:val="00BA509C"/>
    <w:rsid w:val="00BA50A6"/>
    <w:rsid w:val="00BA50D5"/>
    <w:rsid w:val="00BA50E5"/>
    <w:rsid w:val="00BA5102"/>
    <w:rsid w:val="00BA5112"/>
    <w:rsid w:val="00BA5172"/>
    <w:rsid w:val="00BA519F"/>
    <w:rsid w:val="00BA51CF"/>
    <w:rsid w:val="00BA5258"/>
    <w:rsid w:val="00BA52B5"/>
    <w:rsid w:val="00BA5412"/>
    <w:rsid w:val="00BA5459"/>
    <w:rsid w:val="00BA54AD"/>
    <w:rsid w:val="00BA55D7"/>
    <w:rsid w:val="00BA5612"/>
    <w:rsid w:val="00BA565C"/>
    <w:rsid w:val="00BA5680"/>
    <w:rsid w:val="00BA5681"/>
    <w:rsid w:val="00BA56D7"/>
    <w:rsid w:val="00BA578E"/>
    <w:rsid w:val="00BA57D3"/>
    <w:rsid w:val="00BA57FB"/>
    <w:rsid w:val="00BA580B"/>
    <w:rsid w:val="00BA5880"/>
    <w:rsid w:val="00BA58C3"/>
    <w:rsid w:val="00BA592D"/>
    <w:rsid w:val="00BA59AA"/>
    <w:rsid w:val="00BA59EB"/>
    <w:rsid w:val="00BA5A69"/>
    <w:rsid w:val="00BA5A7D"/>
    <w:rsid w:val="00BA5A93"/>
    <w:rsid w:val="00BA5C59"/>
    <w:rsid w:val="00BA5C5E"/>
    <w:rsid w:val="00BA5CD8"/>
    <w:rsid w:val="00BA5D52"/>
    <w:rsid w:val="00BA5E4C"/>
    <w:rsid w:val="00BA5E4D"/>
    <w:rsid w:val="00BA5E7D"/>
    <w:rsid w:val="00BA5EC4"/>
    <w:rsid w:val="00BA5F4A"/>
    <w:rsid w:val="00BA5F7E"/>
    <w:rsid w:val="00BA6018"/>
    <w:rsid w:val="00BA614F"/>
    <w:rsid w:val="00BA6153"/>
    <w:rsid w:val="00BA62B5"/>
    <w:rsid w:val="00BA631D"/>
    <w:rsid w:val="00BA63D1"/>
    <w:rsid w:val="00BA63F9"/>
    <w:rsid w:val="00BA6437"/>
    <w:rsid w:val="00BA6460"/>
    <w:rsid w:val="00BA64CE"/>
    <w:rsid w:val="00BA64CF"/>
    <w:rsid w:val="00BA65B7"/>
    <w:rsid w:val="00BA6722"/>
    <w:rsid w:val="00BA675B"/>
    <w:rsid w:val="00BA6765"/>
    <w:rsid w:val="00BA68B5"/>
    <w:rsid w:val="00BA6A0A"/>
    <w:rsid w:val="00BA6A4B"/>
    <w:rsid w:val="00BA6A50"/>
    <w:rsid w:val="00BA6A89"/>
    <w:rsid w:val="00BA6ABE"/>
    <w:rsid w:val="00BA6AFB"/>
    <w:rsid w:val="00BA6B07"/>
    <w:rsid w:val="00BA6B8C"/>
    <w:rsid w:val="00BA6C70"/>
    <w:rsid w:val="00BA6CA1"/>
    <w:rsid w:val="00BA6D1D"/>
    <w:rsid w:val="00BA6D5A"/>
    <w:rsid w:val="00BA6D5F"/>
    <w:rsid w:val="00BA6E01"/>
    <w:rsid w:val="00BA6E07"/>
    <w:rsid w:val="00BA6E31"/>
    <w:rsid w:val="00BA6EA5"/>
    <w:rsid w:val="00BA6FDE"/>
    <w:rsid w:val="00BA6FEA"/>
    <w:rsid w:val="00BA7063"/>
    <w:rsid w:val="00BA70DE"/>
    <w:rsid w:val="00BA7124"/>
    <w:rsid w:val="00BA71D0"/>
    <w:rsid w:val="00BA71FD"/>
    <w:rsid w:val="00BA7202"/>
    <w:rsid w:val="00BA7277"/>
    <w:rsid w:val="00BA7504"/>
    <w:rsid w:val="00BA7535"/>
    <w:rsid w:val="00BA7588"/>
    <w:rsid w:val="00BA75E9"/>
    <w:rsid w:val="00BA75F0"/>
    <w:rsid w:val="00BA7711"/>
    <w:rsid w:val="00BA77C4"/>
    <w:rsid w:val="00BA77FE"/>
    <w:rsid w:val="00BA7813"/>
    <w:rsid w:val="00BA7861"/>
    <w:rsid w:val="00BA78DF"/>
    <w:rsid w:val="00BA79AF"/>
    <w:rsid w:val="00BA79E0"/>
    <w:rsid w:val="00BA7A28"/>
    <w:rsid w:val="00BA7A42"/>
    <w:rsid w:val="00BA7CA5"/>
    <w:rsid w:val="00BA7D08"/>
    <w:rsid w:val="00BA7D0E"/>
    <w:rsid w:val="00BA7D3F"/>
    <w:rsid w:val="00BA7DAE"/>
    <w:rsid w:val="00BA7DC6"/>
    <w:rsid w:val="00BA7E3C"/>
    <w:rsid w:val="00BA7E8E"/>
    <w:rsid w:val="00BA7EF0"/>
    <w:rsid w:val="00BA7F50"/>
    <w:rsid w:val="00BA7F66"/>
    <w:rsid w:val="00BA7F7E"/>
    <w:rsid w:val="00BA7FAA"/>
    <w:rsid w:val="00BA7FCC"/>
    <w:rsid w:val="00BB0030"/>
    <w:rsid w:val="00BB0089"/>
    <w:rsid w:val="00BB00DE"/>
    <w:rsid w:val="00BB029E"/>
    <w:rsid w:val="00BB0439"/>
    <w:rsid w:val="00BB0468"/>
    <w:rsid w:val="00BB04D0"/>
    <w:rsid w:val="00BB0570"/>
    <w:rsid w:val="00BB057B"/>
    <w:rsid w:val="00BB0595"/>
    <w:rsid w:val="00BB062B"/>
    <w:rsid w:val="00BB0878"/>
    <w:rsid w:val="00BB0909"/>
    <w:rsid w:val="00BB099B"/>
    <w:rsid w:val="00BB09A0"/>
    <w:rsid w:val="00BB09F6"/>
    <w:rsid w:val="00BB0A2B"/>
    <w:rsid w:val="00BB0AA2"/>
    <w:rsid w:val="00BB0B00"/>
    <w:rsid w:val="00BB0B0F"/>
    <w:rsid w:val="00BB0BE4"/>
    <w:rsid w:val="00BB0C54"/>
    <w:rsid w:val="00BB0D9A"/>
    <w:rsid w:val="00BB0E77"/>
    <w:rsid w:val="00BB0FF1"/>
    <w:rsid w:val="00BB1071"/>
    <w:rsid w:val="00BB12EB"/>
    <w:rsid w:val="00BB134F"/>
    <w:rsid w:val="00BB1367"/>
    <w:rsid w:val="00BB1444"/>
    <w:rsid w:val="00BB144B"/>
    <w:rsid w:val="00BB1484"/>
    <w:rsid w:val="00BB1504"/>
    <w:rsid w:val="00BB1576"/>
    <w:rsid w:val="00BB16BF"/>
    <w:rsid w:val="00BB17A5"/>
    <w:rsid w:val="00BB18F8"/>
    <w:rsid w:val="00BB191C"/>
    <w:rsid w:val="00BB1928"/>
    <w:rsid w:val="00BB19E6"/>
    <w:rsid w:val="00BB1A05"/>
    <w:rsid w:val="00BB1A29"/>
    <w:rsid w:val="00BB1A5B"/>
    <w:rsid w:val="00BB1B31"/>
    <w:rsid w:val="00BB1B68"/>
    <w:rsid w:val="00BB1C0E"/>
    <w:rsid w:val="00BB1C1B"/>
    <w:rsid w:val="00BB1CAD"/>
    <w:rsid w:val="00BB1D18"/>
    <w:rsid w:val="00BB1D4A"/>
    <w:rsid w:val="00BB1DBA"/>
    <w:rsid w:val="00BB1DEE"/>
    <w:rsid w:val="00BB1F30"/>
    <w:rsid w:val="00BB200B"/>
    <w:rsid w:val="00BB200D"/>
    <w:rsid w:val="00BB2035"/>
    <w:rsid w:val="00BB204E"/>
    <w:rsid w:val="00BB206B"/>
    <w:rsid w:val="00BB20BF"/>
    <w:rsid w:val="00BB23BB"/>
    <w:rsid w:val="00BB23EA"/>
    <w:rsid w:val="00BB2430"/>
    <w:rsid w:val="00BB24A4"/>
    <w:rsid w:val="00BB2550"/>
    <w:rsid w:val="00BB25C2"/>
    <w:rsid w:val="00BB261F"/>
    <w:rsid w:val="00BB267B"/>
    <w:rsid w:val="00BB284A"/>
    <w:rsid w:val="00BB2878"/>
    <w:rsid w:val="00BB28E7"/>
    <w:rsid w:val="00BB299D"/>
    <w:rsid w:val="00BB2AA0"/>
    <w:rsid w:val="00BB2AC7"/>
    <w:rsid w:val="00BB2B04"/>
    <w:rsid w:val="00BB2BE2"/>
    <w:rsid w:val="00BB2C57"/>
    <w:rsid w:val="00BB2D94"/>
    <w:rsid w:val="00BB2E5D"/>
    <w:rsid w:val="00BB2E78"/>
    <w:rsid w:val="00BB2E9D"/>
    <w:rsid w:val="00BB2F0B"/>
    <w:rsid w:val="00BB2F5F"/>
    <w:rsid w:val="00BB2F65"/>
    <w:rsid w:val="00BB3002"/>
    <w:rsid w:val="00BB30A4"/>
    <w:rsid w:val="00BB30F9"/>
    <w:rsid w:val="00BB3130"/>
    <w:rsid w:val="00BB3196"/>
    <w:rsid w:val="00BB326A"/>
    <w:rsid w:val="00BB3391"/>
    <w:rsid w:val="00BB35F0"/>
    <w:rsid w:val="00BB3632"/>
    <w:rsid w:val="00BB363E"/>
    <w:rsid w:val="00BB3683"/>
    <w:rsid w:val="00BB3691"/>
    <w:rsid w:val="00BB36C8"/>
    <w:rsid w:val="00BB36E7"/>
    <w:rsid w:val="00BB36FA"/>
    <w:rsid w:val="00BB380F"/>
    <w:rsid w:val="00BB38E1"/>
    <w:rsid w:val="00BB391A"/>
    <w:rsid w:val="00BB3948"/>
    <w:rsid w:val="00BB398E"/>
    <w:rsid w:val="00BB3A18"/>
    <w:rsid w:val="00BB3AF7"/>
    <w:rsid w:val="00BB3B2F"/>
    <w:rsid w:val="00BB3BCC"/>
    <w:rsid w:val="00BB3C29"/>
    <w:rsid w:val="00BB3DCA"/>
    <w:rsid w:val="00BB3DD4"/>
    <w:rsid w:val="00BB3F06"/>
    <w:rsid w:val="00BB3F8C"/>
    <w:rsid w:val="00BB3FEC"/>
    <w:rsid w:val="00BB406A"/>
    <w:rsid w:val="00BB40E4"/>
    <w:rsid w:val="00BB4192"/>
    <w:rsid w:val="00BB41ED"/>
    <w:rsid w:val="00BB4215"/>
    <w:rsid w:val="00BB4296"/>
    <w:rsid w:val="00BB429F"/>
    <w:rsid w:val="00BB43A6"/>
    <w:rsid w:val="00BB43FB"/>
    <w:rsid w:val="00BB443D"/>
    <w:rsid w:val="00BB4455"/>
    <w:rsid w:val="00BB4487"/>
    <w:rsid w:val="00BB450A"/>
    <w:rsid w:val="00BB4549"/>
    <w:rsid w:val="00BB455E"/>
    <w:rsid w:val="00BB4679"/>
    <w:rsid w:val="00BB46CA"/>
    <w:rsid w:val="00BB46FD"/>
    <w:rsid w:val="00BB4726"/>
    <w:rsid w:val="00BB478A"/>
    <w:rsid w:val="00BB47F5"/>
    <w:rsid w:val="00BB4865"/>
    <w:rsid w:val="00BB488C"/>
    <w:rsid w:val="00BB48A2"/>
    <w:rsid w:val="00BB48DC"/>
    <w:rsid w:val="00BB49E0"/>
    <w:rsid w:val="00BB4B6F"/>
    <w:rsid w:val="00BB4C0C"/>
    <w:rsid w:val="00BB4C17"/>
    <w:rsid w:val="00BB4D6E"/>
    <w:rsid w:val="00BB4DCE"/>
    <w:rsid w:val="00BB4DD5"/>
    <w:rsid w:val="00BB4E06"/>
    <w:rsid w:val="00BB4E85"/>
    <w:rsid w:val="00BB4EA5"/>
    <w:rsid w:val="00BB4F15"/>
    <w:rsid w:val="00BB4F2B"/>
    <w:rsid w:val="00BB4F4F"/>
    <w:rsid w:val="00BB4F6D"/>
    <w:rsid w:val="00BB4F8D"/>
    <w:rsid w:val="00BB5065"/>
    <w:rsid w:val="00BB51DC"/>
    <w:rsid w:val="00BB52BF"/>
    <w:rsid w:val="00BB5350"/>
    <w:rsid w:val="00BB538A"/>
    <w:rsid w:val="00BB538E"/>
    <w:rsid w:val="00BB53B0"/>
    <w:rsid w:val="00BB5675"/>
    <w:rsid w:val="00BB56F9"/>
    <w:rsid w:val="00BB5766"/>
    <w:rsid w:val="00BB57C1"/>
    <w:rsid w:val="00BB58D4"/>
    <w:rsid w:val="00BB5961"/>
    <w:rsid w:val="00BB596E"/>
    <w:rsid w:val="00BB59A9"/>
    <w:rsid w:val="00BB5A0A"/>
    <w:rsid w:val="00BB5A60"/>
    <w:rsid w:val="00BB5B18"/>
    <w:rsid w:val="00BB5B2A"/>
    <w:rsid w:val="00BB5B47"/>
    <w:rsid w:val="00BB5C09"/>
    <w:rsid w:val="00BB5C5A"/>
    <w:rsid w:val="00BB5C64"/>
    <w:rsid w:val="00BB5C83"/>
    <w:rsid w:val="00BB5CBD"/>
    <w:rsid w:val="00BB5CC1"/>
    <w:rsid w:val="00BB5CC3"/>
    <w:rsid w:val="00BB5CEC"/>
    <w:rsid w:val="00BB5D05"/>
    <w:rsid w:val="00BB5D0D"/>
    <w:rsid w:val="00BB5D69"/>
    <w:rsid w:val="00BB5E9F"/>
    <w:rsid w:val="00BB600B"/>
    <w:rsid w:val="00BB6014"/>
    <w:rsid w:val="00BB60F2"/>
    <w:rsid w:val="00BB6242"/>
    <w:rsid w:val="00BB6410"/>
    <w:rsid w:val="00BB6500"/>
    <w:rsid w:val="00BB672F"/>
    <w:rsid w:val="00BB679A"/>
    <w:rsid w:val="00BB679C"/>
    <w:rsid w:val="00BB67E0"/>
    <w:rsid w:val="00BB6816"/>
    <w:rsid w:val="00BB6877"/>
    <w:rsid w:val="00BB6884"/>
    <w:rsid w:val="00BB68DC"/>
    <w:rsid w:val="00BB68DD"/>
    <w:rsid w:val="00BB6956"/>
    <w:rsid w:val="00BB6A9A"/>
    <w:rsid w:val="00BB6B05"/>
    <w:rsid w:val="00BB6B0D"/>
    <w:rsid w:val="00BB6BEE"/>
    <w:rsid w:val="00BB6CB5"/>
    <w:rsid w:val="00BB6D1D"/>
    <w:rsid w:val="00BB6DE9"/>
    <w:rsid w:val="00BB6DF2"/>
    <w:rsid w:val="00BB6F28"/>
    <w:rsid w:val="00BB6F43"/>
    <w:rsid w:val="00BB6F59"/>
    <w:rsid w:val="00BB6FCA"/>
    <w:rsid w:val="00BB7044"/>
    <w:rsid w:val="00BB7068"/>
    <w:rsid w:val="00BB7133"/>
    <w:rsid w:val="00BB715F"/>
    <w:rsid w:val="00BB71B2"/>
    <w:rsid w:val="00BB71DF"/>
    <w:rsid w:val="00BB7292"/>
    <w:rsid w:val="00BB7309"/>
    <w:rsid w:val="00BB73A2"/>
    <w:rsid w:val="00BB7513"/>
    <w:rsid w:val="00BB7523"/>
    <w:rsid w:val="00BB7536"/>
    <w:rsid w:val="00BB7568"/>
    <w:rsid w:val="00BB7699"/>
    <w:rsid w:val="00BB76EA"/>
    <w:rsid w:val="00BB7715"/>
    <w:rsid w:val="00BB77C0"/>
    <w:rsid w:val="00BB77E5"/>
    <w:rsid w:val="00BB77F3"/>
    <w:rsid w:val="00BB7905"/>
    <w:rsid w:val="00BB7965"/>
    <w:rsid w:val="00BB796E"/>
    <w:rsid w:val="00BB79B8"/>
    <w:rsid w:val="00BB7A8A"/>
    <w:rsid w:val="00BB7B31"/>
    <w:rsid w:val="00BB7CEF"/>
    <w:rsid w:val="00BB7D2F"/>
    <w:rsid w:val="00BB7D88"/>
    <w:rsid w:val="00BB7DF0"/>
    <w:rsid w:val="00BB7E0B"/>
    <w:rsid w:val="00BB7E21"/>
    <w:rsid w:val="00BB7E71"/>
    <w:rsid w:val="00BB7EAC"/>
    <w:rsid w:val="00BB7F0A"/>
    <w:rsid w:val="00BB7F53"/>
    <w:rsid w:val="00BB7F5C"/>
    <w:rsid w:val="00BC0044"/>
    <w:rsid w:val="00BC0117"/>
    <w:rsid w:val="00BC019C"/>
    <w:rsid w:val="00BC01FC"/>
    <w:rsid w:val="00BC01FD"/>
    <w:rsid w:val="00BC02F0"/>
    <w:rsid w:val="00BC0361"/>
    <w:rsid w:val="00BC0465"/>
    <w:rsid w:val="00BC04D2"/>
    <w:rsid w:val="00BC0686"/>
    <w:rsid w:val="00BC06EF"/>
    <w:rsid w:val="00BC070B"/>
    <w:rsid w:val="00BC07EE"/>
    <w:rsid w:val="00BC080D"/>
    <w:rsid w:val="00BC0821"/>
    <w:rsid w:val="00BC098F"/>
    <w:rsid w:val="00BC099A"/>
    <w:rsid w:val="00BC09D0"/>
    <w:rsid w:val="00BC0B28"/>
    <w:rsid w:val="00BC0BED"/>
    <w:rsid w:val="00BC0BFE"/>
    <w:rsid w:val="00BC0D08"/>
    <w:rsid w:val="00BC0EBE"/>
    <w:rsid w:val="00BC0F89"/>
    <w:rsid w:val="00BC0F9A"/>
    <w:rsid w:val="00BC0FA0"/>
    <w:rsid w:val="00BC0FC7"/>
    <w:rsid w:val="00BC0FDB"/>
    <w:rsid w:val="00BC102D"/>
    <w:rsid w:val="00BC10CC"/>
    <w:rsid w:val="00BC10F5"/>
    <w:rsid w:val="00BC1143"/>
    <w:rsid w:val="00BC1181"/>
    <w:rsid w:val="00BC11D3"/>
    <w:rsid w:val="00BC1205"/>
    <w:rsid w:val="00BC1306"/>
    <w:rsid w:val="00BC133B"/>
    <w:rsid w:val="00BC1497"/>
    <w:rsid w:val="00BC1541"/>
    <w:rsid w:val="00BC157A"/>
    <w:rsid w:val="00BC15F0"/>
    <w:rsid w:val="00BC16C5"/>
    <w:rsid w:val="00BC16EB"/>
    <w:rsid w:val="00BC171E"/>
    <w:rsid w:val="00BC174A"/>
    <w:rsid w:val="00BC183A"/>
    <w:rsid w:val="00BC183B"/>
    <w:rsid w:val="00BC1894"/>
    <w:rsid w:val="00BC1A33"/>
    <w:rsid w:val="00BC1A9F"/>
    <w:rsid w:val="00BC1C20"/>
    <w:rsid w:val="00BC1C89"/>
    <w:rsid w:val="00BC1C97"/>
    <w:rsid w:val="00BC1CE6"/>
    <w:rsid w:val="00BC1D6C"/>
    <w:rsid w:val="00BC1D83"/>
    <w:rsid w:val="00BC1E58"/>
    <w:rsid w:val="00BC1E80"/>
    <w:rsid w:val="00BC1EC0"/>
    <w:rsid w:val="00BC1ED9"/>
    <w:rsid w:val="00BC1F42"/>
    <w:rsid w:val="00BC1F43"/>
    <w:rsid w:val="00BC1FB1"/>
    <w:rsid w:val="00BC20D3"/>
    <w:rsid w:val="00BC22F7"/>
    <w:rsid w:val="00BC2342"/>
    <w:rsid w:val="00BC2396"/>
    <w:rsid w:val="00BC2405"/>
    <w:rsid w:val="00BC2572"/>
    <w:rsid w:val="00BC2597"/>
    <w:rsid w:val="00BC266D"/>
    <w:rsid w:val="00BC26A5"/>
    <w:rsid w:val="00BC2713"/>
    <w:rsid w:val="00BC2782"/>
    <w:rsid w:val="00BC2A4F"/>
    <w:rsid w:val="00BC2B92"/>
    <w:rsid w:val="00BC2BDD"/>
    <w:rsid w:val="00BC2C0F"/>
    <w:rsid w:val="00BC2E1F"/>
    <w:rsid w:val="00BC2F11"/>
    <w:rsid w:val="00BC2F29"/>
    <w:rsid w:val="00BC2F4D"/>
    <w:rsid w:val="00BC2FBE"/>
    <w:rsid w:val="00BC3018"/>
    <w:rsid w:val="00BC311D"/>
    <w:rsid w:val="00BC3149"/>
    <w:rsid w:val="00BC324F"/>
    <w:rsid w:val="00BC32B1"/>
    <w:rsid w:val="00BC3356"/>
    <w:rsid w:val="00BC33C3"/>
    <w:rsid w:val="00BC351F"/>
    <w:rsid w:val="00BC3609"/>
    <w:rsid w:val="00BC366C"/>
    <w:rsid w:val="00BC378D"/>
    <w:rsid w:val="00BC37AF"/>
    <w:rsid w:val="00BC3834"/>
    <w:rsid w:val="00BC388D"/>
    <w:rsid w:val="00BC3939"/>
    <w:rsid w:val="00BC39B6"/>
    <w:rsid w:val="00BC39FA"/>
    <w:rsid w:val="00BC3A09"/>
    <w:rsid w:val="00BC3B13"/>
    <w:rsid w:val="00BC3B44"/>
    <w:rsid w:val="00BC3B81"/>
    <w:rsid w:val="00BC3B85"/>
    <w:rsid w:val="00BC3B90"/>
    <w:rsid w:val="00BC3CAD"/>
    <w:rsid w:val="00BC3D2B"/>
    <w:rsid w:val="00BC3DAE"/>
    <w:rsid w:val="00BC3DFF"/>
    <w:rsid w:val="00BC3ECC"/>
    <w:rsid w:val="00BC3EE6"/>
    <w:rsid w:val="00BC3EF1"/>
    <w:rsid w:val="00BC3F53"/>
    <w:rsid w:val="00BC3FA8"/>
    <w:rsid w:val="00BC3FE8"/>
    <w:rsid w:val="00BC4145"/>
    <w:rsid w:val="00BC435C"/>
    <w:rsid w:val="00BC44ED"/>
    <w:rsid w:val="00BC4519"/>
    <w:rsid w:val="00BC4551"/>
    <w:rsid w:val="00BC4572"/>
    <w:rsid w:val="00BC45FE"/>
    <w:rsid w:val="00BC4620"/>
    <w:rsid w:val="00BC46FC"/>
    <w:rsid w:val="00BC47A5"/>
    <w:rsid w:val="00BC47CF"/>
    <w:rsid w:val="00BC482B"/>
    <w:rsid w:val="00BC4890"/>
    <w:rsid w:val="00BC48C5"/>
    <w:rsid w:val="00BC48D6"/>
    <w:rsid w:val="00BC4918"/>
    <w:rsid w:val="00BC4931"/>
    <w:rsid w:val="00BC49A6"/>
    <w:rsid w:val="00BC4A8D"/>
    <w:rsid w:val="00BC4AAD"/>
    <w:rsid w:val="00BC4AC3"/>
    <w:rsid w:val="00BC4B3E"/>
    <w:rsid w:val="00BC4C4B"/>
    <w:rsid w:val="00BC4CC5"/>
    <w:rsid w:val="00BC4D04"/>
    <w:rsid w:val="00BC4DBD"/>
    <w:rsid w:val="00BC4E0E"/>
    <w:rsid w:val="00BC4EAC"/>
    <w:rsid w:val="00BC4EE6"/>
    <w:rsid w:val="00BC4F04"/>
    <w:rsid w:val="00BC4F82"/>
    <w:rsid w:val="00BC50F9"/>
    <w:rsid w:val="00BC5163"/>
    <w:rsid w:val="00BC5237"/>
    <w:rsid w:val="00BC5245"/>
    <w:rsid w:val="00BC5289"/>
    <w:rsid w:val="00BC529C"/>
    <w:rsid w:val="00BC5467"/>
    <w:rsid w:val="00BC5498"/>
    <w:rsid w:val="00BC5557"/>
    <w:rsid w:val="00BC570D"/>
    <w:rsid w:val="00BC58AE"/>
    <w:rsid w:val="00BC5BC4"/>
    <w:rsid w:val="00BC5BD3"/>
    <w:rsid w:val="00BC5BE4"/>
    <w:rsid w:val="00BC5C7B"/>
    <w:rsid w:val="00BC5D89"/>
    <w:rsid w:val="00BC5DCA"/>
    <w:rsid w:val="00BC5DE6"/>
    <w:rsid w:val="00BC5DFF"/>
    <w:rsid w:val="00BC5E14"/>
    <w:rsid w:val="00BC5E5E"/>
    <w:rsid w:val="00BC5E79"/>
    <w:rsid w:val="00BC5EBB"/>
    <w:rsid w:val="00BC5ECD"/>
    <w:rsid w:val="00BC5FEB"/>
    <w:rsid w:val="00BC6019"/>
    <w:rsid w:val="00BC6058"/>
    <w:rsid w:val="00BC606C"/>
    <w:rsid w:val="00BC62CF"/>
    <w:rsid w:val="00BC6338"/>
    <w:rsid w:val="00BC634F"/>
    <w:rsid w:val="00BC65B8"/>
    <w:rsid w:val="00BC662C"/>
    <w:rsid w:val="00BC6634"/>
    <w:rsid w:val="00BC66CE"/>
    <w:rsid w:val="00BC66E5"/>
    <w:rsid w:val="00BC6860"/>
    <w:rsid w:val="00BC690E"/>
    <w:rsid w:val="00BC691A"/>
    <w:rsid w:val="00BC6A34"/>
    <w:rsid w:val="00BC6AC7"/>
    <w:rsid w:val="00BC6ACE"/>
    <w:rsid w:val="00BC6AF5"/>
    <w:rsid w:val="00BC6C0B"/>
    <w:rsid w:val="00BC6C31"/>
    <w:rsid w:val="00BC6CF6"/>
    <w:rsid w:val="00BC6D5B"/>
    <w:rsid w:val="00BC6E0D"/>
    <w:rsid w:val="00BC6E65"/>
    <w:rsid w:val="00BC6E92"/>
    <w:rsid w:val="00BC6EAF"/>
    <w:rsid w:val="00BC6F3A"/>
    <w:rsid w:val="00BC6F84"/>
    <w:rsid w:val="00BC6FB2"/>
    <w:rsid w:val="00BC6FF5"/>
    <w:rsid w:val="00BC705C"/>
    <w:rsid w:val="00BC70C7"/>
    <w:rsid w:val="00BC70D8"/>
    <w:rsid w:val="00BC7204"/>
    <w:rsid w:val="00BC7222"/>
    <w:rsid w:val="00BC72C1"/>
    <w:rsid w:val="00BC734B"/>
    <w:rsid w:val="00BC73BC"/>
    <w:rsid w:val="00BC7419"/>
    <w:rsid w:val="00BC7427"/>
    <w:rsid w:val="00BC747C"/>
    <w:rsid w:val="00BC74A8"/>
    <w:rsid w:val="00BC74AD"/>
    <w:rsid w:val="00BC74D4"/>
    <w:rsid w:val="00BC7560"/>
    <w:rsid w:val="00BC7599"/>
    <w:rsid w:val="00BC7646"/>
    <w:rsid w:val="00BC7706"/>
    <w:rsid w:val="00BC774A"/>
    <w:rsid w:val="00BC7828"/>
    <w:rsid w:val="00BC78C2"/>
    <w:rsid w:val="00BC7912"/>
    <w:rsid w:val="00BC794F"/>
    <w:rsid w:val="00BC795B"/>
    <w:rsid w:val="00BC79CD"/>
    <w:rsid w:val="00BC7AEE"/>
    <w:rsid w:val="00BC7BC7"/>
    <w:rsid w:val="00BC7CBA"/>
    <w:rsid w:val="00BC7ECF"/>
    <w:rsid w:val="00BC7EF1"/>
    <w:rsid w:val="00BC7F0B"/>
    <w:rsid w:val="00BC7FC0"/>
    <w:rsid w:val="00BD0074"/>
    <w:rsid w:val="00BD0113"/>
    <w:rsid w:val="00BD0195"/>
    <w:rsid w:val="00BD0299"/>
    <w:rsid w:val="00BD03E6"/>
    <w:rsid w:val="00BD0440"/>
    <w:rsid w:val="00BD051C"/>
    <w:rsid w:val="00BD053A"/>
    <w:rsid w:val="00BD053E"/>
    <w:rsid w:val="00BD05AD"/>
    <w:rsid w:val="00BD05DB"/>
    <w:rsid w:val="00BD05EA"/>
    <w:rsid w:val="00BD0653"/>
    <w:rsid w:val="00BD065B"/>
    <w:rsid w:val="00BD0684"/>
    <w:rsid w:val="00BD0696"/>
    <w:rsid w:val="00BD06B2"/>
    <w:rsid w:val="00BD06B7"/>
    <w:rsid w:val="00BD071A"/>
    <w:rsid w:val="00BD0763"/>
    <w:rsid w:val="00BD087B"/>
    <w:rsid w:val="00BD08A9"/>
    <w:rsid w:val="00BD08E4"/>
    <w:rsid w:val="00BD0A1C"/>
    <w:rsid w:val="00BD0A4B"/>
    <w:rsid w:val="00BD0A4E"/>
    <w:rsid w:val="00BD0B6C"/>
    <w:rsid w:val="00BD0BBD"/>
    <w:rsid w:val="00BD0BE0"/>
    <w:rsid w:val="00BD0C1E"/>
    <w:rsid w:val="00BD0CAD"/>
    <w:rsid w:val="00BD0CC7"/>
    <w:rsid w:val="00BD0CE7"/>
    <w:rsid w:val="00BD0CF3"/>
    <w:rsid w:val="00BD0D14"/>
    <w:rsid w:val="00BD0DEA"/>
    <w:rsid w:val="00BD0E8A"/>
    <w:rsid w:val="00BD0F63"/>
    <w:rsid w:val="00BD0FB2"/>
    <w:rsid w:val="00BD0FFB"/>
    <w:rsid w:val="00BD1068"/>
    <w:rsid w:val="00BD109F"/>
    <w:rsid w:val="00BD112E"/>
    <w:rsid w:val="00BD11BC"/>
    <w:rsid w:val="00BD120D"/>
    <w:rsid w:val="00BD1239"/>
    <w:rsid w:val="00BD12F4"/>
    <w:rsid w:val="00BD1373"/>
    <w:rsid w:val="00BD13E5"/>
    <w:rsid w:val="00BD141C"/>
    <w:rsid w:val="00BD14A4"/>
    <w:rsid w:val="00BD14AF"/>
    <w:rsid w:val="00BD1683"/>
    <w:rsid w:val="00BD170B"/>
    <w:rsid w:val="00BD17E6"/>
    <w:rsid w:val="00BD19A9"/>
    <w:rsid w:val="00BD19B2"/>
    <w:rsid w:val="00BD19DB"/>
    <w:rsid w:val="00BD1A23"/>
    <w:rsid w:val="00BD1A8E"/>
    <w:rsid w:val="00BD1AAD"/>
    <w:rsid w:val="00BD1AF8"/>
    <w:rsid w:val="00BD1C77"/>
    <w:rsid w:val="00BD1D6E"/>
    <w:rsid w:val="00BD1F81"/>
    <w:rsid w:val="00BD2079"/>
    <w:rsid w:val="00BD21DE"/>
    <w:rsid w:val="00BD21F7"/>
    <w:rsid w:val="00BD2211"/>
    <w:rsid w:val="00BD2373"/>
    <w:rsid w:val="00BD2380"/>
    <w:rsid w:val="00BD2405"/>
    <w:rsid w:val="00BD2437"/>
    <w:rsid w:val="00BD2445"/>
    <w:rsid w:val="00BD24F3"/>
    <w:rsid w:val="00BD25ED"/>
    <w:rsid w:val="00BD2674"/>
    <w:rsid w:val="00BD2700"/>
    <w:rsid w:val="00BD2704"/>
    <w:rsid w:val="00BD2806"/>
    <w:rsid w:val="00BD2903"/>
    <w:rsid w:val="00BD2975"/>
    <w:rsid w:val="00BD2B7D"/>
    <w:rsid w:val="00BD2D13"/>
    <w:rsid w:val="00BD2DC6"/>
    <w:rsid w:val="00BD2EDC"/>
    <w:rsid w:val="00BD3026"/>
    <w:rsid w:val="00BD3090"/>
    <w:rsid w:val="00BD3200"/>
    <w:rsid w:val="00BD3260"/>
    <w:rsid w:val="00BD3270"/>
    <w:rsid w:val="00BD32BD"/>
    <w:rsid w:val="00BD35CD"/>
    <w:rsid w:val="00BD3632"/>
    <w:rsid w:val="00BD36FC"/>
    <w:rsid w:val="00BD3701"/>
    <w:rsid w:val="00BD3774"/>
    <w:rsid w:val="00BD37CA"/>
    <w:rsid w:val="00BD3813"/>
    <w:rsid w:val="00BD3859"/>
    <w:rsid w:val="00BD392A"/>
    <w:rsid w:val="00BD3A28"/>
    <w:rsid w:val="00BD3BF4"/>
    <w:rsid w:val="00BD3C12"/>
    <w:rsid w:val="00BD3D3D"/>
    <w:rsid w:val="00BD3D41"/>
    <w:rsid w:val="00BD3DCC"/>
    <w:rsid w:val="00BD3E06"/>
    <w:rsid w:val="00BD3F5D"/>
    <w:rsid w:val="00BD40B0"/>
    <w:rsid w:val="00BD411A"/>
    <w:rsid w:val="00BD41E9"/>
    <w:rsid w:val="00BD4205"/>
    <w:rsid w:val="00BD4215"/>
    <w:rsid w:val="00BD427C"/>
    <w:rsid w:val="00BD42B5"/>
    <w:rsid w:val="00BD42CC"/>
    <w:rsid w:val="00BD4389"/>
    <w:rsid w:val="00BD43A5"/>
    <w:rsid w:val="00BD4446"/>
    <w:rsid w:val="00BD4453"/>
    <w:rsid w:val="00BD45E3"/>
    <w:rsid w:val="00BD466D"/>
    <w:rsid w:val="00BD4675"/>
    <w:rsid w:val="00BD46D1"/>
    <w:rsid w:val="00BD46E5"/>
    <w:rsid w:val="00BD47DC"/>
    <w:rsid w:val="00BD4880"/>
    <w:rsid w:val="00BD48DD"/>
    <w:rsid w:val="00BD4A44"/>
    <w:rsid w:val="00BD4A7B"/>
    <w:rsid w:val="00BD4AD0"/>
    <w:rsid w:val="00BD4AF4"/>
    <w:rsid w:val="00BD4B05"/>
    <w:rsid w:val="00BD4B37"/>
    <w:rsid w:val="00BD4B66"/>
    <w:rsid w:val="00BD4B71"/>
    <w:rsid w:val="00BD4C1E"/>
    <w:rsid w:val="00BD4C7C"/>
    <w:rsid w:val="00BD4D11"/>
    <w:rsid w:val="00BD4D68"/>
    <w:rsid w:val="00BD4F8D"/>
    <w:rsid w:val="00BD4F90"/>
    <w:rsid w:val="00BD4FE6"/>
    <w:rsid w:val="00BD50F6"/>
    <w:rsid w:val="00BD511E"/>
    <w:rsid w:val="00BD520A"/>
    <w:rsid w:val="00BD5232"/>
    <w:rsid w:val="00BD5284"/>
    <w:rsid w:val="00BD52CA"/>
    <w:rsid w:val="00BD53B3"/>
    <w:rsid w:val="00BD53E6"/>
    <w:rsid w:val="00BD5404"/>
    <w:rsid w:val="00BD5498"/>
    <w:rsid w:val="00BD54A3"/>
    <w:rsid w:val="00BD553D"/>
    <w:rsid w:val="00BD5573"/>
    <w:rsid w:val="00BD55F7"/>
    <w:rsid w:val="00BD56C6"/>
    <w:rsid w:val="00BD5787"/>
    <w:rsid w:val="00BD592D"/>
    <w:rsid w:val="00BD594D"/>
    <w:rsid w:val="00BD5969"/>
    <w:rsid w:val="00BD5980"/>
    <w:rsid w:val="00BD5996"/>
    <w:rsid w:val="00BD59DA"/>
    <w:rsid w:val="00BD5A2B"/>
    <w:rsid w:val="00BD5AE9"/>
    <w:rsid w:val="00BD5AF5"/>
    <w:rsid w:val="00BD5C05"/>
    <w:rsid w:val="00BD5C5C"/>
    <w:rsid w:val="00BD5CA2"/>
    <w:rsid w:val="00BD5DD1"/>
    <w:rsid w:val="00BD5E17"/>
    <w:rsid w:val="00BD5E69"/>
    <w:rsid w:val="00BD5F10"/>
    <w:rsid w:val="00BD5F5C"/>
    <w:rsid w:val="00BD60F2"/>
    <w:rsid w:val="00BD6154"/>
    <w:rsid w:val="00BD616A"/>
    <w:rsid w:val="00BD6196"/>
    <w:rsid w:val="00BD61B0"/>
    <w:rsid w:val="00BD61B8"/>
    <w:rsid w:val="00BD624E"/>
    <w:rsid w:val="00BD6321"/>
    <w:rsid w:val="00BD639B"/>
    <w:rsid w:val="00BD63BD"/>
    <w:rsid w:val="00BD63FB"/>
    <w:rsid w:val="00BD646F"/>
    <w:rsid w:val="00BD6487"/>
    <w:rsid w:val="00BD6506"/>
    <w:rsid w:val="00BD65A1"/>
    <w:rsid w:val="00BD66A1"/>
    <w:rsid w:val="00BD66C5"/>
    <w:rsid w:val="00BD66D6"/>
    <w:rsid w:val="00BD66FC"/>
    <w:rsid w:val="00BD6763"/>
    <w:rsid w:val="00BD6915"/>
    <w:rsid w:val="00BD693F"/>
    <w:rsid w:val="00BD69A2"/>
    <w:rsid w:val="00BD6A52"/>
    <w:rsid w:val="00BD6A55"/>
    <w:rsid w:val="00BD6A5F"/>
    <w:rsid w:val="00BD6A73"/>
    <w:rsid w:val="00BD6AE2"/>
    <w:rsid w:val="00BD6B51"/>
    <w:rsid w:val="00BD6B85"/>
    <w:rsid w:val="00BD6BBE"/>
    <w:rsid w:val="00BD6C26"/>
    <w:rsid w:val="00BD6C2C"/>
    <w:rsid w:val="00BD6C2F"/>
    <w:rsid w:val="00BD6CB5"/>
    <w:rsid w:val="00BD6CBC"/>
    <w:rsid w:val="00BD6CD2"/>
    <w:rsid w:val="00BD6CE2"/>
    <w:rsid w:val="00BD6CEE"/>
    <w:rsid w:val="00BD6D36"/>
    <w:rsid w:val="00BD6D78"/>
    <w:rsid w:val="00BD6DBD"/>
    <w:rsid w:val="00BD6DEC"/>
    <w:rsid w:val="00BD6DF5"/>
    <w:rsid w:val="00BD6E39"/>
    <w:rsid w:val="00BD6E7C"/>
    <w:rsid w:val="00BD6E8D"/>
    <w:rsid w:val="00BD6EF1"/>
    <w:rsid w:val="00BD6F42"/>
    <w:rsid w:val="00BD6F91"/>
    <w:rsid w:val="00BD7062"/>
    <w:rsid w:val="00BD70D0"/>
    <w:rsid w:val="00BD71BC"/>
    <w:rsid w:val="00BD71D1"/>
    <w:rsid w:val="00BD72AA"/>
    <w:rsid w:val="00BD72D8"/>
    <w:rsid w:val="00BD72FD"/>
    <w:rsid w:val="00BD73CC"/>
    <w:rsid w:val="00BD7440"/>
    <w:rsid w:val="00BD745D"/>
    <w:rsid w:val="00BD759A"/>
    <w:rsid w:val="00BD75BF"/>
    <w:rsid w:val="00BD76A9"/>
    <w:rsid w:val="00BD77E0"/>
    <w:rsid w:val="00BD7835"/>
    <w:rsid w:val="00BD7871"/>
    <w:rsid w:val="00BD78A1"/>
    <w:rsid w:val="00BD78F9"/>
    <w:rsid w:val="00BD790F"/>
    <w:rsid w:val="00BD7987"/>
    <w:rsid w:val="00BD79FA"/>
    <w:rsid w:val="00BD7A4F"/>
    <w:rsid w:val="00BD7AA3"/>
    <w:rsid w:val="00BD7CEB"/>
    <w:rsid w:val="00BD7D0A"/>
    <w:rsid w:val="00BD7D64"/>
    <w:rsid w:val="00BD7DE0"/>
    <w:rsid w:val="00BD7E3E"/>
    <w:rsid w:val="00BD7EC1"/>
    <w:rsid w:val="00BD7ECB"/>
    <w:rsid w:val="00BE0094"/>
    <w:rsid w:val="00BE01DA"/>
    <w:rsid w:val="00BE01F1"/>
    <w:rsid w:val="00BE02EB"/>
    <w:rsid w:val="00BE0388"/>
    <w:rsid w:val="00BE03B5"/>
    <w:rsid w:val="00BE0488"/>
    <w:rsid w:val="00BE04B7"/>
    <w:rsid w:val="00BE04EC"/>
    <w:rsid w:val="00BE0525"/>
    <w:rsid w:val="00BE0587"/>
    <w:rsid w:val="00BE05AF"/>
    <w:rsid w:val="00BE0679"/>
    <w:rsid w:val="00BE0685"/>
    <w:rsid w:val="00BE0697"/>
    <w:rsid w:val="00BE0741"/>
    <w:rsid w:val="00BE079B"/>
    <w:rsid w:val="00BE07D5"/>
    <w:rsid w:val="00BE0879"/>
    <w:rsid w:val="00BE08FC"/>
    <w:rsid w:val="00BE091F"/>
    <w:rsid w:val="00BE0A77"/>
    <w:rsid w:val="00BE0AB1"/>
    <w:rsid w:val="00BE0AC0"/>
    <w:rsid w:val="00BE0B80"/>
    <w:rsid w:val="00BE0BC9"/>
    <w:rsid w:val="00BE0CD6"/>
    <w:rsid w:val="00BE0D27"/>
    <w:rsid w:val="00BE0E3E"/>
    <w:rsid w:val="00BE0E55"/>
    <w:rsid w:val="00BE0F0D"/>
    <w:rsid w:val="00BE0F4F"/>
    <w:rsid w:val="00BE0F83"/>
    <w:rsid w:val="00BE100A"/>
    <w:rsid w:val="00BE110A"/>
    <w:rsid w:val="00BE11C6"/>
    <w:rsid w:val="00BE11E8"/>
    <w:rsid w:val="00BE1329"/>
    <w:rsid w:val="00BE133E"/>
    <w:rsid w:val="00BE1346"/>
    <w:rsid w:val="00BE13F4"/>
    <w:rsid w:val="00BE1415"/>
    <w:rsid w:val="00BE148F"/>
    <w:rsid w:val="00BE14BC"/>
    <w:rsid w:val="00BE14C4"/>
    <w:rsid w:val="00BE155A"/>
    <w:rsid w:val="00BE15C5"/>
    <w:rsid w:val="00BE17A0"/>
    <w:rsid w:val="00BE17E1"/>
    <w:rsid w:val="00BE1833"/>
    <w:rsid w:val="00BE183F"/>
    <w:rsid w:val="00BE1882"/>
    <w:rsid w:val="00BE18CF"/>
    <w:rsid w:val="00BE192A"/>
    <w:rsid w:val="00BE192C"/>
    <w:rsid w:val="00BE1A3C"/>
    <w:rsid w:val="00BE1A8F"/>
    <w:rsid w:val="00BE1AB5"/>
    <w:rsid w:val="00BE1C05"/>
    <w:rsid w:val="00BE1C17"/>
    <w:rsid w:val="00BE1CB0"/>
    <w:rsid w:val="00BE1CC0"/>
    <w:rsid w:val="00BE1CF8"/>
    <w:rsid w:val="00BE1D11"/>
    <w:rsid w:val="00BE1D1C"/>
    <w:rsid w:val="00BE1D2C"/>
    <w:rsid w:val="00BE1D2F"/>
    <w:rsid w:val="00BE1E21"/>
    <w:rsid w:val="00BE1E99"/>
    <w:rsid w:val="00BE1EA5"/>
    <w:rsid w:val="00BE1F38"/>
    <w:rsid w:val="00BE1F4E"/>
    <w:rsid w:val="00BE20BE"/>
    <w:rsid w:val="00BE217B"/>
    <w:rsid w:val="00BE2209"/>
    <w:rsid w:val="00BE2241"/>
    <w:rsid w:val="00BE227A"/>
    <w:rsid w:val="00BE22B6"/>
    <w:rsid w:val="00BE22E3"/>
    <w:rsid w:val="00BE22F3"/>
    <w:rsid w:val="00BE235C"/>
    <w:rsid w:val="00BE237F"/>
    <w:rsid w:val="00BE23FB"/>
    <w:rsid w:val="00BE247C"/>
    <w:rsid w:val="00BE249B"/>
    <w:rsid w:val="00BE251C"/>
    <w:rsid w:val="00BE2630"/>
    <w:rsid w:val="00BE2662"/>
    <w:rsid w:val="00BE26B6"/>
    <w:rsid w:val="00BE27DC"/>
    <w:rsid w:val="00BE281C"/>
    <w:rsid w:val="00BE2837"/>
    <w:rsid w:val="00BE2851"/>
    <w:rsid w:val="00BE28A9"/>
    <w:rsid w:val="00BE28B6"/>
    <w:rsid w:val="00BE2AF0"/>
    <w:rsid w:val="00BE2B1F"/>
    <w:rsid w:val="00BE2B32"/>
    <w:rsid w:val="00BE2B65"/>
    <w:rsid w:val="00BE2B73"/>
    <w:rsid w:val="00BE2BE4"/>
    <w:rsid w:val="00BE2C4B"/>
    <w:rsid w:val="00BE2C53"/>
    <w:rsid w:val="00BE2C54"/>
    <w:rsid w:val="00BE2C55"/>
    <w:rsid w:val="00BE2C98"/>
    <w:rsid w:val="00BE2CB5"/>
    <w:rsid w:val="00BE2CBA"/>
    <w:rsid w:val="00BE2D13"/>
    <w:rsid w:val="00BE2D82"/>
    <w:rsid w:val="00BE2DB0"/>
    <w:rsid w:val="00BE2E62"/>
    <w:rsid w:val="00BE2E6E"/>
    <w:rsid w:val="00BE3020"/>
    <w:rsid w:val="00BE3088"/>
    <w:rsid w:val="00BE316A"/>
    <w:rsid w:val="00BE3185"/>
    <w:rsid w:val="00BE329D"/>
    <w:rsid w:val="00BE32BD"/>
    <w:rsid w:val="00BE33B9"/>
    <w:rsid w:val="00BE347A"/>
    <w:rsid w:val="00BE348E"/>
    <w:rsid w:val="00BE34DD"/>
    <w:rsid w:val="00BE35EC"/>
    <w:rsid w:val="00BE3660"/>
    <w:rsid w:val="00BE368C"/>
    <w:rsid w:val="00BE370D"/>
    <w:rsid w:val="00BE373A"/>
    <w:rsid w:val="00BE37AE"/>
    <w:rsid w:val="00BE38D6"/>
    <w:rsid w:val="00BE390E"/>
    <w:rsid w:val="00BE3925"/>
    <w:rsid w:val="00BE397E"/>
    <w:rsid w:val="00BE39BA"/>
    <w:rsid w:val="00BE3A41"/>
    <w:rsid w:val="00BE3BB3"/>
    <w:rsid w:val="00BE3CE2"/>
    <w:rsid w:val="00BE3CFF"/>
    <w:rsid w:val="00BE3D9D"/>
    <w:rsid w:val="00BE3DA4"/>
    <w:rsid w:val="00BE4111"/>
    <w:rsid w:val="00BE4124"/>
    <w:rsid w:val="00BE415E"/>
    <w:rsid w:val="00BE4200"/>
    <w:rsid w:val="00BE4228"/>
    <w:rsid w:val="00BE424B"/>
    <w:rsid w:val="00BE4299"/>
    <w:rsid w:val="00BE42A0"/>
    <w:rsid w:val="00BE4354"/>
    <w:rsid w:val="00BE4384"/>
    <w:rsid w:val="00BE43A2"/>
    <w:rsid w:val="00BE4456"/>
    <w:rsid w:val="00BE4473"/>
    <w:rsid w:val="00BE4530"/>
    <w:rsid w:val="00BE4569"/>
    <w:rsid w:val="00BE4681"/>
    <w:rsid w:val="00BE46B8"/>
    <w:rsid w:val="00BE46F8"/>
    <w:rsid w:val="00BE4725"/>
    <w:rsid w:val="00BE4791"/>
    <w:rsid w:val="00BE489F"/>
    <w:rsid w:val="00BE496C"/>
    <w:rsid w:val="00BE49DC"/>
    <w:rsid w:val="00BE4B42"/>
    <w:rsid w:val="00BE4C24"/>
    <w:rsid w:val="00BE4F1F"/>
    <w:rsid w:val="00BE4FE6"/>
    <w:rsid w:val="00BE4FFD"/>
    <w:rsid w:val="00BE518F"/>
    <w:rsid w:val="00BE5284"/>
    <w:rsid w:val="00BE531B"/>
    <w:rsid w:val="00BE53AC"/>
    <w:rsid w:val="00BE5417"/>
    <w:rsid w:val="00BE5422"/>
    <w:rsid w:val="00BE54BF"/>
    <w:rsid w:val="00BE55EA"/>
    <w:rsid w:val="00BE5651"/>
    <w:rsid w:val="00BE56C1"/>
    <w:rsid w:val="00BE580B"/>
    <w:rsid w:val="00BE59B7"/>
    <w:rsid w:val="00BE59E9"/>
    <w:rsid w:val="00BE5A0D"/>
    <w:rsid w:val="00BE5A81"/>
    <w:rsid w:val="00BE5AA0"/>
    <w:rsid w:val="00BE5B35"/>
    <w:rsid w:val="00BE5BA4"/>
    <w:rsid w:val="00BE5BFF"/>
    <w:rsid w:val="00BE5C76"/>
    <w:rsid w:val="00BE5CA6"/>
    <w:rsid w:val="00BE5D2A"/>
    <w:rsid w:val="00BE5DD6"/>
    <w:rsid w:val="00BE5E1A"/>
    <w:rsid w:val="00BE5E46"/>
    <w:rsid w:val="00BE5E58"/>
    <w:rsid w:val="00BE5E8A"/>
    <w:rsid w:val="00BE600E"/>
    <w:rsid w:val="00BE603D"/>
    <w:rsid w:val="00BE6115"/>
    <w:rsid w:val="00BE6135"/>
    <w:rsid w:val="00BE6155"/>
    <w:rsid w:val="00BE616A"/>
    <w:rsid w:val="00BE6226"/>
    <w:rsid w:val="00BE6240"/>
    <w:rsid w:val="00BE62F9"/>
    <w:rsid w:val="00BE6371"/>
    <w:rsid w:val="00BE63B2"/>
    <w:rsid w:val="00BE6407"/>
    <w:rsid w:val="00BE642A"/>
    <w:rsid w:val="00BE64C7"/>
    <w:rsid w:val="00BE6540"/>
    <w:rsid w:val="00BE669D"/>
    <w:rsid w:val="00BE66AA"/>
    <w:rsid w:val="00BE6712"/>
    <w:rsid w:val="00BE67A8"/>
    <w:rsid w:val="00BE6810"/>
    <w:rsid w:val="00BE689E"/>
    <w:rsid w:val="00BE6907"/>
    <w:rsid w:val="00BE697F"/>
    <w:rsid w:val="00BE69B6"/>
    <w:rsid w:val="00BE69E7"/>
    <w:rsid w:val="00BE6B8A"/>
    <w:rsid w:val="00BE6B94"/>
    <w:rsid w:val="00BE6BAE"/>
    <w:rsid w:val="00BE6BCF"/>
    <w:rsid w:val="00BE6C58"/>
    <w:rsid w:val="00BE6C81"/>
    <w:rsid w:val="00BE6D2B"/>
    <w:rsid w:val="00BE6E4A"/>
    <w:rsid w:val="00BE6ECE"/>
    <w:rsid w:val="00BE6EE1"/>
    <w:rsid w:val="00BE6FF4"/>
    <w:rsid w:val="00BE7003"/>
    <w:rsid w:val="00BE70C9"/>
    <w:rsid w:val="00BE70CA"/>
    <w:rsid w:val="00BE70D9"/>
    <w:rsid w:val="00BE71FF"/>
    <w:rsid w:val="00BE7261"/>
    <w:rsid w:val="00BE728E"/>
    <w:rsid w:val="00BE72AA"/>
    <w:rsid w:val="00BE732F"/>
    <w:rsid w:val="00BE7346"/>
    <w:rsid w:val="00BE73C8"/>
    <w:rsid w:val="00BE74AB"/>
    <w:rsid w:val="00BE74BA"/>
    <w:rsid w:val="00BE75FB"/>
    <w:rsid w:val="00BE7609"/>
    <w:rsid w:val="00BE7689"/>
    <w:rsid w:val="00BE773E"/>
    <w:rsid w:val="00BE77AA"/>
    <w:rsid w:val="00BE78FE"/>
    <w:rsid w:val="00BE79FA"/>
    <w:rsid w:val="00BE7C86"/>
    <w:rsid w:val="00BE7D97"/>
    <w:rsid w:val="00BE7DE3"/>
    <w:rsid w:val="00BE7EB2"/>
    <w:rsid w:val="00BE7F46"/>
    <w:rsid w:val="00BE7F59"/>
    <w:rsid w:val="00BE7FA3"/>
    <w:rsid w:val="00BEE7D3"/>
    <w:rsid w:val="00BF0091"/>
    <w:rsid w:val="00BF0238"/>
    <w:rsid w:val="00BF046B"/>
    <w:rsid w:val="00BF048F"/>
    <w:rsid w:val="00BF0579"/>
    <w:rsid w:val="00BF0588"/>
    <w:rsid w:val="00BF0659"/>
    <w:rsid w:val="00BF06BD"/>
    <w:rsid w:val="00BF06F2"/>
    <w:rsid w:val="00BF0708"/>
    <w:rsid w:val="00BF0748"/>
    <w:rsid w:val="00BF07A0"/>
    <w:rsid w:val="00BF0876"/>
    <w:rsid w:val="00BF0933"/>
    <w:rsid w:val="00BF09E7"/>
    <w:rsid w:val="00BF09FF"/>
    <w:rsid w:val="00BF0ABD"/>
    <w:rsid w:val="00BF0AC0"/>
    <w:rsid w:val="00BF0B95"/>
    <w:rsid w:val="00BF0BF3"/>
    <w:rsid w:val="00BF0C48"/>
    <w:rsid w:val="00BF0C60"/>
    <w:rsid w:val="00BF0D15"/>
    <w:rsid w:val="00BF0DC0"/>
    <w:rsid w:val="00BF0DC8"/>
    <w:rsid w:val="00BF0E79"/>
    <w:rsid w:val="00BF0EE7"/>
    <w:rsid w:val="00BF0F0A"/>
    <w:rsid w:val="00BF0F19"/>
    <w:rsid w:val="00BF0FE9"/>
    <w:rsid w:val="00BF0FF5"/>
    <w:rsid w:val="00BF1084"/>
    <w:rsid w:val="00BF11AD"/>
    <w:rsid w:val="00BF11D6"/>
    <w:rsid w:val="00BF135A"/>
    <w:rsid w:val="00BF1433"/>
    <w:rsid w:val="00BF1439"/>
    <w:rsid w:val="00BF144C"/>
    <w:rsid w:val="00BF1463"/>
    <w:rsid w:val="00BF1586"/>
    <w:rsid w:val="00BF169C"/>
    <w:rsid w:val="00BF17D5"/>
    <w:rsid w:val="00BF1839"/>
    <w:rsid w:val="00BF18E2"/>
    <w:rsid w:val="00BF1947"/>
    <w:rsid w:val="00BF1B7D"/>
    <w:rsid w:val="00BF1BD1"/>
    <w:rsid w:val="00BF1CBB"/>
    <w:rsid w:val="00BF1D90"/>
    <w:rsid w:val="00BF1DED"/>
    <w:rsid w:val="00BF1E0B"/>
    <w:rsid w:val="00BF1EE0"/>
    <w:rsid w:val="00BF1FD8"/>
    <w:rsid w:val="00BF2161"/>
    <w:rsid w:val="00BF2168"/>
    <w:rsid w:val="00BF219F"/>
    <w:rsid w:val="00BF2233"/>
    <w:rsid w:val="00BF2236"/>
    <w:rsid w:val="00BF228E"/>
    <w:rsid w:val="00BF232C"/>
    <w:rsid w:val="00BF233A"/>
    <w:rsid w:val="00BF233C"/>
    <w:rsid w:val="00BF23ED"/>
    <w:rsid w:val="00BF2514"/>
    <w:rsid w:val="00BF2544"/>
    <w:rsid w:val="00BF2571"/>
    <w:rsid w:val="00BF2623"/>
    <w:rsid w:val="00BF2675"/>
    <w:rsid w:val="00BF26CB"/>
    <w:rsid w:val="00BF27E3"/>
    <w:rsid w:val="00BF2834"/>
    <w:rsid w:val="00BF2836"/>
    <w:rsid w:val="00BF28EC"/>
    <w:rsid w:val="00BF2929"/>
    <w:rsid w:val="00BF2936"/>
    <w:rsid w:val="00BF2979"/>
    <w:rsid w:val="00BF29D6"/>
    <w:rsid w:val="00BF29E1"/>
    <w:rsid w:val="00BF29F0"/>
    <w:rsid w:val="00BF2A16"/>
    <w:rsid w:val="00BF2A27"/>
    <w:rsid w:val="00BF2A2F"/>
    <w:rsid w:val="00BF2A49"/>
    <w:rsid w:val="00BF2A81"/>
    <w:rsid w:val="00BF2A8E"/>
    <w:rsid w:val="00BF2AE5"/>
    <w:rsid w:val="00BF2B04"/>
    <w:rsid w:val="00BF2B36"/>
    <w:rsid w:val="00BF2B54"/>
    <w:rsid w:val="00BF2BDC"/>
    <w:rsid w:val="00BF2BF9"/>
    <w:rsid w:val="00BF2C23"/>
    <w:rsid w:val="00BF2C9A"/>
    <w:rsid w:val="00BF2CFA"/>
    <w:rsid w:val="00BF2E0B"/>
    <w:rsid w:val="00BF2E67"/>
    <w:rsid w:val="00BF2F67"/>
    <w:rsid w:val="00BF2F8A"/>
    <w:rsid w:val="00BF307C"/>
    <w:rsid w:val="00BF3100"/>
    <w:rsid w:val="00BF3109"/>
    <w:rsid w:val="00BF3199"/>
    <w:rsid w:val="00BF3302"/>
    <w:rsid w:val="00BF332E"/>
    <w:rsid w:val="00BF3345"/>
    <w:rsid w:val="00BF336D"/>
    <w:rsid w:val="00BF33AD"/>
    <w:rsid w:val="00BF3413"/>
    <w:rsid w:val="00BF3450"/>
    <w:rsid w:val="00BF3499"/>
    <w:rsid w:val="00BF355F"/>
    <w:rsid w:val="00BF356C"/>
    <w:rsid w:val="00BF360F"/>
    <w:rsid w:val="00BF367B"/>
    <w:rsid w:val="00BF36C3"/>
    <w:rsid w:val="00BF36DA"/>
    <w:rsid w:val="00BF36EB"/>
    <w:rsid w:val="00BF3726"/>
    <w:rsid w:val="00BF3748"/>
    <w:rsid w:val="00BF376B"/>
    <w:rsid w:val="00BF37E4"/>
    <w:rsid w:val="00BF3A83"/>
    <w:rsid w:val="00BF3B2C"/>
    <w:rsid w:val="00BF3B59"/>
    <w:rsid w:val="00BF3BE9"/>
    <w:rsid w:val="00BF3C82"/>
    <w:rsid w:val="00BF3DFA"/>
    <w:rsid w:val="00BF3E4A"/>
    <w:rsid w:val="00BF3FCD"/>
    <w:rsid w:val="00BF4037"/>
    <w:rsid w:val="00BF40C2"/>
    <w:rsid w:val="00BF412B"/>
    <w:rsid w:val="00BF420D"/>
    <w:rsid w:val="00BF426E"/>
    <w:rsid w:val="00BF4296"/>
    <w:rsid w:val="00BF42AD"/>
    <w:rsid w:val="00BF42AE"/>
    <w:rsid w:val="00BF4335"/>
    <w:rsid w:val="00BF4362"/>
    <w:rsid w:val="00BF43B6"/>
    <w:rsid w:val="00BF4422"/>
    <w:rsid w:val="00BF445B"/>
    <w:rsid w:val="00BF447C"/>
    <w:rsid w:val="00BF459D"/>
    <w:rsid w:val="00BF470E"/>
    <w:rsid w:val="00BF476D"/>
    <w:rsid w:val="00BF47FA"/>
    <w:rsid w:val="00BF47FB"/>
    <w:rsid w:val="00BF485E"/>
    <w:rsid w:val="00BF4956"/>
    <w:rsid w:val="00BF49A0"/>
    <w:rsid w:val="00BF49A7"/>
    <w:rsid w:val="00BF49D3"/>
    <w:rsid w:val="00BF4A2B"/>
    <w:rsid w:val="00BF4AC9"/>
    <w:rsid w:val="00BF4B04"/>
    <w:rsid w:val="00BF4B86"/>
    <w:rsid w:val="00BF4BA6"/>
    <w:rsid w:val="00BF4BAD"/>
    <w:rsid w:val="00BF4C84"/>
    <w:rsid w:val="00BF4D75"/>
    <w:rsid w:val="00BF4DCA"/>
    <w:rsid w:val="00BF4EE4"/>
    <w:rsid w:val="00BF5094"/>
    <w:rsid w:val="00BF5103"/>
    <w:rsid w:val="00BF5202"/>
    <w:rsid w:val="00BF534B"/>
    <w:rsid w:val="00BF539F"/>
    <w:rsid w:val="00BF5421"/>
    <w:rsid w:val="00BF54F4"/>
    <w:rsid w:val="00BF550E"/>
    <w:rsid w:val="00BF5572"/>
    <w:rsid w:val="00BF5618"/>
    <w:rsid w:val="00BF563B"/>
    <w:rsid w:val="00BF5643"/>
    <w:rsid w:val="00BF5644"/>
    <w:rsid w:val="00BF5765"/>
    <w:rsid w:val="00BF577E"/>
    <w:rsid w:val="00BF583D"/>
    <w:rsid w:val="00BF586D"/>
    <w:rsid w:val="00BF5899"/>
    <w:rsid w:val="00BF5950"/>
    <w:rsid w:val="00BF59CE"/>
    <w:rsid w:val="00BF5AE3"/>
    <w:rsid w:val="00BF5AFA"/>
    <w:rsid w:val="00BF5B27"/>
    <w:rsid w:val="00BF5B6C"/>
    <w:rsid w:val="00BF5BD6"/>
    <w:rsid w:val="00BF5D1C"/>
    <w:rsid w:val="00BF5DAE"/>
    <w:rsid w:val="00BF5DD4"/>
    <w:rsid w:val="00BF5DFE"/>
    <w:rsid w:val="00BF5E19"/>
    <w:rsid w:val="00BF5E53"/>
    <w:rsid w:val="00BF5EA5"/>
    <w:rsid w:val="00BF601E"/>
    <w:rsid w:val="00BF6021"/>
    <w:rsid w:val="00BF6097"/>
    <w:rsid w:val="00BF623A"/>
    <w:rsid w:val="00BF6324"/>
    <w:rsid w:val="00BF636D"/>
    <w:rsid w:val="00BF6461"/>
    <w:rsid w:val="00BF66C8"/>
    <w:rsid w:val="00BF68EB"/>
    <w:rsid w:val="00BF6A7E"/>
    <w:rsid w:val="00BF6AE6"/>
    <w:rsid w:val="00BF6AEB"/>
    <w:rsid w:val="00BF6BB8"/>
    <w:rsid w:val="00BF6D69"/>
    <w:rsid w:val="00BF6D72"/>
    <w:rsid w:val="00BF6E5A"/>
    <w:rsid w:val="00BF6F02"/>
    <w:rsid w:val="00BF703B"/>
    <w:rsid w:val="00BF7043"/>
    <w:rsid w:val="00BF727E"/>
    <w:rsid w:val="00BF7297"/>
    <w:rsid w:val="00BF72E7"/>
    <w:rsid w:val="00BF73A4"/>
    <w:rsid w:val="00BF742A"/>
    <w:rsid w:val="00BF7507"/>
    <w:rsid w:val="00BF76A1"/>
    <w:rsid w:val="00BF7705"/>
    <w:rsid w:val="00BF77B0"/>
    <w:rsid w:val="00BF77BF"/>
    <w:rsid w:val="00BF7826"/>
    <w:rsid w:val="00BF78D1"/>
    <w:rsid w:val="00BF793C"/>
    <w:rsid w:val="00BF7976"/>
    <w:rsid w:val="00BF7A2B"/>
    <w:rsid w:val="00BF7A70"/>
    <w:rsid w:val="00BF7B8D"/>
    <w:rsid w:val="00BF7BC8"/>
    <w:rsid w:val="00BF7C27"/>
    <w:rsid w:val="00BF7C6F"/>
    <w:rsid w:val="00BF7CCC"/>
    <w:rsid w:val="00BF7CDF"/>
    <w:rsid w:val="00BF7D27"/>
    <w:rsid w:val="00BF7D7D"/>
    <w:rsid w:val="00BF7E31"/>
    <w:rsid w:val="00BF7E8D"/>
    <w:rsid w:val="00BF7E94"/>
    <w:rsid w:val="00BF7EF1"/>
    <w:rsid w:val="00BF7FEE"/>
    <w:rsid w:val="00C00108"/>
    <w:rsid w:val="00C00135"/>
    <w:rsid w:val="00C00290"/>
    <w:rsid w:val="00C002F9"/>
    <w:rsid w:val="00C00322"/>
    <w:rsid w:val="00C0032A"/>
    <w:rsid w:val="00C00396"/>
    <w:rsid w:val="00C003B6"/>
    <w:rsid w:val="00C003EB"/>
    <w:rsid w:val="00C0041C"/>
    <w:rsid w:val="00C0042C"/>
    <w:rsid w:val="00C0052A"/>
    <w:rsid w:val="00C0056F"/>
    <w:rsid w:val="00C00572"/>
    <w:rsid w:val="00C00580"/>
    <w:rsid w:val="00C0064C"/>
    <w:rsid w:val="00C007D9"/>
    <w:rsid w:val="00C00864"/>
    <w:rsid w:val="00C00880"/>
    <w:rsid w:val="00C0088C"/>
    <w:rsid w:val="00C00B39"/>
    <w:rsid w:val="00C00B56"/>
    <w:rsid w:val="00C00B99"/>
    <w:rsid w:val="00C00BA3"/>
    <w:rsid w:val="00C00BA6"/>
    <w:rsid w:val="00C00BEC"/>
    <w:rsid w:val="00C00BEF"/>
    <w:rsid w:val="00C00D75"/>
    <w:rsid w:val="00C00DA6"/>
    <w:rsid w:val="00C00E05"/>
    <w:rsid w:val="00C00FA9"/>
    <w:rsid w:val="00C00FC3"/>
    <w:rsid w:val="00C01011"/>
    <w:rsid w:val="00C01240"/>
    <w:rsid w:val="00C01267"/>
    <w:rsid w:val="00C012A4"/>
    <w:rsid w:val="00C0135D"/>
    <w:rsid w:val="00C013A5"/>
    <w:rsid w:val="00C0140C"/>
    <w:rsid w:val="00C014B2"/>
    <w:rsid w:val="00C01590"/>
    <w:rsid w:val="00C01627"/>
    <w:rsid w:val="00C01867"/>
    <w:rsid w:val="00C018BE"/>
    <w:rsid w:val="00C018CE"/>
    <w:rsid w:val="00C019A6"/>
    <w:rsid w:val="00C01B1B"/>
    <w:rsid w:val="00C01B45"/>
    <w:rsid w:val="00C01BD9"/>
    <w:rsid w:val="00C01BFB"/>
    <w:rsid w:val="00C01C1D"/>
    <w:rsid w:val="00C01C67"/>
    <w:rsid w:val="00C01C9D"/>
    <w:rsid w:val="00C01CBE"/>
    <w:rsid w:val="00C01D41"/>
    <w:rsid w:val="00C01E1D"/>
    <w:rsid w:val="00C01E5A"/>
    <w:rsid w:val="00C01EE5"/>
    <w:rsid w:val="00C01F61"/>
    <w:rsid w:val="00C0203F"/>
    <w:rsid w:val="00C02046"/>
    <w:rsid w:val="00C020E1"/>
    <w:rsid w:val="00C0214A"/>
    <w:rsid w:val="00C02283"/>
    <w:rsid w:val="00C022A1"/>
    <w:rsid w:val="00C022E0"/>
    <w:rsid w:val="00C02413"/>
    <w:rsid w:val="00C024A0"/>
    <w:rsid w:val="00C025AA"/>
    <w:rsid w:val="00C025B4"/>
    <w:rsid w:val="00C02699"/>
    <w:rsid w:val="00C02720"/>
    <w:rsid w:val="00C0289C"/>
    <w:rsid w:val="00C02946"/>
    <w:rsid w:val="00C02977"/>
    <w:rsid w:val="00C029BA"/>
    <w:rsid w:val="00C02A8D"/>
    <w:rsid w:val="00C02B17"/>
    <w:rsid w:val="00C02B4E"/>
    <w:rsid w:val="00C02C01"/>
    <w:rsid w:val="00C02F63"/>
    <w:rsid w:val="00C02F99"/>
    <w:rsid w:val="00C03038"/>
    <w:rsid w:val="00C0303F"/>
    <w:rsid w:val="00C030CE"/>
    <w:rsid w:val="00C03119"/>
    <w:rsid w:val="00C03134"/>
    <w:rsid w:val="00C0328F"/>
    <w:rsid w:val="00C032A9"/>
    <w:rsid w:val="00C0334E"/>
    <w:rsid w:val="00C03357"/>
    <w:rsid w:val="00C03437"/>
    <w:rsid w:val="00C03547"/>
    <w:rsid w:val="00C035A5"/>
    <w:rsid w:val="00C0360D"/>
    <w:rsid w:val="00C0362E"/>
    <w:rsid w:val="00C036F2"/>
    <w:rsid w:val="00C03776"/>
    <w:rsid w:val="00C038B3"/>
    <w:rsid w:val="00C03984"/>
    <w:rsid w:val="00C039E1"/>
    <w:rsid w:val="00C03A3C"/>
    <w:rsid w:val="00C03B01"/>
    <w:rsid w:val="00C03B2E"/>
    <w:rsid w:val="00C03B46"/>
    <w:rsid w:val="00C03B86"/>
    <w:rsid w:val="00C03BC6"/>
    <w:rsid w:val="00C03E3F"/>
    <w:rsid w:val="00C03E5C"/>
    <w:rsid w:val="00C03EA8"/>
    <w:rsid w:val="00C03EB3"/>
    <w:rsid w:val="00C03FC2"/>
    <w:rsid w:val="00C04011"/>
    <w:rsid w:val="00C040F0"/>
    <w:rsid w:val="00C04111"/>
    <w:rsid w:val="00C04164"/>
    <w:rsid w:val="00C04179"/>
    <w:rsid w:val="00C04260"/>
    <w:rsid w:val="00C042CD"/>
    <w:rsid w:val="00C0430A"/>
    <w:rsid w:val="00C04375"/>
    <w:rsid w:val="00C0441D"/>
    <w:rsid w:val="00C04432"/>
    <w:rsid w:val="00C044F9"/>
    <w:rsid w:val="00C04549"/>
    <w:rsid w:val="00C04776"/>
    <w:rsid w:val="00C047FB"/>
    <w:rsid w:val="00C04817"/>
    <w:rsid w:val="00C04999"/>
    <w:rsid w:val="00C04B29"/>
    <w:rsid w:val="00C04B9E"/>
    <w:rsid w:val="00C04BE4"/>
    <w:rsid w:val="00C04C29"/>
    <w:rsid w:val="00C04C65"/>
    <w:rsid w:val="00C04C74"/>
    <w:rsid w:val="00C04CB8"/>
    <w:rsid w:val="00C04D52"/>
    <w:rsid w:val="00C04E3D"/>
    <w:rsid w:val="00C04EDF"/>
    <w:rsid w:val="00C04F03"/>
    <w:rsid w:val="00C04F71"/>
    <w:rsid w:val="00C0501B"/>
    <w:rsid w:val="00C05162"/>
    <w:rsid w:val="00C051AA"/>
    <w:rsid w:val="00C051AD"/>
    <w:rsid w:val="00C051E2"/>
    <w:rsid w:val="00C052CB"/>
    <w:rsid w:val="00C05304"/>
    <w:rsid w:val="00C05384"/>
    <w:rsid w:val="00C053F1"/>
    <w:rsid w:val="00C0540B"/>
    <w:rsid w:val="00C05437"/>
    <w:rsid w:val="00C05583"/>
    <w:rsid w:val="00C05633"/>
    <w:rsid w:val="00C056EF"/>
    <w:rsid w:val="00C056F3"/>
    <w:rsid w:val="00C056FA"/>
    <w:rsid w:val="00C05747"/>
    <w:rsid w:val="00C057C6"/>
    <w:rsid w:val="00C058F1"/>
    <w:rsid w:val="00C0598C"/>
    <w:rsid w:val="00C05991"/>
    <w:rsid w:val="00C059D3"/>
    <w:rsid w:val="00C05AB8"/>
    <w:rsid w:val="00C05B75"/>
    <w:rsid w:val="00C05B85"/>
    <w:rsid w:val="00C05BFA"/>
    <w:rsid w:val="00C05C55"/>
    <w:rsid w:val="00C05C93"/>
    <w:rsid w:val="00C05CEB"/>
    <w:rsid w:val="00C05DCE"/>
    <w:rsid w:val="00C05F02"/>
    <w:rsid w:val="00C05F73"/>
    <w:rsid w:val="00C06014"/>
    <w:rsid w:val="00C06044"/>
    <w:rsid w:val="00C060C9"/>
    <w:rsid w:val="00C06101"/>
    <w:rsid w:val="00C06209"/>
    <w:rsid w:val="00C0624F"/>
    <w:rsid w:val="00C062C3"/>
    <w:rsid w:val="00C06327"/>
    <w:rsid w:val="00C0646F"/>
    <w:rsid w:val="00C06481"/>
    <w:rsid w:val="00C0648F"/>
    <w:rsid w:val="00C0652F"/>
    <w:rsid w:val="00C06541"/>
    <w:rsid w:val="00C06599"/>
    <w:rsid w:val="00C0669A"/>
    <w:rsid w:val="00C0685D"/>
    <w:rsid w:val="00C0688E"/>
    <w:rsid w:val="00C06960"/>
    <w:rsid w:val="00C06A1D"/>
    <w:rsid w:val="00C06B7E"/>
    <w:rsid w:val="00C06B8A"/>
    <w:rsid w:val="00C06CD1"/>
    <w:rsid w:val="00C06D18"/>
    <w:rsid w:val="00C06D4B"/>
    <w:rsid w:val="00C06D54"/>
    <w:rsid w:val="00C06D5C"/>
    <w:rsid w:val="00C06D91"/>
    <w:rsid w:val="00C06E2B"/>
    <w:rsid w:val="00C06E9A"/>
    <w:rsid w:val="00C06EC4"/>
    <w:rsid w:val="00C06EE9"/>
    <w:rsid w:val="00C06F21"/>
    <w:rsid w:val="00C07014"/>
    <w:rsid w:val="00C070F2"/>
    <w:rsid w:val="00C07151"/>
    <w:rsid w:val="00C07157"/>
    <w:rsid w:val="00C0726E"/>
    <w:rsid w:val="00C07297"/>
    <w:rsid w:val="00C072B4"/>
    <w:rsid w:val="00C07399"/>
    <w:rsid w:val="00C073AF"/>
    <w:rsid w:val="00C07474"/>
    <w:rsid w:val="00C0748F"/>
    <w:rsid w:val="00C074CC"/>
    <w:rsid w:val="00C0753A"/>
    <w:rsid w:val="00C075F1"/>
    <w:rsid w:val="00C0788B"/>
    <w:rsid w:val="00C07929"/>
    <w:rsid w:val="00C07976"/>
    <w:rsid w:val="00C07993"/>
    <w:rsid w:val="00C079A1"/>
    <w:rsid w:val="00C079B1"/>
    <w:rsid w:val="00C07AA5"/>
    <w:rsid w:val="00C07AC3"/>
    <w:rsid w:val="00C07B58"/>
    <w:rsid w:val="00C07B5C"/>
    <w:rsid w:val="00C07B71"/>
    <w:rsid w:val="00C07B82"/>
    <w:rsid w:val="00C07BE1"/>
    <w:rsid w:val="00C07C93"/>
    <w:rsid w:val="00C07CFF"/>
    <w:rsid w:val="00C07DB4"/>
    <w:rsid w:val="00C07E11"/>
    <w:rsid w:val="00C07E24"/>
    <w:rsid w:val="00C07E39"/>
    <w:rsid w:val="00C07E3C"/>
    <w:rsid w:val="00C07E3D"/>
    <w:rsid w:val="00C07E6C"/>
    <w:rsid w:val="00C07F4F"/>
    <w:rsid w:val="00C07F5E"/>
    <w:rsid w:val="00C07F97"/>
    <w:rsid w:val="00C07FD0"/>
    <w:rsid w:val="00C100D1"/>
    <w:rsid w:val="00C100F1"/>
    <w:rsid w:val="00C10171"/>
    <w:rsid w:val="00C101EF"/>
    <w:rsid w:val="00C10272"/>
    <w:rsid w:val="00C1027B"/>
    <w:rsid w:val="00C102E9"/>
    <w:rsid w:val="00C1039C"/>
    <w:rsid w:val="00C103F4"/>
    <w:rsid w:val="00C1046F"/>
    <w:rsid w:val="00C104C1"/>
    <w:rsid w:val="00C1055B"/>
    <w:rsid w:val="00C10710"/>
    <w:rsid w:val="00C10775"/>
    <w:rsid w:val="00C1077A"/>
    <w:rsid w:val="00C10798"/>
    <w:rsid w:val="00C10940"/>
    <w:rsid w:val="00C109AD"/>
    <w:rsid w:val="00C10AC8"/>
    <w:rsid w:val="00C10B3F"/>
    <w:rsid w:val="00C10BC7"/>
    <w:rsid w:val="00C10BFF"/>
    <w:rsid w:val="00C10C63"/>
    <w:rsid w:val="00C10C6A"/>
    <w:rsid w:val="00C10CFB"/>
    <w:rsid w:val="00C10D2C"/>
    <w:rsid w:val="00C10D67"/>
    <w:rsid w:val="00C10D90"/>
    <w:rsid w:val="00C10DA3"/>
    <w:rsid w:val="00C10DD7"/>
    <w:rsid w:val="00C10E1B"/>
    <w:rsid w:val="00C10E78"/>
    <w:rsid w:val="00C10FA2"/>
    <w:rsid w:val="00C10FC8"/>
    <w:rsid w:val="00C11056"/>
    <w:rsid w:val="00C112D7"/>
    <w:rsid w:val="00C11368"/>
    <w:rsid w:val="00C11466"/>
    <w:rsid w:val="00C114A8"/>
    <w:rsid w:val="00C114D3"/>
    <w:rsid w:val="00C11501"/>
    <w:rsid w:val="00C11609"/>
    <w:rsid w:val="00C1163F"/>
    <w:rsid w:val="00C116C3"/>
    <w:rsid w:val="00C11722"/>
    <w:rsid w:val="00C11747"/>
    <w:rsid w:val="00C11805"/>
    <w:rsid w:val="00C11812"/>
    <w:rsid w:val="00C118F8"/>
    <w:rsid w:val="00C11A43"/>
    <w:rsid w:val="00C11AC8"/>
    <w:rsid w:val="00C11AD9"/>
    <w:rsid w:val="00C11C38"/>
    <w:rsid w:val="00C11C91"/>
    <w:rsid w:val="00C11CC5"/>
    <w:rsid w:val="00C11E5B"/>
    <w:rsid w:val="00C11F08"/>
    <w:rsid w:val="00C11F0B"/>
    <w:rsid w:val="00C11F83"/>
    <w:rsid w:val="00C11F9B"/>
    <w:rsid w:val="00C12034"/>
    <w:rsid w:val="00C12134"/>
    <w:rsid w:val="00C121C2"/>
    <w:rsid w:val="00C12322"/>
    <w:rsid w:val="00C12363"/>
    <w:rsid w:val="00C1248D"/>
    <w:rsid w:val="00C1249D"/>
    <w:rsid w:val="00C12549"/>
    <w:rsid w:val="00C1256E"/>
    <w:rsid w:val="00C12592"/>
    <w:rsid w:val="00C12605"/>
    <w:rsid w:val="00C126A7"/>
    <w:rsid w:val="00C1271B"/>
    <w:rsid w:val="00C1274D"/>
    <w:rsid w:val="00C127FA"/>
    <w:rsid w:val="00C12808"/>
    <w:rsid w:val="00C128B5"/>
    <w:rsid w:val="00C128B8"/>
    <w:rsid w:val="00C128EE"/>
    <w:rsid w:val="00C12947"/>
    <w:rsid w:val="00C12949"/>
    <w:rsid w:val="00C129C1"/>
    <w:rsid w:val="00C12A7E"/>
    <w:rsid w:val="00C12B28"/>
    <w:rsid w:val="00C12BBC"/>
    <w:rsid w:val="00C12BD1"/>
    <w:rsid w:val="00C12BE9"/>
    <w:rsid w:val="00C12C2B"/>
    <w:rsid w:val="00C12C9A"/>
    <w:rsid w:val="00C12CAA"/>
    <w:rsid w:val="00C12ED4"/>
    <w:rsid w:val="00C12F69"/>
    <w:rsid w:val="00C12F80"/>
    <w:rsid w:val="00C12F88"/>
    <w:rsid w:val="00C1302A"/>
    <w:rsid w:val="00C130FD"/>
    <w:rsid w:val="00C131CC"/>
    <w:rsid w:val="00C13226"/>
    <w:rsid w:val="00C13276"/>
    <w:rsid w:val="00C1327F"/>
    <w:rsid w:val="00C132EF"/>
    <w:rsid w:val="00C133A7"/>
    <w:rsid w:val="00C133AE"/>
    <w:rsid w:val="00C134CD"/>
    <w:rsid w:val="00C134FD"/>
    <w:rsid w:val="00C13556"/>
    <w:rsid w:val="00C1357F"/>
    <w:rsid w:val="00C13589"/>
    <w:rsid w:val="00C13722"/>
    <w:rsid w:val="00C13725"/>
    <w:rsid w:val="00C1377A"/>
    <w:rsid w:val="00C13966"/>
    <w:rsid w:val="00C139AE"/>
    <w:rsid w:val="00C13AB7"/>
    <w:rsid w:val="00C13B1E"/>
    <w:rsid w:val="00C13B67"/>
    <w:rsid w:val="00C13BE7"/>
    <w:rsid w:val="00C13CAD"/>
    <w:rsid w:val="00C13CE3"/>
    <w:rsid w:val="00C13D12"/>
    <w:rsid w:val="00C13D47"/>
    <w:rsid w:val="00C13DCA"/>
    <w:rsid w:val="00C13DF2"/>
    <w:rsid w:val="00C13E39"/>
    <w:rsid w:val="00C13E52"/>
    <w:rsid w:val="00C13EC9"/>
    <w:rsid w:val="00C13F52"/>
    <w:rsid w:val="00C13FE3"/>
    <w:rsid w:val="00C140EC"/>
    <w:rsid w:val="00C14148"/>
    <w:rsid w:val="00C14358"/>
    <w:rsid w:val="00C1438F"/>
    <w:rsid w:val="00C143DD"/>
    <w:rsid w:val="00C14560"/>
    <w:rsid w:val="00C1456B"/>
    <w:rsid w:val="00C14601"/>
    <w:rsid w:val="00C14613"/>
    <w:rsid w:val="00C14647"/>
    <w:rsid w:val="00C146D7"/>
    <w:rsid w:val="00C1471D"/>
    <w:rsid w:val="00C1476A"/>
    <w:rsid w:val="00C14789"/>
    <w:rsid w:val="00C14846"/>
    <w:rsid w:val="00C1486B"/>
    <w:rsid w:val="00C1489E"/>
    <w:rsid w:val="00C14AB5"/>
    <w:rsid w:val="00C14B54"/>
    <w:rsid w:val="00C14DBD"/>
    <w:rsid w:val="00C14E4F"/>
    <w:rsid w:val="00C14F39"/>
    <w:rsid w:val="00C14F9C"/>
    <w:rsid w:val="00C14FF7"/>
    <w:rsid w:val="00C15044"/>
    <w:rsid w:val="00C1515B"/>
    <w:rsid w:val="00C15190"/>
    <w:rsid w:val="00C151B6"/>
    <w:rsid w:val="00C151F2"/>
    <w:rsid w:val="00C1520F"/>
    <w:rsid w:val="00C1528A"/>
    <w:rsid w:val="00C15320"/>
    <w:rsid w:val="00C153F3"/>
    <w:rsid w:val="00C1540B"/>
    <w:rsid w:val="00C154C8"/>
    <w:rsid w:val="00C156D2"/>
    <w:rsid w:val="00C15740"/>
    <w:rsid w:val="00C15835"/>
    <w:rsid w:val="00C15862"/>
    <w:rsid w:val="00C158CC"/>
    <w:rsid w:val="00C158E4"/>
    <w:rsid w:val="00C158F5"/>
    <w:rsid w:val="00C15960"/>
    <w:rsid w:val="00C15989"/>
    <w:rsid w:val="00C15AA4"/>
    <w:rsid w:val="00C15AFA"/>
    <w:rsid w:val="00C15B6C"/>
    <w:rsid w:val="00C15B89"/>
    <w:rsid w:val="00C15B95"/>
    <w:rsid w:val="00C15BBB"/>
    <w:rsid w:val="00C15BFA"/>
    <w:rsid w:val="00C15BFF"/>
    <w:rsid w:val="00C15C8F"/>
    <w:rsid w:val="00C15CB7"/>
    <w:rsid w:val="00C15D4A"/>
    <w:rsid w:val="00C15D8A"/>
    <w:rsid w:val="00C15E1E"/>
    <w:rsid w:val="00C15E5F"/>
    <w:rsid w:val="00C15E71"/>
    <w:rsid w:val="00C15EA5"/>
    <w:rsid w:val="00C15F22"/>
    <w:rsid w:val="00C15F33"/>
    <w:rsid w:val="00C15FED"/>
    <w:rsid w:val="00C16025"/>
    <w:rsid w:val="00C1608F"/>
    <w:rsid w:val="00C16111"/>
    <w:rsid w:val="00C1611B"/>
    <w:rsid w:val="00C1613A"/>
    <w:rsid w:val="00C161A5"/>
    <w:rsid w:val="00C161BB"/>
    <w:rsid w:val="00C1620F"/>
    <w:rsid w:val="00C16239"/>
    <w:rsid w:val="00C16282"/>
    <w:rsid w:val="00C162F1"/>
    <w:rsid w:val="00C162F3"/>
    <w:rsid w:val="00C163FF"/>
    <w:rsid w:val="00C164A1"/>
    <w:rsid w:val="00C164D8"/>
    <w:rsid w:val="00C1656E"/>
    <w:rsid w:val="00C1657D"/>
    <w:rsid w:val="00C16687"/>
    <w:rsid w:val="00C166D8"/>
    <w:rsid w:val="00C167C0"/>
    <w:rsid w:val="00C16874"/>
    <w:rsid w:val="00C16876"/>
    <w:rsid w:val="00C1687B"/>
    <w:rsid w:val="00C16911"/>
    <w:rsid w:val="00C16928"/>
    <w:rsid w:val="00C1698F"/>
    <w:rsid w:val="00C169C3"/>
    <w:rsid w:val="00C16A2C"/>
    <w:rsid w:val="00C16A7C"/>
    <w:rsid w:val="00C16B43"/>
    <w:rsid w:val="00C16BBF"/>
    <w:rsid w:val="00C16C57"/>
    <w:rsid w:val="00C16C8B"/>
    <w:rsid w:val="00C16CCF"/>
    <w:rsid w:val="00C16D15"/>
    <w:rsid w:val="00C16E5A"/>
    <w:rsid w:val="00C16F95"/>
    <w:rsid w:val="00C16FD9"/>
    <w:rsid w:val="00C17039"/>
    <w:rsid w:val="00C170FC"/>
    <w:rsid w:val="00C17245"/>
    <w:rsid w:val="00C1726A"/>
    <w:rsid w:val="00C172EE"/>
    <w:rsid w:val="00C17340"/>
    <w:rsid w:val="00C17398"/>
    <w:rsid w:val="00C173F9"/>
    <w:rsid w:val="00C17466"/>
    <w:rsid w:val="00C1748F"/>
    <w:rsid w:val="00C174C1"/>
    <w:rsid w:val="00C1765F"/>
    <w:rsid w:val="00C176A9"/>
    <w:rsid w:val="00C17714"/>
    <w:rsid w:val="00C17989"/>
    <w:rsid w:val="00C17A5D"/>
    <w:rsid w:val="00C17A6D"/>
    <w:rsid w:val="00C17BB7"/>
    <w:rsid w:val="00C17C36"/>
    <w:rsid w:val="00C17C60"/>
    <w:rsid w:val="00C17D11"/>
    <w:rsid w:val="00C17EA2"/>
    <w:rsid w:val="00C17EED"/>
    <w:rsid w:val="00C17F2F"/>
    <w:rsid w:val="00C20032"/>
    <w:rsid w:val="00C20042"/>
    <w:rsid w:val="00C2005C"/>
    <w:rsid w:val="00C2005E"/>
    <w:rsid w:val="00C20077"/>
    <w:rsid w:val="00C200AD"/>
    <w:rsid w:val="00C2018B"/>
    <w:rsid w:val="00C201AF"/>
    <w:rsid w:val="00C201F6"/>
    <w:rsid w:val="00C20285"/>
    <w:rsid w:val="00C2035B"/>
    <w:rsid w:val="00C203B3"/>
    <w:rsid w:val="00C20486"/>
    <w:rsid w:val="00C205FB"/>
    <w:rsid w:val="00C2062A"/>
    <w:rsid w:val="00C20652"/>
    <w:rsid w:val="00C2069E"/>
    <w:rsid w:val="00C2070E"/>
    <w:rsid w:val="00C20717"/>
    <w:rsid w:val="00C20735"/>
    <w:rsid w:val="00C2075E"/>
    <w:rsid w:val="00C2077A"/>
    <w:rsid w:val="00C20962"/>
    <w:rsid w:val="00C2096D"/>
    <w:rsid w:val="00C209CB"/>
    <w:rsid w:val="00C20A10"/>
    <w:rsid w:val="00C20A88"/>
    <w:rsid w:val="00C20AC8"/>
    <w:rsid w:val="00C20DB9"/>
    <w:rsid w:val="00C20DBA"/>
    <w:rsid w:val="00C2118C"/>
    <w:rsid w:val="00C211D5"/>
    <w:rsid w:val="00C211DE"/>
    <w:rsid w:val="00C214FE"/>
    <w:rsid w:val="00C215A2"/>
    <w:rsid w:val="00C215D4"/>
    <w:rsid w:val="00C216F5"/>
    <w:rsid w:val="00C21746"/>
    <w:rsid w:val="00C2191A"/>
    <w:rsid w:val="00C21996"/>
    <w:rsid w:val="00C219AC"/>
    <w:rsid w:val="00C21BFE"/>
    <w:rsid w:val="00C21C8B"/>
    <w:rsid w:val="00C21D18"/>
    <w:rsid w:val="00C21D20"/>
    <w:rsid w:val="00C21E5E"/>
    <w:rsid w:val="00C21E75"/>
    <w:rsid w:val="00C21F10"/>
    <w:rsid w:val="00C21F48"/>
    <w:rsid w:val="00C21F75"/>
    <w:rsid w:val="00C21FFE"/>
    <w:rsid w:val="00C22023"/>
    <w:rsid w:val="00C22058"/>
    <w:rsid w:val="00C22170"/>
    <w:rsid w:val="00C221B6"/>
    <w:rsid w:val="00C2220C"/>
    <w:rsid w:val="00C22292"/>
    <w:rsid w:val="00C22323"/>
    <w:rsid w:val="00C22356"/>
    <w:rsid w:val="00C2237F"/>
    <w:rsid w:val="00C223B4"/>
    <w:rsid w:val="00C22414"/>
    <w:rsid w:val="00C2242E"/>
    <w:rsid w:val="00C22449"/>
    <w:rsid w:val="00C2245F"/>
    <w:rsid w:val="00C22469"/>
    <w:rsid w:val="00C22587"/>
    <w:rsid w:val="00C2267A"/>
    <w:rsid w:val="00C22746"/>
    <w:rsid w:val="00C2276E"/>
    <w:rsid w:val="00C227D5"/>
    <w:rsid w:val="00C2295F"/>
    <w:rsid w:val="00C22ADA"/>
    <w:rsid w:val="00C22B19"/>
    <w:rsid w:val="00C22BC8"/>
    <w:rsid w:val="00C22EF3"/>
    <w:rsid w:val="00C22F2E"/>
    <w:rsid w:val="00C2305A"/>
    <w:rsid w:val="00C230C5"/>
    <w:rsid w:val="00C23126"/>
    <w:rsid w:val="00C23167"/>
    <w:rsid w:val="00C2325F"/>
    <w:rsid w:val="00C23283"/>
    <w:rsid w:val="00C23298"/>
    <w:rsid w:val="00C23364"/>
    <w:rsid w:val="00C2336D"/>
    <w:rsid w:val="00C233C6"/>
    <w:rsid w:val="00C233FA"/>
    <w:rsid w:val="00C2346D"/>
    <w:rsid w:val="00C234B9"/>
    <w:rsid w:val="00C234CD"/>
    <w:rsid w:val="00C23566"/>
    <w:rsid w:val="00C2358F"/>
    <w:rsid w:val="00C23599"/>
    <w:rsid w:val="00C237B6"/>
    <w:rsid w:val="00C23863"/>
    <w:rsid w:val="00C238C0"/>
    <w:rsid w:val="00C2392C"/>
    <w:rsid w:val="00C23994"/>
    <w:rsid w:val="00C23AB7"/>
    <w:rsid w:val="00C23ACC"/>
    <w:rsid w:val="00C23AF9"/>
    <w:rsid w:val="00C23B0B"/>
    <w:rsid w:val="00C23C60"/>
    <w:rsid w:val="00C23D0F"/>
    <w:rsid w:val="00C23D5A"/>
    <w:rsid w:val="00C23D7B"/>
    <w:rsid w:val="00C23D88"/>
    <w:rsid w:val="00C23DF9"/>
    <w:rsid w:val="00C23E47"/>
    <w:rsid w:val="00C23EAE"/>
    <w:rsid w:val="00C23EFC"/>
    <w:rsid w:val="00C23F45"/>
    <w:rsid w:val="00C23FDE"/>
    <w:rsid w:val="00C24029"/>
    <w:rsid w:val="00C240A1"/>
    <w:rsid w:val="00C24136"/>
    <w:rsid w:val="00C24138"/>
    <w:rsid w:val="00C24175"/>
    <w:rsid w:val="00C241D5"/>
    <w:rsid w:val="00C2423D"/>
    <w:rsid w:val="00C2425C"/>
    <w:rsid w:val="00C2425E"/>
    <w:rsid w:val="00C24299"/>
    <w:rsid w:val="00C24305"/>
    <w:rsid w:val="00C2437D"/>
    <w:rsid w:val="00C244FF"/>
    <w:rsid w:val="00C24604"/>
    <w:rsid w:val="00C24607"/>
    <w:rsid w:val="00C2466C"/>
    <w:rsid w:val="00C24682"/>
    <w:rsid w:val="00C24844"/>
    <w:rsid w:val="00C2487C"/>
    <w:rsid w:val="00C248C0"/>
    <w:rsid w:val="00C248C2"/>
    <w:rsid w:val="00C24952"/>
    <w:rsid w:val="00C24A9B"/>
    <w:rsid w:val="00C24AB8"/>
    <w:rsid w:val="00C24B32"/>
    <w:rsid w:val="00C24B50"/>
    <w:rsid w:val="00C24BA4"/>
    <w:rsid w:val="00C24BEB"/>
    <w:rsid w:val="00C24D7D"/>
    <w:rsid w:val="00C24DC4"/>
    <w:rsid w:val="00C24E51"/>
    <w:rsid w:val="00C24EAC"/>
    <w:rsid w:val="00C24EE5"/>
    <w:rsid w:val="00C24F5D"/>
    <w:rsid w:val="00C25022"/>
    <w:rsid w:val="00C2505E"/>
    <w:rsid w:val="00C25072"/>
    <w:rsid w:val="00C250AF"/>
    <w:rsid w:val="00C251D8"/>
    <w:rsid w:val="00C25271"/>
    <w:rsid w:val="00C252B5"/>
    <w:rsid w:val="00C252D7"/>
    <w:rsid w:val="00C25380"/>
    <w:rsid w:val="00C25388"/>
    <w:rsid w:val="00C253A9"/>
    <w:rsid w:val="00C253D8"/>
    <w:rsid w:val="00C253DE"/>
    <w:rsid w:val="00C25437"/>
    <w:rsid w:val="00C25586"/>
    <w:rsid w:val="00C25658"/>
    <w:rsid w:val="00C25A6A"/>
    <w:rsid w:val="00C25B22"/>
    <w:rsid w:val="00C25B83"/>
    <w:rsid w:val="00C25BA9"/>
    <w:rsid w:val="00C25C28"/>
    <w:rsid w:val="00C25C7E"/>
    <w:rsid w:val="00C25C9E"/>
    <w:rsid w:val="00C25CE4"/>
    <w:rsid w:val="00C25D08"/>
    <w:rsid w:val="00C25D27"/>
    <w:rsid w:val="00C25E10"/>
    <w:rsid w:val="00C25E55"/>
    <w:rsid w:val="00C25E6E"/>
    <w:rsid w:val="00C25ED8"/>
    <w:rsid w:val="00C25F5B"/>
    <w:rsid w:val="00C25F80"/>
    <w:rsid w:val="00C25FA7"/>
    <w:rsid w:val="00C25FBD"/>
    <w:rsid w:val="00C25FD2"/>
    <w:rsid w:val="00C2600F"/>
    <w:rsid w:val="00C26016"/>
    <w:rsid w:val="00C26077"/>
    <w:rsid w:val="00C261A2"/>
    <w:rsid w:val="00C2624E"/>
    <w:rsid w:val="00C262A8"/>
    <w:rsid w:val="00C262CF"/>
    <w:rsid w:val="00C262DF"/>
    <w:rsid w:val="00C26324"/>
    <w:rsid w:val="00C26369"/>
    <w:rsid w:val="00C2647D"/>
    <w:rsid w:val="00C264BD"/>
    <w:rsid w:val="00C264E6"/>
    <w:rsid w:val="00C264FB"/>
    <w:rsid w:val="00C26573"/>
    <w:rsid w:val="00C265AA"/>
    <w:rsid w:val="00C2664E"/>
    <w:rsid w:val="00C2666C"/>
    <w:rsid w:val="00C266F6"/>
    <w:rsid w:val="00C2673C"/>
    <w:rsid w:val="00C2678C"/>
    <w:rsid w:val="00C267EB"/>
    <w:rsid w:val="00C2682E"/>
    <w:rsid w:val="00C2684C"/>
    <w:rsid w:val="00C26872"/>
    <w:rsid w:val="00C269A6"/>
    <w:rsid w:val="00C26A03"/>
    <w:rsid w:val="00C26A61"/>
    <w:rsid w:val="00C26AD0"/>
    <w:rsid w:val="00C26AFA"/>
    <w:rsid w:val="00C26B7C"/>
    <w:rsid w:val="00C26B7D"/>
    <w:rsid w:val="00C26BC2"/>
    <w:rsid w:val="00C26C16"/>
    <w:rsid w:val="00C26C6A"/>
    <w:rsid w:val="00C26CAF"/>
    <w:rsid w:val="00C26CD5"/>
    <w:rsid w:val="00C26D18"/>
    <w:rsid w:val="00C26D5B"/>
    <w:rsid w:val="00C26DDA"/>
    <w:rsid w:val="00C26E50"/>
    <w:rsid w:val="00C26E5D"/>
    <w:rsid w:val="00C26E88"/>
    <w:rsid w:val="00C26EDA"/>
    <w:rsid w:val="00C26F96"/>
    <w:rsid w:val="00C26FAF"/>
    <w:rsid w:val="00C26FEB"/>
    <w:rsid w:val="00C27035"/>
    <w:rsid w:val="00C27091"/>
    <w:rsid w:val="00C271B5"/>
    <w:rsid w:val="00C271D7"/>
    <w:rsid w:val="00C27261"/>
    <w:rsid w:val="00C2731D"/>
    <w:rsid w:val="00C273F7"/>
    <w:rsid w:val="00C2744E"/>
    <w:rsid w:val="00C27512"/>
    <w:rsid w:val="00C27528"/>
    <w:rsid w:val="00C276AC"/>
    <w:rsid w:val="00C276EC"/>
    <w:rsid w:val="00C27750"/>
    <w:rsid w:val="00C2776D"/>
    <w:rsid w:val="00C277E5"/>
    <w:rsid w:val="00C277FD"/>
    <w:rsid w:val="00C278DB"/>
    <w:rsid w:val="00C2794D"/>
    <w:rsid w:val="00C279C5"/>
    <w:rsid w:val="00C27A01"/>
    <w:rsid w:val="00C27A70"/>
    <w:rsid w:val="00C27A9B"/>
    <w:rsid w:val="00C27AA2"/>
    <w:rsid w:val="00C27AC7"/>
    <w:rsid w:val="00C27BB8"/>
    <w:rsid w:val="00C27BDC"/>
    <w:rsid w:val="00C27C69"/>
    <w:rsid w:val="00C27CBB"/>
    <w:rsid w:val="00C27CD4"/>
    <w:rsid w:val="00C27E34"/>
    <w:rsid w:val="00C27FBB"/>
    <w:rsid w:val="00C27FC9"/>
    <w:rsid w:val="00C27FF5"/>
    <w:rsid w:val="00C3011D"/>
    <w:rsid w:val="00C30162"/>
    <w:rsid w:val="00C301C0"/>
    <w:rsid w:val="00C302E1"/>
    <w:rsid w:val="00C30362"/>
    <w:rsid w:val="00C304A3"/>
    <w:rsid w:val="00C307A4"/>
    <w:rsid w:val="00C30851"/>
    <w:rsid w:val="00C308E1"/>
    <w:rsid w:val="00C30930"/>
    <w:rsid w:val="00C30966"/>
    <w:rsid w:val="00C309C6"/>
    <w:rsid w:val="00C30ABD"/>
    <w:rsid w:val="00C30B4C"/>
    <w:rsid w:val="00C30B72"/>
    <w:rsid w:val="00C30BB5"/>
    <w:rsid w:val="00C30BB7"/>
    <w:rsid w:val="00C30C6E"/>
    <w:rsid w:val="00C30D4C"/>
    <w:rsid w:val="00C30DD0"/>
    <w:rsid w:val="00C30E30"/>
    <w:rsid w:val="00C30E8B"/>
    <w:rsid w:val="00C30F4D"/>
    <w:rsid w:val="00C30FA4"/>
    <w:rsid w:val="00C31031"/>
    <w:rsid w:val="00C31045"/>
    <w:rsid w:val="00C310C5"/>
    <w:rsid w:val="00C311C4"/>
    <w:rsid w:val="00C311DA"/>
    <w:rsid w:val="00C312BC"/>
    <w:rsid w:val="00C312BF"/>
    <w:rsid w:val="00C31324"/>
    <w:rsid w:val="00C31410"/>
    <w:rsid w:val="00C3141C"/>
    <w:rsid w:val="00C314D4"/>
    <w:rsid w:val="00C315EA"/>
    <w:rsid w:val="00C31654"/>
    <w:rsid w:val="00C31674"/>
    <w:rsid w:val="00C31676"/>
    <w:rsid w:val="00C316A0"/>
    <w:rsid w:val="00C3172A"/>
    <w:rsid w:val="00C31879"/>
    <w:rsid w:val="00C3187C"/>
    <w:rsid w:val="00C31903"/>
    <w:rsid w:val="00C3192B"/>
    <w:rsid w:val="00C31A38"/>
    <w:rsid w:val="00C31AB7"/>
    <w:rsid w:val="00C31B0C"/>
    <w:rsid w:val="00C31B1A"/>
    <w:rsid w:val="00C31D71"/>
    <w:rsid w:val="00C31E15"/>
    <w:rsid w:val="00C31E88"/>
    <w:rsid w:val="00C31ECB"/>
    <w:rsid w:val="00C31ED5"/>
    <w:rsid w:val="00C31FCC"/>
    <w:rsid w:val="00C32069"/>
    <w:rsid w:val="00C3207B"/>
    <w:rsid w:val="00C320F8"/>
    <w:rsid w:val="00C32120"/>
    <w:rsid w:val="00C3216F"/>
    <w:rsid w:val="00C321BA"/>
    <w:rsid w:val="00C321D0"/>
    <w:rsid w:val="00C32230"/>
    <w:rsid w:val="00C322B4"/>
    <w:rsid w:val="00C322F3"/>
    <w:rsid w:val="00C32372"/>
    <w:rsid w:val="00C32416"/>
    <w:rsid w:val="00C32511"/>
    <w:rsid w:val="00C326A4"/>
    <w:rsid w:val="00C326C0"/>
    <w:rsid w:val="00C326C8"/>
    <w:rsid w:val="00C3272E"/>
    <w:rsid w:val="00C327EF"/>
    <w:rsid w:val="00C328CC"/>
    <w:rsid w:val="00C32AEE"/>
    <w:rsid w:val="00C32B1A"/>
    <w:rsid w:val="00C32C53"/>
    <w:rsid w:val="00C32C87"/>
    <w:rsid w:val="00C32CF3"/>
    <w:rsid w:val="00C32DA0"/>
    <w:rsid w:val="00C32DF3"/>
    <w:rsid w:val="00C32F72"/>
    <w:rsid w:val="00C32F7E"/>
    <w:rsid w:val="00C32FE5"/>
    <w:rsid w:val="00C33066"/>
    <w:rsid w:val="00C3313B"/>
    <w:rsid w:val="00C3328E"/>
    <w:rsid w:val="00C3339A"/>
    <w:rsid w:val="00C3341C"/>
    <w:rsid w:val="00C3345A"/>
    <w:rsid w:val="00C3348E"/>
    <w:rsid w:val="00C334AE"/>
    <w:rsid w:val="00C334BB"/>
    <w:rsid w:val="00C3353E"/>
    <w:rsid w:val="00C33580"/>
    <w:rsid w:val="00C335F3"/>
    <w:rsid w:val="00C33619"/>
    <w:rsid w:val="00C3364D"/>
    <w:rsid w:val="00C336CF"/>
    <w:rsid w:val="00C33836"/>
    <w:rsid w:val="00C3385C"/>
    <w:rsid w:val="00C33864"/>
    <w:rsid w:val="00C3390B"/>
    <w:rsid w:val="00C33A3F"/>
    <w:rsid w:val="00C33A59"/>
    <w:rsid w:val="00C33AFC"/>
    <w:rsid w:val="00C33B80"/>
    <w:rsid w:val="00C33C00"/>
    <w:rsid w:val="00C33CFC"/>
    <w:rsid w:val="00C33DCC"/>
    <w:rsid w:val="00C33EB8"/>
    <w:rsid w:val="00C33F7B"/>
    <w:rsid w:val="00C3400D"/>
    <w:rsid w:val="00C34045"/>
    <w:rsid w:val="00C340D8"/>
    <w:rsid w:val="00C340E0"/>
    <w:rsid w:val="00C341CA"/>
    <w:rsid w:val="00C341FC"/>
    <w:rsid w:val="00C34367"/>
    <w:rsid w:val="00C345C3"/>
    <w:rsid w:val="00C3472A"/>
    <w:rsid w:val="00C3492B"/>
    <w:rsid w:val="00C34994"/>
    <w:rsid w:val="00C34A3B"/>
    <w:rsid w:val="00C34AFB"/>
    <w:rsid w:val="00C34C4D"/>
    <w:rsid w:val="00C34CF0"/>
    <w:rsid w:val="00C34D8B"/>
    <w:rsid w:val="00C34DB0"/>
    <w:rsid w:val="00C34DEC"/>
    <w:rsid w:val="00C34E49"/>
    <w:rsid w:val="00C34E72"/>
    <w:rsid w:val="00C34E8D"/>
    <w:rsid w:val="00C34EB9"/>
    <w:rsid w:val="00C34EED"/>
    <w:rsid w:val="00C34F9D"/>
    <w:rsid w:val="00C34FA1"/>
    <w:rsid w:val="00C35060"/>
    <w:rsid w:val="00C35063"/>
    <w:rsid w:val="00C350CC"/>
    <w:rsid w:val="00C35109"/>
    <w:rsid w:val="00C35154"/>
    <w:rsid w:val="00C351FE"/>
    <w:rsid w:val="00C351FF"/>
    <w:rsid w:val="00C35298"/>
    <w:rsid w:val="00C352F6"/>
    <w:rsid w:val="00C35317"/>
    <w:rsid w:val="00C353AD"/>
    <w:rsid w:val="00C35402"/>
    <w:rsid w:val="00C35538"/>
    <w:rsid w:val="00C355E8"/>
    <w:rsid w:val="00C3563F"/>
    <w:rsid w:val="00C356BF"/>
    <w:rsid w:val="00C35740"/>
    <w:rsid w:val="00C3574A"/>
    <w:rsid w:val="00C35757"/>
    <w:rsid w:val="00C35760"/>
    <w:rsid w:val="00C35814"/>
    <w:rsid w:val="00C35822"/>
    <w:rsid w:val="00C358BC"/>
    <w:rsid w:val="00C35A51"/>
    <w:rsid w:val="00C35AF7"/>
    <w:rsid w:val="00C35AFE"/>
    <w:rsid w:val="00C35B01"/>
    <w:rsid w:val="00C35B3F"/>
    <w:rsid w:val="00C35B62"/>
    <w:rsid w:val="00C35BBA"/>
    <w:rsid w:val="00C35C82"/>
    <w:rsid w:val="00C35CE8"/>
    <w:rsid w:val="00C35CE9"/>
    <w:rsid w:val="00C35D17"/>
    <w:rsid w:val="00C35D99"/>
    <w:rsid w:val="00C35E33"/>
    <w:rsid w:val="00C35F0C"/>
    <w:rsid w:val="00C35FA3"/>
    <w:rsid w:val="00C35FD2"/>
    <w:rsid w:val="00C3604B"/>
    <w:rsid w:val="00C3604E"/>
    <w:rsid w:val="00C360AF"/>
    <w:rsid w:val="00C36173"/>
    <w:rsid w:val="00C361FA"/>
    <w:rsid w:val="00C36251"/>
    <w:rsid w:val="00C36252"/>
    <w:rsid w:val="00C362ED"/>
    <w:rsid w:val="00C36357"/>
    <w:rsid w:val="00C363CA"/>
    <w:rsid w:val="00C36440"/>
    <w:rsid w:val="00C36462"/>
    <w:rsid w:val="00C364D2"/>
    <w:rsid w:val="00C36506"/>
    <w:rsid w:val="00C3675A"/>
    <w:rsid w:val="00C36802"/>
    <w:rsid w:val="00C36820"/>
    <w:rsid w:val="00C36975"/>
    <w:rsid w:val="00C36A96"/>
    <w:rsid w:val="00C36AAD"/>
    <w:rsid w:val="00C36B44"/>
    <w:rsid w:val="00C36C24"/>
    <w:rsid w:val="00C36C85"/>
    <w:rsid w:val="00C36D4E"/>
    <w:rsid w:val="00C36DB2"/>
    <w:rsid w:val="00C36E24"/>
    <w:rsid w:val="00C36EED"/>
    <w:rsid w:val="00C36F0C"/>
    <w:rsid w:val="00C36F5F"/>
    <w:rsid w:val="00C36F92"/>
    <w:rsid w:val="00C3702B"/>
    <w:rsid w:val="00C37040"/>
    <w:rsid w:val="00C37048"/>
    <w:rsid w:val="00C37095"/>
    <w:rsid w:val="00C37141"/>
    <w:rsid w:val="00C37165"/>
    <w:rsid w:val="00C371BD"/>
    <w:rsid w:val="00C371D6"/>
    <w:rsid w:val="00C37253"/>
    <w:rsid w:val="00C37328"/>
    <w:rsid w:val="00C3749E"/>
    <w:rsid w:val="00C374AF"/>
    <w:rsid w:val="00C374E0"/>
    <w:rsid w:val="00C37586"/>
    <w:rsid w:val="00C375C8"/>
    <w:rsid w:val="00C376C2"/>
    <w:rsid w:val="00C37728"/>
    <w:rsid w:val="00C3772E"/>
    <w:rsid w:val="00C379E4"/>
    <w:rsid w:val="00C37A08"/>
    <w:rsid w:val="00C37A4B"/>
    <w:rsid w:val="00C37A65"/>
    <w:rsid w:val="00C37ADA"/>
    <w:rsid w:val="00C37CC0"/>
    <w:rsid w:val="00C37E11"/>
    <w:rsid w:val="00C37F90"/>
    <w:rsid w:val="00C37FBA"/>
    <w:rsid w:val="00C400B4"/>
    <w:rsid w:val="00C400EC"/>
    <w:rsid w:val="00C4010B"/>
    <w:rsid w:val="00C40220"/>
    <w:rsid w:val="00C40230"/>
    <w:rsid w:val="00C40254"/>
    <w:rsid w:val="00C402B8"/>
    <w:rsid w:val="00C402FD"/>
    <w:rsid w:val="00C403DD"/>
    <w:rsid w:val="00C404DC"/>
    <w:rsid w:val="00C40543"/>
    <w:rsid w:val="00C40572"/>
    <w:rsid w:val="00C40575"/>
    <w:rsid w:val="00C405A6"/>
    <w:rsid w:val="00C40729"/>
    <w:rsid w:val="00C40768"/>
    <w:rsid w:val="00C40793"/>
    <w:rsid w:val="00C407E2"/>
    <w:rsid w:val="00C4086D"/>
    <w:rsid w:val="00C40886"/>
    <w:rsid w:val="00C4095D"/>
    <w:rsid w:val="00C409E1"/>
    <w:rsid w:val="00C40A76"/>
    <w:rsid w:val="00C40A78"/>
    <w:rsid w:val="00C40B26"/>
    <w:rsid w:val="00C40BDF"/>
    <w:rsid w:val="00C40C10"/>
    <w:rsid w:val="00C40C5B"/>
    <w:rsid w:val="00C40CB7"/>
    <w:rsid w:val="00C40CB9"/>
    <w:rsid w:val="00C40CE0"/>
    <w:rsid w:val="00C40D80"/>
    <w:rsid w:val="00C40DB6"/>
    <w:rsid w:val="00C40DFB"/>
    <w:rsid w:val="00C40ED4"/>
    <w:rsid w:val="00C40F06"/>
    <w:rsid w:val="00C40F68"/>
    <w:rsid w:val="00C40FD8"/>
    <w:rsid w:val="00C41003"/>
    <w:rsid w:val="00C410E0"/>
    <w:rsid w:val="00C41174"/>
    <w:rsid w:val="00C41180"/>
    <w:rsid w:val="00C41192"/>
    <w:rsid w:val="00C412BA"/>
    <w:rsid w:val="00C4135F"/>
    <w:rsid w:val="00C413EB"/>
    <w:rsid w:val="00C414FA"/>
    <w:rsid w:val="00C41550"/>
    <w:rsid w:val="00C4158F"/>
    <w:rsid w:val="00C41596"/>
    <w:rsid w:val="00C415FA"/>
    <w:rsid w:val="00C41628"/>
    <w:rsid w:val="00C41727"/>
    <w:rsid w:val="00C41793"/>
    <w:rsid w:val="00C41820"/>
    <w:rsid w:val="00C4187A"/>
    <w:rsid w:val="00C41A7A"/>
    <w:rsid w:val="00C41AAD"/>
    <w:rsid w:val="00C41AB5"/>
    <w:rsid w:val="00C41AE2"/>
    <w:rsid w:val="00C41B4A"/>
    <w:rsid w:val="00C41BD7"/>
    <w:rsid w:val="00C41D4F"/>
    <w:rsid w:val="00C41D65"/>
    <w:rsid w:val="00C41D78"/>
    <w:rsid w:val="00C41DE3"/>
    <w:rsid w:val="00C41ED6"/>
    <w:rsid w:val="00C41ED7"/>
    <w:rsid w:val="00C41EFF"/>
    <w:rsid w:val="00C41F71"/>
    <w:rsid w:val="00C4202F"/>
    <w:rsid w:val="00C42142"/>
    <w:rsid w:val="00C42165"/>
    <w:rsid w:val="00C42174"/>
    <w:rsid w:val="00C4234B"/>
    <w:rsid w:val="00C423D9"/>
    <w:rsid w:val="00C42474"/>
    <w:rsid w:val="00C424AA"/>
    <w:rsid w:val="00C424AB"/>
    <w:rsid w:val="00C424C5"/>
    <w:rsid w:val="00C42563"/>
    <w:rsid w:val="00C425E2"/>
    <w:rsid w:val="00C4261E"/>
    <w:rsid w:val="00C42638"/>
    <w:rsid w:val="00C4264D"/>
    <w:rsid w:val="00C4266F"/>
    <w:rsid w:val="00C427DF"/>
    <w:rsid w:val="00C4280E"/>
    <w:rsid w:val="00C428E1"/>
    <w:rsid w:val="00C4294B"/>
    <w:rsid w:val="00C42A1E"/>
    <w:rsid w:val="00C42A43"/>
    <w:rsid w:val="00C42A7F"/>
    <w:rsid w:val="00C42C77"/>
    <w:rsid w:val="00C42CB4"/>
    <w:rsid w:val="00C42CFF"/>
    <w:rsid w:val="00C42D07"/>
    <w:rsid w:val="00C42D9E"/>
    <w:rsid w:val="00C42E55"/>
    <w:rsid w:val="00C42E69"/>
    <w:rsid w:val="00C42E91"/>
    <w:rsid w:val="00C42E98"/>
    <w:rsid w:val="00C42FC7"/>
    <w:rsid w:val="00C4301D"/>
    <w:rsid w:val="00C430E5"/>
    <w:rsid w:val="00C432CA"/>
    <w:rsid w:val="00C434E1"/>
    <w:rsid w:val="00C435C8"/>
    <w:rsid w:val="00C43648"/>
    <w:rsid w:val="00C436D8"/>
    <w:rsid w:val="00C436F2"/>
    <w:rsid w:val="00C4371E"/>
    <w:rsid w:val="00C43831"/>
    <w:rsid w:val="00C4384A"/>
    <w:rsid w:val="00C438C1"/>
    <w:rsid w:val="00C43A0F"/>
    <w:rsid w:val="00C43A29"/>
    <w:rsid w:val="00C43A47"/>
    <w:rsid w:val="00C43BB8"/>
    <w:rsid w:val="00C43CD1"/>
    <w:rsid w:val="00C43D27"/>
    <w:rsid w:val="00C43DD6"/>
    <w:rsid w:val="00C43DF8"/>
    <w:rsid w:val="00C44113"/>
    <w:rsid w:val="00C44162"/>
    <w:rsid w:val="00C4418B"/>
    <w:rsid w:val="00C441A9"/>
    <w:rsid w:val="00C4427F"/>
    <w:rsid w:val="00C44285"/>
    <w:rsid w:val="00C4430C"/>
    <w:rsid w:val="00C44386"/>
    <w:rsid w:val="00C443AD"/>
    <w:rsid w:val="00C445BC"/>
    <w:rsid w:val="00C44829"/>
    <w:rsid w:val="00C4485C"/>
    <w:rsid w:val="00C44869"/>
    <w:rsid w:val="00C44876"/>
    <w:rsid w:val="00C4491E"/>
    <w:rsid w:val="00C4493A"/>
    <w:rsid w:val="00C44A04"/>
    <w:rsid w:val="00C44A5B"/>
    <w:rsid w:val="00C44A73"/>
    <w:rsid w:val="00C44B7D"/>
    <w:rsid w:val="00C44B95"/>
    <w:rsid w:val="00C44C64"/>
    <w:rsid w:val="00C44CE4"/>
    <w:rsid w:val="00C44CE7"/>
    <w:rsid w:val="00C44CF8"/>
    <w:rsid w:val="00C44D25"/>
    <w:rsid w:val="00C44E0C"/>
    <w:rsid w:val="00C44EE1"/>
    <w:rsid w:val="00C44F87"/>
    <w:rsid w:val="00C44F91"/>
    <w:rsid w:val="00C4501B"/>
    <w:rsid w:val="00C45023"/>
    <w:rsid w:val="00C450C9"/>
    <w:rsid w:val="00C4511F"/>
    <w:rsid w:val="00C45126"/>
    <w:rsid w:val="00C451BB"/>
    <w:rsid w:val="00C4523F"/>
    <w:rsid w:val="00C45241"/>
    <w:rsid w:val="00C45273"/>
    <w:rsid w:val="00C452BF"/>
    <w:rsid w:val="00C452D2"/>
    <w:rsid w:val="00C452E4"/>
    <w:rsid w:val="00C45337"/>
    <w:rsid w:val="00C45384"/>
    <w:rsid w:val="00C453B9"/>
    <w:rsid w:val="00C4542A"/>
    <w:rsid w:val="00C454A5"/>
    <w:rsid w:val="00C454E9"/>
    <w:rsid w:val="00C4551D"/>
    <w:rsid w:val="00C45569"/>
    <w:rsid w:val="00C45593"/>
    <w:rsid w:val="00C4562D"/>
    <w:rsid w:val="00C456D4"/>
    <w:rsid w:val="00C45874"/>
    <w:rsid w:val="00C458C8"/>
    <w:rsid w:val="00C45974"/>
    <w:rsid w:val="00C459BC"/>
    <w:rsid w:val="00C459E5"/>
    <w:rsid w:val="00C45AF2"/>
    <w:rsid w:val="00C45BD2"/>
    <w:rsid w:val="00C45C00"/>
    <w:rsid w:val="00C45C4D"/>
    <w:rsid w:val="00C45CD7"/>
    <w:rsid w:val="00C45D04"/>
    <w:rsid w:val="00C45D1A"/>
    <w:rsid w:val="00C45DC2"/>
    <w:rsid w:val="00C45E3A"/>
    <w:rsid w:val="00C45E91"/>
    <w:rsid w:val="00C45E99"/>
    <w:rsid w:val="00C46013"/>
    <w:rsid w:val="00C460A8"/>
    <w:rsid w:val="00C4614A"/>
    <w:rsid w:val="00C46195"/>
    <w:rsid w:val="00C46284"/>
    <w:rsid w:val="00C4633A"/>
    <w:rsid w:val="00C4635F"/>
    <w:rsid w:val="00C463BA"/>
    <w:rsid w:val="00C4644C"/>
    <w:rsid w:val="00C4648B"/>
    <w:rsid w:val="00C46770"/>
    <w:rsid w:val="00C467AD"/>
    <w:rsid w:val="00C467BD"/>
    <w:rsid w:val="00C46908"/>
    <w:rsid w:val="00C4696F"/>
    <w:rsid w:val="00C469A7"/>
    <w:rsid w:val="00C46A45"/>
    <w:rsid w:val="00C46AB8"/>
    <w:rsid w:val="00C46BCC"/>
    <w:rsid w:val="00C46C54"/>
    <w:rsid w:val="00C46CFB"/>
    <w:rsid w:val="00C46D1D"/>
    <w:rsid w:val="00C46D20"/>
    <w:rsid w:val="00C47029"/>
    <w:rsid w:val="00C472B0"/>
    <w:rsid w:val="00C472C5"/>
    <w:rsid w:val="00C472DA"/>
    <w:rsid w:val="00C4731F"/>
    <w:rsid w:val="00C4738D"/>
    <w:rsid w:val="00C4742A"/>
    <w:rsid w:val="00C47469"/>
    <w:rsid w:val="00C4746B"/>
    <w:rsid w:val="00C47556"/>
    <w:rsid w:val="00C475EA"/>
    <w:rsid w:val="00C476E4"/>
    <w:rsid w:val="00C477AF"/>
    <w:rsid w:val="00C477CA"/>
    <w:rsid w:val="00C4782B"/>
    <w:rsid w:val="00C478BF"/>
    <w:rsid w:val="00C47937"/>
    <w:rsid w:val="00C479A5"/>
    <w:rsid w:val="00C479DD"/>
    <w:rsid w:val="00C47A07"/>
    <w:rsid w:val="00C47A61"/>
    <w:rsid w:val="00C47AB1"/>
    <w:rsid w:val="00C47AB2"/>
    <w:rsid w:val="00C47ACC"/>
    <w:rsid w:val="00C47B1C"/>
    <w:rsid w:val="00C47B42"/>
    <w:rsid w:val="00C47B66"/>
    <w:rsid w:val="00C47BAF"/>
    <w:rsid w:val="00C47BEF"/>
    <w:rsid w:val="00C47BFD"/>
    <w:rsid w:val="00C47C70"/>
    <w:rsid w:val="00C47DD2"/>
    <w:rsid w:val="00C47F3D"/>
    <w:rsid w:val="00C47F91"/>
    <w:rsid w:val="00C5001A"/>
    <w:rsid w:val="00C501A3"/>
    <w:rsid w:val="00C501E9"/>
    <w:rsid w:val="00C50221"/>
    <w:rsid w:val="00C50222"/>
    <w:rsid w:val="00C50273"/>
    <w:rsid w:val="00C50392"/>
    <w:rsid w:val="00C503C4"/>
    <w:rsid w:val="00C5042A"/>
    <w:rsid w:val="00C504DE"/>
    <w:rsid w:val="00C506CA"/>
    <w:rsid w:val="00C5076F"/>
    <w:rsid w:val="00C50775"/>
    <w:rsid w:val="00C5081C"/>
    <w:rsid w:val="00C508C5"/>
    <w:rsid w:val="00C508C6"/>
    <w:rsid w:val="00C508F7"/>
    <w:rsid w:val="00C50910"/>
    <w:rsid w:val="00C509B5"/>
    <w:rsid w:val="00C50A91"/>
    <w:rsid w:val="00C50AC9"/>
    <w:rsid w:val="00C50AD6"/>
    <w:rsid w:val="00C50BAC"/>
    <w:rsid w:val="00C50CCA"/>
    <w:rsid w:val="00C50D0A"/>
    <w:rsid w:val="00C50DB0"/>
    <w:rsid w:val="00C50DCA"/>
    <w:rsid w:val="00C50EB3"/>
    <w:rsid w:val="00C50EC9"/>
    <w:rsid w:val="00C50FA1"/>
    <w:rsid w:val="00C5109E"/>
    <w:rsid w:val="00C51147"/>
    <w:rsid w:val="00C51226"/>
    <w:rsid w:val="00C5127A"/>
    <w:rsid w:val="00C513C1"/>
    <w:rsid w:val="00C513E9"/>
    <w:rsid w:val="00C51410"/>
    <w:rsid w:val="00C51456"/>
    <w:rsid w:val="00C51476"/>
    <w:rsid w:val="00C514BA"/>
    <w:rsid w:val="00C514D2"/>
    <w:rsid w:val="00C516F2"/>
    <w:rsid w:val="00C5173A"/>
    <w:rsid w:val="00C51848"/>
    <w:rsid w:val="00C51AB8"/>
    <w:rsid w:val="00C51AC6"/>
    <w:rsid w:val="00C51B10"/>
    <w:rsid w:val="00C51B4D"/>
    <w:rsid w:val="00C51B97"/>
    <w:rsid w:val="00C51BA7"/>
    <w:rsid w:val="00C51BC0"/>
    <w:rsid w:val="00C51CD2"/>
    <w:rsid w:val="00C51D85"/>
    <w:rsid w:val="00C51DE1"/>
    <w:rsid w:val="00C51E0C"/>
    <w:rsid w:val="00C51F15"/>
    <w:rsid w:val="00C51F49"/>
    <w:rsid w:val="00C51F86"/>
    <w:rsid w:val="00C52009"/>
    <w:rsid w:val="00C5200C"/>
    <w:rsid w:val="00C522E9"/>
    <w:rsid w:val="00C52308"/>
    <w:rsid w:val="00C523DA"/>
    <w:rsid w:val="00C5241D"/>
    <w:rsid w:val="00C524A4"/>
    <w:rsid w:val="00C525A1"/>
    <w:rsid w:val="00C5262D"/>
    <w:rsid w:val="00C5265B"/>
    <w:rsid w:val="00C5274D"/>
    <w:rsid w:val="00C527A8"/>
    <w:rsid w:val="00C5281F"/>
    <w:rsid w:val="00C52887"/>
    <w:rsid w:val="00C52896"/>
    <w:rsid w:val="00C528B0"/>
    <w:rsid w:val="00C52920"/>
    <w:rsid w:val="00C5293A"/>
    <w:rsid w:val="00C52943"/>
    <w:rsid w:val="00C5296A"/>
    <w:rsid w:val="00C5296C"/>
    <w:rsid w:val="00C52A5F"/>
    <w:rsid w:val="00C52A61"/>
    <w:rsid w:val="00C52AD3"/>
    <w:rsid w:val="00C52AEF"/>
    <w:rsid w:val="00C52BE0"/>
    <w:rsid w:val="00C52D83"/>
    <w:rsid w:val="00C52DEA"/>
    <w:rsid w:val="00C52E59"/>
    <w:rsid w:val="00C52EA9"/>
    <w:rsid w:val="00C52EBC"/>
    <w:rsid w:val="00C52EE5"/>
    <w:rsid w:val="00C52F16"/>
    <w:rsid w:val="00C531B9"/>
    <w:rsid w:val="00C531D6"/>
    <w:rsid w:val="00C531E6"/>
    <w:rsid w:val="00C531F5"/>
    <w:rsid w:val="00C5321E"/>
    <w:rsid w:val="00C53291"/>
    <w:rsid w:val="00C532F3"/>
    <w:rsid w:val="00C53309"/>
    <w:rsid w:val="00C5332E"/>
    <w:rsid w:val="00C5333B"/>
    <w:rsid w:val="00C53343"/>
    <w:rsid w:val="00C53418"/>
    <w:rsid w:val="00C5346D"/>
    <w:rsid w:val="00C534A0"/>
    <w:rsid w:val="00C534C1"/>
    <w:rsid w:val="00C534F7"/>
    <w:rsid w:val="00C535EC"/>
    <w:rsid w:val="00C5363A"/>
    <w:rsid w:val="00C5368B"/>
    <w:rsid w:val="00C536DF"/>
    <w:rsid w:val="00C5375E"/>
    <w:rsid w:val="00C53768"/>
    <w:rsid w:val="00C53781"/>
    <w:rsid w:val="00C53789"/>
    <w:rsid w:val="00C537DD"/>
    <w:rsid w:val="00C53892"/>
    <w:rsid w:val="00C53895"/>
    <w:rsid w:val="00C539EB"/>
    <w:rsid w:val="00C53B48"/>
    <w:rsid w:val="00C53B74"/>
    <w:rsid w:val="00C53C06"/>
    <w:rsid w:val="00C53C4B"/>
    <w:rsid w:val="00C53DFC"/>
    <w:rsid w:val="00C53FE8"/>
    <w:rsid w:val="00C54015"/>
    <w:rsid w:val="00C5416A"/>
    <w:rsid w:val="00C5421F"/>
    <w:rsid w:val="00C542E7"/>
    <w:rsid w:val="00C54377"/>
    <w:rsid w:val="00C543AD"/>
    <w:rsid w:val="00C54404"/>
    <w:rsid w:val="00C54587"/>
    <w:rsid w:val="00C54599"/>
    <w:rsid w:val="00C546CC"/>
    <w:rsid w:val="00C54704"/>
    <w:rsid w:val="00C5471E"/>
    <w:rsid w:val="00C54753"/>
    <w:rsid w:val="00C54865"/>
    <w:rsid w:val="00C54902"/>
    <w:rsid w:val="00C54906"/>
    <w:rsid w:val="00C54941"/>
    <w:rsid w:val="00C5498D"/>
    <w:rsid w:val="00C549D7"/>
    <w:rsid w:val="00C54A11"/>
    <w:rsid w:val="00C54ADF"/>
    <w:rsid w:val="00C54B16"/>
    <w:rsid w:val="00C54B60"/>
    <w:rsid w:val="00C54C62"/>
    <w:rsid w:val="00C54E77"/>
    <w:rsid w:val="00C54EAD"/>
    <w:rsid w:val="00C54EB8"/>
    <w:rsid w:val="00C5508D"/>
    <w:rsid w:val="00C55111"/>
    <w:rsid w:val="00C55119"/>
    <w:rsid w:val="00C55172"/>
    <w:rsid w:val="00C551F9"/>
    <w:rsid w:val="00C5529F"/>
    <w:rsid w:val="00C553B2"/>
    <w:rsid w:val="00C553D4"/>
    <w:rsid w:val="00C553ED"/>
    <w:rsid w:val="00C55505"/>
    <w:rsid w:val="00C5560F"/>
    <w:rsid w:val="00C5563B"/>
    <w:rsid w:val="00C556B5"/>
    <w:rsid w:val="00C556D3"/>
    <w:rsid w:val="00C5581C"/>
    <w:rsid w:val="00C55897"/>
    <w:rsid w:val="00C5589F"/>
    <w:rsid w:val="00C558B4"/>
    <w:rsid w:val="00C55917"/>
    <w:rsid w:val="00C55950"/>
    <w:rsid w:val="00C5596F"/>
    <w:rsid w:val="00C55BBD"/>
    <w:rsid w:val="00C55CF3"/>
    <w:rsid w:val="00C55D7E"/>
    <w:rsid w:val="00C55E4B"/>
    <w:rsid w:val="00C55E6F"/>
    <w:rsid w:val="00C55EA1"/>
    <w:rsid w:val="00C55F1D"/>
    <w:rsid w:val="00C55F4A"/>
    <w:rsid w:val="00C55F5F"/>
    <w:rsid w:val="00C55FAD"/>
    <w:rsid w:val="00C55FBC"/>
    <w:rsid w:val="00C55FE6"/>
    <w:rsid w:val="00C5607C"/>
    <w:rsid w:val="00C56132"/>
    <w:rsid w:val="00C5615E"/>
    <w:rsid w:val="00C561E1"/>
    <w:rsid w:val="00C56204"/>
    <w:rsid w:val="00C56234"/>
    <w:rsid w:val="00C56251"/>
    <w:rsid w:val="00C56287"/>
    <w:rsid w:val="00C56382"/>
    <w:rsid w:val="00C563E7"/>
    <w:rsid w:val="00C563FA"/>
    <w:rsid w:val="00C56528"/>
    <w:rsid w:val="00C56537"/>
    <w:rsid w:val="00C5659B"/>
    <w:rsid w:val="00C565F6"/>
    <w:rsid w:val="00C56625"/>
    <w:rsid w:val="00C5662A"/>
    <w:rsid w:val="00C567A5"/>
    <w:rsid w:val="00C567FF"/>
    <w:rsid w:val="00C56913"/>
    <w:rsid w:val="00C569A8"/>
    <w:rsid w:val="00C56B76"/>
    <w:rsid w:val="00C56C34"/>
    <w:rsid w:val="00C56C59"/>
    <w:rsid w:val="00C56CB5"/>
    <w:rsid w:val="00C56D42"/>
    <w:rsid w:val="00C56D58"/>
    <w:rsid w:val="00C56D85"/>
    <w:rsid w:val="00C56E66"/>
    <w:rsid w:val="00C56E9C"/>
    <w:rsid w:val="00C56EBB"/>
    <w:rsid w:val="00C56ED8"/>
    <w:rsid w:val="00C56FDC"/>
    <w:rsid w:val="00C57043"/>
    <w:rsid w:val="00C57111"/>
    <w:rsid w:val="00C57243"/>
    <w:rsid w:val="00C57389"/>
    <w:rsid w:val="00C573D7"/>
    <w:rsid w:val="00C573FE"/>
    <w:rsid w:val="00C574E7"/>
    <w:rsid w:val="00C574FD"/>
    <w:rsid w:val="00C5751C"/>
    <w:rsid w:val="00C575B5"/>
    <w:rsid w:val="00C577C1"/>
    <w:rsid w:val="00C577CB"/>
    <w:rsid w:val="00C5787D"/>
    <w:rsid w:val="00C5788A"/>
    <w:rsid w:val="00C5796D"/>
    <w:rsid w:val="00C57A2C"/>
    <w:rsid w:val="00C57B25"/>
    <w:rsid w:val="00C57B34"/>
    <w:rsid w:val="00C57B41"/>
    <w:rsid w:val="00C57BC4"/>
    <w:rsid w:val="00C57C5D"/>
    <w:rsid w:val="00C57CB4"/>
    <w:rsid w:val="00C57CC4"/>
    <w:rsid w:val="00C57CC7"/>
    <w:rsid w:val="00C57CD9"/>
    <w:rsid w:val="00C57D9D"/>
    <w:rsid w:val="00C57DD3"/>
    <w:rsid w:val="00C57DFA"/>
    <w:rsid w:val="00C57E23"/>
    <w:rsid w:val="00C57E89"/>
    <w:rsid w:val="00C57EC7"/>
    <w:rsid w:val="00C57F0D"/>
    <w:rsid w:val="00C57FCF"/>
    <w:rsid w:val="00C60095"/>
    <w:rsid w:val="00C60145"/>
    <w:rsid w:val="00C60179"/>
    <w:rsid w:val="00C6030C"/>
    <w:rsid w:val="00C6034A"/>
    <w:rsid w:val="00C6039C"/>
    <w:rsid w:val="00C603DD"/>
    <w:rsid w:val="00C60451"/>
    <w:rsid w:val="00C6053B"/>
    <w:rsid w:val="00C605A1"/>
    <w:rsid w:val="00C60635"/>
    <w:rsid w:val="00C60665"/>
    <w:rsid w:val="00C6085B"/>
    <w:rsid w:val="00C608E9"/>
    <w:rsid w:val="00C60AC5"/>
    <w:rsid w:val="00C60B9B"/>
    <w:rsid w:val="00C60C8E"/>
    <w:rsid w:val="00C60D14"/>
    <w:rsid w:val="00C60D7B"/>
    <w:rsid w:val="00C60DC4"/>
    <w:rsid w:val="00C60E96"/>
    <w:rsid w:val="00C60ED1"/>
    <w:rsid w:val="00C60F0F"/>
    <w:rsid w:val="00C60F47"/>
    <w:rsid w:val="00C60F57"/>
    <w:rsid w:val="00C60FE0"/>
    <w:rsid w:val="00C61156"/>
    <w:rsid w:val="00C611CC"/>
    <w:rsid w:val="00C61378"/>
    <w:rsid w:val="00C6157D"/>
    <w:rsid w:val="00C6160D"/>
    <w:rsid w:val="00C6162F"/>
    <w:rsid w:val="00C616AF"/>
    <w:rsid w:val="00C61741"/>
    <w:rsid w:val="00C6175E"/>
    <w:rsid w:val="00C61866"/>
    <w:rsid w:val="00C61962"/>
    <w:rsid w:val="00C61B99"/>
    <w:rsid w:val="00C61BA1"/>
    <w:rsid w:val="00C61C25"/>
    <w:rsid w:val="00C61CF8"/>
    <w:rsid w:val="00C61EC4"/>
    <w:rsid w:val="00C61ED4"/>
    <w:rsid w:val="00C61F50"/>
    <w:rsid w:val="00C61F5A"/>
    <w:rsid w:val="00C620C2"/>
    <w:rsid w:val="00C6214B"/>
    <w:rsid w:val="00C62324"/>
    <w:rsid w:val="00C62330"/>
    <w:rsid w:val="00C62360"/>
    <w:rsid w:val="00C62436"/>
    <w:rsid w:val="00C6248A"/>
    <w:rsid w:val="00C62496"/>
    <w:rsid w:val="00C62547"/>
    <w:rsid w:val="00C625E2"/>
    <w:rsid w:val="00C62720"/>
    <w:rsid w:val="00C62793"/>
    <w:rsid w:val="00C627DC"/>
    <w:rsid w:val="00C628B2"/>
    <w:rsid w:val="00C62925"/>
    <w:rsid w:val="00C6297B"/>
    <w:rsid w:val="00C62B9A"/>
    <w:rsid w:val="00C62BE6"/>
    <w:rsid w:val="00C62D11"/>
    <w:rsid w:val="00C62D24"/>
    <w:rsid w:val="00C62E60"/>
    <w:rsid w:val="00C62EB5"/>
    <w:rsid w:val="00C62F16"/>
    <w:rsid w:val="00C62F28"/>
    <w:rsid w:val="00C63020"/>
    <w:rsid w:val="00C63119"/>
    <w:rsid w:val="00C63160"/>
    <w:rsid w:val="00C63472"/>
    <w:rsid w:val="00C6348C"/>
    <w:rsid w:val="00C634B4"/>
    <w:rsid w:val="00C63500"/>
    <w:rsid w:val="00C6358D"/>
    <w:rsid w:val="00C63598"/>
    <w:rsid w:val="00C6362F"/>
    <w:rsid w:val="00C63682"/>
    <w:rsid w:val="00C636E2"/>
    <w:rsid w:val="00C63848"/>
    <w:rsid w:val="00C63958"/>
    <w:rsid w:val="00C639C0"/>
    <w:rsid w:val="00C639E5"/>
    <w:rsid w:val="00C63A21"/>
    <w:rsid w:val="00C63A34"/>
    <w:rsid w:val="00C63A4C"/>
    <w:rsid w:val="00C63A96"/>
    <w:rsid w:val="00C63B3D"/>
    <w:rsid w:val="00C63BE1"/>
    <w:rsid w:val="00C63C25"/>
    <w:rsid w:val="00C63C86"/>
    <w:rsid w:val="00C63D1B"/>
    <w:rsid w:val="00C63D34"/>
    <w:rsid w:val="00C63D58"/>
    <w:rsid w:val="00C63D62"/>
    <w:rsid w:val="00C63E58"/>
    <w:rsid w:val="00C63FB0"/>
    <w:rsid w:val="00C63FF2"/>
    <w:rsid w:val="00C6400A"/>
    <w:rsid w:val="00C640BE"/>
    <w:rsid w:val="00C64112"/>
    <w:rsid w:val="00C64126"/>
    <w:rsid w:val="00C64173"/>
    <w:rsid w:val="00C641A7"/>
    <w:rsid w:val="00C6430F"/>
    <w:rsid w:val="00C6436D"/>
    <w:rsid w:val="00C643E6"/>
    <w:rsid w:val="00C64404"/>
    <w:rsid w:val="00C64560"/>
    <w:rsid w:val="00C64898"/>
    <w:rsid w:val="00C64992"/>
    <w:rsid w:val="00C64C19"/>
    <w:rsid w:val="00C64C43"/>
    <w:rsid w:val="00C64E2E"/>
    <w:rsid w:val="00C64ED6"/>
    <w:rsid w:val="00C64F94"/>
    <w:rsid w:val="00C65029"/>
    <w:rsid w:val="00C65122"/>
    <w:rsid w:val="00C651D0"/>
    <w:rsid w:val="00C651DB"/>
    <w:rsid w:val="00C65294"/>
    <w:rsid w:val="00C652B8"/>
    <w:rsid w:val="00C652BD"/>
    <w:rsid w:val="00C652CF"/>
    <w:rsid w:val="00C6541B"/>
    <w:rsid w:val="00C6544A"/>
    <w:rsid w:val="00C6548F"/>
    <w:rsid w:val="00C654AC"/>
    <w:rsid w:val="00C654B1"/>
    <w:rsid w:val="00C6557B"/>
    <w:rsid w:val="00C6563D"/>
    <w:rsid w:val="00C65686"/>
    <w:rsid w:val="00C6597F"/>
    <w:rsid w:val="00C65993"/>
    <w:rsid w:val="00C65A77"/>
    <w:rsid w:val="00C65AF3"/>
    <w:rsid w:val="00C65C28"/>
    <w:rsid w:val="00C65D8B"/>
    <w:rsid w:val="00C65DD0"/>
    <w:rsid w:val="00C65E38"/>
    <w:rsid w:val="00C65E55"/>
    <w:rsid w:val="00C65F35"/>
    <w:rsid w:val="00C65F37"/>
    <w:rsid w:val="00C65F6F"/>
    <w:rsid w:val="00C65FC4"/>
    <w:rsid w:val="00C66190"/>
    <w:rsid w:val="00C661B2"/>
    <w:rsid w:val="00C66466"/>
    <w:rsid w:val="00C664C7"/>
    <w:rsid w:val="00C6689E"/>
    <w:rsid w:val="00C668E0"/>
    <w:rsid w:val="00C66925"/>
    <w:rsid w:val="00C6698A"/>
    <w:rsid w:val="00C66A66"/>
    <w:rsid w:val="00C66BA9"/>
    <w:rsid w:val="00C66C28"/>
    <w:rsid w:val="00C66D0A"/>
    <w:rsid w:val="00C66D14"/>
    <w:rsid w:val="00C66D15"/>
    <w:rsid w:val="00C66D58"/>
    <w:rsid w:val="00C66D5D"/>
    <w:rsid w:val="00C67049"/>
    <w:rsid w:val="00C67154"/>
    <w:rsid w:val="00C67174"/>
    <w:rsid w:val="00C671AA"/>
    <w:rsid w:val="00C6724C"/>
    <w:rsid w:val="00C67316"/>
    <w:rsid w:val="00C673B5"/>
    <w:rsid w:val="00C6751E"/>
    <w:rsid w:val="00C675C0"/>
    <w:rsid w:val="00C676AA"/>
    <w:rsid w:val="00C6771E"/>
    <w:rsid w:val="00C6786D"/>
    <w:rsid w:val="00C67924"/>
    <w:rsid w:val="00C6793A"/>
    <w:rsid w:val="00C67A78"/>
    <w:rsid w:val="00C67AF7"/>
    <w:rsid w:val="00C67B16"/>
    <w:rsid w:val="00C67B28"/>
    <w:rsid w:val="00C67BD7"/>
    <w:rsid w:val="00C67BFD"/>
    <w:rsid w:val="00C67C12"/>
    <w:rsid w:val="00C67CB5"/>
    <w:rsid w:val="00C67D69"/>
    <w:rsid w:val="00C67D76"/>
    <w:rsid w:val="00C67EC4"/>
    <w:rsid w:val="00C70009"/>
    <w:rsid w:val="00C7007B"/>
    <w:rsid w:val="00C7009A"/>
    <w:rsid w:val="00C700F5"/>
    <w:rsid w:val="00C70113"/>
    <w:rsid w:val="00C70191"/>
    <w:rsid w:val="00C701E2"/>
    <w:rsid w:val="00C7020D"/>
    <w:rsid w:val="00C7033E"/>
    <w:rsid w:val="00C7034E"/>
    <w:rsid w:val="00C70368"/>
    <w:rsid w:val="00C70428"/>
    <w:rsid w:val="00C7046E"/>
    <w:rsid w:val="00C70520"/>
    <w:rsid w:val="00C70603"/>
    <w:rsid w:val="00C70661"/>
    <w:rsid w:val="00C70690"/>
    <w:rsid w:val="00C706D1"/>
    <w:rsid w:val="00C70736"/>
    <w:rsid w:val="00C70753"/>
    <w:rsid w:val="00C707D4"/>
    <w:rsid w:val="00C70903"/>
    <w:rsid w:val="00C70920"/>
    <w:rsid w:val="00C70956"/>
    <w:rsid w:val="00C70981"/>
    <w:rsid w:val="00C70A94"/>
    <w:rsid w:val="00C70ACA"/>
    <w:rsid w:val="00C70B5D"/>
    <w:rsid w:val="00C70B7D"/>
    <w:rsid w:val="00C70BD5"/>
    <w:rsid w:val="00C70BE9"/>
    <w:rsid w:val="00C70C3E"/>
    <w:rsid w:val="00C70CE6"/>
    <w:rsid w:val="00C70D1F"/>
    <w:rsid w:val="00C70DD0"/>
    <w:rsid w:val="00C70E06"/>
    <w:rsid w:val="00C70F88"/>
    <w:rsid w:val="00C70FE7"/>
    <w:rsid w:val="00C7100C"/>
    <w:rsid w:val="00C710FB"/>
    <w:rsid w:val="00C71132"/>
    <w:rsid w:val="00C71145"/>
    <w:rsid w:val="00C71253"/>
    <w:rsid w:val="00C713D3"/>
    <w:rsid w:val="00C7140E"/>
    <w:rsid w:val="00C71481"/>
    <w:rsid w:val="00C7151B"/>
    <w:rsid w:val="00C71530"/>
    <w:rsid w:val="00C71651"/>
    <w:rsid w:val="00C71688"/>
    <w:rsid w:val="00C716AA"/>
    <w:rsid w:val="00C716B5"/>
    <w:rsid w:val="00C717C9"/>
    <w:rsid w:val="00C71887"/>
    <w:rsid w:val="00C718C4"/>
    <w:rsid w:val="00C718CF"/>
    <w:rsid w:val="00C71965"/>
    <w:rsid w:val="00C719F9"/>
    <w:rsid w:val="00C71A11"/>
    <w:rsid w:val="00C71A7D"/>
    <w:rsid w:val="00C71A9E"/>
    <w:rsid w:val="00C71AA9"/>
    <w:rsid w:val="00C71B72"/>
    <w:rsid w:val="00C71EA2"/>
    <w:rsid w:val="00C71EDC"/>
    <w:rsid w:val="00C72039"/>
    <w:rsid w:val="00C72050"/>
    <w:rsid w:val="00C72052"/>
    <w:rsid w:val="00C72131"/>
    <w:rsid w:val="00C72167"/>
    <w:rsid w:val="00C72174"/>
    <w:rsid w:val="00C722A1"/>
    <w:rsid w:val="00C722B1"/>
    <w:rsid w:val="00C72333"/>
    <w:rsid w:val="00C7236C"/>
    <w:rsid w:val="00C72437"/>
    <w:rsid w:val="00C7243E"/>
    <w:rsid w:val="00C7246B"/>
    <w:rsid w:val="00C7250B"/>
    <w:rsid w:val="00C7250F"/>
    <w:rsid w:val="00C72667"/>
    <w:rsid w:val="00C72863"/>
    <w:rsid w:val="00C728AA"/>
    <w:rsid w:val="00C72986"/>
    <w:rsid w:val="00C72A0E"/>
    <w:rsid w:val="00C72B08"/>
    <w:rsid w:val="00C72BBE"/>
    <w:rsid w:val="00C72C00"/>
    <w:rsid w:val="00C72C4C"/>
    <w:rsid w:val="00C72C65"/>
    <w:rsid w:val="00C72C7A"/>
    <w:rsid w:val="00C72D44"/>
    <w:rsid w:val="00C72D5B"/>
    <w:rsid w:val="00C72D7F"/>
    <w:rsid w:val="00C72E3C"/>
    <w:rsid w:val="00C72E54"/>
    <w:rsid w:val="00C72E9D"/>
    <w:rsid w:val="00C72F73"/>
    <w:rsid w:val="00C72FF4"/>
    <w:rsid w:val="00C73026"/>
    <w:rsid w:val="00C73089"/>
    <w:rsid w:val="00C730B8"/>
    <w:rsid w:val="00C73154"/>
    <w:rsid w:val="00C73225"/>
    <w:rsid w:val="00C73261"/>
    <w:rsid w:val="00C732B1"/>
    <w:rsid w:val="00C732FA"/>
    <w:rsid w:val="00C73529"/>
    <w:rsid w:val="00C735E2"/>
    <w:rsid w:val="00C7366B"/>
    <w:rsid w:val="00C736EC"/>
    <w:rsid w:val="00C73761"/>
    <w:rsid w:val="00C73849"/>
    <w:rsid w:val="00C7386B"/>
    <w:rsid w:val="00C73898"/>
    <w:rsid w:val="00C738CC"/>
    <w:rsid w:val="00C738E1"/>
    <w:rsid w:val="00C73AAB"/>
    <w:rsid w:val="00C73B25"/>
    <w:rsid w:val="00C73BED"/>
    <w:rsid w:val="00C73C94"/>
    <w:rsid w:val="00C73CAA"/>
    <w:rsid w:val="00C73CEC"/>
    <w:rsid w:val="00C73CFF"/>
    <w:rsid w:val="00C73D28"/>
    <w:rsid w:val="00C73D74"/>
    <w:rsid w:val="00C73DB5"/>
    <w:rsid w:val="00C73E43"/>
    <w:rsid w:val="00C73E5E"/>
    <w:rsid w:val="00C73F07"/>
    <w:rsid w:val="00C73F23"/>
    <w:rsid w:val="00C73F4B"/>
    <w:rsid w:val="00C740A3"/>
    <w:rsid w:val="00C740C0"/>
    <w:rsid w:val="00C741D0"/>
    <w:rsid w:val="00C742D1"/>
    <w:rsid w:val="00C742D4"/>
    <w:rsid w:val="00C742F6"/>
    <w:rsid w:val="00C74368"/>
    <w:rsid w:val="00C74403"/>
    <w:rsid w:val="00C745CE"/>
    <w:rsid w:val="00C745D4"/>
    <w:rsid w:val="00C74601"/>
    <w:rsid w:val="00C7462D"/>
    <w:rsid w:val="00C74679"/>
    <w:rsid w:val="00C746EA"/>
    <w:rsid w:val="00C746F8"/>
    <w:rsid w:val="00C74725"/>
    <w:rsid w:val="00C7475F"/>
    <w:rsid w:val="00C747E7"/>
    <w:rsid w:val="00C7482D"/>
    <w:rsid w:val="00C7483E"/>
    <w:rsid w:val="00C7493E"/>
    <w:rsid w:val="00C74A4F"/>
    <w:rsid w:val="00C74AA2"/>
    <w:rsid w:val="00C74AB2"/>
    <w:rsid w:val="00C74B41"/>
    <w:rsid w:val="00C74C2C"/>
    <w:rsid w:val="00C74DA9"/>
    <w:rsid w:val="00C74ED5"/>
    <w:rsid w:val="00C74F42"/>
    <w:rsid w:val="00C74F9B"/>
    <w:rsid w:val="00C74F9C"/>
    <w:rsid w:val="00C74FD5"/>
    <w:rsid w:val="00C75003"/>
    <w:rsid w:val="00C7500B"/>
    <w:rsid w:val="00C7501F"/>
    <w:rsid w:val="00C7509F"/>
    <w:rsid w:val="00C750E1"/>
    <w:rsid w:val="00C750FC"/>
    <w:rsid w:val="00C75136"/>
    <w:rsid w:val="00C7519B"/>
    <w:rsid w:val="00C75227"/>
    <w:rsid w:val="00C7537D"/>
    <w:rsid w:val="00C7543A"/>
    <w:rsid w:val="00C75456"/>
    <w:rsid w:val="00C7545A"/>
    <w:rsid w:val="00C754DE"/>
    <w:rsid w:val="00C754E2"/>
    <w:rsid w:val="00C754FB"/>
    <w:rsid w:val="00C75520"/>
    <w:rsid w:val="00C755CD"/>
    <w:rsid w:val="00C7586A"/>
    <w:rsid w:val="00C75882"/>
    <w:rsid w:val="00C758B3"/>
    <w:rsid w:val="00C75961"/>
    <w:rsid w:val="00C759A4"/>
    <w:rsid w:val="00C75A07"/>
    <w:rsid w:val="00C75A21"/>
    <w:rsid w:val="00C75A86"/>
    <w:rsid w:val="00C75AED"/>
    <w:rsid w:val="00C75B5E"/>
    <w:rsid w:val="00C75C54"/>
    <w:rsid w:val="00C75D13"/>
    <w:rsid w:val="00C75D23"/>
    <w:rsid w:val="00C75F56"/>
    <w:rsid w:val="00C760A0"/>
    <w:rsid w:val="00C761B9"/>
    <w:rsid w:val="00C76230"/>
    <w:rsid w:val="00C76258"/>
    <w:rsid w:val="00C76446"/>
    <w:rsid w:val="00C76481"/>
    <w:rsid w:val="00C76551"/>
    <w:rsid w:val="00C7659E"/>
    <w:rsid w:val="00C765A2"/>
    <w:rsid w:val="00C76607"/>
    <w:rsid w:val="00C76805"/>
    <w:rsid w:val="00C76868"/>
    <w:rsid w:val="00C768D4"/>
    <w:rsid w:val="00C769FE"/>
    <w:rsid w:val="00C76B80"/>
    <w:rsid w:val="00C76B8E"/>
    <w:rsid w:val="00C76CB1"/>
    <w:rsid w:val="00C76CDD"/>
    <w:rsid w:val="00C76CE9"/>
    <w:rsid w:val="00C76CF6"/>
    <w:rsid w:val="00C76D2D"/>
    <w:rsid w:val="00C76DC7"/>
    <w:rsid w:val="00C76DE5"/>
    <w:rsid w:val="00C76F4A"/>
    <w:rsid w:val="00C76FD5"/>
    <w:rsid w:val="00C76FDC"/>
    <w:rsid w:val="00C770E8"/>
    <w:rsid w:val="00C7723B"/>
    <w:rsid w:val="00C7729D"/>
    <w:rsid w:val="00C7731D"/>
    <w:rsid w:val="00C773B8"/>
    <w:rsid w:val="00C7740F"/>
    <w:rsid w:val="00C7748B"/>
    <w:rsid w:val="00C774CF"/>
    <w:rsid w:val="00C77566"/>
    <w:rsid w:val="00C7766C"/>
    <w:rsid w:val="00C77679"/>
    <w:rsid w:val="00C776D3"/>
    <w:rsid w:val="00C776EA"/>
    <w:rsid w:val="00C779DD"/>
    <w:rsid w:val="00C77A08"/>
    <w:rsid w:val="00C77A1E"/>
    <w:rsid w:val="00C77A37"/>
    <w:rsid w:val="00C77A83"/>
    <w:rsid w:val="00C77AA9"/>
    <w:rsid w:val="00C77AEC"/>
    <w:rsid w:val="00C77B34"/>
    <w:rsid w:val="00C77CE1"/>
    <w:rsid w:val="00C77D41"/>
    <w:rsid w:val="00C77D9F"/>
    <w:rsid w:val="00C77DD6"/>
    <w:rsid w:val="00C77E17"/>
    <w:rsid w:val="00C77E55"/>
    <w:rsid w:val="00C77E76"/>
    <w:rsid w:val="00C77F1F"/>
    <w:rsid w:val="00C8001C"/>
    <w:rsid w:val="00C80118"/>
    <w:rsid w:val="00C80159"/>
    <w:rsid w:val="00C801F4"/>
    <w:rsid w:val="00C80210"/>
    <w:rsid w:val="00C802CE"/>
    <w:rsid w:val="00C80524"/>
    <w:rsid w:val="00C805DA"/>
    <w:rsid w:val="00C807CC"/>
    <w:rsid w:val="00C8086D"/>
    <w:rsid w:val="00C80880"/>
    <w:rsid w:val="00C8090B"/>
    <w:rsid w:val="00C8093C"/>
    <w:rsid w:val="00C809D7"/>
    <w:rsid w:val="00C809E4"/>
    <w:rsid w:val="00C80A76"/>
    <w:rsid w:val="00C80B5A"/>
    <w:rsid w:val="00C80B8A"/>
    <w:rsid w:val="00C80BB8"/>
    <w:rsid w:val="00C80BF8"/>
    <w:rsid w:val="00C80C46"/>
    <w:rsid w:val="00C80C4C"/>
    <w:rsid w:val="00C80CB8"/>
    <w:rsid w:val="00C80DB4"/>
    <w:rsid w:val="00C80E0A"/>
    <w:rsid w:val="00C80EBE"/>
    <w:rsid w:val="00C80ED4"/>
    <w:rsid w:val="00C80F2D"/>
    <w:rsid w:val="00C80F32"/>
    <w:rsid w:val="00C8103E"/>
    <w:rsid w:val="00C8106A"/>
    <w:rsid w:val="00C81095"/>
    <w:rsid w:val="00C810C5"/>
    <w:rsid w:val="00C81177"/>
    <w:rsid w:val="00C812E7"/>
    <w:rsid w:val="00C81352"/>
    <w:rsid w:val="00C813AD"/>
    <w:rsid w:val="00C813DC"/>
    <w:rsid w:val="00C813E0"/>
    <w:rsid w:val="00C813E6"/>
    <w:rsid w:val="00C8140C"/>
    <w:rsid w:val="00C81429"/>
    <w:rsid w:val="00C8144A"/>
    <w:rsid w:val="00C81565"/>
    <w:rsid w:val="00C815DB"/>
    <w:rsid w:val="00C815E9"/>
    <w:rsid w:val="00C815FF"/>
    <w:rsid w:val="00C816E8"/>
    <w:rsid w:val="00C817F5"/>
    <w:rsid w:val="00C817F8"/>
    <w:rsid w:val="00C81870"/>
    <w:rsid w:val="00C818E4"/>
    <w:rsid w:val="00C8199E"/>
    <w:rsid w:val="00C81A7F"/>
    <w:rsid w:val="00C81AAB"/>
    <w:rsid w:val="00C81C1F"/>
    <w:rsid w:val="00C81E84"/>
    <w:rsid w:val="00C81E9D"/>
    <w:rsid w:val="00C82046"/>
    <w:rsid w:val="00C820BD"/>
    <w:rsid w:val="00C820E1"/>
    <w:rsid w:val="00C82244"/>
    <w:rsid w:val="00C8228B"/>
    <w:rsid w:val="00C822BD"/>
    <w:rsid w:val="00C82340"/>
    <w:rsid w:val="00C824DB"/>
    <w:rsid w:val="00C824EA"/>
    <w:rsid w:val="00C82571"/>
    <w:rsid w:val="00C82607"/>
    <w:rsid w:val="00C82669"/>
    <w:rsid w:val="00C826EA"/>
    <w:rsid w:val="00C827B1"/>
    <w:rsid w:val="00C82855"/>
    <w:rsid w:val="00C82884"/>
    <w:rsid w:val="00C82A07"/>
    <w:rsid w:val="00C82AEA"/>
    <w:rsid w:val="00C82B01"/>
    <w:rsid w:val="00C82B4D"/>
    <w:rsid w:val="00C82CBD"/>
    <w:rsid w:val="00C82EB1"/>
    <w:rsid w:val="00C82EFD"/>
    <w:rsid w:val="00C8300A"/>
    <w:rsid w:val="00C8308E"/>
    <w:rsid w:val="00C830DD"/>
    <w:rsid w:val="00C830F4"/>
    <w:rsid w:val="00C831B4"/>
    <w:rsid w:val="00C83420"/>
    <w:rsid w:val="00C8354E"/>
    <w:rsid w:val="00C83558"/>
    <w:rsid w:val="00C8355D"/>
    <w:rsid w:val="00C83614"/>
    <w:rsid w:val="00C8361B"/>
    <w:rsid w:val="00C83650"/>
    <w:rsid w:val="00C83792"/>
    <w:rsid w:val="00C837F9"/>
    <w:rsid w:val="00C83807"/>
    <w:rsid w:val="00C8382D"/>
    <w:rsid w:val="00C83A27"/>
    <w:rsid w:val="00C83BD0"/>
    <w:rsid w:val="00C83D3C"/>
    <w:rsid w:val="00C83E68"/>
    <w:rsid w:val="00C83F11"/>
    <w:rsid w:val="00C83F7D"/>
    <w:rsid w:val="00C83F95"/>
    <w:rsid w:val="00C83FB4"/>
    <w:rsid w:val="00C840FF"/>
    <w:rsid w:val="00C8415C"/>
    <w:rsid w:val="00C8417C"/>
    <w:rsid w:val="00C84195"/>
    <w:rsid w:val="00C841E1"/>
    <w:rsid w:val="00C842C2"/>
    <w:rsid w:val="00C842DB"/>
    <w:rsid w:val="00C84307"/>
    <w:rsid w:val="00C84351"/>
    <w:rsid w:val="00C843B5"/>
    <w:rsid w:val="00C843DF"/>
    <w:rsid w:val="00C844A5"/>
    <w:rsid w:val="00C8455D"/>
    <w:rsid w:val="00C8456F"/>
    <w:rsid w:val="00C845FC"/>
    <w:rsid w:val="00C846FB"/>
    <w:rsid w:val="00C84706"/>
    <w:rsid w:val="00C84801"/>
    <w:rsid w:val="00C8482B"/>
    <w:rsid w:val="00C848E5"/>
    <w:rsid w:val="00C8494E"/>
    <w:rsid w:val="00C8497D"/>
    <w:rsid w:val="00C849C4"/>
    <w:rsid w:val="00C84A19"/>
    <w:rsid w:val="00C84A67"/>
    <w:rsid w:val="00C84A90"/>
    <w:rsid w:val="00C84B1D"/>
    <w:rsid w:val="00C84B32"/>
    <w:rsid w:val="00C84B3A"/>
    <w:rsid w:val="00C84C4C"/>
    <w:rsid w:val="00C84C59"/>
    <w:rsid w:val="00C84C5A"/>
    <w:rsid w:val="00C84CD1"/>
    <w:rsid w:val="00C84E0C"/>
    <w:rsid w:val="00C84E1A"/>
    <w:rsid w:val="00C84E85"/>
    <w:rsid w:val="00C84EF0"/>
    <w:rsid w:val="00C84F16"/>
    <w:rsid w:val="00C84FBA"/>
    <w:rsid w:val="00C85031"/>
    <w:rsid w:val="00C8508A"/>
    <w:rsid w:val="00C8509B"/>
    <w:rsid w:val="00C8518D"/>
    <w:rsid w:val="00C851E8"/>
    <w:rsid w:val="00C85215"/>
    <w:rsid w:val="00C85282"/>
    <w:rsid w:val="00C852D0"/>
    <w:rsid w:val="00C852F3"/>
    <w:rsid w:val="00C85469"/>
    <w:rsid w:val="00C854DE"/>
    <w:rsid w:val="00C857AE"/>
    <w:rsid w:val="00C85802"/>
    <w:rsid w:val="00C858A0"/>
    <w:rsid w:val="00C858BD"/>
    <w:rsid w:val="00C85948"/>
    <w:rsid w:val="00C85AE7"/>
    <w:rsid w:val="00C85B40"/>
    <w:rsid w:val="00C85DFE"/>
    <w:rsid w:val="00C85E59"/>
    <w:rsid w:val="00C85E8B"/>
    <w:rsid w:val="00C85F06"/>
    <w:rsid w:val="00C85F10"/>
    <w:rsid w:val="00C85F7E"/>
    <w:rsid w:val="00C86159"/>
    <w:rsid w:val="00C862FF"/>
    <w:rsid w:val="00C8630A"/>
    <w:rsid w:val="00C86610"/>
    <w:rsid w:val="00C86673"/>
    <w:rsid w:val="00C86693"/>
    <w:rsid w:val="00C8669A"/>
    <w:rsid w:val="00C867A4"/>
    <w:rsid w:val="00C867FE"/>
    <w:rsid w:val="00C86832"/>
    <w:rsid w:val="00C86855"/>
    <w:rsid w:val="00C86870"/>
    <w:rsid w:val="00C8688A"/>
    <w:rsid w:val="00C86981"/>
    <w:rsid w:val="00C869CA"/>
    <w:rsid w:val="00C869F2"/>
    <w:rsid w:val="00C86A71"/>
    <w:rsid w:val="00C86C96"/>
    <w:rsid w:val="00C86D65"/>
    <w:rsid w:val="00C86E44"/>
    <w:rsid w:val="00C86ECC"/>
    <w:rsid w:val="00C86FC2"/>
    <w:rsid w:val="00C86FCC"/>
    <w:rsid w:val="00C8701A"/>
    <w:rsid w:val="00C8707D"/>
    <w:rsid w:val="00C870BF"/>
    <w:rsid w:val="00C87143"/>
    <w:rsid w:val="00C871DA"/>
    <w:rsid w:val="00C871FF"/>
    <w:rsid w:val="00C87296"/>
    <w:rsid w:val="00C8730D"/>
    <w:rsid w:val="00C87382"/>
    <w:rsid w:val="00C87406"/>
    <w:rsid w:val="00C87451"/>
    <w:rsid w:val="00C87464"/>
    <w:rsid w:val="00C874B7"/>
    <w:rsid w:val="00C874C4"/>
    <w:rsid w:val="00C87505"/>
    <w:rsid w:val="00C8753F"/>
    <w:rsid w:val="00C8754D"/>
    <w:rsid w:val="00C87552"/>
    <w:rsid w:val="00C87559"/>
    <w:rsid w:val="00C8755F"/>
    <w:rsid w:val="00C875DC"/>
    <w:rsid w:val="00C87617"/>
    <w:rsid w:val="00C87638"/>
    <w:rsid w:val="00C8770F"/>
    <w:rsid w:val="00C8776F"/>
    <w:rsid w:val="00C877E7"/>
    <w:rsid w:val="00C878B9"/>
    <w:rsid w:val="00C878C8"/>
    <w:rsid w:val="00C878D6"/>
    <w:rsid w:val="00C87930"/>
    <w:rsid w:val="00C8798A"/>
    <w:rsid w:val="00C8798B"/>
    <w:rsid w:val="00C87A0A"/>
    <w:rsid w:val="00C87B3A"/>
    <w:rsid w:val="00C87C18"/>
    <w:rsid w:val="00C87C82"/>
    <w:rsid w:val="00C87CB2"/>
    <w:rsid w:val="00C87D28"/>
    <w:rsid w:val="00C87D2B"/>
    <w:rsid w:val="00C87D97"/>
    <w:rsid w:val="00C87D9F"/>
    <w:rsid w:val="00C87DE1"/>
    <w:rsid w:val="00C87DE6"/>
    <w:rsid w:val="00C87EE6"/>
    <w:rsid w:val="00C87F60"/>
    <w:rsid w:val="00C8BF6C"/>
    <w:rsid w:val="00C90103"/>
    <w:rsid w:val="00C901F7"/>
    <w:rsid w:val="00C90291"/>
    <w:rsid w:val="00C90352"/>
    <w:rsid w:val="00C90354"/>
    <w:rsid w:val="00C90393"/>
    <w:rsid w:val="00C903E3"/>
    <w:rsid w:val="00C904F9"/>
    <w:rsid w:val="00C90522"/>
    <w:rsid w:val="00C90553"/>
    <w:rsid w:val="00C905A9"/>
    <w:rsid w:val="00C905AB"/>
    <w:rsid w:val="00C9068E"/>
    <w:rsid w:val="00C906BF"/>
    <w:rsid w:val="00C907A7"/>
    <w:rsid w:val="00C907EC"/>
    <w:rsid w:val="00C909F4"/>
    <w:rsid w:val="00C90AC7"/>
    <w:rsid w:val="00C90B0F"/>
    <w:rsid w:val="00C90B2F"/>
    <w:rsid w:val="00C90BA7"/>
    <w:rsid w:val="00C90C81"/>
    <w:rsid w:val="00C90D75"/>
    <w:rsid w:val="00C90D96"/>
    <w:rsid w:val="00C90ECB"/>
    <w:rsid w:val="00C90F7C"/>
    <w:rsid w:val="00C9101A"/>
    <w:rsid w:val="00C9115A"/>
    <w:rsid w:val="00C91176"/>
    <w:rsid w:val="00C9123F"/>
    <w:rsid w:val="00C912E7"/>
    <w:rsid w:val="00C91316"/>
    <w:rsid w:val="00C91318"/>
    <w:rsid w:val="00C9131F"/>
    <w:rsid w:val="00C9132C"/>
    <w:rsid w:val="00C9139B"/>
    <w:rsid w:val="00C91447"/>
    <w:rsid w:val="00C914E4"/>
    <w:rsid w:val="00C91525"/>
    <w:rsid w:val="00C91547"/>
    <w:rsid w:val="00C915E8"/>
    <w:rsid w:val="00C917BB"/>
    <w:rsid w:val="00C917C3"/>
    <w:rsid w:val="00C91830"/>
    <w:rsid w:val="00C919B7"/>
    <w:rsid w:val="00C91A27"/>
    <w:rsid w:val="00C91A57"/>
    <w:rsid w:val="00C91A80"/>
    <w:rsid w:val="00C91B2B"/>
    <w:rsid w:val="00C91BC0"/>
    <w:rsid w:val="00C91C40"/>
    <w:rsid w:val="00C91E23"/>
    <w:rsid w:val="00C92158"/>
    <w:rsid w:val="00C92227"/>
    <w:rsid w:val="00C92232"/>
    <w:rsid w:val="00C922AE"/>
    <w:rsid w:val="00C9233F"/>
    <w:rsid w:val="00C923CD"/>
    <w:rsid w:val="00C923E1"/>
    <w:rsid w:val="00C92400"/>
    <w:rsid w:val="00C924EA"/>
    <w:rsid w:val="00C9253B"/>
    <w:rsid w:val="00C92616"/>
    <w:rsid w:val="00C9262C"/>
    <w:rsid w:val="00C9262F"/>
    <w:rsid w:val="00C927B8"/>
    <w:rsid w:val="00C927BB"/>
    <w:rsid w:val="00C92916"/>
    <w:rsid w:val="00C9295B"/>
    <w:rsid w:val="00C929EA"/>
    <w:rsid w:val="00C92AE9"/>
    <w:rsid w:val="00C92C9C"/>
    <w:rsid w:val="00C92D4B"/>
    <w:rsid w:val="00C92D6D"/>
    <w:rsid w:val="00C92D7C"/>
    <w:rsid w:val="00C92DB3"/>
    <w:rsid w:val="00C92E47"/>
    <w:rsid w:val="00C9302C"/>
    <w:rsid w:val="00C931C9"/>
    <w:rsid w:val="00C9322B"/>
    <w:rsid w:val="00C9329B"/>
    <w:rsid w:val="00C9334C"/>
    <w:rsid w:val="00C934B5"/>
    <w:rsid w:val="00C93562"/>
    <w:rsid w:val="00C93715"/>
    <w:rsid w:val="00C93719"/>
    <w:rsid w:val="00C9378A"/>
    <w:rsid w:val="00C93901"/>
    <w:rsid w:val="00C939AC"/>
    <w:rsid w:val="00C93A18"/>
    <w:rsid w:val="00C93A2B"/>
    <w:rsid w:val="00C93B62"/>
    <w:rsid w:val="00C93C3A"/>
    <w:rsid w:val="00C93CC4"/>
    <w:rsid w:val="00C93D7A"/>
    <w:rsid w:val="00C93E70"/>
    <w:rsid w:val="00C93EAF"/>
    <w:rsid w:val="00C93F81"/>
    <w:rsid w:val="00C93FDE"/>
    <w:rsid w:val="00C94082"/>
    <w:rsid w:val="00C941F2"/>
    <w:rsid w:val="00C94328"/>
    <w:rsid w:val="00C94342"/>
    <w:rsid w:val="00C94375"/>
    <w:rsid w:val="00C9440B"/>
    <w:rsid w:val="00C94468"/>
    <w:rsid w:val="00C9449F"/>
    <w:rsid w:val="00C944A4"/>
    <w:rsid w:val="00C94549"/>
    <w:rsid w:val="00C94550"/>
    <w:rsid w:val="00C94577"/>
    <w:rsid w:val="00C94580"/>
    <w:rsid w:val="00C94583"/>
    <w:rsid w:val="00C947C9"/>
    <w:rsid w:val="00C94867"/>
    <w:rsid w:val="00C94AED"/>
    <w:rsid w:val="00C94B92"/>
    <w:rsid w:val="00C94D0A"/>
    <w:rsid w:val="00C94EF9"/>
    <w:rsid w:val="00C94F0D"/>
    <w:rsid w:val="00C94F34"/>
    <w:rsid w:val="00C94FA1"/>
    <w:rsid w:val="00C951D2"/>
    <w:rsid w:val="00C9520A"/>
    <w:rsid w:val="00C9523A"/>
    <w:rsid w:val="00C952A1"/>
    <w:rsid w:val="00C952CE"/>
    <w:rsid w:val="00C952D9"/>
    <w:rsid w:val="00C952E9"/>
    <w:rsid w:val="00C9533A"/>
    <w:rsid w:val="00C9536B"/>
    <w:rsid w:val="00C953FB"/>
    <w:rsid w:val="00C95460"/>
    <w:rsid w:val="00C95500"/>
    <w:rsid w:val="00C95522"/>
    <w:rsid w:val="00C955CB"/>
    <w:rsid w:val="00C95763"/>
    <w:rsid w:val="00C95913"/>
    <w:rsid w:val="00C95A8E"/>
    <w:rsid w:val="00C95AF7"/>
    <w:rsid w:val="00C95B5F"/>
    <w:rsid w:val="00C95BAF"/>
    <w:rsid w:val="00C95BCF"/>
    <w:rsid w:val="00C95C53"/>
    <w:rsid w:val="00C95C67"/>
    <w:rsid w:val="00C95C6C"/>
    <w:rsid w:val="00C95D59"/>
    <w:rsid w:val="00C95E31"/>
    <w:rsid w:val="00C95E4E"/>
    <w:rsid w:val="00C95F0A"/>
    <w:rsid w:val="00C95F0E"/>
    <w:rsid w:val="00C95F6A"/>
    <w:rsid w:val="00C95FCE"/>
    <w:rsid w:val="00C95FEA"/>
    <w:rsid w:val="00C96074"/>
    <w:rsid w:val="00C960D6"/>
    <w:rsid w:val="00C960F9"/>
    <w:rsid w:val="00C96121"/>
    <w:rsid w:val="00C9612C"/>
    <w:rsid w:val="00C96170"/>
    <w:rsid w:val="00C96217"/>
    <w:rsid w:val="00C96574"/>
    <w:rsid w:val="00C966C0"/>
    <w:rsid w:val="00C9687A"/>
    <w:rsid w:val="00C96B52"/>
    <w:rsid w:val="00C96BA1"/>
    <w:rsid w:val="00C96BB5"/>
    <w:rsid w:val="00C96BDA"/>
    <w:rsid w:val="00C96C73"/>
    <w:rsid w:val="00C96DA2"/>
    <w:rsid w:val="00C96E38"/>
    <w:rsid w:val="00C96EDC"/>
    <w:rsid w:val="00C96F77"/>
    <w:rsid w:val="00C96F7D"/>
    <w:rsid w:val="00C970A9"/>
    <w:rsid w:val="00C970B6"/>
    <w:rsid w:val="00C97126"/>
    <w:rsid w:val="00C971BE"/>
    <w:rsid w:val="00C97219"/>
    <w:rsid w:val="00C9724F"/>
    <w:rsid w:val="00C972E6"/>
    <w:rsid w:val="00C973F1"/>
    <w:rsid w:val="00C9755B"/>
    <w:rsid w:val="00C975D7"/>
    <w:rsid w:val="00C976F8"/>
    <w:rsid w:val="00C97765"/>
    <w:rsid w:val="00C977C1"/>
    <w:rsid w:val="00C977C8"/>
    <w:rsid w:val="00C97853"/>
    <w:rsid w:val="00C979F6"/>
    <w:rsid w:val="00C97A64"/>
    <w:rsid w:val="00C97A7B"/>
    <w:rsid w:val="00C97A90"/>
    <w:rsid w:val="00C97A93"/>
    <w:rsid w:val="00C97ACA"/>
    <w:rsid w:val="00C97B4B"/>
    <w:rsid w:val="00C97BA2"/>
    <w:rsid w:val="00C97BA8"/>
    <w:rsid w:val="00C97D16"/>
    <w:rsid w:val="00C97D1E"/>
    <w:rsid w:val="00C97D70"/>
    <w:rsid w:val="00C97DB2"/>
    <w:rsid w:val="00C97EA7"/>
    <w:rsid w:val="00C97EBE"/>
    <w:rsid w:val="00C97EE8"/>
    <w:rsid w:val="00C97F2F"/>
    <w:rsid w:val="00C97FB9"/>
    <w:rsid w:val="00C97FCF"/>
    <w:rsid w:val="00CA00CA"/>
    <w:rsid w:val="00CA012F"/>
    <w:rsid w:val="00CA01B6"/>
    <w:rsid w:val="00CA01CE"/>
    <w:rsid w:val="00CA0233"/>
    <w:rsid w:val="00CA0305"/>
    <w:rsid w:val="00CA0377"/>
    <w:rsid w:val="00CA0397"/>
    <w:rsid w:val="00CA03B6"/>
    <w:rsid w:val="00CA03CA"/>
    <w:rsid w:val="00CA04C3"/>
    <w:rsid w:val="00CA04F2"/>
    <w:rsid w:val="00CA05EA"/>
    <w:rsid w:val="00CA05F3"/>
    <w:rsid w:val="00CA0618"/>
    <w:rsid w:val="00CA0656"/>
    <w:rsid w:val="00CA0683"/>
    <w:rsid w:val="00CA074F"/>
    <w:rsid w:val="00CA075B"/>
    <w:rsid w:val="00CA08B2"/>
    <w:rsid w:val="00CA0930"/>
    <w:rsid w:val="00CA0A5C"/>
    <w:rsid w:val="00CA0ADF"/>
    <w:rsid w:val="00CA0AE0"/>
    <w:rsid w:val="00CA0B36"/>
    <w:rsid w:val="00CA0BB2"/>
    <w:rsid w:val="00CA0CAC"/>
    <w:rsid w:val="00CA0CF7"/>
    <w:rsid w:val="00CA0D2A"/>
    <w:rsid w:val="00CA0E6A"/>
    <w:rsid w:val="00CA0ED7"/>
    <w:rsid w:val="00CA0EE5"/>
    <w:rsid w:val="00CA101C"/>
    <w:rsid w:val="00CA1042"/>
    <w:rsid w:val="00CA11D5"/>
    <w:rsid w:val="00CA130D"/>
    <w:rsid w:val="00CA142D"/>
    <w:rsid w:val="00CA1454"/>
    <w:rsid w:val="00CA14D3"/>
    <w:rsid w:val="00CA151C"/>
    <w:rsid w:val="00CA153A"/>
    <w:rsid w:val="00CA1547"/>
    <w:rsid w:val="00CA16F6"/>
    <w:rsid w:val="00CA176D"/>
    <w:rsid w:val="00CA178E"/>
    <w:rsid w:val="00CA17E7"/>
    <w:rsid w:val="00CA1830"/>
    <w:rsid w:val="00CA188E"/>
    <w:rsid w:val="00CA1964"/>
    <w:rsid w:val="00CA19DD"/>
    <w:rsid w:val="00CA19E6"/>
    <w:rsid w:val="00CA1ACA"/>
    <w:rsid w:val="00CA1AE2"/>
    <w:rsid w:val="00CA1B51"/>
    <w:rsid w:val="00CA1BFA"/>
    <w:rsid w:val="00CA1CA5"/>
    <w:rsid w:val="00CA1CEF"/>
    <w:rsid w:val="00CA1D86"/>
    <w:rsid w:val="00CA1DE5"/>
    <w:rsid w:val="00CA1E56"/>
    <w:rsid w:val="00CA1F60"/>
    <w:rsid w:val="00CA1F9C"/>
    <w:rsid w:val="00CA223C"/>
    <w:rsid w:val="00CA2327"/>
    <w:rsid w:val="00CA2336"/>
    <w:rsid w:val="00CA23F4"/>
    <w:rsid w:val="00CA23FD"/>
    <w:rsid w:val="00CA2606"/>
    <w:rsid w:val="00CA26C7"/>
    <w:rsid w:val="00CA26F9"/>
    <w:rsid w:val="00CA2755"/>
    <w:rsid w:val="00CA279E"/>
    <w:rsid w:val="00CA27A6"/>
    <w:rsid w:val="00CA27DE"/>
    <w:rsid w:val="00CA2811"/>
    <w:rsid w:val="00CA2820"/>
    <w:rsid w:val="00CA29DA"/>
    <w:rsid w:val="00CA2A61"/>
    <w:rsid w:val="00CA2B4D"/>
    <w:rsid w:val="00CA2B76"/>
    <w:rsid w:val="00CA2B77"/>
    <w:rsid w:val="00CA2BC3"/>
    <w:rsid w:val="00CA2C58"/>
    <w:rsid w:val="00CA2E30"/>
    <w:rsid w:val="00CA2E54"/>
    <w:rsid w:val="00CA3194"/>
    <w:rsid w:val="00CA3226"/>
    <w:rsid w:val="00CA3256"/>
    <w:rsid w:val="00CA3286"/>
    <w:rsid w:val="00CA3321"/>
    <w:rsid w:val="00CA3388"/>
    <w:rsid w:val="00CA3453"/>
    <w:rsid w:val="00CA34BD"/>
    <w:rsid w:val="00CA350C"/>
    <w:rsid w:val="00CA358B"/>
    <w:rsid w:val="00CA358C"/>
    <w:rsid w:val="00CA3652"/>
    <w:rsid w:val="00CA3744"/>
    <w:rsid w:val="00CA37EF"/>
    <w:rsid w:val="00CA3889"/>
    <w:rsid w:val="00CA38A0"/>
    <w:rsid w:val="00CA3A1C"/>
    <w:rsid w:val="00CA3A6F"/>
    <w:rsid w:val="00CA3AAA"/>
    <w:rsid w:val="00CA3ACB"/>
    <w:rsid w:val="00CA3AFC"/>
    <w:rsid w:val="00CA3BDE"/>
    <w:rsid w:val="00CA3BF6"/>
    <w:rsid w:val="00CA3C10"/>
    <w:rsid w:val="00CA3C64"/>
    <w:rsid w:val="00CA3D8A"/>
    <w:rsid w:val="00CA3F16"/>
    <w:rsid w:val="00CA3F43"/>
    <w:rsid w:val="00CA3F76"/>
    <w:rsid w:val="00CA408B"/>
    <w:rsid w:val="00CA4191"/>
    <w:rsid w:val="00CA41C4"/>
    <w:rsid w:val="00CA41F5"/>
    <w:rsid w:val="00CA42A7"/>
    <w:rsid w:val="00CA42CD"/>
    <w:rsid w:val="00CA4304"/>
    <w:rsid w:val="00CA431B"/>
    <w:rsid w:val="00CA43CE"/>
    <w:rsid w:val="00CA43E0"/>
    <w:rsid w:val="00CA4414"/>
    <w:rsid w:val="00CA4421"/>
    <w:rsid w:val="00CA4434"/>
    <w:rsid w:val="00CA456A"/>
    <w:rsid w:val="00CA45D9"/>
    <w:rsid w:val="00CA45FB"/>
    <w:rsid w:val="00CA4604"/>
    <w:rsid w:val="00CA473B"/>
    <w:rsid w:val="00CA4788"/>
    <w:rsid w:val="00CA47B0"/>
    <w:rsid w:val="00CA4800"/>
    <w:rsid w:val="00CA485A"/>
    <w:rsid w:val="00CA48C7"/>
    <w:rsid w:val="00CA4998"/>
    <w:rsid w:val="00CA49DF"/>
    <w:rsid w:val="00CA49F4"/>
    <w:rsid w:val="00CA4A11"/>
    <w:rsid w:val="00CA4AE5"/>
    <w:rsid w:val="00CA4BBF"/>
    <w:rsid w:val="00CA4C10"/>
    <w:rsid w:val="00CA4C6A"/>
    <w:rsid w:val="00CA4CC4"/>
    <w:rsid w:val="00CA4D3F"/>
    <w:rsid w:val="00CA4D6B"/>
    <w:rsid w:val="00CA4E30"/>
    <w:rsid w:val="00CA4E4F"/>
    <w:rsid w:val="00CA4EB5"/>
    <w:rsid w:val="00CA4EEB"/>
    <w:rsid w:val="00CA4F5D"/>
    <w:rsid w:val="00CA4F7C"/>
    <w:rsid w:val="00CA4F86"/>
    <w:rsid w:val="00CA4F93"/>
    <w:rsid w:val="00CA4F98"/>
    <w:rsid w:val="00CA5036"/>
    <w:rsid w:val="00CA506C"/>
    <w:rsid w:val="00CA5213"/>
    <w:rsid w:val="00CA5302"/>
    <w:rsid w:val="00CA5311"/>
    <w:rsid w:val="00CA53A0"/>
    <w:rsid w:val="00CA5407"/>
    <w:rsid w:val="00CA543E"/>
    <w:rsid w:val="00CA5452"/>
    <w:rsid w:val="00CA5453"/>
    <w:rsid w:val="00CA5460"/>
    <w:rsid w:val="00CA5573"/>
    <w:rsid w:val="00CA5574"/>
    <w:rsid w:val="00CA5602"/>
    <w:rsid w:val="00CA5674"/>
    <w:rsid w:val="00CA5696"/>
    <w:rsid w:val="00CA56F8"/>
    <w:rsid w:val="00CA5738"/>
    <w:rsid w:val="00CA573C"/>
    <w:rsid w:val="00CA5778"/>
    <w:rsid w:val="00CA5803"/>
    <w:rsid w:val="00CA587B"/>
    <w:rsid w:val="00CA5887"/>
    <w:rsid w:val="00CA5968"/>
    <w:rsid w:val="00CA59C0"/>
    <w:rsid w:val="00CA5B2A"/>
    <w:rsid w:val="00CA5BA7"/>
    <w:rsid w:val="00CA5BB9"/>
    <w:rsid w:val="00CA5CCA"/>
    <w:rsid w:val="00CA5DBF"/>
    <w:rsid w:val="00CA5E68"/>
    <w:rsid w:val="00CA5EA8"/>
    <w:rsid w:val="00CA6055"/>
    <w:rsid w:val="00CA60C0"/>
    <w:rsid w:val="00CA6148"/>
    <w:rsid w:val="00CA62AC"/>
    <w:rsid w:val="00CA63E0"/>
    <w:rsid w:val="00CA641B"/>
    <w:rsid w:val="00CA6532"/>
    <w:rsid w:val="00CA65F9"/>
    <w:rsid w:val="00CA6785"/>
    <w:rsid w:val="00CA6860"/>
    <w:rsid w:val="00CA68FD"/>
    <w:rsid w:val="00CA6937"/>
    <w:rsid w:val="00CA69AD"/>
    <w:rsid w:val="00CA69AE"/>
    <w:rsid w:val="00CA69E8"/>
    <w:rsid w:val="00CA6A20"/>
    <w:rsid w:val="00CA6A98"/>
    <w:rsid w:val="00CA6B04"/>
    <w:rsid w:val="00CA6BEA"/>
    <w:rsid w:val="00CA6C53"/>
    <w:rsid w:val="00CA6CD2"/>
    <w:rsid w:val="00CA6CDC"/>
    <w:rsid w:val="00CA6D32"/>
    <w:rsid w:val="00CA6D37"/>
    <w:rsid w:val="00CA6D8B"/>
    <w:rsid w:val="00CA6F50"/>
    <w:rsid w:val="00CA6FA6"/>
    <w:rsid w:val="00CA708D"/>
    <w:rsid w:val="00CA70DB"/>
    <w:rsid w:val="00CA7190"/>
    <w:rsid w:val="00CA7255"/>
    <w:rsid w:val="00CA72E2"/>
    <w:rsid w:val="00CA72F4"/>
    <w:rsid w:val="00CA7328"/>
    <w:rsid w:val="00CA7361"/>
    <w:rsid w:val="00CA739A"/>
    <w:rsid w:val="00CA742D"/>
    <w:rsid w:val="00CA7457"/>
    <w:rsid w:val="00CA74A4"/>
    <w:rsid w:val="00CA750D"/>
    <w:rsid w:val="00CA7522"/>
    <w:rsid w:val="00CA75B3"/>
    <w:rsid w:val="00CA766B"/>
    <w:rsid w:val="00CA7997"/>
    <w:rsid w:val="00CA7A2D"/>
    <w:rsid w:val="00CA7BAA"/>
    <w:rsid w:val="00CA7BBE"/>
    <w:rsid w:val="00CA7C19"/>
    <w:rsid w:val="00CA7C25"/>
    <w:rsid w:val="00CA7E8A"/>
    <w:rsid w:val="00CA7ECC"/>
    <w:rsid w:val="00CA7FDD"/>
    <w:rsid w:val="00CA7FF8"/>
    <w:rsid w:val="00CB008B"/>
    <w:rsid w:val="00CB009B"/>
    <w:rsid w:val="00CB0185"/>
    <w:rsid w:val="00CB01D8"/>
    <w:rsid w:val="00CB021B"/>
    <w:rsid w:val="00CB0237"/>
    <w:rsid w:val="00CB0288"/>
    <w:rsid w:val="00CB02CB"/>
    <w:rsid w:val="00CB0323"/>
    <w:rsid w:val="00CB0330"/>
    <w:rsid w:val="00CB039A"/>
    <w:rsid w:val="00CB039C"/>
    <w:rsid w:val="00CB082D"/>
    <w:rsid w:val="00CB08F9"/>
    <w:rsid w:val="00CB091B"/>
    <w:rsid w:val="00CB0A7E"/>
    <w:rsid w:val="00CB0B0E"/>
    <w:rsid w:val="00CB0C05"/>
    <w:rsid w:val="00CB0C3D"/>
    <w:rsid w:val="00CB0CF3"/>
    <w:rsid w:val="00CB0CF6"/>
    <w:rsid w:val="00CB0DE4"/>
    <w:rsid w:val="00CB0DE8"/>
    <w:rsid w:val="00CB0E23"/>
    <w:rsid w:val="00CB0E44"/>
    <w:rsid w:val="00CB0F26"/>
    <w:rsid w:val="00CB0FBC"/>
    <w:rsid w:val="00CB1032"/>
    <w:rsid w:val="00CB10D4"/>
    <w:rsid w:val="00CB1124"/>
    <w:rsid w:val="00CB118D"/>
    <w:rsid w:val="00CB11CB"/>
    <w:rsid w:val="00CB11D6"/>
    <w:rsid w:val="00CB1229"/>
    <w:rsid w:val="00CB123E"/>
    <w:rsid w:val="00CB13D9"/>
    <w:rsid w:val="00CB1414"/>
    <w:rsid w:val="00CB1466"/>
    <w:rsid w:val="00CB1496"/>
    <w:rsid w:val="00CB1539"/>
    <w:rsid w:val="00CB1572"/>
    <w:rsid w:val="00CB15E0"/>
    <w:rsid w:val="00CB15ED"/>
    <w:rsid w:val="00CB166B"/>
    <w:rsid w:val="00CB16F6"/>
    <w:rsid w:val="00CB1732"/>
    <w:rsid w:val="00CB17B4"/>
    <w:rsid w:val="00CB19CB"/>
    <w:rsid w:val="00CB1A2F"/>
    <w:rsid w:val="00CB1A8E"/>
    <w:rsid w:val="00CB1A90"/>
    <w:rsid w:val="00CB1B4F"/>
    <w:rsid w:val="00CB1B8F"/>
    <w:rsid w:val="00CB1BB0"/>
    <w:rsid w:val="00CB1C9D"/>
    <w:rsid w:val="00CB1CA7"/>
    <w:rsid w:val="00CB1CBD"/>
    <w:rsid w:val="00CB1D84"/>
    <w:rsid w:val="00CB1E07"/>
    <w:rsid w:val="00CB1E99"/>
    <w:rsid w:val="00CB1F90"/>
    <w:rsid w:val="00CB207D"/>
    <w:rsid w:val="00CB20C5"/>
    <w:rsid w:val="00CB2102"/>
    <w:rsid w:val="00CB2205"/>
    <w:rsid w:val="00CB227C"/>
    <w:rsid w:val="00CB22F9"/>
    <w:rsid w:val="00CB22FE"/>
    <w:rsid w:val="00CB2309"/>
    <w:rsid w:val="00CB2332"/>
    <w:rsid w:val="00CB2335"/>
    <w:rsid w:val="00CB2348"/>
    <w:rsid w:val="00CB23F9"/>
    <w:rsid w:val="00CB24AD"/>
    <w:rsid w:val="00CB24B2"/>
    <w:rsid w:val="00CB2501"/>
    <w:rsid w:val="00CB2523"/>
    <w:rsid w:val="00CB259C"/>
    <w:rsid w:val="00CB2653"/>
    <w:rsid w:val="00CB275A"/>
    <w:rsid w:val="00CB27D1"/>
    <w:rsid w:val="00CB2848"/>
    <w:rsid w:val="00CB2961"/>
    <w:rsid w:val="00CB29F7"/>
    <w:rsid w:val="00CB29FC"/>
    <w:rsid w:val="00CB2A24"/>
    <w:rsid w:val="00CB2A43"/>
    <w:rsid w:val="00CB2A72"/>
    <w:rsid w:val="00CB2ACD"/>
    <w:rsid w:val="00CB2B59"/>
    <w:rsid w:val="00CB2DB0"/>
    <w:rsid w:val="00CB2E64"/>
    <w:rsid w:val="00CB2F57"/>
    <w:rsid w:val="00CB2F76"/>
    <w:rsid w:val="00CB3051"/>
    <w:rsid w:val="00CB30B1"/>
    <w:rsid w:val="00CB30CB"/>
    <w:rsid w:val="00CB3146"/>
    <w:rsid w:val="00CB315E"/>
    <w:rsid w:val="00CB328C"/>
    <w:rsid w:val="00CB32DD"/>
    <w:rsid w:val="00CB3386"/>
    <w:rsid w:val="00CB3390"/>
    <w:rsid w:val="00CB33F6"/>
    <w:rsid w:val="00CB3434"/>
    <w:rsid w:val="00CB34CD"/>
    <w:rsid w:val="00CB369C"/>
    <w:rsid w:val="00CB36CF"/>
    <w:rsid w:val="00CB36F4"/>
    <w:rsid w:val="00CB3710"/>
    <w:rsid w:val="00CB371E"/>
    <w:rsid w:val="00CB3741"/>
    <w:rsid w:val="00CB379D"/>
    <w:rsid w:val="00CB37FC"/>
    <w:rsid w:val="00CB380E"/>
    <w:rsid w:val="00CB3983"/>
    <w:rsid w:val="00CB3994"/>
    <w:rsid w:val="00CB39E1"/>
    <w:rsid w:val="00CB3A05"/>
    <w:rsid w:val="00CB3CC3"/>
    <w:rsid w:val="00CB3CFF"/>
    <w:rsid w:val="00CB3D07"/>
    <w:rsid w:val="00CB3D9B"/>
    <w:rsid w:val="00CB3DCF"/>
    <w:rsid w:val="00CB3E3C"/>
    <w:rsid w:val="00CB3F59"/>
    <w:rsid w:val="00CB3F84"/>
    <w:rsid w:val="00CB4068"/>
    <w:rsid w:val="00CB406D"/>
    <w:rsid w:val="00CB40C1"/>
    <w:rsid w:val="00CB4189"/>
    <w:rsid w:val="00CB4299"/>
    <w:rsid w:val="00CB43E1"/>
    <w:rsid w:val="00CB4445"/>
    <w:rsid w:val="00CB4457"/>
    <w:rsid w:val="00CB463D"/>
    <w:rsid w:val="00CB4670"/>
    <w:rsid w:val="00CB4712"/>
    <w:rsid w:val="00CB475A"/>
    <w:rsid w:val="00CB4832"/>
    <w:rsid w:val="00CB4878"/>
    <w:rsid w:val="00CB48CF"/>
    <w:rsid w:val="00CB496B"/>
    <w:rsid w:val="00CB4A27"/>
    <w:rsid w:val="00CB4A77"/>
    <w:rsid w:val="00CB4BB0"/>
    <w:rsid w:val="00CB4C57"/>
    <w:rsid w:val="00CB4CA1"/>
    <w:rsid w:val="00CB4D25"/>
    <w:rsid w:val="00CB4DA5"/>
    <w:rsid w:val="00CB4E4F"/>
    <w:rsid w:val="00CB4E78"/>
    <w:rsid w:val="00CB4EC7"/>
    <w:rsid w:val="00CB5074"/>
    <w:rsid w:val="00CB509B"/>
    <w:rsid w:val="00CB5203"/>
    <w:rsid w:val="00CB524A"/>
    <w:rsid w:val="00CB529F"/>
    <w:rsid w:val="00CB52E2"/>
    <w:rsid w:val="00CB5344"/>
    <w:rsid w:val="00CB5362"/>
    <w:rsid w:val="00CB53FF"/>
    <w:rsid w:val="00CB541C"/>
    <w:rsid w:val="00CB545D"/>
    <w:rsid w:val="00CB54D4"/>
    <w:rsid w:val="00CB5626"/>
    <w:rsid w:val="00CB5633"/>
    <w:rsid w:val="00CB56AC"/>
    <w:rsid w:val="00CB5700"/>
    <w:rsid w:val="00CB5731"/>
    <w:rsid w:val="00CB5834"/>
    <w:rsid w:val="00CB5B03"/>
    <w:rsid w:val="00CB5B15"/>
    <w:rsid w:val="00CB5BBD"/>
    <w:rsid w:val="00CB5BEF"/>
    <w:rsid w:val="00CB5C02"/>
    <w:rsid w:val="00CB5DE4"/>
    <w:rsid w:val="00CB5E1D"/>
    <w:rsid w:val="00CB5EE1"/>
    <w:rsid w:val="00CB5F1A"/>
    <w:rsid w:val="00CB5FAC"/>
    <w:rsid w:val="00CB60AB"/>
    <w:rsid w:val="00CB61DC"/>
    <w:rsid w:val="00CB624A"/>
    <w:rsid w:val="00CB627F"/>
    <w:rsid w:val="00CB6286"/>
    <w:rsid w:val="00CB62F6"/>
    <w:rsid w:val="00CB63CE"/>
    <w:rsid w:val="00CB63DB"/>
    <w:rsid w:val="00CB6454"/>
    <w:rsid w:val="00CB65BD"/>
    <w:rsid w:val="00CB65DD"/>
    <w:rsid w:val="00CB6698"/>
    <w:rsid w:val="00CB674F"/>
    <w:rsid w:val="00CB6793"/>
    <w:rsid w:val="00CB67A3"/>
    <w:rsid w:val="00CB67CE"/>
    <w:rsid w:val="00CB68E7"/>
    <w:rsid w:val="00CB6A4C"/>
    <w:rsid w:val="00CB6A75"/>
    <w:rsid w:val="00CB6ABF"/>
    <w:rsid w:val="00CB6AF1"/>
    <w:rsid w:val="00CB6B7E"/>
    <w:rsid w:val="00CB6BF1"/>
    <w:rsid w:val="00CB6BFE"/>
    <w:rsid w:val="00CB6CFC"/>
    <w:rsid w:val="00CB6D3C"/>
    <w:rsid w:val="00CB6D3D"/>
    <w:rsid w:val="00CB6DC7"/>
    <w:rsid w:val="00CB6E0D"/>
    <w:rsid w:val="00CB6E89"/>
    <w:rsid w:val="00CB6E8F"/>
    <w:rsid w:val="00CB6F1D"/>
    <w:rsid w:val="00CB6F2B"/>
    <w:rsid w:val="00CB6F97"/>
    <w:rsid w:val="00CB6FA7"/>
    <w:rsid w:val="00CB70CC"/>
    <w:rsid w:val="00CB70F5"/>
    <w:rsid w:val="00CB717E"/>
    <w:rsid w:val="00CB72D7"/>
    <w:rsid w:val="00CB72DF"/>
    <w:rsid w:val="00CB7309"/>
    <w:rsid w:val="00CB732C"/>
    <w:rsid w:val="00CB7361"/>
    <w:rsid w:val="00CB7384"/>
    <w:rsid w:val="00CB73E9"/>
    <w:rsid w:val="00CB7490"/>
    <w:rsid w:val="00CB7573"/>
    <w:rsid w:val="00CB758D"/>
    <w:rsid w:val="00CB770E"/>
    <w:rsid w:val="00CB7899"/>
    <w:rsid w:val="00CB78E2"/>
    <w:rsid w:val="00CB796D"/>
    <w:rsid w:val="00CB798C"/>
    <w:rsid w:val="00CB79F2"/>
    <w:rsid w:val="00CB7A07"/>
    <w:rsid w:val="00CB7A36"/>
    <w:rsid w:val="00CB7A80"/>
    <w:rsid w:val="00CB7A8A"/>
    <w:rsid w:val="00CB7A9D"/>
    <w:rsid w:val="00CB7ADE"/>
    <w:rsid w:val="00CB7B13"/>
    <w:rsid w:val="00CB7B4A"/>
    <w:rsid w:val="00CB7B96"/>
    <w:rsid w:val="00CB7BB2"/>
    <w:rsid w:val="00CB7BF8"/>
    <w:rsid w:val="00CB7C33"/>
    <w:rsid w:val="00CB7D29"/>
    <w:rsid w:val="00CB7DB6"/>
    <w:rsid w:val="00CB7E6E"/>
    <w:rsid w:val="00CB7EB4"/>
    <w:rsid w:val="00CB7F0C"/>
    <w:rsid w:val="00CB7F62"/>
    <w:rsid w:val="00CC0062"/>
    <w:rsid w:val="00CC01D8"/>
    <w:rsid w:val="00CC02D1"/>
    <w:rsid w:val="00CC02F0"/>
    <w:rsid w:val="00CC02F5"/>
    <w:rsid w:val="00CC02F8"/>
    <w:rsid w:val="00CC034F"/>
    <w:rsid w:val="00CC0362"/>
    <w:rsid w:val="00CC049F"/>
    <w:rsid w:val="00CC04F1"/>
    <w:rsid w:val="00CC05C3"/>
    <w:rsid w:val="00CC0682"/>
    <w:rsid w:val="00CC06B1"/>
    <w:rsid w:val="00CC0824"/>
    <w:rsid w:val="00CC0837"/>
    <w:rsid w:val="00CC0932"/>
    <w:rsid w:val="00CC0A06"/>
    <w:rsid w:val="00CC0AB9"/>
    <w:rsid w:val="00CC0AD8"/>
    <w:rsid w:val="00CC0BE1"/>
    <w:rsid w:val="00CC0C10"/>
    <w:rsid w:val="00CC0C90"/>
    <w:rsid w:val="00CC0CE7"/>
    <w:rsid w:val="00CC0D21"/>
    <w:rsid w:val="00CC0D7E"/>
    <w:rsid w:val="00CC0DF5"/>
    <w:rsid w:val="00CC0E09"/>
    <w:rsid w:val="00CC0F5C"/>
    <w:rsid w:val="00CC0F91"/>
    <w:rsid w:val="00CC0FC1"/>
    <w:rsid w:val="00CC0FDE"/>
    <w:rsid w:val="00CC126F"/>
    <w:rsid w:val="00CC1394"/>
    <w:rsid w:val="00CC15CC"/>
    <w:rsid w:val="00CC1633"/>
    <w:rsid w:val="00CC164E"/>
    <w:rsid w:val="00CC16C1"/>
    <w:rsid w:val="00CC16EF"/>
    <w:rsid w:val="00CC1748"/>
    <w:rsid w:val="00CC1751"/>
    <w:rsid w:val="00CC19B8"/>
    <w:rsid w:val="00CC1A46"/>
    <w:rsid w:val="00CC1A73"/>
    <w:rsid w:val="00CC1AAA"/>
    <w:rsid w:val="00CC1AB8"/>
    <w:rsid w:val="00CC1C4C"/>
    <w:rsid w:val="00CC1CA3"/>
    <w:rsid w:val="00CC1CAD"/>
    <w:rsid w:val="00CC1CB4"/>
    <w:rsid w:val="00CC1DEC"/>
    <w:rsid w:val="00CC1E38"/>
    <w:rsid w:val="00CC1E98"/>
    <w:rsid w:val="00CC1EE8"/>
    <w:rsid w:val="00CC1F19"/>
    <w:rsid w:val="00CC1FAF"/>
    <w:rsid w:val="00CC1FC5"/>
    <w:rsid w:val="00CC201E"/>
    <w:rsid w:val="00CC203E"/>
    <w:rsid w:val="00CC2047"/>
    <w:rsid w:val="00CC2160"/>
    <w:rsid w:val="00CC2162"/>
    <w:rsid w:val="00CC2186"/>
    <w:rsid w:val="00CC21E2"/>
    <w:rsid w:val="00CC2233"/>
    <w:rsid w:val="00CC223A"/>
    <w:rsid w:val="00CC23B8"/>
    <w:rsid w:val="00CC2506"/>
    <w:rsid w:val="00CC2545"/>
    <w:rsid w:val="00CC2570"/>
    <w:rsid w:val="00CC2681"/>
    <w:rsid w:val="00CC2759"/>
    <w:rsid w:val="00CC277B"/>
    <w:rsid w:val="00CC27DD"/>
    <w:rsid w:val="00CC27DE"/>
    <w:rsid w:val="00CC2818"/>
    <w:rsid w:val="00CC287B"/>
    <w:rsid w:val="00CC28E2"/>
    <w:rsid w:val="00CC291D"/>
    <w:rsid w:val="00CC2938"/>
    <w:rsid w:val="00CC29C2"/>
    <w:rsid w:val="00CC29C7"/>
    <w:rsid w:val="00CC2AB0"/>
    <w:rsid w:val="00CC2AF5"/>
    <w:rsid w:val="00CC2AF9"/>
    <w:rsid w:val="00CC2B32"/>
    <w:rsid w:val="00CC2B50"/>
    <w:rsid w:val="00CC2B57"/>
    <w:rsid w:val="00CC2B92"/>
    <w:rsid w:val="00CC2C7F"/>
    <w:rsid w:val="00CC2DD7"/>
    <w:rsid w:val="00CC2E07"/>
    <w:rsid w:val="00CC2E0C"/>
    <w:rsid w:val="00CC2E1D"/>
    <w:rsid w:val="00CC2E9A"/>
    <w:rsid w:val="00CC304D"/>
    <w:rsid w:val="00CC306C"/>
    <w:rsid w:val="00CC30B5"/>
    <w:rsid w:val="00CC310D"/>
    <w:rsid w:val="00CC3122"/>
    <w:rsid w:val="00CC3191"/>
    <w:rsid w:val="00CC31C5"/>
    <w:rsid w:val="00CC32C3"/>
    <w:rsid w:val="00CC3391"/>
    <w:rsid w:val="00CC340B"/>
    <w:rsid w:val="00CC353C"/>
    <w:rsid w:val="00CC3554"/>
    <w:rsid w:val="00CC356A"/>
    <w:rsid w:val="00CC3604"/>
    <w:rsid w:val="00CC360C"/>
    <w:rsid w:val="00CC3616"/>
    <w:rsid w:val="00CC3648"/>
    <w:rsid w:val="00CC364D"/>
    <w:rsid w:val="00CC3684"/>
    <w:rsid w:val="00CC36FD"/>
    <w:rsid w:val="00CC375E"/>
    <w:rsid w:val="00CC385B"/>
    <w:rsid w:val="00CC38F9"/>
    <w:rsid w:val="00CC3970"/>
    <w:rsid w:val="00CC3A0F"/>
    <w:rsid w:val="00CC3B11"/>
    <w:rsid w:val="00CC3B1F"/>
    <w:rsid w:val="00CC3BC0"/>
    <w:rsid w:val="00CC3BFE"/>
    <w:rsid w:val="00CC3C88"/>
    <w:rsid w:val="00CC3CD2"/>
    <w:rsid w:val="00CC3CDA"/>
    <w:rsid w:val="00CC3CF5"/>
    <w:rsid w:val="00CC3E83"/>
    <w:rsid w:val="00CC3F5B"/>
    <w:rsid w:val="00CC3F76"/>
    <w:rsid w:val="00CC3FB4"/>
    <w:rsid w:val="00CC40EB"/>
    <w:rsid w:val="00CC40F6"/>
    <w:rsid w:val="00CC4240"/>
    <w:rsid w:val="00CC4552"/>
    <w:rsid w:val="00CC45DF"/>
    <w:rsid w:val="00CC47C7"/>
    <w:rsid w:val="00CC47DF"/>
    <w:rsid w:val="00CC4837"/>
    <w:rsid w:val="00CC4892"/>
    <w:rsid w:val="00CC48C6"/>
    <w:rsid w:val="00CC48EE"/>
    <w:rsid w:val="00CC492D"/>
    <w:rsid w:val="00CC49C7"/>
    <w:rsid w:val="00CC4B07"/>
    <w:rsid w:val="00CC4B0A"/>
    <w:rsid w:val="00CC4B38"/>
    <w:rsid w:val="00CC4B39"/>
    <w:rsid w:val="00CC4BE8"/>
    <w:rsid w:val="00CC4D3A"/>
    <w:rsid w:val="00CC4D9A"/>
    <w:rsid w:val="00CC4DB7"/>
    <w:rsid w:val="00CC4DE3"/>
    <w:rsid w:val="00CC4E2B"/>
    <w:rsid w:val="00CC4E3E"/>
    <w:rsid w:val="00CC4EF5"/>
    <w:rsid w:val="00CC4F25"/>
    <w:rsid w:val="00CC4F9B"/>
    <w:rsid w:val="00CC4FBD"/>
    <w:rsid w:val="00CC4FC5"/>
    <w:rsid w:val="00CC4FFF"/>
    <w:rsid w:val="00CC5081"/>
    <w:rsid w:val="00CC5082"/>
    <w:rsid w:val="00CC513B"/>
    <w:rsid w:val="00CC51CB"/>
    <w:rsid w:val="00CC5241"/>
    <w:rsid w:val="00CC5244"/>
    <w:rsid w:val="00CC5257"/>
    <w:rsid w:val="00CC52A1"/>
    <w:rsid w:val="00CC549D"/>
    <w:rsid w:val="00CC54AF"/>
    <w:rsid w:val="00CC54E1"/>
    <w:rsid w:val="00CC559D"/>
    <w:rsid w:val="00CC568A"/>
    <w:rsid w:val="00CC5794"/>
    <w:rsid w:val="00CC58F2"/>
    <w:rsid w:val="00CC5922"/>
    <w:rsid w:val="00CC592A"/>
    <w:rsid w:val="00CC5945"/>
    <w:rsid w:val="00CC59C0"/>
    <w:rsid w:val="00CC59D2"/>
    <w:rsid w:val="00CC5AC1"/>
    <w:rsid w:val="00CC5ACD"/>
    <w:rsid w:val="00CC5ACF"/>
    <w:rsid w:val="00CC5B06"/>
    <w:rsid w:val="00CC5B8C"/>
    <w:rsid w:val="00CC5C7F"/>
    <w:rsid w:val="00CC5F99"/>
    <w:rsid w:val="00CC605A"/>
    <w:rsid w:val="00CC606C"/>
    <w:rsid w:val="00CC6130"/>
    <w:rsid w:val="00CC6171"/>
    <w:rsid w:val="00CC622A"/>
    <w:rsid w:val="00CC6467"/>
    <w:rsid w:val="00CC6564"/>
    <w:rsid w:val="00CC658E"/>
    <w:rsid w:val="00CC65CF"/>
    <w:rsid w:val="00CC6695"/>
    <w:rsid w:val="00CC67C9"/>
    <w:rsid w:val="00CC68ED"/>
    <w:rsid w:val="00CC6988"/>
    <w:rsid w:val="00CC6A49"/>
    <w:rsid w:val="00CC6ABF"/>
    <w:rsid w:val="00CC6AF0"/>
    <w:rsid w:val="00CC6BB1"/>
    <w:rsid w:val="00CC6C52"/>
    <w:rsid w:val="00CC6CAB"/>
    <w:rsid w:val="00CC6CFA"/>
    <w:rsid w:val="00CC6D8E"/>
    <w:rsid w:val="00CC6DC2"/>
    <w:rsid w:val="00CC6E3E"/>
    <w:rsid w:val="00CC6E47"/>
    <w:rsid w:val="00CC6EB9"/>
    <w:rsid w:val="00CC6F6D"/>
    <w:rsid w:val="00CC7060"/>
    <w:rsid w:val="00CC70E7"/>
    <w:rsid w:val="00CC719B"/>
    <w:rsid w:val="00CC71B4"/>
    <w:rsid w:val="00CC722B"/>
    <w:rsid w:val="00CC73BC"/>
    <w:rsid w:val="00CC73D3"/>
    <w:rsid w:val="00CC7442"/>
    <w:rsid w:val="00CC74C9"/>
    <w:rsid w:val="00CC74DC"/>
    <w:rsid w:val="00CC7739"/>
    <w:rsid w:val="00CC777A"/>
    <w:rsid w:val="00CC77CB"/>
    <w:rsid w:val="00CC7888"/>
    <w:rsid w:val="00CC790B"/>
    <w:rsid w:val="00CC7994"/>
    <w:rsid w:val="00CC79A7"/>
    <w:rsid w:val="00CC7A23"/>
    <w:rsid w:val="00CC7A2B"/>
    <w:rsid w:val="00CC7AA0"/>
    <w:rsid w:val="00CC7B1C"/>
    <w:rsid w:val="00CC7BBE"/>
    <w:rsid w:val="00CC7C17"/>
    <w:rsid w:val="00CC7C36"/>
    <w:rsid w:val="00CC7C7D"/>
    <w:rsid w:val="00CC7D62"/>
    <w:rsid w:val="00CC7E40"/>
    <w:rsid w:val="00CC7EAB"/>
    <w:rsid w:val="00CC7F31"/>
    <w:rsid w:val="00CC7F41"/>
    <w:rsid w:val="00CC7F57"/>
    <w:rsid w:val="00CC7FB0"/>
    <w:rsid w:val="00CCBA98"/>
    <w:rsid w:val="00CD00C2"/>
    <w:rsid w:val="00CD0166"/>
    <w:rsid w:val="00CD0173"/>
    <w:rsid w:val="00CD020E"/>
    <w:rsid w:val="00CD0257"/>
    <w:rsid w:val="00CD030D"/>
    <w:rsid w:val="00CD0371"/>
    <w:rsid w:val="00CD0392"/>
    <w:rsid w:val="00CD047C"/>
    <w:rsid w:val="00CD0541"/>
    <w:rsid w:val="00CD067E"/>
    <w:rsid w:val="00CD06C9"/>
    <w:rsid w:val="00CD07A2"/>
    <w:rsid w:val="00CD07BC"/>
    <w:rsid w:val="00CD0896"/>
    <w:rsid w:val="00CD0A18"/>
    <w:rsid w:val="00CD0C4E"/>
    <w:rsid w:val="00CD0C89"/>
    <w:rsid w:val="00CD0CD4"/>
    <w:rsid w:val="00CD0D30"/>
    <w:rsid w:val="00CD0E1B"/>
    <w:rsid w:val="00CD0EDC"/>
    <w:rsid w:val="00CD0F81"/>
    <w:rsid w:val="00CD1052"/>
    <w:rsid w:val="00CD10B0"/>
    <w:rsid w:val="00CD1104"/>
    <w:rsid w:val="00CD1150"/>
    <w:rsid w:val="00CD1193"/>
    <w:rsid w:val="00CD1199"/>
    <w:rsid w:val="00CD119C"/>
    <w:rsid w:val="00CD131F"/>
    <w:rsid w:val="00CD134B"/>
    <w:rsid w:val="00CD13CA"/>
    <w:rsid w:val="00CD142B"/>
    <w:rsid w:val="00CD1475"/>
    <w:rsid w:val="00CD147C"/>
    <w:rsid w:val="00CD14E1"/>
    <w:rsid w:val="00CD1532"/>
    <w:rsid w:val="00CD15B9"/>
    <w:rsid w:val="00CD15D2"/>
    <w:rsid w:val="00CD15D8"/>
    <w:rsid w:val="00CD16CB"/>
    <w:rsid w:val="00CD16D1"/>
    <w:rsid w:val="00CD1719"/>
    <w:rsid w:val="00CD1739"/>
    <w:rsid w:val="00CD17C1"/>
    <w:rsid w:val="00CD17DC"/>
    <w:rsid w:val="00CD1A26"/>
    <w:rsid w:val="00CD1A5D"/>
    <w:rsid w:val="00CD1D43"/>
    <w:rsid w:val="00CD1D5D"/>
    <w:rsid w:val="00CD1DA1"/>
    <w:rsid w:val="00CD1E3B"/>
    <w:rsid w:val="00CD1E68"/>
    <w:rsid w:val="00CD1F21"/>
    <w:rsid w:val="00CD1FB7"/>
    <w:rsid w:val="00CD2002"/>
    <w:rsid w:val="00CD2008"/>
    <w:rsid w:val="00CD200A"/>
    <w:rsid w:val="00CD208C"/>
    <w:rsid w:val="00CD209F"/>
    <w:rsid w:val="00CD20FA"/>
    <w:rsid w:val="00CD2143"/>
    <w:rsid w:val="00CD2151"/>
    <w:rsid w:val="00CD219E"/>
    <w:rsid w:val="00CD22C5"/>
    <w:rsid w:val="00CD22E9"/>
    <w:rsid w:val="00CD2427"/>
    <w:rsid w:val="00CD24A0"/>
    <w:rsid w:val="00CD24B3"/>
    <w:rsid w:val="00CD24E8"/>
    <w:rsid w:val="00CD255B"/>
    <w:rsid w:val="00CD2624"/>
    <w:rsid w:val="00CD273C"/>
    <w:rsid w:val="00CD2760"/>
    <w:rsid w:val="00CD27DC"/>
    <w:rsid w:val="00CD289A"/>
    <w:rsid w:val="00CD292B"/>
    <w:rsid w:val="00CD2A2A"/>
    <w:rsid w:val="00CD2A38"/>
    <w:rsid w:val="00CD2B4A"/>
    <w:rsid w:val="00CD2B65"/>
    <w:rsid w:val="00CD2B90"/>
    <w:rsid w:val="00CD2BE4"/>
    <w:rsid w:val="00CD2C7A"/>
    <w:rsid w:val="00CD2E65"/>
    <w:rsid w:val="00CD2F0F"/>
    <w:rsid w:val="00CD30CD"/>
    <w:rsid w:val="00CD3103"/>
    <w:rsid w:val="00CD31D1"/>
    <w:rsid w:val="00CD3231"/>
    <w:rsid w:val="00CD3233"/>
    <w:rsid w:val="00CD32C9"/>
    <w:rsid w:val="00CD32D8"/>
    <w:rsid w:val="00CD3365"/>
    <w:rsid w:val="00CD34B3"/>
    <w:rsid w:val="00CD3660"/>
    <w:rsid w:val="00CD3662"/>
    <w:rsid w:val="00CD3791"/>
    <w:rsid w:val="00CD37B4"/>
    <w:rsid w:val="00CD37B6"/>
    <w:rsid w:val="00CD38D3"/>
    <w:rsid w:val="00CD3B01"/>
    <w:rsid w:val="00CD3B34"/>
    <w:rsid w:val="00CD3B98"/>
    <w:rsid w:val="00CD3C73"/>
    <w:rsid w:val="00CD3DFC"/>
    <w:rsid w:val="00CD3ED8"/>
    <w:rsid w:val="00CD40AF"/>
    <w:rsid w:val="00CD414C"/>
    <w:rsid w:val="00CD415C"/>
    <w:rsid w:val="00CD419E"/>
    <w:rsid w:val="00CD41A3"/>
    <w:rsid w:val="00CD42DE"/>
    <w:rsid w:val="00CD435D"/>
    <w:rsid w:val="00CD440A"/>
    <w:rsid w:val="00CD4483"/>
    <w:rsid w:val="00CD44B3"/>
    <w:rsid w:val="00CD44F5"/>
    <w:rsid w:val="00CD45FF"/>
    <w:rsid w:val="00CD4628"/>
    <w:rsid w:val="00CD463D"/>
    <w:rsid w:val="00CD47D3"/>
    <w:rsid w:val="00CD486B"/>
    <w:rsid w:val="00CD49D0"/>
    <w:rsid w:val="00CD4A3A"/>
    <w:rsid w:val="00CD4AC8"/>
    <w:rsid w:val="00CD4AF2"/>
    <w:rsid w:val="00CD4BDE"/>
    <w:rsid w:val="00CD4C0D"/>
    <w:rsid w:val="00CD4C83"/>
    <w:rsid w:val="00CD4C9B"/>
    <w:rsid w:val="00CD4D95"/>
    <w:rsid w:val="00CD4E78"/>
    <w:rsid w:val="00CD4FD6"/>
    <w:rsid w:val="00CD4FF6"/>
    <w:rsid w:val="00CD5049"/>
    <w:rsid w:val="00CD50C7"/>
    <w:rsid w:val="00CD50EE"/>
    <w:rsid w:val="00CD5103"/>
    <w:rsid w:val="00CD51CB"/>
    <w:rsid w:val="00CD525F"/>
    <w:rsid w:val="00CD528B"/>
    <w:rsid w:val="00CD529A"/>
    <w:rsid w:val="00CD533A"/>
    <w:rsid w:val="00CD53B1"/>
    <w:rsid w:val="00CD53FC"/>
    <w:rsid w:val="00CD5434"/>
    <w:rsid w:val="00CD559F"/>
    <w:rsid w:val="00CD55DE"/>
    <w:rsid w:val="00CD584A"/>
    <w:rsid w:val="00CD58B5"/>
    <w:rsid w:val="00CD5905"/>
    <w:rsid w:val="00CD5910"/>
    <w:rsid w:val="00CD5A25"/>
    <w:rsid w:val="00CD5AE3"/>
    <w:rsid w:val="00CD5BFA"/>
    <w:rsid w:val="00CD5D66"/>
    <w:rsid w:val="00CD5DA1"/>
    <w:rsid w:val="00CD5DE9"/>
    <w:rsid w:val="00CD5EBC"/>
    <w:rsid w:val="00CD6081"/>
    <w:rsid w:val="00CD6108"/>
    <w:rsid w:val="00CD610C"/>
    <w:rsid w:val="00CD6189"/>
    <w:rsid w:val="00CD6191"/>
    <w:rsid w:val="00CD6332"/>
    <w:rsid w:val="00CD6378"/>
    <w:rsid w:val="00CD63A5"/>
    <w:rsid w:val="00CD6412"/>
    <w:rsid w:val="00CD64D6"/>
    <w:rsid w:val="00CD65DF"/>
    <w:rsid w:val="00CD664F"/>
    <w:rsid w:val="00CD6697"/>
    <w:rsid w:val="00CD6765"/>
    <w:rsid w:val="00CD6922"/>
    <w:rsid w:val="00CD693F"/>
    <w:rsid w:val="00CD6946"/>
    <w:rsid w:val="00CD697F"/>
    <w:rsid w:val="00CD69A1"/>
    <w:rsid w:val="00CD6A6B"/>
    <w:rsid w:val="00CD6A80"/>
    <w:rsid w:val="00CD6B95"/>
    <w:rsid w:val="00CD6D17"/>
    <w:rsid w:val="00CD6EC5"/>
    <w:rsid w:val="00CD6F12"/>
    <w:rsid w:val="00CD6F3F"/>
    <w:rsid w:val="00CD6FED"/>
    <w:rsid w:val="00CD7064"/>
    <w:rsid w:val="00CD7162"/>
    <w:rsid w:val="00CD7226"/>
    <w:rsid w:val="00CD7319"/>
    <w:rsid w:val="00CD7332"/>
    <w:rsid w:val="00CD7371"/>
    <w:rsid w:val="00CD73E2"/>
    <w:rsid w:val="00CD73F6"/>
    <w:rsid w:val="00CD75AA"/>
    <w:rsid w:val="00CD75E4"/>
    <w:rsid w:val="00CD7644"/>
    <w:rsid w:val="00CD7658"/>
    <w:rsid w:val="00CD76AE"/>
    <w:rsid w:val="00CD7850"/>
    <w:rsid w:val="00CD78EA"/>
    <w:rsid w:val="00CD78F2"/>
    <w:rsid w:val="00CD7936"/>
    <w:rsid w:val="00CD7959"/>
    <w:rsid w:val="00CD7A6C"/>
    <w:rsid w:val="00CD7A7E"/>
    <w:rsid w:val="00CD7A91"/>
    <w:rsid w:val="00CD7AB2"/>
    <w:rsid w:val="00CD7BDA"/>
    <w:rsid w:val="00CD7CD6"/>
    <w:rsid w:val="00CD7DE2"/>
    <w:rsid w:val="00CD7E2D"/>
    <w:rsid w:val="00CD7E5C"/>
    <w:rsid w:val="00CE0121"/>
    <w:rsid w:val="00CE017D"/>
    <w:rsid w:val="00CE0194"/>
    <w:rsid w:val="00CE0266"/>
    <w:rsid w:val="00CE02F3"/>
    <w:rsid w:val="00CE030A"/>
    <w:rsid w:val="00CE038F"/>
    <w:rsid w:val="00CE0395"/>
    <w:rsid w:val="00CE03A5"/>
    <w:rsid w:val="00CE03B8"/>
    <w:rsid w:val="00CE0455"/>
    <w:rsid w:val="00CE047D"/>
    <w:rsid w:val="00CE0490"/>
    <w:rsid w:val="00CE04EE"/>
    <w:rsid w:val="00CE055C"/>
    <w:rsid w:val="00CE06A9"/>
    <w:rsid w:val="00CE06C9"/>
    <w:rsid w:val="00CE06E4"/>
    <w:rsid w:val="00CE071B"/>
    <w:rsid w:val="00CE0737"/>
    <w:rsid w:val="00CE07A6"/>
    <w:rsid w:val="00CE08DB"/>
    <w:rsid w:val="00CE08EC"/>
    <w:rsid w:val="00CE090C"/>
    <w:rsid w:val="00CE096F"/>
    <w:rsid w:val="00CE0A8C"/>
    <w:rsid w:val="00CE0AC7"/>
    <w:rsid w:val="00CE0B0E"/>
    <w:rsid w:val="00CE0B19"/>
    <w:rsid w:val="00CE0B75"/>
    <w:rsid w:val="00CE0C00"/>
    <w:rsid w:val="00CE0D3E"/>
    <w:rsid w:val="00CE0E1B"/>
    <w:rsid w:val="00CE0E1F"/>
    <w:rsid w:val="00CE0F2F"/>
    <w:rsid w:val="00CE0F49"/>
    <w:rsid w:val="00CE0F54"/>
    <w:rsid w:val="00CE0F63"/>
    <w:rsid w:val="00CE0F92"/>
    <w:rsid w:val="00CE0F9B"/>
    <w:rsid w:val="00CE106E"/>
    <w:rsid w:val="00CE10B5"/>
    <w:rsid w:val="00CE10E8"/>
    <w:rsid w:val="00CE129A"/>
    <w:rsid w:val="00CE12C2"/>
    <w:rsid w:val="00CE1380"/>
    <w:rsid w:val="00CE138E"/>
    <w:rsid w:val="00CE13B2"/>
    <w:rsid w:val="00CE13BB"/>
    <w:rsid w:val="00CE13C3"/>
    <w:rsid w:val="00CE13E0"/>
    <w:rsid w:val="00CE1454"/>
    <w:rsid w:val="00CE1463"/>
    <w:rsid w:val="00CE1477"/>
    <w:rsid w:val="00CE14C3"/>
    <w:rsid w:val="00CE1529"/>
    <w:rsid w:val="00CE1594"/>
    <w:rsid w:val="00CE15A8"/>
    <w:rsid w:val="00CE15B2"/>
    <w:rsid w:val="00CE15B5"/>
    <w:rsid w:val="00CE162B"/>
    <w:rsid w:val="00CE1679"/>
    <w:rsid w:val="00CE16F5"/>
    <w:rsid w:val="00CE1815"/>
    <w:rsid w:val="00CE1832"/>
    <w:rsid w:val="00CE1881"/>
    <w:rsid w:val="00CE1942"/>
    <w:rsid w:val="00CE1968"/>
    <w:rsid w:val="00CE1999"/>
    <w:rsid w:val="00CE1BF2"/>
    <w:rsid w:val="00CE1CC6"/>
    <w:rsid w:val="00CE1D08"/>
    <w:rsid w:val="00CE1D0C"/>
    <w:rsid w:val="00CE1E5B"/>
    <w:rsid w:val="00CE1F39"/>
    <w:rsid w:val="00CE1FF0"/>
    <w:rsid w:val="00CE2011"/>
    <w:rsid w:val="00CE2031"/>
    <w:rsid w:val="00CE206F"/>
    <w:rsid w:val="00CE207C"/>
    <w:rsid w:val="00CE20CC"/>
    <w:rsid w:val="00CE20FF"/>
    <w:rsid w:val="00CE22EB"/>
    <w:rsid w:val="00CE2302"/>
    <w:rsid w:val="00CE23A7"/>
    <w:rsid w:val="00CE23AF"/>
    <w:rsid w:val="00CE263E"/>
    <w:rsid w:val="00CE26F4"/>
    <w:rsid w:val="00CE2702"/>
    <w:rsid w:val="00CE29F9"/>
    <w:rsid w:val="00CE2ABA"/>
    <w:rsid w:val="00CE2B57"/>
    <w:rsid w:val="00CE2B71"/>
    <w:rsid w:val="00CE2C3B"/>
    <w:rsid w:val="00CE2CB2"/>
    <w:rsid w:val="00CE2CD3"/>
    <w:rsid w:val="00CE2CEB"/>
    <w:rsid w:val="00CE2DF8"/>
    <w:rsid w:val="00CE2E20"/>
    <w:rsid w:val="00CE30E6"/>
    <w:rsid w:val="00CE30F6"/>
    <w:rsid w:val="00CE3108"/>
    <w:rsid w:val="00CE3169"/>
    <w:rsid w:val="00CE319E"/>
    <w:rsid w:val="00CE31DE"/>
    <w:rsid w:val="00CE33B8"/>
    <w:rsid w:val="00CE3424"/>
    <w:rsid w:val="00CE3454"/>
    <w:rsid w:val="00CE3491"/>
    <w:rsid w:val="00CE34BB"/>
    <w:rsid w:val="00CE34CC"/>
    <w:rsid w:val="00CE34D4"/>
    <w:rsid w:val="00CE3574"/>
    <w:rsid w:val="00CE362C"/>
    <w:rsid w:val="00CE365F"/>
    <w:rsid w:val="00CE36F1"/>
    <w:rsid w:val="00CE37C4"/>
    <w:rsid w:val="00CE383D"/>
    <w:rsid w:val="00CE3889"/>
    <w:rsid w:val="00CE38BD"/>
    <w:rsid w:val="00CE38DA"/>
    <w:rsid w:val="00CE38F6"/>
    <w:rsid w:val="00CE3926"/>
    <w:rsid w:val="00CE3940"/>
    <w:rsid w:val="00CE39DD"/>
    <w:rsid w:val="00CE3A4F"/>
    <w:rsid w:val="00CE3BE1"/>
    <w:rsid w:val="00CE3CA5"/>
    <w:rsid w:val="00CE3D3C"/>
    <w:rsid w:val="00CE3D8D"/>
    <w:rsid w:val="00CE3DD6"/>
    <w:rsid w:val="00CE3E11"/>
    <w:rsid w:val="00CE3E13"/>
    <w:rsid w:val="00CE3E1D"/>
    <w:rsid w:val="00CE3E6D"/>
    <w:rsid w:val="00CE3EA1"/>
    <w:rsid w:val="00CE3FCB"/>
    <w:rsid w:val="00CE421B"/>
    <w:rsid w:val="00CE4240"/>
    <w:rsid w:val="00CE4290"/>
    <w:rsid w:val="00CE42F9"/>
    <w:rsid w:val="00CE4363"/>
    <w:rsid w:val="00CE43F6"/>
    <w:rsid w:val="00CE4579"/>
    <w:rsid w:val="00CE45C4"/>
    <w:rsid w:val="00CE4649"/>
    <w:rsid w:val="00CE46DF"/>
    <w:rsid w:val="00CE477D"/>
    <w:rsid w:val="00CE4830"/>
    <w:rsid w:val="00CE48BB"/>
    <w:rsid w:val="00CE48E9"/>
    <w:rsid w:val="00CE4927"/>
    <w:rsid w:val="00CE49C3"/>
    <w:rsid w:val="00CE49CC"/>
    <w:rsid w:val="00CE4A77"/>
    <w:rsid w:val="00CE4A88"/>
    <w:rsid w:val="00CE4AFB"/>
    <w:rsid w:val="00CE4B12"/>
    <w:rsid w:val="00CE4C65"/>
    <w:rsid w:val="00CE4CD8"/>
    <w:rsid w:val="00CE4D0D"/>
    <w:rsid w:val="00CE4D45"/>
    <w:rsid w:val="00CE4D51"/>
    <w:rsid w:val="00CE4DDA"/>
    <w:rsid w:val="00CE4DF0"/>
    <w:rsid w:val="00CE4DF8"/>
    <w:rsid w:val="00CE4E4D"/>
    <w:rsid w:val="00CE4E74"/>
    <w:rsid w:val="00CE4E77"/>
    <w:rsid w:val="00CE4FBD"/>
    <w:rsid w:val="00CE4FFE"/>
    <w:rsid w:val="00CE5011"/>
    <w:rsid w:val="00CE50D2"/>
    <w:rsid w:val="00CE50E2"/>
    <w:rsid w:val="00CE50FB"/>
    <w:rsid w:val="00CE5104"/>
    <w:rsid w:val="00CE5180"/>
    <w:rsid w:val="00CE51F6"/>
    <w:rsid w:val="00CE5214"/>
    <w:rsid w:val="00CE5279"/>
    <w:rsid w:val="00CE5294"/>
    <w:rsid w:val="00CE5468"/>
    <w:rsid w:val="00CE5520"/>
    <w:rsid w:val="00CE555A"/>
    <w:rsid w:val="00CE55C8"/>
    <w:rsid w:val="00CE5678"/>
    <w:rsid w:val="00CE56C5"/>
    <w:rsid w:val="00CE578E"/>
    <w:rsid w:val="00CE5AFA"/>
    <w:rsid w:val="00CE5B22"/>
    <w:rsid w:val="00CE5B25"/>
    <w:rsid w:val="00CE5B99"/>
    <w:rsid w:val="00CE5BFB"/>
    <w:rsid w:val="00CE5C1D"/>
    <w:rsid w:val="00CE5C23"/>
    <w:rsid w:val="00CE5C69"/>
    <w:rsid w:val="00CE5D36"/>
    <w:rsid w:val="00CE5E61"/>
    <w:rsid w:val="00CE5E8A"/>
    <w:rsid w:val="00CE5F1D"/>
    <w:rsid w:val="00CE5F56"/>
    <w:rsid w:val="00CE5FEC"/>
    <w:rsid w:val="00CE60D1"/>
    <w:rsid w:val="00CE6237"/>
    <w:rsid w:val="00CE625F"/>
    <w:rsid w:val="00CE6309"/>
    <w:rsid w:val="00CE649C"/>
    <w:rsid w:val="00CE64C1"/>
    <w:rsid w:val="00CE6588"/>
    <w:rsid w:val="00CE6602"/>
    <w:rsid w:val="00CE6668"/>
    <w:rsid w:val="00CE666B"/>
    <w:rsid w:val="00CE66FC"/>
    <w:rsid w:val="00CE6782"/>
    <w:rsid w:val="00CE6855"/>
    <w:rsid w:val="00CE68A2"/>
    <w:rsid w:val="00CE6933"/>
    <w:rsid w:val="00CE696F"/>
    <w:rsid w:val="00CE69C3"/>
    <w:rsid w:val="00CE6A54"/>
    <w:rsid w:val="00CE6D8A"/>
    <w:rsid w:val="00CE6DD9"/>
    <w:rsid w:val="00CE6DF3"/>
    <w:rsid w:val="00CE6E18"/>
    <w:rsid w:val="00CE6F25"/>
    <w:rsid w:val="00CE6F28"/>
    <w:rsid w:val="00CE6F7D"/>
    <w:rsid w:val="00CE6FFD"/>
    <w:rsid w:val="00CE7021"/>
    <w:rsid w:val="00CE7029"/>
    <w:rsid w:val="00CE7085"/>
    <w:rsid w:val="00CE7100"/>
    <w:rsid w:val="00CE7103"/>
    <w:rsid w:val="00CE7203"/>
    <w:rsid w:val="00CE732E"/>
    <w:rsid w:val="00CE74EB"/>
    <w:rsid w:val="00CE74F5"/>
    <w:rsid w:val="00CE755B"/>
    <w:rsid w:val="00CE75E0"/>
    <w:rsid w:val="00CE772C"/>
    <w:rsid w:val="00CE7732"/>
    <w:rsid w:val="00CE77BD"/>
    <w:rsid w:val="00CE77F3"/>
    <w:rsid w:val="00CE79BB"/>
    <w:rsid w:val="00CE7A4C"/>
    <w:rsid w:val="00CE7A66"/>
    <w:rsid w:val="00CE7B6E"/>
    <w:rsid w:val="00CE7CD7"/>
    <w:rsid w:val="00CE7D00"/>
    <w:rsid w:val="00CE7D57"/>
    <w:rsid w:val="00CE7DB1"/>
    <w:rsid w:val="00CE7DE6"/>
    <w:rsid w:val="00CE7EC5"/>
    <w:rsid w:val="00CE7F6C"/>
    <w:rsid w:val="00CF00D2"/>
    <w:rsid w:val="00CF0197"/>
    <w:rsid w:val="00CF01A1"/>
    <w:rsid w:val="00CF020A"/>
    <w:rsid w:val="00CF020C"/>
    <w:rsid w:val="00CF021A"/>
    <w:rsid w:val="00CF0230"/>
    <w:rsid w:val="00CF0257"/>
    <w:rsid w:val="00CF0475"/>
    <w:rsid w:val="00CF04F4"/>
    <w:rsid w:val="00CF06AF"/>
    <w:rsid w:val="00CF06C6"/>
    <w:rsid w:val="00CF0737"/>
    <w:rsid w:val="00CF073F"/>
    <w:rsid w:val="00CF0808"/>
    <w:rsid w:val="00CF0825"/>
    <w:rsid w:val="00CF085D"/>
    <w:rsid w:val="00CF0863"/>
    <w:rsid w:val="00CF08AE"/>
    <w:rsid w:val="00CF08C5"/>
    <w:rsid w:val="00CF08E8"/>
    <w:rsid w:val="00CF0A32"/>
    <w:rsid w:val="00CF0BBE"/>
    <w:rsid w:val="00CF0C44"/>
    <w:rsid w:val="00CF0C91"/>
    <w:rsid w:val="00CF0D5E"/>
    <w:rsid w:val="00CF0DFF"/>
    <w:rsid w:val="00CF0E03"/>
    <w:rsid w:val="00CF0E98"/>
    <w:rsid w:val="00CF0E9B"/>
    <w:rsid w:val="00CF0FC5"/>
    <w:rsid w:val="00CF0FCD"/>
    <w:rsid w:val="00CF0FF1"/>
    <w:rsid w:val="00CF1079"/>
    <w:rsid w:val="00CF10AF"/>
    <w:rsid w:val="00CF10D5"/>
    <w:rsid w:val="00CF10E1"/>
    <w:rsid w:val="00CF1217"/>
    <w:rsid w:val="00CF12D5"/>
    <w:rsid w:val="00CF13FB"/>
    <w:rsid w:val="00CF14CF"/>
    <w:rsid w:val="00CF1541"/>
    <w:rsid w:val="00CF1685"/>
    <w:rsid w:val="00CF168A"/>
    <w:rsid w:val="00CF172E"/>
    <w:rsid w:val="00CF1741"/>
    <w:rsid w:val="00CF180A"/>
    <w:rsid w:val="00CF1831"/>
    <w:rsid w:val="00CF18C3"/>
    <w:rsid w:val="00CF18F7"/>
    <w:rsid w:val="00CF1988"/>
    <w:rsid w:val="00CF1B27"/>
    <w:rsid w:val="00CF1B5C"/>
    <w:rsid w:val="00CF1B73"/>
    <w:rsid w:val="00CF1B91"/>
    <w:rsid w:val="00CF1B9A"/>
    <w:rsid w:val="00CF1C16"/>
    <w:rsid w:val="00CF1D80"/>
    <w:rsid w:val="00CF1DA6"/>
    <w:rsid w:val="00CF1E53"/>
    <w:rsid w:val="00CF1F05"/>
    <w:rsid w:val="00CF1F5A"/>
    <w:rsid w:val="00CF1F74"/>
    <w:rsid w:val="00CF1F82"/>
    <w:rsid w:val="00CF21F9"/>
    <w:rsid w:val="00CF227E"/>
    <w:rsid w:val="00CF22B1"/>
    <w:rsid w:val="00CF22CB"/>
    <w:rsid w:val="00CF230E"/>
    <w:rsid w:val="00CF234F"/>
    <w:rsid w:val="00CF23BA"/>
    <w:rsid w:val="00CF25B3"/>
    <w:rsid w:val="00CF25D2"/>
    <w:rsid w:val="00CF25EE"/>
    <w:rsid w:val="00CF267A"/>
    <w:rsid w:val="00CF26FF"/>
    <w:rsid w:val="00CF2794"/>
    <w:rsid w:val="00CF2857"/>
    <w:rsid w:val="00CF291E"/>
    <w:rsid w:val="00CF2986"/>
    <w:rsid w:val="00CF29C4"/>
    <w:rsid w:val="00CF2A02"/>
    <w:rsid w:val="00CF2C5B"/>
    <w:rsid w:val="00CF2C74"/>
    <w:rsid w:val="00CF2CB6"/>
    <w:rsid w:val="00CF2ED7"/>
    <w:rsid w:val="00CF2EE0"/>
    <w:rsid w:val="00CF2FF5"/>
    <w:rsid w:val="00CF300A"/>
    <w:rsid w:val="00CF3032"/>
    <w:rsid w:val="00CF31E8"/>
    <w:rsid w:val="00CF320B"/>
    <w:rsid w:val="00CF3244"/>
    <w:rsid w:val="00CF3289"/>
    <w:rsid w:val="00CF3325"/>
    <w:rsid w:val="00CF33C2"/>
    <w:rsid w:val="00CF33CB"/>
    <w:rsid w:val="00CF346E"/>
    <w:rsid w:val="00CF34E9"/>
    <w:rsid w:val="00CF3576"/>
    <w:rsid w:val="00CF35CF"/>
    <w:rsid w:val="00CF3633"/>
    <w:rsid w:val="00CF373F"/>
    <w:rsid w:val="00CF378D"/>
    <w:rsid w:val="00CF392E"/>
    <w:rsid w:val="00CF3A21"/>
    <w:rsid w:val="00CF3A51"/>
    <w:rsid w:val="00CF3ADC"/>
    <w:rsid w:val="00CF3B6A"/>
    <w:rsid w:val="00CF3BD7"/>
    <w:rsid w:val="00CF3CDA"/>
    <w:rsid w:val="00CF3D1E"/>
    <w:rsid w:val="00CF3D33"/>
    <w:rsid w:val="00CF3DBA"/>
    <w:rsid w:val="00CF3DD5"/>
    <w:rsid w:val="00CF3E65"/>
    <w:rsid w:val="00CF3E66"/>
    <w:rsid w:val="00CF3EA8"/>
    <w:rsid w:val="00CF3EE2"/>
    <w:rsid w:val="00CF3F46"/>
    <w:rsid w:val="00CF406B"/>
    <w:rsid w:val="00CF41E1"/>
    <w:rsid w:val="00CF41E6"/>
    <w:rsid w:val="00CF4246"/>
    <w:rsid w:val="00CF42C4"/>
    <w:rsid w:val="00CF42D4"/>
    <w:rsid w:val="00CF43BA"/>
    <w:rsid w:val="00CF4478"/>
    <w:rsid w:val="00CF44E7"/>
    <w:rsid w:val="00CF45AA"/>
    <w:rsid w:val="00CF45B2"/>
    <w:rsid w:val="00CF463D"/>
    <w:rsid w:val="00CF46B4"/>
    <w:rsid w:val="00CF46CC"/>
    <w:rsid w:val="00CF4774"/>
    <w:rsid w:val="00CF47C7"/>
    <w:rsid w:val="00CF4972"/>
    <w:rsid w:val="00CF4974"/>
    <w:rsid w:val="00CF4998"/>
    <w:rsid w:val="00CF49C5"/>
    <w:rsid w:val="00CF4A99"/>
    <w:rsid w:val="00CF4BDE"/>
    <w:rsid w:val="00CF4BDF"/>
    <w:rsid w:val="00CF4C46"/>
    <w:rsid w:val="00CF4C49"/>
    <w:rsid w:val="00CF4C5D"/>
    <w:rsid w:val="00CF4C73"/>
    <w:rsid w:val="00CF4C92"/>
    <w:rsid w:val="00CF4CFE"/>
    <w:rsid w:val="00CF4D49"/>
    <w:rsid w:val="00CF4D66"/>
    <w:rsid w:val="00CF4D91"/>
    <w:rsid w:val="00CF4DC3"/>
    <w:rsid w:val="00CF4EB3"/>
    <w:rsid w:val="00CF4ECE"/>
    <w:rsid w:val="00CF4F93"/>
    <w:rsid w:val="00CF4FB6"/>
    <w:rsid w:val="00CF5004"/>
    <w:rsid w:val="00CF5097"/>
    <w:rsid w:val="00CF53C9"/>
    <w:rsid w:val="00CF53E4"/>
    <w:rsid w:val="00CF53E7"/>
    <w:rsid w:val="00CF5420"/>
    <w:rsid w:val="00CF545F"/>
    <w:rsid w:val="00CF5469"/>
    <w:rsid w:val="00CF55FD"/>
    <w:rsid w:val="00CF56C0"/>
    <w:rsid w:val="00CF57F3"/>
    <w:rsid w:val="00CF5818"/>
    <w:rsid w:val="00CF58C0"/>
    <w:rsid w:val="00CF591D"/>
    <w:rsid w:val="00CF5959"/>
    <w:rsid w:val="00CF5A08"/>
    <w:rsid w:val="00CF5B88"/>
    <w:rsid w:val="00CF5C85"/>
    <w:rsid w:val="00CF5D2D"/>
    <w:rsid w:val="00CF5D99"/>
    <w:rsid w:val="00CF5DBA"/>
    <w:rsid w:val="00CF5E2B"/>
    <w:rsid w:val="00CF5E62"/>
    <w:rsid w:val="00CF5EE7"/>
    <w:rsid w:val="00CF5F71"/>
    <w:rsid w:val="00CF607D"/>
    <w:rsid w:val="00CF6084"/>
    <w:rsid w:val="00CF60D3"/>
    <w:rsid w:val="00CF6228"/>
    <w:rsid w:val="00CF6330"/>
    <w:rsid w:val="00CF6519"/>
    <w:rsid w:val="00CF6547"/>
    <w:rsid w:val="00CF655B"/>
    <w:rsid w:val="00CF65F9"/>
    <w:rsid w:val="00CF66F0"/>
    <w:rsid w:val="00CF67E6"/>
    <w:rsid w:val="00CF6815"/>
    <w:rsid w:val="00CF686A"/>
    <w:rsid w:val="00CF6878"/>
    <w:rsid w:val="00CF68B8"/>
    <w:rsid w:val="00CF6900"/>
    <w:rsid w:val="00CF6948"/>
    <w:rsid w:val="00CF695F"/>
    <w:rsid w:val="00CF6B2A"/>
    <w:rsid w:val="00CF6B98"/>
    <w:rsid w:val="00CF6BA1"/>
    <w:rsid w:val="00CF6BE7"/>
    <w:rsid w:val="00CF6C47"/>
    <w:rsid w:val="00CF6D23"/>
    <w:rsid w:val="00CF6E82"/>
    <w:rsid w:val="00CF6E87"/>
    <w:rsid w:val="00CF6EB8"/>
    <w:rsid w:val="00CF6EFB"/>
    <w:rsid w:val="00CF6F07"/>
    <w:rsid w:val="00CF706F"/>
    <w:rsid w:val="00CF70C4"/>
    <w:rsid w:val="00CF714E"/>
    <w:rsid w:val="00CF7271"/>
    <w:rsid w:val="00CF72BF"/>
    <w:rsid w:val="00CF734C"/>
    <w:rsid w:val="00CF7409"/>
    <w:rsid w:val="00CF7427"/>
    <w:rsid w:val="00CF742E"/>
    <w:rsid w:val="00CF7439"/>
    <w:rsid w:val="00CF748E"/>
    <w:rsid w:val="00CF74B4"/>
    <w:rsid w:val="00CF7540"/>
    <w:rsid w:val="00CF76FB"/>
    <w:rsid w:val="00CF7729"/>
    <w:rsid w:val="00CF7763"/>
    <w:rsid w:val="00CF78B8"/>
    <w:rsid w:val="00CF7A11"/>
    <w:rsid w:val="00CF7A1A"/>
    <w:rsid w:val="00CF7A24"/>
    <w:rsid w:val="00CF7AD6"/>
    <w:rsid w:val="00CF7AE3"/>
    <w:rsid w:val="00CF7BAC"/>
    <w:rsid w:val="00CF7CD8"/>
    <w:rsid w:val="00CF7D79"/>
    <w:rsid w:val="00CF7E48"/>
    <w:rsid w:val="00CF7E53"/>
    <w:rsid w:val="00CF7E71"/>
    <w:rsid w:val="00CF7F44"/>
    <w:rsid w:val="00D00027"/>
    <w:rsid w:val="00D00043"/>
    <w:rsid w:val="00D0005D"/>
    <w:rsid w:val="00D000A2"/>
    <w:rsid w:val="00D001CA"/>
    <w:rsid w:val="00D00257"/>
    <w:rsid w:val="00D0026B"/>
    <w:rsid w:val="00D00378"/>
    <w:rsid w:val="00D003B0"/>
    <w:rsid w:val="00D004F1"/>
    <w:rsid w:val="00D0053C"/>
    <w:rsid w:val="00D0061F"/>
    <w:rsid w:val="00D00632"/>
    <w:rsid w:val="00D00683"/>
    <w:rsid w:val="00D00765"/>
    <w:rsid w:val="00D007C0"/>
    <w:rsid w:val="00D008FB"/>
    <w:rsid w:val="00D00917"/>
    <w:rsid w:val="00D009AC"/>
    <w:rsid w:val="00D009EE"/>
    <w:rsid w:val="00D00A8C"/>
    <w:rsid w:val="00D00AAB"/>
    <w:rsid w:val="00D00B04"/>
    <w:rsid w:val="00D00B2A"/>
    <w:rsid w:val="00D00BCC"/>
    <w:rsid w:val="00D00BFF"/>
    <w:rsid w:val="00D00CBA"/>
    <w:rsid w:val="00D00D06"/>
    <w:rsid w:val="00D00D20"/>
    <w:rsid w:val="00D00D29"/>
    <w:rsid w:val="00D00D89"/>
    <w:rsid w:val="00D00DB3"/>
    <w:rsid w:val="00D00DDC"/>
    <w:rsid w:val="00D00E3E"/>
    <w:rsid w:val="00D00EAF"/>
    <w:rsid w:val="00D00EB3"/>
    <w:rsid w:val="00D00F29"/>
    <w:rsid w:val="00D00FEB"/>
    <w:rsid w:val="00D010A1"/>
    <w:rsid w:val="00D011FD"/>
    <w:rsid w:val="00D01233"/>
    <w:rsid w:val="00D012EE"/>
    <w:rsid w:val="00D013B3"/>
    <w:rsid w:val="00D015DB"/>
    <w:rsid w:val="00D0162B"/>
    <w:rsid w:val="00D01640"/>
    <w:rsid w:val="00D0167F"/>
    <w:rsid w:val="00D01756"/>
    <w:rsid w:val="00D01771"/>
    <w:rsid w:val="00D01782"/>
    <w:rsid w:val="00D01796"/>
    <w:rsid w:val="00D01813"/>
    <w:rsid w:val="00D01945"/>
    <w:rsid w:val="00D019C5"/>
    <w:rsid w:val="00D019CF"/>
    <w:rsid w:val="00D01A5E"/>
    <w:rsid w:val="00D01BB5"/>
    <w:rsid w:val="00D01C74"/>
    <w:rsid w:val="00D01CDA"/>
    <w:rsid w:val="00D01DA2"/>
    <w:rsid w:val="00D01EC3"/>
    <w:rsid w:val="00D01ECE"/>
    <w:rsid w:val="00D01EDF"/>
    <w:rsid w:val="00D01FF6"/>
    <w:rsid w:val="00D0200B"/>
    <w:rsid w:val="00D0209E"/>
    <w:rsid w:val="00D02131"/>
    <w:rsid w:val="00D0219A"/>
    <w:rsid w:val="00D021D9"/>
    <w:rsid w:val="00D02271"/>
    <w:rsid w:val="00D023EB"/>
    <w:rsid w:val="00D02709"/>
    <w:rsid w:val="00D02819"/>
    <w:rsid w:val="00D0284C"/>
    <w:rsid w:val="00D0285C"/>
    <w:rsid w:val="00D02865"/>
    <w:rsid w:val="00D028DD"/>
    <w:rsid w:val="00D02985"/>
    <w:rsid w:val="00D02A91"/>
    <w:rsid w:val="00D02AA5"/>
    <w:rsid w:val="00D02B82"/>
    <w:rsid w:val="00D02BA2"/>
    <w:rsid w:val="00D02BF3"/>
    <w:rsid w:val="00D02C1F"/>
    <w:rsid w:val="00D02C4C"/>
    <w:rsid w:val="00D02DDF"/>
    <w:rsid w:val="00D02E6E"/>
    <w:rsid w:val="00D02E73"/>
    <w:rsid w:val="00D02E8F"/>
    <w:rsid w:val="00D02F0C"/>
    <w:rsid w:val="00D02F11"/>
    <w:rsid w:val="00D02F63"/>
    <w:rsid w:val="00D02FC0"/>
    <w:rsid w:val="00D0310C"/>
    <w:rsid w:val="00D031BA"/>
    <w:rsid w:val="00D0329E"/>
    <w:rsid w:val="00D033BE"/>
    <w:rsid w:val="00D033D3"/>
    <w:rsid w:val="00D033DE"/>
    <w:rsid w:val="00D034B8"/>
    <w:rsid w:val="00D03517"/>
    <w:rsid w:val="00D03525"/>
    <w:rsid w:val="00D03570"/>
    <w:rsid w:val="00D0375E"/>
    <w:rsid w:val="00D03792"/>
    <w:rsid w:val="00D0379E"/>
    <w:rsid w:val="00D03884"/>
    <w:rsid w:val="00D0390E"/>
    <w:rsid w:val="00D0395B"/>
    <w:rsid w:val="00D03A58"/>
    <w:rsid w:val="00D03AA5"/>
    <w:rsid w:val="00D03B62"/>
    <w:rsid w:val="00D03B69"/>
    <w:rsid w:val="00D03B93"/>
    <w:rsid w:val="00D03BFE"/>
    <w:rsid w:val="00D03C6A"/>
    <w:rsid w:val="00D03CAC"/>
    <w:rsid w:val="00D03DF2"/>
    <w:rsid w:val="00D03EC0"/>
    <w:rsid w:val="00D03ED0"/>
    <w:rsid w:val="00D03F1E"/>
    <w:rsid w:val="00D03FF3"/>
    <w:rsid w:val="00D040AD"/>
    <w:rsid w:val="00D0413C"/>
    <w:rsid w:val="00D04167"/>
    <w:rsid w:val="00D04185"/>
    <w:rsid w:val="00D04224"/>
    <w:rsid w:val="00D042E6"/>
    <w:rsid w:val="00D0435F"/>
    <w:rsid w:val="00D0437A"/>
    <w:rsid w:val="00D043C6"/>
    <w:rsid w:val="00D043E7"/>
    <w:rsid w:val="00D04446"/>
    <w:rsid w:val="00D04465"/>
    <w:rsid w:val="00D04481"/>
    <w:rsid w:val="00D044D9"/>
    <w:rsid w:val="00D0450A"/>
    <w:rsid w:val="00D04586"/>
    <w:rsid w:val="00D045DA"/>
    <w:rsid w:val="00D045E6"/>
    <w:rsid w:val="00D045FD"/>
    <w:rsid w:val="00D04638"/>
    <w:rsid w:val="00D0464D"/>
    <w:rsid w:val="00D04670"/>
    <w:rsid w:val="00D0468E"/>
    <w:rsid w:val="00D047EB"/>
    <w:rsid w:val="00D0481A"/>
    <w:rsid w:val="00D04833"/>
    <w:rsid w:val="00D0483A"/>
    <w:rsid w:val="00D04952"/>
    <w:rsid w:val="00D04A3C"/>
    <w:rsid w:val="00D04A81"/>
    <w:rsid w:val="00D04BDC"/>
    <w:rsid w:val="00D04CF3"/>
    <w:rsid w:val="00D04D87"/>
    <w:rsid w:val="00D04E94"/>
    <w:rsid w:val="00D04EAB"/>
    <w:rsid w:val="00D04F0F"/>
    <w:rsid w:val="00D04F93"/>
    <w:rsid w:val="00D050D6"/>
    <w:rsid w:val="00D05159"/>
    <w:rsid w:val="00D05160"/>
    <w:rsid w:val="00D051A6"/>
    <w:rsid w:val="00D05209"/>
    <w:rsid w:val="00D0522D"/>
    <w:rsid w:val="00D0528D"/>
    <w:rsid w:val="00D052BD"/>
    <w:rsid w:val="00D05302"/>
    <w:rsid w:val="00D0531D"/>
    <w:rsid w:val="00D05328"/>
    <w:rsid w:val="00D0549B"/>
    <w:rsid w:val="00D05534"/>
    <w:rsid w:val="00D0564B"/>
    <w:rsid w:val="00D05720"/>
    <w:rsid w:val="00D05797"/>
    <w:rsid w:val="00D0581B"/>
    <w:rsid w:val="00D05847"/>
    <w:rsid w:val="00D05892"/>
    <w:rsid w:val="00D058F7"/>
    <w:rsid w:val="00D05970"/>
    <w:rsid w:val="00D059EA"/>
    <w:rsid w:val="00D059F1"/>
    <w:rsid w:val="00D059F3"/>
    <w:rsid w:val="00D05AF7"/>
    <w:rsid w:val="00D05B41"/>
    <w:rsid w:val="00D05B4F"/>
    <w:rsid w:val="00D05B98"/>
    <w:rsid w:val="00D05BEE"/>
    <w:rsid w:val="00D05C25"/>
    <w:rsid w:val="00D05C2C"/>
    <w:rsid w:val="00D05C45"/>
    <w:rsid w:val="00D05DC2"/>
    <w:rsid w:val="00D05E44"/>
    <w:rsid w:val="00D05F37"/>
    <w:rsid w:val="00D06011"/>
    <w:rsid w:val="00D0613B"/>
    <w:rsid w:val="00D06173"/>
    <w:rsid w:val="00D0627B"/>
    <w:rsid w:val="00D062DF"/>
    <w:rsid w:val="00D063A2"/>
    <w:rsid w:val="00D063AB"/>
    <w:rsid w:val="00D063C4"/>
    <w:rsid w:val="00D063E9"/>
    <w:rsid w:val="00D0643A"/>
    <w:rsid w:val="00D06496"/>
    <w:rsid w:val="00D064C6"/>
    <w:rsid w:val="00D065D9"/>
    <w:rsid w:val="00D066D1"/>
    <w:rsid w:val="00D06760"/>
    <w:rsid w:val="00D067A9"/>
    <w:rsid w:val="00D067D8"/>
    <w:rsid w:val="00D06851"/>
    <w:rsid w:val="00D0685E"/>
    <w:rsid w:val="00D06868"/>
    <w:rsid w:val="00D0689A"/>
    <w:rsid w:val="00D068A5"/>
    <w:rsid w:val="00D06B18"/>
    <w:rsid w:val="00D06B63"/>
    <w:rsid w:val="00D06BAA"/>
    <w:rsid w:val="00D06C7D"/>
    <w:rsid w:val="00D06CFF"/>
    <w:rsid w:val="00D06DCA"/>
    <w:rsid w:val="00D06E64"/>
    <w:rsid w:val="00D06E86"/>
    <w:rsid w:val="00D06EDA"/>
    <w:rsid w:val="00D06F73"/>
    <w:rsid w:val="00D06FDB"/>
    <w:rsid w:val="00D07006"/>
    <w:rsid w:val="00D0701C"/>
    <w:rsid w:val="00D070DD"/>
    <w:rsid w:val="00D070DF"/>
    <w:rsid w:val="00D07249"/>
    <w:rsid w:val="00D0732E"/>
    <w:rsid w:val="00D07442"/>
    <w:rsid w:val="00D0747A"/>
    <w:rsid w:val="00D074F2"/>
    <w:rsid w:val="00D07548"/>
    <w:rsid w:val="00D07579"/>
    <w:rsid w:val="00D07695"/>
    <w:rsid w:val="00D07717"/>
    <w:rsid w:val="00D0778E"/>
    <w:rsid w:val="00D077B0"/>
    <w:rsid w:val="00D077D7"/>
    <w:rsid w:val="00D07806"/>
    <w:rsid w:val="00D07A35"/>
    <w:rsid w:val="00D07A8F"/>
    <w:rsid w:val="00D07AAD"/>
    <w:rsid w:val="00D07AB2"/>
    <w:rsid w:val="00D07B73"/>
    <w:rsid w:val="00D07B75"/>
    <w:rsid w:val="00D07BAA"/>
    <w:rsid w:val="00D07BD9"/>
    <w:rsid w:val="00D07BFD"/>
    <w:rsid w:val="00D07C1B"/>
    <w:rsid w:val="00D07D70"/>
    <w:rsid w:val="00D07DEF"/>
    <w:rsid w:val="00D07E47"/>
    <w:rsid w:val="00D07E5B"/>
    <w:rsid w:val="00D07EE4"/>
    <w:rsid w:val="00D07EF8"/>
    <w:rsid w:val="00D07F5D"/>
    <w:rsid w:val="00D1000E"/>
    <w:rsid w:val="00D100DB"/>
    <w:rsid w:val="00D100DC"/>
    <w:rsid w:val="00D100E4"/>
    <w:rsid w:val="00D10162"/>
    <w:rsid w:val="00D10176"/>
    <w:rsid w:val="00D10208"/>
    <w:rsid w:val="00D10368"/>
    <w:rsid w:val="00D103C8"/>
    <w:rsid w:val="00D103F9"/>
    <w:rsid w:val="00D1043C"/>
    <w:rsid w:val="00D10465"/>
    <w:rsid w:val="00D104D7"/>
    <w:rsid w:val="00D10569"/>
    <w:rsid w:val="00D105FE"/>
    <w:rsid w:val="00D106D1"/>
    <w:rsid w:val="00D107C4"/>
    <w:rsid w:val="00D109BE"/>
    <w:rsid w:val="00D109F2"/>
    <w:rsid w:val="00D10A5D"/>
    <w:rsid w:val="00D10A6D"/>
    <w:rsid w:val="00D10AC8"/>
    <w:rsid w:val="00D10AE3"/>
    <w:rsid w:val="00D10AFC"/>
    <w:rsid w:val="00D10CCF"/>
    <w:rsid w:val="00D10D6D"/>
    <w:rsid w:val="00D10DA2"/>
    <w:rsid w:val="00D10E75"/>
    <w:rsid w:val="00D10F14"/>
    <w:rsid w:val="00D10F2C"/>
    <w:rsid w:val="00D10F33"/>
    <w:rsid w:val="00D11022"/>
    <w:rsid w:val="00D1105E"/>
    <w:rsid w:val="00D110FC"/>
    <w:rsid w:val="00D11117"/>
    <w:rsid w:val="00D11200"/>
    <w:rsid w:val="00D1124B"/>
    <w:rsid w:val="00D112DA"/>
    <w:rsid w:val="00D11364"/>
    <w:rsid w:val="00D114A0"/>
    <w:rsid w:val="00D114DB"/>
    <w:rsid w:val="00D1155C"/>
    <w:rsid w:val="00D1159E"/>
    <w:rsid w:val="00D115FB"/>
    <w:rsid w:val="00D1163C"/>
    <w:rsid w:val="00D11697"/>
    <w:rsid w:val="00D1176E"/>
    <w:rsid w:val="00D117DE"/>
    <w:rsid w:val="00D11832"/>
    <w:rsid w:val="00D1185F"/>
    <w:rsid w:val="00D118BE"/>
    <w:rsid w:val="00D118E6"/>
    <w:rsid w:val="00D11A35"/>
    <w:rsid w:val="00D11A40"/>
    <w:rsid w:val="00D11B56"/>
    <w:rsid w:val="00D11C8F"/>
    <w:rsid w:val="00D11D27"/>
    <w:rsid w:val="00D11E37"/>
    <w:rsid w:val="00D11EB6"/>
    <w:rsid w:val="00D11EBF"/>
    <w:rsid w:val="00D11EDA"/>
    <w:rsid w:val="00D11F09"/>
    <w:rsid w:val="00D12012"/>
    <w:rsid w:val="00D120AF"/>
    <w:rsid w:val="00D120D2"/>
    <w:rsid w:val="00D121CB"/>
    <w:rsid w:val="00D12229"/>
    <w:rsid w:val="00D1222E"/>
    <w:rsid w:val="00D1223C"/>
    <w:rsid w:val="00D122E7"/>
    <w:rsid w:val="00D12317"/>
    <w:rsid w:val="00D1242B"/>
    <w:rsid w:val="00D124A6"/>
    <w:rsid w:val="00D124DC"/>
    <w:rsid w:val="00D124EE"/>
    <w:rsid w:val="00D12537"/>
    <w:rsid w:val="00D12555"/>
    <w:rsid w:val="00D126CE"/>
    <w:rsid w:val="00D126DF"/>
    <w:rsid w:val="00D127D1"/>
    <w:rsid w:val="00D127EE"/>
    <w:rsid w:val="00D1281E"/>
    <w:rsid w:val="00D12890"/>
    <w:rsid w:val="00D12950"/>
    <w:rsid w:val="00D129E0"/>
    <w:rsid w:val="00D129E3"/>
    <w:rsid w:val="00D12A73"/>
    <w:rsid w:val="00D12BBB"/>
    <w:rsid w:val="00D12BDD"/>
    <w:rsid w:val="00D12C59"/>
    <w:rsid w:val="00D12C9B"/>
    <w:rsid w:val="00D12D55"/>
    <w:rsid w:val="00D12D5B"/>
    <w:rsid w:val="00D12DCA"/>
    <w:rsid w:val="00D13111"/>
    <w:rsid w:val="00D131CC"/>
    <w:rsid w:val="00D13321"/>
    <w:rsid w:val="00D133AF"/>
    <w:rsid w:val="00D13562"/>
    <w:rsid w:val="00D135C5"/>
    <w:rsid w:val="00D13669"/>
    <w:rsid w:val="00D1366F"/>
    <w:rsid w:val="00D13756"/>
    <w:rsid w:val="00D137A7"/>
    <w:rsid w:val="00D137D0"/>
    <w:rsid w:val="00D1381A"/>
    <w:rsid w:val="00D13867"/>
    <w:rsid w:val="00D138D0"/>
    <w:rsid w:val="00D138E7"/>
    <w:rsid w:val="00D139D3"/>
    <w:rsid w:val="00D13A2E"/>
    <w:rsid w:val="00D13A33"/>
    <w:rsid w:val="00D13A5A"/>
    <w:rsid w:val="00D13B72"/>
    <w:rsid w:val="00D13BE5"/>
    <w:rsid w:val="00D13C39"/>
    <w:rsid w:val="00D13C98"/>
    <w:rsid w:val="00D13D96"/>
    <w:rsid w:val="00D13DE3"/>
    <w:rsid w:val="00D13E28"/>
    <w:rsid w:val="00D13FD8"/>
    <w:rsid w:val="00D13FE0"/>
    <w:rsid w:val="00D1406E"/>
    <w:rsid w:val="00D140F8"/>
    <w:rsid w:val="00D14109"/>
    <w:rsid w:val="00D14137"/>
    <w:rsid w:val="00D1427D"/>
    <w:rsid w:val="00D1429B"/>
    <w:rsid w:val="00D14318"/>
    <w:rsid w:val="00D1433A"/>
    <w:rsid w:val="00D143D5"/>
    <w:rsid w:val="00D144E6"/>
    <w:rsid w:val="00D1450A"/>
    <w:rsid w:val="00D145DA"/>
    <w:rsid w:val="00D14618"/>
    <w:rsid w:val="00D1475D"/>
    <w:rsid w:val="00D147A0"/>
    <w:rsid w:val="00D148C1"/>
    <w:rsid w:val="00D14904"/>
    <w:rsid w:val="00D149EA"/>
    <w:rsid w:val="00D14A12"/>
    <w:rsid w:val="00D14AD7"/>
    <w:rsid w:val="00D14B39"/>
    <w:rsid w:val="00D14B7A"/>
    <w:rsid w:val="00D14C26"/>
    <w:rsid w:val="00D14C6D"/>
    <w:rsid w:val="00D14C7B"/>
    <w:rsid w:val="00D14D79"/>
    <w:rsid w:val="00D14D8B"/>
    <w:rsid w:val="00D14DE8"/>
    <w:rsid w:val="00D14E04"/>
    <w:rsid w:val="00D14E2F"/>
    <w:rsid w:val="00D14EB9"/>
    <w:rsid w:val="00D14F1D"/>
    <w:rsid w:val="00D14F82"/>
    <w:rsid w:val="00D150E2"/>
    <w:rsid w:val="00D15112"/>
    <w:rsid w:val="00D1516E"/>
    <w:rsid w:val="00D15293"/>
    <w:rsid w:val="00D152BA"/>
    <w:rsid w:val="00D152E5"/>
    <w:rsid w:val="00D15351"/>
    <w:rsid w:val="00D153E3"/>
    <w:rsid w:val="00D1545B"/>
    <w:rsid w:val="00D1546E"/>
    <w:rsid w:val="00D1548F"/>
    <w:rsid w:val="00D154DA"/>
    <w:rsid w:val="00D154FD"/>
    <w:rsid w:val="00D15608"/>
    <w:rsid w:val="00D15621"/>
    <w:rsid w:val="00D1564E"/>
    <w:rsid w:val="00D156BF"/>
    <w:rsid w:val="00D1575F"/>
    <w:rsid w:val="00D15766"/>
    <w:rsid w:val="00D1582B"/>
    <w:rsid w:val="00D1584C"/>
    <w:rsid w:val="00D158B8"/>
    <w:rsid w:val="00D15906"/>
    <w:rsid w:val="00D15930"/>
    <w:rsid w:val="00D15985"/>
    <w:rsid w:val="00D15990"/>
    <w:rsid w:val="00D15ABD"/>
    <w:rsid w:val="00D15AF1"/>
    <w:rsid w:val="00D15B67"/>
    <w:rsid w:val="00D15BE2"/>
    <w:rsid w:val="00D15C3E"/>
    <w:rsid w:val="00D15CA8"/>
    <w:rsid w:val="00D15DD9"/>
    <w:rsid w:val="00D15F09"/>
    <w:rsid w:val="00D15F1E"/>
    <w:rsid w:val="00D1601D"/>
    <w:rsid w:val="00D16161"/>
    <w:rsid w:val="00D1618C"/>
    <w:rsid w:val="00D16225"/>
    <w:rsid w:val="00D163A1"/>
    <w:rsid w:val="00D163F9"/>
    <w:rsid w:val="00D1640F"/>
    <w:rsid w:val="00D164E5"/>
    <w:rsid w:val="00D16591"/>
    <w:rsid w:val="00D165C4"/>
    <w:rsid w:val="00D1660C"/>
    <w:rsid w:val="00D16610"/>
    <w:rsid w:val="00D16698"/>
    <w:rsid w:val="00D1681C"/>
    <w:rsid w:val="00D168C4"/>
    <w:rsid w:val="00D16C32"/>
    <w:rsid w:val="00D16CEF"/>
    <w:rsid w:val="00D16D98"/>
    <w:rsid w:val="00D16DBB"/>
    <w:rsid w:val="00D16E2A"/>
    <w:rsid w:val="00D16FB9"/>
    <w:rsid w:val="00D16FDA"/>
    <w:rsid w:val="00D17036"/>
    <w:rsid w:val="00D17077"/>
    <w:rsid w:val="00D170D1"/>
    <w:rsid w:val="00D1735C"/>
    <w:rsid w:val="00D173B5"/>
    <w:rsid w:val="00D173F6"/>
    <w:rsid w:val="00D173F8"/>
    <w:rsid w:val="00D17500"/>
    <w:rsid w:val="00D1750D"/>
    <w:rsid w:val="00D17521"/>
    <w:rsid w:val="00D1755E"/>
    <w:rsid w:val="00D17594"/>
    <w:rsid w:val="00D1762C"/>
    <w:rsid w:val="00D17635"/>
    <w:rsid w:val="00D17659"/>
    <w:rsid w:val="00D1765C"/>
    <w:rsid w:val="00D176C2"/>
    <w:rsid w:val="00D17795"/>
    <w:rsid w:val="00D179DD"/>
    <w:rsid w:val="00D179F3"/>
    <w:rsid w:val="00D179FF"/>
    <w:rsid w:val="00D17A17"/>
    <w:rsid w:val="00D17A85"/>
    <w:rsid w:val="00D17B60"/>
    <w:rsid w:val="00D17B62"/>
    <w:rsid w:val="00D17BC0"/>
    <w:rsid w:val="00D17BE9"/>
    <w:rsid w:val="00D17C03"/>
    <w:rsid w:val="00D17C5A"/>
    <w:rsid w:val="00D17D14"/>
    <w:rsid w:val="00D17D28"/>
    <w:rsid w:val="00D17D43"/>
    <w:rsid w:val="00D17D77"/>
    <w:rsid w:val="00D17DE2"/>
    <w:rsid w:val="00D17E33"/>
    <w:rsid w:val="00D17E98"/>
    <w:rsid w:val="00D17EF7"/>
    <w:rsid w:val="00D17FB6"/>
    <w:rsid w:val="00D200C2"/>
    <w:rsid w:val="00D200CF"/>
    <w:rsid w:val="00D20104"/>
    <w:rsid w:val="00D2010C"/>
    <w:rsid w:val="00D20140"/>
    <w:rsid w:val="00D2019E"/>
    <w:rsid w:val="00D201B6"/>
    <w:rsid w:val="00D20329"/>
    <w:rsid w:val="00D203D2"/>
    <w:rsid w:val="00D20487"/>
    <w:rsid w:val="00D20597"/>
    <w:rsid w:val="00D20655"/>
    <w:rsid w:val="00D20687"/>
    <w:rsid w:val="00D20715"/>
    <w:rsid w:val="00D20754"/>
    <w:rsid w:val="00D207CB"/>
    <w:rsid w:val="00D20887"/>
    <w:rsid w:val="00D208F1"/>
    <w:rsid w:val="00D20913"/>
    <w:rsid w:val="00D2091A"/>
    <w:rsid w:val="00D20996"/>
    <w:rsid w:val="00D20ACA"/>
    <w:rsid w:val="00D20BCC"/>
    <w:rsid w:val="00D20C97"/>
    <w:rsid w:val="00D20D1D"/>
    <w:rsid w:val="00D20D94"/>
    <w:rsid w:val="00D20E04"/>
    <w:rsid w:val="00D20E3F"/>
    <w:rsid w:val="00D20E91"/>
    <w:rsid w:val="00D20EBC"/>
    <w:rsid w:val="00D20ED3"/>
    <w:rsid w:val="00D20F57"/>
    <w:rsid w:val="00D21074"/>
    <w:rsid w:val="00D21138"/>
    <w:rsid w:val="00D211FF"/>
    <w:rsid w:val="00D2121B"/>
    <w:rsid w:val="00D21271"/>
    <w:rsid w:val="00D21398"/>
    <w:rsid w:val="00D2146A"/>
    <w:rsid w:val="00D2147D"/>
    <w:rsid w:val="00D21498"/>
    <w:rsid w:val="00D21527"/>
    <w:rsid w:val="00D21618"/>
    <w:rsid w:val="00D21699"/>
    <w:rsid w:val="00D219C3"/>
    <w:rsid w:val="00D219F5"/>
    <w:rsid w:val="00D21B5D"/>
    <w:rsid w:val="00D21B6D"/>
    <w:rsid w:val="00D21B8C"/>
    <w:rsid w:val="00D21BDE"/>
    <w:rsid w:val="00D21C42"/>
    <w:rsid w:val="00D21D1D"/>
    <w:rsid w:val="00D21DC3"/>
    <w:rsid w:val="00D21DDA"/>
    <w:rsid w:val="00D21EB3"/>
    <w:rsid w:val="00D21EF4"/>
    <w:rsid w:val="00D21F36"/>
    <w:rsid w:val="00D22043"/>
    <w:rsid w:val="00D22190"/>
    <w:rsid w:val="00D2219A"/>
    <w:rsid w:val="00D2231D"/>
    <w:rsid w:val="00D22354"/>
    <w:rsid w:val="00D22358"/>
    <w:rsid w:val="00D2235E"/>
    <w:rsid w:val="00D2238E"/>
    <w:rsid w:val="00D223FC"/>
    <w:rsid w:val="00D22421"/>
    <w:rsid w:val="00D22489"/>
    <w:rsid w:val="00D22510"/>
    <w:rsid w:val="00D22528"/>
    <w:rsid w:val="00D225EE"/>
    <w:rsid w:val="00D2263D"/>
    <w:rsid w:val="00D22659"/>
    <w:rsid w:val="00D226CE"/>
    <w:rsid w:val="00D2277C"/>
    <w:rsid w:val="00D22875"/>
    <w:rsid w:val="00D228F4"/>
    <w:rsid w:val="00D22993"/>
    <w:rsid w:val="00D229BD"/>
    <w:rsid w:val="00D22A07"/>
    <w:rsid w:val="00D22A29"/>
    <w:rsid w:val="00D22A56"/>
    <w:rsid w:val="00D22A93"/>
    <w:rsid w:val="00D22AB9"/>
    <w:rsid w:val="00D22B14"/>
    <w:rsid w:val="00D22C4F"/>
    <w:rsid w:val="00D22CDA"/>
    <w:rsid w:val="00D22DE3"/>
    <w:rsid w:val="00D22F0B"/>
    <w:rsid w:val="00D22F58"/>
    <w:rsid w:val="00D23045"/>
    <w:rsid w:val="00D23118"/>
    <w:rsid w:val="00D2323A"/>
    <w:rsid w:val="00D23321"/>
    <w:rsid w:val="00D23326"/>
    <w:rsid w:val="00D23339"/>
    <w:rsid w:val="00D2339D"/>
    <w:rsid w:val="00D233AC"/>
    <w:rsid w:val="00D233C0"/>
    <w:rsid w:val="00D233D5"/>
    <w:rsid w:val="00D234C3"/>
    <w:rsid w:val="00D234CA"/>
    <w:rsid w:val="00D23519"/>
    <w:rsid w:val="00D23599"/>
    <w:rsid w:val="00D2359C"/>
    <w:rsid w:val="00D236D9"/>
    <w:rsid w:val="00D2371A"/>
    <w:rsid w:val="00D23793"/>
    <w:rsid w:val="00D23794"/>
    <w:rsid w:val="00D238BE"/>
    <w:rsid w:val="00D2391C"/>
    <w:rsid w:val="00D2392C"/>
    <w:rsid w:val="00D23944"/>
    <w:rsid w:val="00D239F9"/>
    <w:rsid w:val="00D23A6B"/>
    <w:rsid w:val="00D23ADA"/>
    <w:rsid w:val="00D23B02"/>
    <w:rsid w:val="00D23B07"/>
    <w:rsid w:val="00D23B5D"/>
    <w:rsid w:val="00D23C9A"/>
    <w:rsid w:val="00D23D04"/>
    <w:rsid w:val="00D23D65"/>
    <w:rsid w:val="00D23E22"/>
    <w:rsid w:val="00D23E48"/>
    <w:rsid w:val="00D23E50"/>
    <w:rsid w:val="00D23E61"/>
    <w:rsid w:val="00D23F14"/>
    <w:rsid w:val="00D23F33"/>
    <w:rsid w:val="00D23F73"/>
    <w:rsid w:val="00D23F98"/>
    <w:rsid w:val="00D24034"/>
    <w:rsid w:val="00D240AE"/>
    <w:rsid w:val="00D240F7"/>
    <w:rsid w:val="00D24277"/>
    <w:rsid w:val="00D242B5"/>
    <w:rsid w:val="00D244A8"/>
    <w:rsid w:val="00D24522"/>
    <w:rsid w:val="00D24608"/>
    <w:rsid w:val="00D2478A"/>
    <w:rsid w:val="00D24867"/>
    <w:rsid w:val="00D248AA"/>
    <w:rsid w:val="00D24919"/>
    <w:rsid w:val="00D24A04"/>
    <w:rsid w:val="00D24B2A"/>
    <w:rsid w:val="00D24B40"/>
    <w:rsid w:val="00D24B5A"/>
    <w:rsid w:val="00D24BAC"/>
    <w:rsid w:val="00D24BE2"/>
    <w:rsid w:val="00D24BF5"/>
    <w:rsid w:val="00D24C40"/>
    <w:rsid w:val="00D24C6D"/>
    <w:rsid w:val="00D24C7D"/>
    <w:rsid w:val="00D24CE6"/>
    <w:rsid w:val="00D24E24"/>
    <w:rsid w:val="00D24E5E"/>
    <w:rsid w:val="00D24ECB"/>
    <w:rsid w:val="00D24F44"/>
    <w:rsid w:val="00D24F55"/>
    <w:rsid w:val="00D24FA8"/>
    <w:rsid w:val="00D24FDB"/>
    <w:rsid w:val="00D2508C"/>
    <w:rsid w:val="00D25093"/>
    <w:rsid w:val="00D250CF"/>
    <w:rsid w:val="00D2510A"/>
    <w:rsid w:val="00D251BE"/>
    <w:rsid w:val="00D25249"/>
    <w:rsid w:val="00D2525E"/>
    <w:rsid w:val="00D2537E"/>
    <w:rsid w:val="00D25405"/>
    <w:rsid w:val="00D2542B"/>
    <w:rsid w:val="00D25523"/>
    <w:rsid w:val="00D2557B"/>
    <w:rsid w:val="00D25591"/>
    <w:rsid w:val="00D255D4"/>
    <w:rsid w:val="00D255EA"/>
    <w:rsid w:val="00D255FC"/>
    <w:rsid w:val="00D25641"/>
    <w:rsid w:val="00D25799"/>
    <w:rsid w:val="00D258F5"/>
    <w:rsid w:val="00D2592A"/>
    <w:rsid w:val="00D25945"/>
    <w:rsid w:val="00D25988"/>
    <w:rsid w:val="00D259A9"/>
    <w:rsid w:val="00D259F7"/>
    <w:rsid w:val="00D25A1F"/>
    <w:rsid w:val="00D25A75"/>
    <w:rsid w:val="00D25ADD"/>
    <w:rsid w:val="00D25B28"/>
    <w:rsid w:val="00D25B82"/>
    <w:rsid w:val="00D25C5F"/>
    <w:rsid w:val="00D25D49"/>
    <w:rsid w:val="00D25D77"/>
    <w:rsid w:val="00D25DAA"/>
    <w:rsid w:val="00D25E39"/>
    <w:rsid w:val="00D26057"/>
    <w:rsid w:val="00D26098"/>
    <w:rsid w:val="00D260A8"/>
    <w:rsid w:val="00D260F0"/>
    <w:rsid w:val="00D26185"/>
    <w:rsid w:val="00D261A5"/>
    <w:rsid w:val="00D262A6"/>
    <w:rsid w:val="00D262B2"/>
    <w:rsid w:val="00D26317"/>
    <w:rsid w:val="00D2637A"/>
    <w:rsid w:val="00D26443"/>
    <w:rsid w:val="00D26473"/>
    <w:rsid w:val="00D264FE"/>
    <w:rsid w:val="00D265BE"/>
    <w:rsid w:val="00D26611"/>
    <w:rsid w:val="00D26614"/>
    <w:rsid w:val="00D26642"/>
    <w:rsid w:val="00D2694A"/>
    <w:rsid w:val="00D26960"/>
    <w:rsid w:val="00D269CE"/>
    <w:rsid w:val="00D26A7D"/>
    <w:rsid w:val="00D26A81"/>
    <w:rsid w:val="00D26B59"/>
    <w:rsid w:val="00D26C19"/>
    <w:rsid w:val="00D26D64"/>
    <w:rsid w:val="00D26DD5"/>
    <w:rsid w:val="00D26E89"/>
    <w:rsid w:val="00D26EC3"/>
    <w:rsid w:val="00D26F0A"/>
    <w:rsid w:val="00D2701E"/>
    <w:rsid w:val="00D27036"/>
    <w:rsid w:val="00D27159"/>
    <w:rsid w:val="00D271A1"/>
    <w:rsid w:val="00D271D4"/>
    <w:rsid w:val="00D27223"/>
    <w:rsid w:val="00D272D6"/>
    <w:rsid w:val="00D27321"/>
    <w:rsid w:val="00D27357"/>
    <w:rsid w:val="00D2735B"/>
    <w:rsid w:val="00D27405"/>
    <w:rsid w:val="00D2744D"/>
    <w:rsid w:val="00D275B1"/>
    <w:rsid w:val="00D27673"/>
    <w:rsid w:val="00D276AD"/>
    <w:rsid w:val="00D27705"/>
    <w:rsid w:val="00D27802"/>
    <w:rsid w:val="00D27807"/>
    <w:rsid w:val="00D278F8"/>
    <w:rsid w:val="00D279BC"/>
    <w:rsid w:val="00D279C8"/>
    <w:rsid w:val="00D27A79"/>
    <w:rsid w:val="00D27AB0"/>
    <w:rsid w:val="00D27B03"/>
    <w:rsid w:val="00D27B0E"/>
    <w:rsid w:val="00D27B35"/>
    <w:rsid w:val="00D27CA0"/>
    <w:rsid w:val="00D27CE0"/>
    <w:rsid w:val="00D27D1C"/>
    <w:rsid w:val="00D27DD4"/>
    <w:rsid w:val="00D27E81"/>
    <w:rsid w:val="00D27F48"/>
    <w:rsid w:val="00D27FD2"/>
    <w:rsid w:val="00D30043"/>
    <w:rsid w:val="00D30058"/>
    <w:rsid w:val="00D300CA"/>
    <w:rsid w:val="00D3019A"/>
    <w:rsid w:val="00D30362"/>
    <w:rsid w:val="00D30383"/>
    <w:rsid w:val="00D30401"/>
    <w:rsid w:val="00D30403"/>
    <w:rsid w:val="00D30431"/>
    <w:rsid w:val="00D30439"/>
    <w:rsid w:val="00D30450"/>
    <w:rsid w:val="00D30453"/>
    <w:rsid w:val="00D30490"/>
    <w:rsid w:val="00D304FC"/>
    <w:rsid w:val="00D30567"/>
    <w:rsid w:val="00D3059F"/>
    <w:rsid w:val="00D305B5"/>
    <w:rsid w:val="00D305DF"/>
    <w:rsid w:val="00D307A9"/>
    <w:rsid w:val="00D307B1"/>
    <w:rsid w:val="00D30876"/>
    <w:rsid w:val="00D308BC"/>
    <w:rsid w:val="00D30913"/>
    <w:rsid w:val="00D30953"/>
    <w:rsid w:val="00D309B8"/>
    <w:rsid w:val="00D30ABC"/>
    <w:rsid w:val="00D30B84"/>
    <w:rsid w:val="00D30BB1"/>
    <w:rsid w:val="00D30C01"/>
    <w:rsid w:val="00D30CF2"/>
    <w:rsid w:val="00D30E78"/>
    <w:rsid w:val="00D30E7F"/>
    <w:rsid w:val="00D30F28"/>
    <w:rsid w:val="00D30F4B"/>
    <w:rsid w:val="00D30F6B"/>
    <w:rsid w:val="00D30FB0"/>
    <w:rsid w:val="00D30FE1"/>
    <w:rsid w:val="00D31078"/>
    <w:rsid w:val="00D31103"/>
    <w:rsid w:val="00D311FF"/>
    <w:rsid w:val="00D31240"/>
    <w:rsid w:val="00D31556"/>
    <w:rsid w:val="00D31559"/>
    <w:rsid w:val="00D315EA"/>
    <w:rsid w:val="00D31742"/>
    <w:rsid w:val="00D31850"/>
    <w:rsid w:val="00D318E9"/>
    <w:rsid w:val="00D319E6"/>
    <w:rsid w:val="00D319EF"/>
    <w:rsid w:val="00D31A1D"/>
    <w:rsid w:val="00D31AAA"/>
    <w:rsid w:val="00D31B19"/>
    <w:rsid w:val="00D31B91"/>
    <w:rsid w:val="00D31C01"/>
    <w:rsid w:val="00D31C05"/>
    <w:rsid w:val="00D31C14"/>
    <w:rsid w:val="00D31C58"/>
    <w:rsid w:val="00D31C6B"/>
    <w:rsid w:val="00D31CAA"/>
    <w:rsid w:val="00D31CC7"/>
    <w:rsid w:val="00D31D83"/>
    <w:rsid w:val="00D31DD1"/>
    <w:rsid w:val="00D31DD5"/>
    <w:rsid w:val="00D31DDB"/>
    <w:rsid w:val="00D31E20"/>
    <w:rsid w:val="00D31E30"/>
    <w:rsid w:val="00D31E99"/>
    <w:rsid w:val="00D31EC4"/>
    <w:rsid w:val="00D31ECF"/>
    <w:rsid w:val="00D31F43"/>
    <w:rsid w:val="00D31F6C"/>
    <w:rsid w:val="00D320DA"/>
    <w:rsid w:val="00D321DA"/>
    <w:rsid w:val="00D32291"/>
    <w:rsid w:val="00D32342"/>
    <w:rsid w:val="00D323C8"/>
    <w:rsid w:val="00D3248D"/>
    <w:rsid w:val="00D32570"/>
    <w:rsid w:val="00D32651"/>
    <w:rsid w:val="00D327BF"/>
    <w:rsid w:val="00D3282B"/>
    <w:rsid w:val="00D3284E"/>
    <w:rsid w:val="00D32855"/>
    <w:rsid w:val="00D3287D"/>
    <w:rsid w:val="00D328E0"/>
    <w:rsid w:val="00D32C56"/>
    <w:rsid w:val="00D32CB0"/>
    <w:rsid w:val="00D32CED"/>
    <w:rsid w:val="00D32E9D"/>
    <w:rsid w:val="00D32F8A"/>
    <w:rsid w:val="00D32F8E"/>
    <w:rsid w:val="00D32FE5"/>
    <w:rsid w:val="00D33108"/>
    <w:rsid w:val="00D3327C"/>
    <w:rsid w:val="00D33299"/>
    <w:rsid w:val="00D332DA"/>
    <w:rsid w:val="00D3333C"/>
    <w:rsid w:val="00D3338F"/>
    <w:rsid w:val="00D33401"/>
    <w:rsid w:val="00D33461"/>
    <w:rsid w:val="00D33553"/>
    <w:rsid w:val="00D33559"/>
    <w:rsid w:val="00D33648"/>
    <w:rsid w:val="00D336AA"/>
    <w:rsid w:val="00D3380E"/>
    <w:rsid w:val="00D338DF"/>
    <w:rsid w:val="00D338EA"/>
    <w:rsid w:val="00D33952"/>
    <w:rsid w:val="00D33B27"/>
    <w:rsid w:val="00D33B90"/>
    <w:rsid w:val="00D33BB8"/>
    <w:rsid w:val="00D33C20"/>
    <w:rsid w:val="00D33C84"/>
    <w:rsid w:val="00D33C94"/>
    <w:rsid w:val="00D33E50"/>
    <w:rsid w:val="00D33E96"/>
    <w:rsid w:val="00D33F3D"/>
    <w:rsid w:val="00D33FE0"/>
    <w:rsid w:val="00D3400A"/>
    <w:rsid w:val="00D34151"/>
    <w:rsid w:val="00D341D4"/>
    <w:rsid w:val="00D34205"/>
    <w:rsid w:val="00D34373"/>
    <w:rsid w:val="00D343EC"/>
    <w:rsid w:val="00D344FE"/>
    <w:rsid w:val="00D34567"/>
    <w:rsid w:val="00D345C3"/>
    <w:rsid w:val="00D345C4"/>
    <w:rsid w:val="00D3463F"/>
    <w:rsid w:val="00D34770"/>
    <w:rsid w:val="00D34799"/>
    <w:rsid w:val="00D348BF"/>
    <w:rsid w:val="00D348C5"/>
    <w:rsid w:val="00D348D3"/>
    <w:rsid w:val="00D3491E"/>
    <w:rsid w:val="00D34936"/>
    <w:rsid w:val="00D349F6"/>
    <w:rsid w:val="00D34A2A"/>
    <w:rsid w:val="00D34B8A"/>
    <w:rsid w:val="00D34C80"/>
    <w:rsid w:val="00D34C9C"/>
    <w:rsid w:val="00D34CC6"/>
    <w:rsid w:val="00D34CFA"/>
    <w:rsid w:val="00D34E4D"/>
    <w:rsid w:val="00D34EC5"/>
    <w:rsid w:val="00D34EDE"/>
    <w:rsid w:val="00D34F38"/>
    <w:rsid w:val="00D34F88"/>
    <w:rsid w:val="00D34FA4"/>
    <w:rsid w:val="00D35047"/>
    <w:rsid w:val="00D35144"/>
    <w:rsid w:val="00D35159"/>
    <w:rsid w:val="00D3516C"/>
    <w:rsid w:val="00D352AF"/>
    <w:rsid w:val="00D352B8"/>
    <w:rsid w:val="00D352C3"/>
    <w:rsid w:val="00D352D8"/>
    <w:rsid w:val="00D35428"/>
    <w:rsid w:val="00D35451"/>
    <w:rsid w:val="00D354AE"/>
    <w:rsid w:val="00D354C5"/>
    <w:rsid w:val="00D35519"/>
    <w:rsid w:val="00D355F2"/>
    <w:rsid w:val="00D355F5"/>
    <w:rsid w:val="00D3561D"/>
    <w:rsid w:val="00D35626"/>
    <w:rsid w:val="00D3565D"/>
    <w:rsid w:val="00D35673"/>
    <w:rsid w:val="00D356B1"/>
    <w:rsid w:val="00D356C8"/>
    <w:rsid w:val="00D356D3"/>
    <w:rsid w:val="00D35800"/>
    <w:rsid w:val="00D35803"/>
    <w:rsid w:val="00D358CE"/>
    <w:rsid w:val="00D359B1"/>
    <w:rsid w:val="00D359FD"/>
    <w:rsid w:val="00D35B0D"/>
    <w:rsid w:val="00D35B4D"/>
    <w:rsid w:val="00D35B79"/>
    <w:rsid w:val="00D35CC2"/>
    <w:rsid w:val="00D35D26"/>
    <w:rsid w:val="00D35D7B"/>
    <w:rsid w:val="00D35DE4"/>
    <w:rsid w:val="00D35E12"/>
    <w:rsid w:val="00D35E92"/>
    <w:rsid w:val="00D35F02"/>
    <w:rsid w:val="00D35FB3"/>
    <w:rsid w:val="00D360F1"/>
    <w:rsid w:val="00D3614B"/>
    <w:rsid w:val="00D3615C"/>
    <w:rsid w:val="00D3631D"/>
    <w:rsid w:val="00D36349"/>
    <w:rsid w:val="00D36372"/>
    <w:rsid w:val="00D36381"/>
    <w:rsid w:val="00D363DF"/>
    <w:rsid w:val="00D363F6"/>
    <w:rsid w:val="00D36436"/>
    <w:rsid w:val="00D3644F"/>
    <w:rsid w:val="00D3645B"/>
    <w:rsid w:val="00D36533"/>
    <w:rsid w:val="00D36558"/>
    <w:rsid w:val="00D3671A"/>
    <w:rsid w:val="00D367E5"/>
    <w:rsid w:val="00D368C6"/>
    <w:rsid w:val="00D3694B"/>
    <w:rsid w:val="00D36AFE"/>
    <w:rsid w:val="00D36B03"/>
    <w:rsid w:val="00D36B6E"/>
    <w:rsid w:val="00D36B93"/>
    <w:rsid w:val="00D36C94"/>
    <w:rsid w:val="00D36CB1"/>
    <w:rsid w:val="00D36D2F"/>
    <w:rsid w:val="00D36D65"/>
    <w:rsid w:val="00D36D97"/>
    <w:rsid w:val="00D36E2A"/>
    <w:rsid w:val="00D36EBF"/>
    <w:rsid w:val="00D36ECB"/>
    <w:rsid w:val="00D36F3D"/>
    <w:rsid w:val="00D37063"/>
    <w:rsid w:val="00D370D2"/>
    <w:rsid w:val="00D3715F"/>
    <w:rsid w:val="00D371B0"/>
    <w:rsid w:val="00D371C6"/>
    <w:rsid w:val="00D371CC"/>
    <w:rsid w:val="00D37239"/>
    <w:rsid w:val="00D3735E"/>
    <w:rsid w:val="00D373EA"/>
    <w:rsid w:val="00D3749F"/>
    <w:rsid w:val="00D374B1"/>
    <w:rsid w:val="00D374B7"/>
    <w:rsid w:val="00D374D2"/>
    <w:rsid w:val="00D37541"/>
    <w:rsid w:val="00D375AC"/>
    <w:rsid w:val="00D37645"/>
    <w:rsid w:val="00D3768D"/>
    <w:rsid w:val="00D37795"/>
    <w:rsid w:val="00D377AA"/>
    <w:rsid w:val="00D377B8"/>
    <w:rsid w:val="00D37863"/>
    <w:rsid w:val="00D37872"/>
    <w:rsid w:val="00D378B5"/>
    <w:rsid w:val="00D37904"/>
    <w:rsid w:val="00D379F0"/>
    <w:rsid w:val="00D37A46"/>
    <w:rsid w:val="00D37A8C"/>
    <w:rsid w:val="00D37B49"/>
    <w:rsid w:val="00D37B58"/>
    <w:rsid w:val="00D37C78"/>
    <w:rsid w:val="00D37CB6"/>
    <w:rsid w:val="00D37EFC"/>
    <w:rsid w:val="00D37FE7"/>
    <w:rsid w:val="00D40017"/>
    <w:rsid w:val="00D400CE"/>
    <w:rsid w:val="00D402C7"/>
    <w:rsid w:val="00D4033F"/>
    <w:rsid w:val="00D403B8"/>
    <w:rsid w:val="00D404EC"/>
    <w:rsid w:val="00D4053E"/>
    <w:rsid w:val="00D40543"/>
    <w:rsid w:val="00D40586"/>
    <w:rsid w:val="00D40627"/>
    <w:rsid w:val="00D406D8"/>
    <w:rsid w:val="00D4071D"/>
    <w:rsid w:val="00D4073E"/>
    <w:rsid w:val="00D407B0"/>
    <w:rsid w:val="00D40854"/>
    <w:rsid w:val="00D4091F"/>
    <w:rsid w:val="00D40924"/>
    <w:rsid w:val="00D40A50"/>
    <w:rsid w:val="00D40A77"/>
    <w:rsid w:val="00D40B31"/>
    <w:rsid w:val="00D40B62"/>
    <w:rsid w:val="00D40BAF"/>
    <w:rsid w:val="00D40D40"/>
    <w:rsid w:val="00D40E26"/>
    <w:rsid w:val="00D40E2E"/>
    <w:rsid w:val="00D40EB7"/>
    <w:rsid w:val="00D40FA7"/>
    <w:rsid w:val="00D4101D"/>
    <w:rsid w:val="00D41042"/>
    <w:rsid w:val="00D410A5"/>
    <w:rsid w:val="00D410DF"/>
    <w:rsid w:val="00D41115"/>
    <w:rsid w:val="00D411BA"/>
    <w:rsid w:val="00D411C3"/>
    <w:rsid w:val="00D41227"/>
    <w:rsid w:val="00D41248"/>
    <w:rsid w:val="00D41270"/>
    <w:rsid w:val="00D41490"/>
    <w:rsid w:val="00D414F3"/>
    <w:rsid w:val="00D41592"/>
    <w:rsid w:val="00D415EE"/>
    <w:rsid w:val="00D41625"/>
    <w:rsid w:val="00D416AF"/>
    <w:rsid w:val="00D41911"/>
    <w:rsid w:val="00D419CB"/>
    <w:rsid w:val="00D41A20"/>
    <w:rsid w:val="00D41A27"/>
    <w:rsid w:val="00D41A97"/>
    <w:rsid w:val="00D41BB0"/>
    <w:rsid w:val="00D41BC4"/>
    <w:rsid w:val="00D41CF7"/>
    <w:rsid w:val="00D41DB2"/>
    <w:rsid w:val="00D41FAC"/>
    <w:rsid w:val="00D4209A"/>
    <w:rsid w:val="00D420B4"/>
    <w:rsid w:val="00D42116"/>
    <w:rsid w:val="00D4214E"/>
    <w:rsid w:val="00D421BF"/>
    <w:rsid w:val="00D4226D"/>
    <w:rsid w:val="00D4229D"/>
    <w:rsid w:val="00D42347"/>
    <w:rsid w:val="00D423B8"/>
    <w:rsid w:val="00D4240A"/>
    <w:rsid w:val="00D4241B"/>
    <w:rsid w:val="00D42443"/>
    <w:rsid w:val="00D42462"/>
    <w:rsid w:val="00D424DE"/>
    <w:rsid w:val="00D42554"/>
    <w:rsid w:val="00D425B9"/>
    <w:rsid w:val="00D42670"/>
    <w:rsid w:val="00D4274F"/>
    <w:rsid w:val="00D427A7"/>
    <w:rsid w:val="00D427EA"/>
    <w:rsid w:val="00D4281B"/>
    <w:rsid w:val="00D42869"/>
    <w:rsid w:val="00D4289B"/>
    <w:rsid w:val="00D428BA"/>
    <w:rsid w:val="00D429B0"/>
    <w:rsid w:val="00D42B6C"/>
    <w:rsid w:val="00D42C05"/>
    <w:rsid w:val="00D42CD5"/>
    <w:rsid w:val="00D42E35"/>
    <w:rsid w:val="00D42E38"/>
    <w:rsid w:val="00D42F34"/>
    <w:rsid w:val="00D42F38"/>
    <w:rsid w:val="00D430AC"/>
    <w:rsid w:val="00D4310F"/>
    <w:rsid w:val="00D43267"/>
    <w:rsid w:val="00D43312"/>
    <w:rsid w:val="00D43360"/>
    <w:rsid w:val="00D4338E"/>
    <w:rsid w:val="00D43610"/>
    <w:rsid w:val="00D4368A"/>
    <w:rsid w:val="00D436AC"/>
    <w:rsid w:val="00D436D6"/>
    <w:rsid w:val="00D436D9"/>
    <w:rsid w:val="00D4370D"/>
    <w:rsid w:val="00D43720"/>
    <w:rsid w:val="00D4375A"/>
    <w:rsid w:val="00D43799"/>
    <w:rsid w:val="00D437F4"/>
    <w:rsid w:val="00D438AE"/>
    <w:rsid w:val="00D438E1"/>
    <w:rsid w:val="00D4393A"/>
    <w:rsid w:val="00D439E1"/>
    <w:rsid w:val="00D43A5B"/>
    <w:rsid w:val="00D43BCA"/>
    <w:rsid w:val="00D43C28"/>
    <w:rsid w:val="00D43CE1"/>
    <w:rsid w:val="00D43E0F"/>
    <w:rsid w:val="00D43E70"/>
    <w:rsid w:val="00D43F93"/>
    <w:rsid w:val="00D440ED"/>
    <w:rsid w:val="00D4410D"/>
    <w:rsid w:val="00D443CE"/>
    <w:rsid w:val="00D44450"/>
    <w:rsid w:val="00D44533"/>
    <w:rsid w:val="00D4455D"/>
    <w:rsid w:val="00D44657"/>
    <w:rsid w:val="00D447F2"/>
    <w:rsid w:val="00D4480D"/>
    <w:rsid w:val="00D4483F"/>
    <w:rsid w:val="00D4484A"/>
    <w:rsid w:val="00D4490A"/>
    <w:rsid w:val="00D44979"/>
    <w:rsid w:val="00D449B6"/>
    <w:rsid w:val="00D449C9"/>
    <w:rsid w:val="00D44A0D"/>
    <w:rsid w:val="00D44A7C"/>
    <w:rsid w:val="00D44A8F"/>
    <w:rsid w:val="00D44B0E"/>
    <w:rsid w:val="00D44B7A"/>
    <w:rsid w:val="00D44BFF"/>
    <w:rsid w:val="00D44C4D"/>
    <w:rsid w:val="00D44CCE"/>
    <w:rsid w:val="00D44DD0"/>
    <w:rsid w:val="00D44DE5"/>
    <w:rsid w:val="00D44E64"/>
    <w:rsid w:val="00D44E91"/>
    <w:rsid w:val="00D44ED2"/>
    <w:rsid w:val="00D44F0E"/>
    <w:rsid w:val="00D44F3C"/>
    <w:rsid w:val="00D44FC7"/>
    <w:rsid w:val="00D44FD5"/>
    <w:rsid w:val="00D4504B"/>
    <w:rsid w:val="00D450AA"/>
    <w:rsid w:val="00D450EB"/>
    <w:rsid w:val="00D4513B"/>
    <w:rsid w:val="00D4513F"/>
    <w:rsid w:val="00D4531D"/>
    <w:rsid w:val="00D45467"/>
    <w:rsid w:val="00D4555E"/>
    <w:rsid w:val="00D4560B"/>
    <w:rsid w:val="00D45675"/>
    <w:rsid w:val="00D45678"/>
    <w:rsid w:val="00D456D5"/>
    <w:rsid w:val="00D456F6"/>
    <w:rsid w:val="00D45725"/>
    <w:rsid w:val="00D4572A"/>
    <w:rsid w:val="00D457D6"/>
    <w:rsid w:val="00D457EE"/>
    <w:rsid w:val="00D45856"/>
    <w:rsid w:val="00D45861"/>
    <w:rsid w:val="00D4590A"/>
    <w:rsid w:val="00D4590B"/>
    <w:rsid w:val="00D45981"/>
    <w:rsid w:val="00D4598E"/>
    <w:rsid w:val="00D4599C"/>
    <w:rsid w:val="00D45AF4"/>
    <w:rsid w:val="00D45B7E"/>
    <w:rsid w:val="00D45B86"/>
    <w:rsid w:val="00D45BA2"/>
    <w:rsid w:val="00D45CD8"/>
    <w:rsid w:val="00D45CFD"/>
    <w:rsid w:val="00D45D37"/>
    <w:rsid w:val="00D45E1D"/>
    <w:rsid w:val="00D45E49"/>
    <w:rsid w:val="00D45E6F"/>
    <w:rsid w:val="00D45E9B"/>
    <w:rsid w:val="00D45EBB"/>
    <w:rsid w:val="00D45F0A"/>
    <w:rsid w:val="00D45F56"/>
    <w:rsid w:val="00D46057"/>
    <w:rsid w:val="00D46071"/>
    <w:rsid w:val="00D460A6"/>
    <w:rsid w:val="00D460B2"/>
    <w:rsid w:val="00D4615C"/>
    <w:rsid w:val="00D46272"/>
    <w:rsid w:val="00D46331"/>
    <w:rsid w:val="00D46426"/>
    <w:rsid w:val="00D464B9"/>
    <w:rsid w:val="00D46608"/>
    <w:rsid w:val="00D466C0"/>
    <w:rsid w:val="00D466F7"/>
    <w:rsid w:val="00D46709"/>
    <w:rsid w:val="00D46713"/>
    <w:rsid w:val="00D46718"/>
    <w:rsid w:val="00D46786"/>
    <w:rsid w:val="00D4679C"/>
    <w:rsid w:val="00D4686C"/>
    <w:rsid w:val="00D468D8"/>
    <w:rsid w:val="00D46900"/>
    <w:rsid w:val="00D46937"/>
    <w:rsid w:val="00D4696F"/>
    <w:rsid w:val="00D4697C"/>
    <w:rsid w:val="00D4698C"/>
    <w:rsid w:val="00D46A70"/>
    <w:rsid w:val="00D46A8E"/>
    <w:rsid w:val="00D46B02"/>
    <w:rsid w:val="00D46BD7"/>
    <w:rsid w:val="00D46C23"/>
    <w:rsid w:val="00D46C5A"/>
    <w:rsid w:val="00D46C60"/>
    <w:rsid w:val="00D46CD3"/>
    <w:rsid w:val="00D46D0E"/>
    <w:rsid w:val="00D46D3F"/>
    <w:rsid w:val="00D46D90"/>
    <w:rsid w:val="00D46EAF"/>
    <w:rsid w:val="00D4702F"/>
    <w:rsid w:val="00D4706D"/>
    <w:rsid w:val="00D4707D"/>
    <w:rsid w:val="00D470AC"/>
    <w:rsid w:val="00D4710D"/>
    <w:rsid w:val="00D47154"/>
    <w:rsid w:val="00D47165"/>
    <w:rsid w:val="00D471DA"/>
    <w:rsid w:val="00D471DE"/>
    <w:rsid w:val="00D47266"/>
    <w:rsid w:val="00D472A1"/>
    <w:rsid w:val="00D47392"/>
    <w:rsid w:val="00D47524"/>
    <w:rsid w:val="00D47560"/>
    <w:rsid w:val="00D475E6"/>
    <w:rsid w:val="00D47620"/>
    <w:rsid w:val="00D476DE"/>
    <w:rsid w:val="00D47718"/>
    <w:rsid w:val="00D47746"/>
    <w:rsid w:val="00D47794"/>
    <w:rsid w:val="00D477E0"/>
    <w:rsid w:val="00D47850"/>
    <w:rsid w:val="00D4794F"/>
    <w:rsid w:val="00D4798E"/>
    <w:rsid w:val="00D479C3"/>
    <w:rsid w:val="00D47A46"/>
    <w:rsid w:val="00D47A74"/>
    <w:rsid w:val="00D47A7A"/>
    <w:rsid w:val="00D47A89"/>
    <w:rsid w:val="00D47ABD"/>
    <w:rsid w:val="00D47B07"/>
    <w:rsid w:val="00D47B54"/>
    <w:rsid w:val="00D47C2A"/>
    <w:rsid w:val="00D47C37"/>
    <w:rsid w:val="00D47C84"/>
    <w:rsid w:val="00D47D32"/>
    <w:rsid w:val="00D47D46"/>
    <w:rsid w:val="00D47DE3"/>
    <w:rsid w:val="00D47E25"/>
    <w:rsid w:val="00D47ECE"/>
    <w:rsid w:val="00D47FEF"/>
    <w:rsid w:val="00D5010D"/>
    <w:rsid w:val="00D5016D"/>
    <w:rsid w:val="00D5020E"/>
    <w:rsid w:val="00D502A5"/>
    <w:rsid w:val="00D502F1"/>
    <w:rsid w:val="00D5036E"/>
    <w:rsid w:val="00D503AB"/>
    <w:rsid w:val="00D5071D"/>
    <w:rsid w:val="00D507D6"/>
    <w:rsid w:val="00D50813"/>
    <w:rsid w:val="00D50840"/>
    <w:rsid w:val="00D508D1"/>
    <w:rsid w:val="00D5091C"/>
    <w:rsid w:val="00D5093D"/>
    <w:rsid w:val="00D50A0F"/>
    <w:rsid w:val="00D50A4C"/>
    <w:rsid w:val="00D50A54"/>
    <w:rsid w:val="00D50B09"/>
    <w:rsid w:val="00D50B77"/>
    <w:rsid w:val="00D50C91"/>
    <w:rsid w:val="00D50CDE"/>
    <w:rsid w:val="00D50CF3"/>
    <w:rsid w:val="00D50D5F"/>
    <w:rsid w:val="00D50DFE"/>
    <w:rsid w:val="00D50E6F"/>
    <w:rsid w:val="00D510BF"/>
    <w:rsid w:val="00D5113F"/>
    <w:rsid w:val="00D51147"/>
    <w:rsid w:val="00D5119A"/>
    <w:rsid w:val="00D511F0"/>
    <w:rsid w:val="00D511FD"/>
    <w:rsid w:val="00D512E5"/>
    <w:rsid w:val="00D5134A"/>
    <w:rsid w:val="00D51464"/>
    <w:rsid w:val="00D51480"/>
    <w:rsid w:val="00D51546"/>
    <w:rsid w:val="00D51577"/>
    <w:rsid w:val="00D515B2"/>
    <w:rsid w:val="00D51708"/>
    <w:rsid w:val="00D51725"/>
    <w:rsid w:val="00D5177F"/>
    <w:rsid w:val="00D51819"/>
    <w:rsid w:val="00D51877"/>
    <w:rsid w:val="00D5190A"/>
    <w:rsid w:val="00D51921"/>
    <w:rsid w:val="00D5197B"/>
    <w:rsid w:val="00D5199D"/>
    <w:rsid w:val="00D519F9"/>
    <w:rsid w:val="00D51AC7"/>
    <w:rsid w:val="00D51B9C"/>
    <w:rsid w:val="00D51C0E"/>
    <w:rsid w:val="00D51C7D"/>
    <w:rsid w:val="00D51CAA"/>
    <w:rsid w:val="00D51CE7"/>
    <w:rsid w:val="00D51D0F"/>
    <w:rsid w:val="00D51EA4"/>
    <w:rsid w:val="00D51F3B"/>
    <w:rsid w:val="00D51F4C"/>
    <w:rsid w:val="00D51F58"/>
    <w:rsid w:val="00D5203A"/>
    <w:rsid w:val="00D52112"/>
    <w:rsid w:val="00D52273"/>
    <w:rsid w:val="00D5227A"/>
    <w:rsid w:val="00D5228E"/>
    <w:rsid w:val="00D522C8"/>
    <w:rsid w:val="00D52328"/>
    <w:rsid w:val="00D524CE"/>
    <w:rsid w:val="00D5254D"/>
    <w:rsid w:val="00D525D5"/>
    <w:rsid w:val="00D526B8"/>
    <w:rsid w:val="00D526FB"/>
    <w:rsid w:val="00D52707"/>
    <w:rsid w:val="00D52852"/>
    <w:rsid w:val="00D52885"/>
    <w:rsid w:val="00D52914"/>
    <w:rsid w:val="00D52AFD"/>
    <w:rsid w:val="00D52B0E"/>
    <w:rsid w:val="00D52BC7"/>
    <w:rsid w:val="00D52BF1"/>
    <w:rsid w:val="00D52C42"/>
    <w:rsid w:val="00D52CF6"/>
    <w:rsid w:val="00D52DF6"/>
    <w:rsid w:val="00D52E09"/>
    <w:rsid w:val="00D52E61"/>
    <w:rsid w:val="00D52ED7"/>
    <w:rsid w:val="00D52FBB"/>
    <w:rsid w:val="00D530DC"/>
    <w:rsid w:val="00D531A0"/>
    <w:rsid w:val="00D531AB"/>
    <w:rsid w:val="00D53238"/>
    <w:rsid w:val="00D53471"/>
    <w:rsid w:val="00D534DD"/>
    <w:rsid w:val="00D534E7"/>
    <w:rsid w:val="00D537CC"/>
    <w:rsid w:val="00D53808"/>
    <w:rsid w:val="00D5380A"/>
    <w:rsid w:val="00D53829"/>
    <w:rsid w:val="00D53918"/>
    <w:rsid w:val="00D53950"/>
    <w:rsid w:val="00D53A7D"/>
    <w:rsid w:val="00D53B4C"/>
    <w:rsid w:val="00D53C7D"/>
    <w:rsid w:val="00D53D18"/>
    <w:rsid w:val="00D53D86"/>
    <w:rsid w:val="00D53DB5"/>
    <w:rsid w:val="00D53F11"/>
    <w:rsid w:val="00D53FF0"/>
    <w:rsid w:val="00D54053"/>
    <w:rsid w:val="00D540C3"/>
    <w:rsid w:val="00D540E6"/>
    <w:rsid w:val="00D54102"/>
    <w:rsid w:val="00D5415F"/>
    <w:rsid w:val="00D54193"/>
    <w:rsid w:val="00D54220"/>
    <w:rsid w:val="00D542CD"/>
    <w:rsid w:val="00D542E0"/>
    <w:rsid w:val="00D542F0"/>
    <w:rsid w:val="00D54379"/>
    <w:rsid w:val="00D543D3"/>
    <w:rsid w:val="00D54465"/>
    <w:rsid w:val="00D5454F"/>
    <w:rsid w:val="00D5457E"/>
    <w:rsid w:val="00D54584"/>
    <w:rsid w:val="00D545DE"/>
    <w:rsid w:val="00D54612"/>
    <w:rsid w:val="00D5470E"/>
    <w:rsid w:val="00D54856"/>
    <w:rsid w:val="00D548EC"/>
    <w:rsid w:val="00D54975"/>
    <w:rsid w:val="00D549CF"/>
    <w:rsid w:val="00D54A4A"/>
    <w:rsid w:val="00D54A4F"/>
    <w:rsid w:val="00D54A6D"/>
    <w:rsid w:val="00D54AAC"/>
    <w:rsid w:val="00D54BE8"/>
    <w:rsid w:val="00D54D21"/>
    <w:rsid w:val="00D54D2F"/>
    <w:rsid w:val="00D54D6C"/>
    <w:rsid w:val="00D54D87"/>
    <w:rsid w:val="00D54DBB"/>
    <w:rsid w:val="00D54E3C"/>
    <w:rsid w:val="00D54ECD"/>
    <w:rsid w:val="00D54F46"/>
    <w:rsid w:val="00D54F6A"/>
    <w:rsid w:val="00D55036"/>
    <w:rsid w:val="00D5507A"/>
    <w:rsid w:val="00D55092"/>
    <w:rsid w:val="00D55132"/>
    <w:rsid w:val="00D5514B"/>
    <w:rsid w:val="00D5517A"/>
    <w:rsid w:val="00D551A8"/>
    <w:rsid w:val="00D551C0"/>
    <w:rsid w:val="00D551E9"/>
    <w:rsid w:val="00D5556B"/>
    <w:rsid w:val="00D55689"/>
    <w:rsid w:val="00D556A2"/>
    <w:rsid w:val="00D556CA"/>
    <w:rsid w:val="00D557C0"/>
    <w:rsid w:val="00D5582A"/>
    <w:rsid w:val="00D5584A"/>
    <w:rsid w:val="00D55852"/>
    <w:rsid w:val="00D5590D"/>
    <w:rsid w:val="00D559A6"/>
    <w:rsid w:val="00D559B0"/>
    <w:rsid w:val="00D559E0"/>
    <w:rsid w:val="00D55A75"/>
    <w:rsid w:val="00D55A8E"/>
    <w:rsid w:val="00D55BCA"/>
    <w:rsid w:val="00D55BE8"/>
    <w:rsid w:val="00D55CE8"/>
    <w:rsid w:val="00D55DBB"/>
    <w:rsid w:val="00D55E0F"/>
    <w:rsid w:val="00D55F9C"/>
    <w:rsid w:val="00D55FAA"/>
    <w:rsid w:val="00D55FBE"/>
    <w:rsid w:val="00D56015"/>
    <w:rsid w:val="00D5611F"/>
    <w:rsid w:val="00D56234"/>
    <w:rsid w:val="00D562D7"/>
    <w:rsid w:val="00D5630D"/>
    <w:rsid w:val="00D5636F"/>
    <w:rsid w:val="00D56426"/>
    <w:rsid w:val="00D56489"/>
    <w:rsid w:val="00D5648C"/>
    <w:rsid w:val="00D56577"/>
    <w:rsid w:val="00D565A8"/>
    <w:rsid w:val="00D565C2"/>
    <w:rsid w:val="00D567E2"/>
    <w:rsid w:val="00D568EE"/>
    <w:rsid w:val="00D56929"/>
    <w:rsid w:val="00D56B01"/>
    <w:rsid w:val="00D56B19"/>
    <w:rsid w:val="00D56B34"/>
    <w:rsid w:val="00D56B3D"/>
    <w:rsid w:val="00D56BFD"/>
    <w:rsid w:val="00D56CAC"/>
    <w:rsid w:val="00D56D3D"/>
    <w:rsid w:val="00D56DF8"/>
    <w:rsid w:val="00D56E93"/>
    <w:rsid w:val="00D56EFD"/>
    <w:rsid w:val="00D56F58"/>
    <w:rsid w:val="00D56FCF"/>
    <w:rsid w:val="00D5700E"/>
    <w:rsid w:val="00D570DC"/>
    <w:rsid w:val="00D570E5"/>
    <w:rsid w:val="00D57161"/>
    <w:rsid w:val="00D571D5"/>
    <w:rsid w:val="00D571E1"/>
    <w:rsid w:val="00D5740F"/>
    <w:rsid w:val="00D57458"/>
    <w:rsid w:val="00D5760A"/>
    <w:rsid w:val="00D57619"/>
    <w:rsid w:val="00D576D9"/>
    <w:rsid w:val="00D57706"/>
    <w:rsid w:val="00D5773F"/>
    <w:rsid w:val="00D57801"/>
    <w:rsid w:val="00D57828"/>
    <w:rsid w:val="00D5782D"/>
    <w:rsid w:val="00D57834"/>
    <w:rsid w:val="00D57845"/>
    <w:rsid w:val="00D5785B"/>
    <w:rsid w:val="00D578FF"/>
    <w:rsid w:val="00D5799B"/>
    <w:rsid w:val="00D579EC"/>
    <w:rsid w:val="00D57A1F"/>
    <w:rsid w:val="00D57A24"/>
    <w:rsid w:val="00D57A5C"/>
    <w:rsid w:val="00D57A89"/>
    <w:rsid w:val="00D57ADE"/>
    <w:rsid w:val="00D57BA5"/>
    <w:rsid w:val="00D57BD3"/>
    <w:rsid w:val="00D57C48"/>
    <w:rsid w:val="00D57C49"/>
    <w:rsid w:val="00D57CB7"/>
    <w:rsid w:val="00D57D5F"/>
    <w:rsid w:val="00D57DB1"/>
    <w:rsid w:val="00D57EDB"/>
    <w:rsid w:val="00D57F46"/>
    <w:rsid w:val="00D57F70"/>
    <w:rsid w:val="00D60004"/>
    <w:rsid w:val="00D60017"/>
    <w:rsid w:val="00D60069"/>
    <w:rsid w:val="00D6013A"/>
    <w:rsid w:val="00D6018A"/>
    <w:rsid w:val="00D6043F"/>
    <w:rsid w:val="00D60473"/>
    <w:rsid w:val="00D604E7"/>
    <w:rsid w:val="00D60556"/>
    <w:rsid w:val="00D605E3"/>
    <w:rsid w:val="00D6068E"/>
    <w:rsid w:val="00D606F9"/>
    <w:rsid w:val="00D607CE"/>
    <w:rsid w:val="00D607DD"/>
    <w:rsid w:val="00D6081E"/>
    <w:rsid w:val="00D60876"/>
    <w:rsid w:val="00D60B13"/>
    <w:rsid w:val="00D60B61"/>
    <w:rsid w:val="00D60C63"/>
    <w:rsid w:val="00D60C92"/>
    <w:rsid w:val="00D60CC9"/>
    <w:rsid w:val="00D60E1A"/>
    <w:rsid w:val="00D60F2A"/>
    <w:rsid w:val="00D60F34"/>
    <w:rsid w:val="00D60F38"/>
    <w:rsid w:val="00D6103D"/>
    <w:rsid w:val="00D61236"/>
    <w:rsid w:val="00D61270"/>
    <w:rsid w:val="00D612B8"/>
    <w:rsid w:val="00D6146E"/>
    <w:rsid w:val="00D61480"/>
    <w:rsid w:val="00D6155D"/>
    <w:rsid w:val="00D615C5"/>
    <w:rsid w:val="00D615D7"/>
    <w:rsid w:val="00D615DE"/>
    <w:rsid w:val="00D6162C"/>
    <w:rsid w:val="00D6167B"/>
    <w:rsid w:val="00D61772"/>
    <w:rsid w:val="00D61788"/>
    <w:rsid w:val="00D617B0"/>
    <w:rsid w:val="00D6181E"/>
    <w:rsid w:val="00D61831"/>
    <w:rsid w:val="00D61979"/>
    <w:rsid w:val="00D61A69"/>
    <w:rsid w:val="00D61AC0"/>
    <w:rsid w:val="00D61CF5"/>
    <w:rsid w:val="00D61D03"/>
    <w:rsid w:val="00D61D81"/>
    <w:rsid w:val="00D61DB8"/>
    <w:rsid w:val="00D61F28"/>
    <w:rsid w:val="00D61F48"/>
    <w:rsid w:val="00D61F8B"/>
    <w:rsid w:val="00D62029"/>
    <w:rsid w:val="00D62103"/>
    <w:rsid w:val="00D62108"/>
    <w:rsid w:val="00D62154"/>
    <w:rsid w:val="00D6217B"/>
    <w:rsid w:val="00D6218A"/>
    <w:rsid w:val="00D62219"/>
    <w:rsid w:val="00D6236E"/>
    <w:rsid w:val="00D6238E"/>
    <w:rsid w:val="00D62461"/>
    <w:rsid w:val="00D624A5"/>
    <w:rsid w:val="00D624E8"/>
    <w:rsid w:val="00D625B2"/>
    <w:rsid w:val="00D6263A"/>
    <w:rsid w:val="00D62686"/>
    <w:rsid w:val="00D626D6"/>
    <w:rsid w:val="00D62737"/>
    <w:rsid w:val="00D627CF"/>
    <w:rsid w:val="00D62836"/>
    <w:rsid w:val="00D62A7F"/>
    <w:rsid w:val="00D62B20"/>
    <w:rsid w:val="00D62B21"/>
    <w:rsid w:val="00D62B8F"/>
    <w:rsid w:val="00D62C0E"/>
    <w:rsid w:val="00D62C73"/>
    <w:rsid w:val="00D62CC2"/>
    <w:rsid w:val="00D62DB0"/>
    <w:rsid w:val="00D62F6C"/>
    <w:rsid w:val="00D62F8D"/>
    <w:rsid w:val="00D63094"/>
    <w:rsid w:val="00D630C6"/>
    <w:rsid w:val="00D6311C"/>
    <w:rsid w:val="00D63195"/>
    <w:rsid w:val="00D631A9"/>
    <w:rsid w:val="00D63238"/>
    <w:rsid w:val="00D6337D"/>
    <w:rsid w:val="00D634C0"/>
    <w:rsid w:val="00D6354C"/>
    <w:rsid w:val="00D6356C"/>
    <w:rsid w:val="00D635D2"/>
    <w:rsid w:val="00D6376D"/>
    <w:rsid w:val="00D637E2"/>
    <w:rsid w:val="00D6384D"/>
    <w:rsid w:val="00D638D8"/>
    <w:rsid w:val="00D63A9E"/>
    <w:rsid w:val="00D63A9F"/>
    <w:rsid w:val="00D63AD1"/>
    <w:rsid w:val="00D63BA5"/>
    <w:rsid w:val="00D63BB4"/>
    <w:rsid w:val="00D63C4F"/>
    <w:rsid w:val="00D63C61"/>
    <w:rsid w:val="00D63C93"/>
    <w:rsid w:val="00D63C95"/>
    <w:rsid w:val="00D63CE4"/>
    <w:rsid w:val="00D63D65"/>
    <w:rsid w:val="00D63E11"/>
    <w:rsid w:val="00D63EB7"/>
    <w:rsid w:val="00D63F63"/>
    <w:rsid w:val="00D64052"/>
    <w:rsid w:val="00D640BE"/>
    <w:rsid w:val="00D640EF"/>
    <w:rsid w:val="00D6427F"/>
    <w:rsid w:val="00D64312"/>
    <w:rsid w:val="00D643AA"/>
    <w:rsid w:val="00D643C2"/>
    <w:rsid w:val="00D64480"/>
    <w:rsid w:val="00D6448A"/>
    <w:rsid w:val="00D644C0"/>
    <w:rsid w:val="00D644D9"/>
    <w:rsid w:val="00D6452D"/>
    <w:rsid w:val="00D64595"/>
    <w:rsid w:val="00D64634"/>
    <w:rsid w:val="00D64681"/>
    <w:rsid w:val="00D646EC"/>
    <w:rsid w:val="00D646F1"/>
    <w:rsid w:val="00D6470A"/>
    <w:rsid w:val="00D64737"/>
    <w:rsid w:val="00D647AD"/>
    <w:rsid w:val="00D647BC"/>
    <w:rsid w:val="00D64818"/>
    <w:rsid w:val="00D648B0"/>
    <w:rsid w:val="00D648F8"/>
    <w:rsid w:val="00D64941"/>
    <w:rsid w:val="00D6499F"/>
    <w:rsid w:val="00D64A03"/>
    <w:rsid w:val="00D64A39"/>
    <w:rsid w:val="00D64A4D"/>
    <w:rsid w:val="00D64A4F"/>
    <w:rsid w:val="00D64B4D"/>
    <w:rsid w:val="00D64BC8"/>
    <w:rsid w:val="00D64C60"/>
    <w:rsid w:val="00D64D24"/>
    <w:rsid w:val="00D64DEC"/>
    <w:rsid w:val="00D64E2A"/>
    <w:rsid w:val="00D64E8C"/>
    <w:rsid w:val="00D64FBA"/>
    <w:rsid w:val="00D64FDA"/>
    <w:rsid w:val="00D65074"/>
    <w:rsid w:val="00D650EA"/>
    <w:rsid w:val="00D6510A"/>
    <w:rsid w:val="00D65175"/>
    <w:rsid w:val="00D6525B"/>
    <w:rsid w:val="00D652E6"/>
    <w:rsid w:val="00D65329"/>
    <w:rsid w:val="00D6539E"/>
    <w:rsid w:val="00D653BA"/>
    <w:rsid w:val="00D65413"/>
    <w:rsid w:val="00D65419"/>
    <w:rsid w:val="00D65494"/>
    <w:rsid w:val="00D654C2"/>
    <w:rsid w:val="00D65518"/>
    <w:rsid w:val="00D65529"/>
    <w:rsid w:val="00D65591"/>
    <w:rsid w:val="00D655C6"/>
    <w:rsid w:val="00D655F3"/>
    <w:rsid w:val="00D656C7"/>
    <w:rsid w:val="00D656F5"/>
    <w:rsid w:val="00D65771"/>
    <w:rsid w:val="00D65780"/>
    <w:rsid w:val="00D658AF"/>
    <w:rsid w:val="00D658B7"/>
    <w:rsid w:val="00D6597D"/>
    <w:rsid w:val="00D65A8F"/>
    <w:rsid w:val="00D65AA6"/>
    <w:rsid w:val="00D65AEA"/>
    <w:rsid w:val="00D65B1D"/>
    <w:rsid w:val="00D65BD9"/>
    <w:rsid w:val="00D65BF8"/>
    <w:rsid w:val="00D65C45"/>
    <w:rsid w:val="00D65C7E"/>
    <w:rsid w:val="00D65D0B"/>
    <w:rsid w:val="00D65D57"/>
    <w:rsid w:val="00D65E27"/>
    <w:rsid w:val="00D66090"/>
    <w:rsid w:val="00D6624B"/>
    <w:rsid w:val="00D66329"/>
    <w:rsid w:val="00D664A5"/>
    <w:rsid w:val="00D6651F"/>
    <w:rsid w:val="00D66534"/>
    <w:rsid w:val="00D6659B"/>
    <w:rsid w:val="00D66607"/>
    <w:rsid w:val="00D66674"/>
    <w:rsid w:val="00D666BA"/>
    <w:rsid w:val="00D666F3"/>
    <w:rsid w:val="00D66700"/>
    <w:rsid w:val="00D66823"/>
    <w:rsid w:val="00D668E0"/>
    <w:rsid w:val="00D66905"/>
    <w:rsid w:val="00D66928"/>
    <w:rsid w:val="00D66985"/>
    <w:rsid w:val="00D669B1"/>
    <w:rsid w:val="00D66A28"/>
    <w:rsid w:val="00D66A89"/>
    <w:rsid w:val="00D66B40"/>
    <w:rsid w:val="00D66B89"/>
    <w:rsid w:val="00D66D46"/>
    <w:rsid w:val="00D66E09"/>
    <w:rsid w:val="00D66E14"/>
    <w:rsid w:val="00D66E51"/>
    <w:rsid w:val="00D66FA6"/>
    <w:rsid w:val="00D66FCA"/>
    <w:rsid w:val="00D6705E"/>
    <w:rsid w:val="00D6710A"/>
    <w:rsid w:val="00D671D0"/>
    <w:rsid w:val="00D672E4"/>
    <w:rsid w:val="00D67409"/>
    <w:rsid w:val="00D67503"/>
    <w:rsid w:val="00D6764E"/>
    <w:rsid w:val="00D67677"/>
    <w:rsid w:val="00D676A3"/>
    <w:rsid w:val="00D67810"/>
    <w:rsid w:val="00D6782B"/>
    <w:rsid w:val="00D67876"/>
    <w:rsid w:val="00D678E3"/>
    <w:rsid w:val="00D67904"/>
    <w:rsid w:val="00D679CA"/>
    <w:rsid w:val="00D67A20"/>
    <w:rsid w:val="00D67A4D"/>
    <w:rsid w:val="00D67A5B"/>
    <w:rsid w:val="00D67BA9"/>
    <w:rsid w:val="00D67BD8"/>
    <w:rsid w:val="00D67D21"/>
    <w:rsid w:val="00D67D43"/>
    <w:rsid w:val="00D67D98"/>
    <w:rsid w:val="00D67DB8"/>
    <w:rsid w:val="00D67F79"/>
    <w:rsid w:val="00D6890F"/>
    <w:rsid w:val="00D70041"/>
    <w:rsid w:val="00D70100"/>
    <w:rsid w:val="00D701D1"/>
    <w:rsid w:val="00D701E8"/>
    <w:rsid w:val="00D70355"/>
    <w:rsid w:val="00D703CF"/>
    <w:rsid w:val="00D704D8"/>
    <w:rsid w:val="00D705AF"/>
    <w:rsid w:val="00D705C9"/>
    <w:rsid w:val="00D705DB"/>
    <w:rsid w:val="00D70630"/>
    <w:rsid w:val="00D70748"/>
    <w:rsid w:val="00D7075E"/>
    <w:rsid w:val="00D707EE"/>
    <w:rsid w:val="00D70869"/>
    <w:rsid w:val="00D7086D"/>
    <w:rsid w:val="00D708DF"/>
    <w:rsid w:val="00D708E4"/>
    <w:rsid w:val="00D709A2"/>
    <w:rsid w:val="00D709B2"/>
    <w:rsid w:val="00D70A71"/>
    <w:rsid w:val="00D70B4C"/>
    <w:rsid w:val="00D70B64"/>
    <w:rsid w:val="00D70BD4"/>
    <w:rsid w:val="00D70C07"/>
    <w:rsid w:val="00D70C29"/>
    <w:rsid w:val="00D70CB9"/>
    <w:rsid w:val="00D70CF2"/>
    <w:rsid w:val="00D70D39"/>
    <w:rsid w:val="00D70D72"/>
    <w:rsid w:val="00D70DFE"/>
    <w:rsid w:val="00D70E5D"/>
    <w:rsid w:val="00D70E5E"/>
    <w:rsid w:val="00D70EC0"/>
    <w:rsid w:val="00D70F08"/>
    <w:rsid w:val="00D70F0D"/>
    <w:rsid w:val="00D70F98"/>
    <w:rsid w:val="00D70FB5"/>
    <w:rsid w:val="00D70FCB"/>
    <w:rsid w:val="00D70FED"/>
    <w:rsid w:val="00D71094"/>
    <w:rsid w:val="00D710D9"/>
    <w:rsid w:val="00D71122"/>
    <w:rsid w:val="00D71278"/>
    <w:rsid w:val="00D714A8"/>
    <w:rsid w:val="00D7167E"/>
    <w:rsid w:val="00D717B2"/>
    <w:rsid w:val="00D7185A"/>
    <w:rsid w:val="00D71898"/>
    <w:rsid w:val="00D718F4"/>
    <w:rsid w:val="00D718FC"/>
    <w:rsid w:val="00D7190F"/>
    <w:rsid w:val="00D71977"/>
    <w:rsid w:val="00D71993"/>
    <w:rsid w:val="00D719A3"/>
    <w:rsid w:val="00D719A4"/>
    <w:rsid w:val="00D719EE"/>
    <w:rsid w:val="00D71AC3"/>
    <w:rsid w:val="00D71B94"/>
    <w:rsid w:val="00D71B97"/>
    <w:rsid w:val="00D71BB3"/>
    <w:rsid w:val="00D71C02"/>
    <w:rsid w:val="00D71C0C"/>
    <w:rsid w:val="00D71C4C"/>
    <w:rsid w:val="00D71C56"/>
    <w:rsid w:val="00D71C82"/>
    <w:rsid w:val="00D71CBB"/>
    <w:rsid w:val="00D71CD5"/>
    <w:rsid w:val="00D71EA0"/>
    <w:rsid w:val="00D71EFA"/>
    <w:rsid w:val="00D71F0C"/>
    <w:rsid w:val="00D720AE"/>
    <w:rsid w:val="00D720EC"/>
    <w:rsid w:val="00D72164"/>
    <w:rsid w:val="00D7218D"/>
    <w:rsid w:val="00D723A8"/>
    <w:rsid w:val="00D723D8"/>
    <w:rsid w:val="00D723D9"/>
    <w:rsid w:val="00D723DB"/>
    <w:rsid w:val="00D72441"/>
    <w:rsid w:val="00D72467"/>
    <w:rsid w:val="00D7274A"/>
    <w:rsid w:val="00D72812"/>
    <w:rsid w:val="00D72824"/>
    <w:rsid w:val="00D72825"/>
    <w:rsid w:val="00D72940"/>
    <w:rsid w:val="00D7298B"/>
    <w:rsid w:val="00D729B0"/>
    <w:rsid w:val="00D72A30"/>
    <w:rsid w:val="00D72A5E"/>
    <w:rsid w:val="00D72BFA"/>
    <w:rsid w:val="00D72C7B"/>
    <w:rsid w:val="00D72CC4"/>
    <w:rsid w:val="00D72CDB"/>
    <w:rsid w:val="00D72CE1"/>
    <w:rsid w:val="00D72DBE"/>
    <w:rsid w:val="00D72E01"/>
    <w:rsid w:val="00D72E19"/>
    <w:rsid w:val="00D72E1D"/>
    <w:rsid w:val="00D72E2F"/>
    <w:rsid w:val="00D72ECC"/>
    <w:rsid w:val="00D72FD0"/>
    <w:rsid w:val="00D73089"/>
    <w:rsid w:val="00D7317D"/>
    <w:rsid w:val="00D7317F"/>
    <w:rsid w:val="00D7324A"/>
    <w:rsid w:val="00D73412"/>
    <w:rsid w:val="00D7343B"/>
    <w:rsid w:val="00D734ED"/>
    <w:rsid w:val="00D73503"/>
    <w:rsid w:val="00D7350C"/>
    <w:rsid w:val="00D7355B"/>
    <w:rsid w:val="00D73614"/>
    <w:rsid w:val="00D7366D"/>
    <w:rsid w:val="00D737DA"/>
    <w:rsid w:val="00D738F2"/>
    <w:rsid w:val="00D739CD"/>
    <w:rsid w:val="00D73A11"/>
    <w:rsid w:val="00D73A15"/>
    <w:rsid w:val="00D73B34"/>
    <w:rsid w:val="00D73C14"/>
    <w:rsid w:val="00D73C84"/>
    <w:rsid w:val="00D73D3B"/>
    <w:rsid w:val="00D73D46"/>
    <w:rsid w:val="00D73D48"/>
    <w:rsid w:val="00D73DC3"/>
    <w:rsid w:val="00D73DD0"/>
    <w:rsid w:val="00D73DDA"/>
    <w:rsid w:val="00D73DF9"/>
    <w:rsid w:val="00D73E40"/>
    <w:rsid w:val="00D73E4C"/>
    <w:rsid w:val="00D73ED1"/>
    <w:rsid w:val="00D73ED9"/>
    <w:rsid w:val="00D73F10"/>
    <w:rsid w:val="00D73F12"/>
    <w:rsid w:val="00D73F4F"/>
    <w:rsid w:val="00D73F93"/>
    <w:rsid w:val="00D73FE7"/>
    <w:rsid w:val="00D74287"/>
    <w:rsid w:val="00D7433B"/>
    <w:rsid w:val="00D7435D"/>
    <w:rsid w:val="00D74365"/>
    <w:rsid w:val="00D7440F"/>
    <w:rsid w:val="00D74478"/>
    <w:rsid w:val="00D74494"/>
    <w:rsid w:val="00D7455D"/>
    <w:rsid w:val="00D745AD"/>
    <w:rsid w:val="00D746F7"/>
    <w:rsid w:val="00D74705"/>
    <w:rsid w:val="00D7470E"/>
    <w:rsid w:val="00D74760"/>
    <w:rsid w:val="00D74765"/>
    <w:rsid w:val="00D7479D"/>
    <w:rsid w:val="00D747F7"/>
    <w:rsid w:val="00D748B3"/>
    <w:rsid w:val="00D74956"/>
    <w:rsid w:val="00D74B53"/>
    <w:rsid w:val="00D74BAF"/>
    <w:rsid w:val="00D74D0B"/>
    <w:rsid w:val="00D74D3E"/>
    <w:rsid w:val="00D74E11"/>
    <w:rsid w:val="00D74E83"/>
    <w:rsid w:val="00D75058"/>
    <w:rsid w:val="00D75097"/>
    <w:rsid w:val="00D750EF"/>
    <w:rsid w:val="00D751CD"/>
    <w:rsid w:val="00D75264"/>
    <w:rsid w:val="00D75277"/>
    <w:rsid w:val="00D753AC"/>
    <w:rsid w:val="00D753B1"/>
    <w:rsid w:val="00D7542D"/>
    <w:rsid w:val="00D75445"/>
    <w:rsid w:val="00D754A3"/>
    <w:rsid w:val="00D75571"/>
    <w:rsid w:val="00D7558F"/>
    <w:rsid w:val="00D755A0"/>
    <w:rsid w:val="00D755CE"/>
    <w:rsid w:val="00D755D2"/>
    <w:rsid w:val="00D75659"/>
    <w:rsid w:val="00D75690"/>
    <w:rsid w:val="00D75694"/>
    <w:rsid w:val="00D756A5"/>
    <w:rsid w:val="00D7575C"/>
    <w:rsid w:val="00D75764"/>
    <w:rsid w:val="00D75790"/>
    <w:rsid w:val="00D7580A"/>
    <w:rsid w:val="00D75860"/>
    <w:rsid w:val="00D75871"/>
    <w:rsid w:val="00D758F8"/>
    <w:rsid w:val="00D7594E"/>
    <w:rsid w:val="00D75A0F"/>
    <w:rsid w:val="00D75A23"/>
    <w:rsid w:val="00D75AF0"/>
    <w:rsid w:val="00D75B52"/>
    <w:rsid w:val="00D75B5D"/>
    <w:rsid w:val="00D75B7F"/>
    <w:rsid w:val="00D75C82"/>
    <w:rsid w:val="00D75CA7"/>
    <w:rsid w:val="00D75CD7"/>
    <w:rsid w:val="00D75CE3"/>
    <w:rsid w:val="00D75CF3"/>
    <w:rsid w:val="00D75D57"/>
    <w:rsid w:val="00D75DBD"/>
    <w:rsid w:val="00D75E77"/>
    <w:rsid w:val="00D75E82"/>
    <w:rsid w:val="00D76041"/>
    <w:rsid w:val="00D7628B"/>
    <w:rsid w:val="00D7632B"/>
    <w:rsid w:val="00D763DA"/>
    <w:rsid w:val="00D7645E"/>
    <w:rsid w:val="00D7652C"/>
    <w:rsid w:val="00D7652F"/>
    <w:rsid w:val="00D76552"/>
    <w:rsid w:val="00D765FA"/>
    <w:rsid w:val="00D766AB"/>
    <w:rsid w:val="00D7674A"/>
    <w:rsid w:val="00D767B2"/>
    <w:rsid w:val="00D767E6"/>
    <w:rsid w:val="00D768CB"/>
    <w:rsid w:val="00D76913"/>
    <w:rsid w:val="00D7697E"/>
    <w:rsid w:val="00D76A79"/>
    <w:rsid w:val="00D76A96"/>
    <w:rsid w:val="00D76AB8"/>
    <w:rsid w:val="00D76B3D"/>
    <w:rsid w:val="00D76BAF"/>
    <w:rsid w:val="00D76BE3"/>
    <w:rsid w:val="00D76C8A"/>
    <w:rsid w:val="00D76E2C"/>
    <w:rsid w:val="00D76EBE"/>
    <w:rsid w:val="00D76EC7"/>
    <w:rsid w:val="00D76F01"/>
    <w:rsid w:val="00D77078"/>
    <w:rsid w:val="00D7712A"/>
    <w:rsid w:val="00D7713C"/>
    <w:rsid w:val="00D772D1"/>
    <w:rsid w:val="00D77336"/>
    <w:rsid w:val="00D77338"/>
    <w:rsid w:val="00D7741E"/>
    <w:rsid w:val="00D77453"/>
    <w:rsid w:val="00D77474"/>
    <w:rsid w:val="00D774F4"/>
    <w:rsid w:val="00D77582"/>
    <w:rsid w:val="00D775FA"/>
    <w:rsid w:val="00D776D2"/>
    <w:rsid w:val="00D776FC"/>
    <w:rsid w:val="00D7771F"/>
    <w:rsid w:val="00D77809"/>
    <w:rsid w:val="00D7789D"/>
    <w:rsid w:val="00D779E0"/>
    <w:rsid w:val="00D779E2"/>
    <w:rsid w:val="00D77A0E"/>
    <w:rsid w:val="00D77DA5"/>
    <w:rsid w:val="00D77DBE"/>
    <w:rsid w:val="00D77DC5"/>
    <w:rsid w:val="00D77E3D"/>
    <w:rsid w:val="00D77E8F"/>
    <w:rsid w:val="00D77F36"/>
    <w:rsid w:val="00D8000A"/>
    <w:rsid w:val="00D80101"/>
    <w:rsid w:val="00D801F7"/>
    <w:rsid w:val="00D803E0"/>
    <w:rsid w:val="00D803E8"/>
    <w:rsid w:val="00D8042F"/>
    <w:rsid w:val="00D80481"/>
    <w:rsid w:val="00D8050A"/>
    <w:rsid w:val="00D8050C"/>
    <w:rsid w:val="00D805C3"/>
    <w:rsid w:val="00D8062B"/>
    <w:rsid w:val="00D806CF"/>
    <w:rsid w:val="00D806D3"/>
    <w:rsid w:val="00D806E8"/>
    <w:rsid w:val="00D80850"/>
    <w:rsid w:val="00D808AB"/>
    <w:rsid w:val="00D808AD"/>
    <w:rsid w:val="00D808C1"/>
    <w:rsid w:val="00D808D7"/>
    <w:rsid w:val="00D808FB"/>
    <w:rsid w:val="00D80928"/>
    <w:rsid w:val="00D80967"/>
    <w:rsid w:val="00D80995"/>
    <w:rsid w:val="00D80B3E"/>
    <w:rsid w:val="00D80C15"/>
    <w:rsid w:val="00D80C3B"/>
    <w:rsid w:val="00D80C8B"/>
    <w:rsid w:val="00D80CF8"/>
    <w:rsid w:val="00D80D16"/>
    <w:rsid w:val="00D80D65"/>
    <w:rsid w:val="00D80DB2"/>
    <w:rsid w:val="00D80E1E"/>
    <w:rsid w:val="00D80E3B"/>
    <w:rsid w:val="00D80E51"/>
    <w:rsid w:val="00D80E8E"/>
    <w:rsid w:val="00D80E95"/>
    <w:rsid w:val="00D80F6D"/>
    <w:rsid w:val="00D80FDB"/>
    <w:rsid w:val="00D81031"/>
    <w:rsid w:val="00D8105E"/>
    <w:rsid w:val="00D81269"/>
    <w:rsid w:val="00D813F8"/>
    <w:rsid w:val="00D81437"/>
    <w:rsid w:val="00D814EB"/>
    <w:rsid w:val="00D8151D"/>
    <w:rsid w:val="00D8161F"/>
    <w:rsid w:val="00D816C1"/>
    <w:rsid w:val="00D816F0"/>
    <w:rsid w:val="00D8172E"/>
    <w:rsid w:val="00D8174E"/>
    <w:rsid w:val="00D817FB"/>
    <w:rsid w:val="00D8182E"/>
    <w:rsid w:val="00D81908"/>
    <w:rsid w:val="00D8190B"/>
    <w:rsid w:val="00D819F0"/>
    <w:rsid w:val="00D81A37"/>
    <w:rsid w:val="00D81A95"/>
    <w:rsid w:val="00D81C2D"/>
    <w:rsid w:val="00D81D2A"/>
    <w:rsid w:val="00D81E09"/>
    <w:rsid w:val="00D81E2A"/>
    <w:rsid w:val="00D81F9A"/>
    <w:rsid w:val="00D820C3"/>
    <w:rsid w:val="00D820CE"/>
    <w:rsid w:val="00D82118"/>
    <w:rsid w:val="00D821EF"/>
    <w:rsid w:val="00D8223A"/>
    <w:rsid w:val="00D82264"/>
    <w:rsid w:val="00D82278"/>
    <w:rsid w:val="00D822AD"/>
    <w:rsid w:val="00D822D6"/>
    <w:rsid w:val="00D82367"/>
    <w:rsid w:val="00D8238D"/>
    <w:rsid w:val="00D82396"/>
    <w:rsid w:val="00D823E3"/>
    <w:rsid w:val="00D824DD"/>
    <w:rsid w:val="00D824FF"/>
    <w:rsid w:val="00D8251E"/>
    <w:rsid w:val="00D8257F"/>
    <w:rsid w:val="00D826D2"/>
    <w:rsid w:val="00D82705"/>
    <w:rsid w:val="00D82733"/>
    <w:rsid w:val="00D82767"/>
    <w:rsid w:val="00D82809"/>
    <w:rsid w:val="00D828FF"/>
    <w:rsid w:val="00D82930"/>
    <w:rsid w:val="00D8296E"/>
    <w:rsid w:val="00D82998"/>
    <w:rsid w:val="00D82A31"/>
    <w:rsid w:val="00D82A51"/>
    <w:rsid w:val="00D82A71"/>
    <w:rsid w:val="00D82AE5"/>
    <w:rsid w:val="00D82B04"/>
    <w:rsid w:val="00D82B60"/>
    <w:rsid w:val="00D82B97"/>
    <w:rsid w:val="00D82BBB"/>
    <w:rsid w:val="00D82D94"/>
    <w:rsid w:val="00D82E65"/>
    <w:rsid w:val="00D82ECB"/>
    <w:rsid w:val="00D82FCB"/>
    <w:rsid w:val="00D83003"/>
    <w:rsid w:val="00D83087"/>
    <w:rsid w:val="00D830A1"/>
    <w:rsid w:val="00D830F3"/>
    <w:rsid w:val="00D830F8"/>
    <w:rsid w:val="00D831B3"/>
    <w:rsid w:val="00D831DB"/>
    <w:rsid w:val="00D832A8"/>
    <w:rsid w:val="00D8330A"/>
    <w:rsid w:val="00D83349"/>
    <w:rsid w:val="00D833E0"/>
    <w:rsid w:val="00D834B5"/>
    <w:rsid w:val="00D834FF"/>
    <w:rsid w:val="00D8355C"/>
    <w:rsid w:val="00D83591"/>
    <w:rsid w:val="00D83614"/>
    <w:rsid w:val="00D83671"/>
    <w:rsid w:val="00D8367D"/>
    <w:rsid w:val="00D836E6"/>
    <w:rsid w:val="00D836FB"/>
    <w:rsid w:val="00D83760"/>
    <w:rsid w:val="00D8376E"/>
    <w:rsid w:val="00D83788"/>
    <w:rsid w:val="00D838A7"/>
    <w:rsid w:val="00D839C8"/>
    <w:rsid w:val="00D83AA7"/>
    <w:rsid w:val="00D83AE5"/>
    <w:rsid w:val="00D83B05"/>
    <w:rsid w:val="00D83B8B"/>
    <w:rsid w:val="00D83BC3"/>
    <w:rsid w:val="00D83C5E"/>
    <w:rsid w:val="00D83D22"/>
    <w:rsid w:val="00D83D4A"/>
    <w:rsid w:val="00D83DBF"/>
    <w:rsid w:val="00D83E54"/>
    <w:rsid w:val="00D83EC0"/>
    <w:rsid w:val="00D83EC8"/>
    <w:rsid w:val="00D83F0F"/>
    <w:rsid w:val="00D83FC9"/>
    <w:rsid w:val="00D84107"/>
    <w:rsid w:val="00D84108"/>
    <w:rsid w:val="00D8420E"/>
    <w:rsid w:val="00D84291"/>
    <w:rsid w:val="00D84361"/>
    <w:rsid w:val="00D8449E"/>
    <w:rsid w:val="00D844FA"/>
    <w:rsid w:val="00D84555"/>
    <w:rsid w:val="00D84653"/>
    <w:rsid w:val="00D846AE"/>
    <w:rsid w:val="00D846B4"/>
    <w:rsid w:val="00D84706"/>
    <w:rsid w:val="00D847C9"/>
    <w:rsid w:val="00D848AC"/>
    <w:rsid w:val="00D84951"/>
    <w:rsid w:val="00D8495E"/>
    <w:rsid w:val="00D84A0B"/>
    <w:rsid w:val="00D84C93"/>
    <w:rsid w:val="00D84CA5"/>
    <w:rsid w:val="00D84CCA"/>
    <w:rsid w:val="00D84D07"/>
    <w:rsid w:val="00D84D15"/>
    <w:rsid w:val="00D84D3D"/>
    <w:rsid w:val="00D84EC8"/>
    <w:rsid w:val="00D84ED3"/>
    <w:rsid w:val="00D84F9A"/>
    <w:rsid w:val="00D8500F"/>
    <w:rsid w:val="00D85060"/>
    <w:rsid w:val="00D8507C"/>
    <w:rsid w:val="00D851FD"/>
    <w:rsid w:val="00D85215"/>
    <w:rsid w:val="00D852FF"/>
    <w:rsid w:val="00D853A0"/>
    <w:rsid w:val="00D85627"/>
    <w:rsid w:val="00D85694"/>
    <w:rsid w:val="00D8569C"/>
    <w:rsid w:val="00D856AA"/>
    <w:rsid w:val="00D85712"/>
    <w:rsid w:val="00D85720"/>
    <w:rsid w:val="00D8573A"/>
    <w:rsid w:val="00D857AB"/>
    <w:rsid w:val="00D85818"/>
    <w:rsid w:val="00D85921"/>
    <w:rsid w:val="00D85933"/>
    <w:rsid w:val="00D85938"/>
    <w:rsid w:val="00D8598D"/>
    <w:rsid w:val="00D8598E"/>
    <w:rsid w:val="00D859AC"/>
    <w:rsid w:val="00D859AE"/>
    <w:rsid w:val="00D85A28"/>
    <w:rsid w:val="00D85AF4"/>
    <w:rsid w:val="00D85C49"/>
    <w:rsid w:val="00D85C6F"/>
    <w:rsid w:val="00D85C78"/>
    <w:rsid w:val="00D85C9F"/>
    <w:rsid w:val="00D85CE9"/>
    <w:rsid w:val="00D85D0E"/>
    <w:rsid w:val="00D85D41"/>
    <w:rsid w:val="00D85D96"/>
    <w:rsid w:val="00D85DB0"/>
    <w:rsid w:val="00D85DF9"/>
    <w:rsid w:val="00D85FCD"/>
    <w:rsid w:val="00D86220"/>
    <w:rsid w:val="00D86272"/>
    <w:rsid w:val="00D86307"/>
    <w:rsid w:val="00D863C5"/>
    <w:rsid w:val="00D86480"/>
    <w:rsid w:val="00D864B7"/>
    <w:rsid w:val="00D8657A"/>
    <w:rsid w:val="00D865AB"/>
    <w:rsid w:val="00D865BF"/>
    <w:rsid w:val="00D86725"/>
    <w:rsid w:val="00D8674A"/>
    <w:rsid w:val="00D86760"/>
    <w:rsid w:val="00D86813"/>
    <w:rsid w:val="00D86824"/>
    <w:rsid w:val="00D868F8"/>
    <w:rsid w:val="00D86918"/>
    <w:rsid w:val="00D869D3"/>
    <w:rsid w:val="00D869FB"/>
    <w:rsid w:val="00D86A21"/>
    <w:rsid w:val="00D86B4E"/>
    <w:rsid w:val="00D86B71"/>
    <w:rsid w:val="00D86B95"/>
    <w:rsid w:val="00D86C1E"/>
    <w:rsid w:val="00D86C6E"/>
    <w:rsid w:val="00D86D17"/>
    <w:rsid w:val="00D86D78"/>
    <w:rsid w:val="00D86EE9"/>
    <w:rsid w:val="00D86EFC"/>
    <w:rsid w:val="00D86F4C"/>
    <w:rsid w:val="00D87056"/>
    <w:rsid w:val="00D870D7"/>
    <w:rsid w:val="00D8715C"/>
    <w:rsid w:val="00D8715E"/>
    <w:rsid w:val="00D87188"/>
    <w:rsid w:val="00D87242"/>
    <w:rsid w:val="00D87331"/>
    <w:rsid w:val="00D8734C"/>
    <w:rsid w:val="00D8737E"/>
    <w:rsid w:val="00D8739C"/>
    <w:rsid w:val="00D873C5"/>
    <w:rsid w:val="00D874F8"/>
    <w:rsid w:val="00D87539"/>
    <w:rsid w:val="00D875BF"/>
    <w:rsid w:val="00D875DF"/>
    <w:rsid w:val="00D87662"/>
    <w:rsid w:val="00D8794A"/>
    <w:rsid w:val="00D87965"/>
    <w:rsid w:val="00D87970"/>
    <w:rsid w:val="00D8799F"/>
    <w:rsid w:val="00D879CD"/>
    <w:rsid w:val="00D879E3"/>
    <w:rsid w:val="00D87A8F"/>
    <w:rsid w:val="00D87ACB"/>
    <w:rsid w:val="00D87AF8"/>
    <w:rsid w:val="00D87BB3"/>
    <w:rsid w:val="00D87C4B"/>
    <w:rsid w:val="00D87CD7"/>
    <w:rsid w:val="00D87D14"/>
    <w:rsid w:val="00D87D53"/>
    <w:rsid w:val="00D87D85"/>
    <w:rsid w:val="00D87DDA"/>
    <w:rsid w:val="00D87E6C"/>
    <w:rsid w:val="00D87EDF"/>
    <w:rsid w:val="00D900AA"/>
    <w:rsid w:val="00D900EA"/>
    <w:rsid w:val="00D90148"/>
    <w:rsid w:val="00D90196"/>
    <w:rsid w:val="00D90238"/>
    <w:rsid w:val="00D9023C"/>
    <w:rsid w:val="00D90281"/>
    <w:rsid w:val="00D90288"/>
    <w:rsid w:val="00D9028C"/>
    <w:rsid w:val="00D902C2"/>
    <w:rsid w:val="00D903A8"/>
    <w:rsid w:val="00D903D7"/>
    <w:rsid w:val="00D90418"/>
    <w:rsid w:val="00D90482"/>
    <w:rsid w:val="00D904A5"/>
    <w:rsid w:val="00D905A5"/>
    <w:rsid w:val="00D90680"/>
    <w:rsid w:val="00D906CE"/>
    <w:rsid w:val="00D906CF"/>
    <w:rsid w:val="00D907DA"/>
    <w:rsid w:val="00D90826"/>
    <w:rsid w:val="00D90A4D"/>
    <w:rsid w:val="00D90AAD"/>
    <w:rsid w:val="00D90AC3"/>
    <w:rsid w:val="00D90ADC"/>
    <w:rsid w:val="00D90AF0"/>
    <w:rsid w:val="00D90B43"/>
    <w:rsid w:val="00D90B67"/>
    <w:rsid w:val="00D90C3C"/>
    <w:rsid w:val="00D90C6C"/>
    <w:rsid w:val="00D90CB3"/>
    <w:rsid w:val="00D90CC0"/>
    <w:rsid w:val="00D90D48"/>
    <w:rsid w:val="00D90DAB"/>
    <w:rsid w:val="00D90DAC"/>
    <w:rsid w:val="00D90E07"/>
    <w:rsid w:val="00D90E56"/>
    <w:rsid w:val="00D90E8E"/>
    <w:rsid w:val="00D90E91"/>
    <w:rsid w:val="00D90EC2"/>
    <w:rsid w:val="00D90ED9"/>
    <w:rsid w:val="00D90F29"/>
    <w:rsid w:val="00D90F51"/>
    <w:rsid w:val="00D90FAA"/>
    <w:rsid w:val="00D90FE5"/>
    <w:rsid w:val="00D91051"/>
    <w:rsid w:val="00D91104"/>
    <w:rsid w:val="00D9127C"/>
    <w:rsid w:val="00D912D4"/>
    <w:rsid w:val="00D912F3"/>
    <w:rsid w:val="00D91302"/>
    <w:rsid w:val="00D91321"/>
    <w:rsid w:val="00D9132A"/>
    <w:rsid w:val="00D91344"/>
    <w:rsid w:val="00D9138F"/>
    <w:rsid w:val="00D913E9"/>
    <w:rsid w:val="00D9142D"/>
    <w:rsid w:val="00D9155C"/>
    <w:rsid w:val="00D91631"/>
    <w:rsid w:val="00D916B0"/>
    <w:rsid w:val="00D916F2"/>
    <w:rsid w:val="00D9172F"/>
    <w:rsid w:val="00D91744"/>
    <w:rsid w:val="00D917CB"/>
    <w:rsid w:val="00D9182A"/>
    <w:rsid w:val="00D919F6"/>
    <w:rsid w:val="00D91A18"/>
    <w:rsid w:val="00D91B0D"/>
    <w:rsid w:val="00D91B55"/>
    <w:rsid w:val="00D91B86"/>
    <w:rsid w:val="00D91BB2"/>
    <w:rsid w:val="00D91BE0"/>
    <w:rsid w:val="00D91C2A"/>
    <w:rsid w:val="00D91D07"/>
    <w:rsid w:val="00D91F0D"/>
    <w:rsid w:val="00D92026"/>
    <w:rsid w:val="00D9211A"/>
    <w:rsid w:val="00D92211"/>
    <w:rsid w:val="00D9225B"/>
    <w:rsid w:val="00D92273"/>
    <w:rsid w:val="00D9229F"/>
    <w:rsid w:val="00D923CE"/>
    <w:rsid w:val="00D92426"/>
    <w:rsid w:val="00D92474"/>
    <w:rsid w:val="00D92580"/>
    <w:rsid w:val="00D925C9"/>
    <w:rsid w:val="00D925D2"/>
    <w:rsid w:val="00D925D9"/>
    <w:rsid w:val="00D926C6"/>
    <w:rsid w:val="00D926EC"/>
    <w:rsid w:val="00D927F9"/>
    <w:rsid w:val="00D92823"/>
    <w:rsid w:val="00D9292B"/>
    <w:rsid w:val="00D92A6C"/>
    <w:rsid w:val="00D92B3F"/>
    <w:rsid w:val="00D92B4E"/>
    <w:rsid w:val="00D92B8F"/>
    <w:rsid w:val="00D92D32"/>
    <w:rsid w:val="00D92D9B"/>
    <w:rsid w:val="00D92DB6"/>
    <w:rsid w:val="00D92E13"/>
    <w:rsid w:val="00D92E87"/>
    <w:rsid w:val="00D92EA7"/>
    <w:rsid w:val="00D92EE8"/>
    <w:rsid w:val="00D92F24"/>
    <w:rsid w:val="00D92F82"/>
    <w:rsid w:val="00D92FAF"/>
    <w:rsid w:val="00D92FCF"/>
    <w:rsid w:val="00D93027"/>
    <w:rsid w:val="00D93058"/>
    <w:rsid w:val="00D9308C"/>
    <w:rsid w:val="00D930CC"/>
    <w:rsid w:val="00D930E2"/>
    <w:rsid w:val="00D930F3"/>
    <w:rsid w:val="00D930F6"/>
    <w:rsid w:val="00D930F9"/>
    <w:rsid w:val="00D93128"/>
    <w:rsid w:val="00D9314F"/>
    <w:rsid w:val="00D93378"/>
    <w:rsid w:val="00D933D0"/>
    <w:rsid w:val="00D93480"/>
    <w:rsid w:val="00D934C2"/>
    <w:rsid w:val="00D936E7"/>
    <w:rsid w:val="00D937E4"/>
    <w:rsid w:val="00D9380A"/>
    <w:rsid w:val="00D938A1"/>
    <w:rsid w:val="00D938FF"/>
    <w:rsid w:val="00D9392D"/>
    <w:rsid w:val="00D939DF"/>
    <w:rsid w:val="00D93B31"/>
    <w:rsid w:val="00D93BD9"/>
    <w:rsid w:val="00D93C3C"/>
    <w:rsid w:val="00D93CE2"/>
    <w:rsid w:val="00D93D99"/>
    <w:rsid w:val="00D93E58"/>
    <w:rsid w:val="00D93EC3"/>
    <w:rsid w:val="00D93EF2"/>
    <w:rsid w:val="00D93F19"/>
    <w:rsid w:val="00D93F5A"/>
    <w:rsid w:val="00D93F7A"/>
    <w:rsid w:val="00D94066"/>
    <w:rsid w:val="00D94207"/>
    <w:rsid w:val="00D9427F"/>
    <w:rsid w:val="00D94290"/>
    <w:rsid w:val="00D942BB"/>
    <w:rsid w:val="00D94304"/>
    <w:rsid w:val="00D9433D"/>
    <w:rsid w:val="00D94385"/>
    <w:rsid w:val="00D9438A"/>
    <w:rsid w:val="00D944D8"/>
    <w:rsid w:val="00D94509"/>
    <w:rsid w:val="00D94620"/>
    <w:rsid w:val="00D9466E"/>
    <w:rsid w:val="00D94691"/>
    <w:rsid w:val="00D946D2"/>
    <w:rsid w:val="00D94730"/>
    <w:rsid w:val="00D9474A"/>
    <w:rsid w:val="00D947A0"/>
    <w:rsid w:val="00D948DD"/>
    <w:rsid w:val="00D949B7"/>
    <w:rsid w:val="00D94A49"/>
    <w:rsid w:val="00D94A4D"/>
    <w:rsid w:val="00D94B1F"/>
    <w:rsid w:val="00D94C6F"/>
    <w:rsid w:val="00D94E81"/>
    <w:rsid w:val="00D94EF2"/>
    <w:rsid w:val="00D94F2C"/>
    <w:rsid w:val="00D94F9D"/>
    <w:rsid w:val="00D9509F"/>
    <w:rsid w:val="00D950C2"/>
    <w:rsid w:val="00D95110"/>
    <w:rsid w:val="00D951AD"/>
    <w:rsid w:val="00D9528D"/>
    <w:rsid w:val="00D95383"/>
    <w:rsid w:val="00D95512"/>
    <w:rsid w:val="00D95541"/>
    <w:rsid w:val="00D95547"/>
    <w:rsid w:val="00D95648"/>
    <w:rsid w:val="00D95716"/>
    <w:rsid w:val="00D95758"/>
    <w:rsid w:val="00D9577A"/>
    <w:rsid w:val="00D957F6"/>
    <w:rsid w:val="00D957FE"/>
    <w:rsid w:val="00D959F3"/>
    <w:rsid w:val="00D95A00"/>
    <w:rsid w:val="00D95A2C"/>
    <w:rsid w:val="00D95AC8"/>
    <w:rsid w:val="00D95B9C"/>
    <w:rsid w:val="00D95BA2"/>
    <w:rsid w:val="00D95C0D"/>
    <w:rsid w:val="00D95C40"/>
    <w:rsid w:val="00D95D13"/>
    <w:rsid w:val="00D95D69"/>
    <w:rsid w:val="00D95ECE"/>
    <w:rsid w:val="00D95F2C"/>
    <w:rsid w:val="00D95F6B"/>
    <w:rsid w:val="00D95FCA"/>
    <w:rsid w:val="00D96049"/>
    <w:rsid w:val="00D9605B"/>
    <w:rsid w:val="00D9613B"/>
    <w:rsid w:val="00D961B5"/>
    <w:rsid w:val="00D961FA"/>
    <w:rsid w:val="00D962BB"/>
    <w:rsid w:val="00D962CC"/>
    <w:rsid w:val="00D9632A"/>
    <w:rsid w:val="00D96363"/>
    <w:rsid w:val="00D9636C"/>
    <w:rsid w:val="00D963AA"/>
    <w:rsid w:val="00D964BF"/>
    <w:rsid w:val="00D964DA"/>
    <w:rsid w:val="00D964DF"/>
    <w:rsid w:val="00D965EB"/>
    <w:rsid w:val="00D96616"/>
    <w:rsid w:val="00D966E1"/>
    <w:rsid w:val="00D96764"/>
    <w:rsid w:val="00D96893"/>
    <w:rsid w:val="00D968B9"/>
    <w:rsid w:val="00D96A40"/>
    <w:rsid w:val="00D96A57"/>
    <w:rsid w:val="00D96ACD"/>
    <w:rsid w:val="00D96AD8"/>
    <w:rsid w:val="00D96F35"/>
    <w:rsid w:val="00D96F54"/>
    <w:rsid w:val="00D96F6F"/>
    <w:rsid w:val="00D96FD5"/>
    <w:rsid w:val="00D96FD8"/>
    <w:rsid w:val="00D970BB"/>
    <w:rsid w:val="00D970CD"/>
    <w:rsid w:val="00D97160"/>
    <w:rsid w:val="00D971F9"/>
    <w:rsid w:val="00D972ED"/>
    <w:rsid w:val="00D97307"/>
    <w:rsid w:val="00D974F8"/>
    <w:rsid w:val="00D974FA"/>
    <w:rsid w:val="00D97531"/>
    <w:rsid w:val="00D975EF"/>
    <w:rsid w:val="00D976D5"/>
    <w:rsid w:val="00D97734"/>
    <w:rsid w:val="00D9773F"/>
    <w:rsid w:val="00D97745"/>
    <w:rsid w:val="00D9775A"/>
    <w:rsid w:val="00D97776"/>
    <w:rsid w:val="00D978CF"/>
    <w:rsid w:val="00D97918"/>
    <w:rsid w:val="00D979BB"/>
    <w:rsid w:val="00D979CD"/>
    <w:rsid w:val="00D979E2"/>
    <w:rsid w:val="00D97A04"/>
    <w:rsid w:val="00D97A76"/>
    <w:rsid w:val="00D97AB0"/>
    <w:rsid w:val="00D97B4B"/>
    <w:rsid w:val="00D97C32"/>
    <w:rsid w:val="00D97DFB"/>
    <w:rsid w:val="00D97EEA"/>
    <w:rsid w:val="00D97F0A"/>
    <w:rsid w:val="00D97F9E"/>
    <w:rsid w:val="00D97FA0"/>
    <w:rsid w:val="00D97FE3"/>
    <w:rsid w:val="00DA022B"/>
    <w:rsid w:val="00DA02B8"/>
    <w:rsid w:val="00DA03B2"/>
    <w:rsid w:val="00DA03B3"/>
    <w:rsid w:val="00DA043A"/>
    <w:rsid w:val="00DA0443"/>
    <w:rsid w:val="00DA0463"/>
    <w:rsid w:val="00DA048B"/>
    <w:rsid w:val="00DA0576"/>
    <w:rsid w:val="00DA06B3"/>
    <w:rsid w:val="00DA0731"/>
    <w:rsid w:val="00DA086D"/>
    <w:rsid w:val="00DA087D"/>
    <w:rsid w:val="00DA088D"/>
    <w:rsid w:val="00DA090B"/>
    <w:rsid w:val="00DA0925"/>
    <w:rsid w:val="00DA09EA"/>
    <w:rsid w:val="00DA0A43"/>
    <w:rsid w:val="00DA0ABF"/>
    <w:rsid w:val="00DA0ACD"/>
    <w:rsid w:val="00DA0BD5"/>
    <w:rsid w:val="00DA0D00"/>
    <w:rsid w:val="00DA0DB0"/>
    <w:rsid w:val="00DA0FCF"/>
    <w:rsid w:val="00DA0FEF"/>
    <w:rsid w:val="00DA1140"/>
    <w:rsid w:val="00DA11A8"/>
    <w:rsid w:val="00DA1225"/>
    <w:rsid w:val="00DA12BB"/>
    <w:rsid w:val="00DA12F2"/>
    <w:rsid w:val="00DA13F9"/>
    <w:rsid w:val="00DA1411"/>
    <w:rsid w:val="00DA14A3"/>
    <w:rsid w:val="00DA14C4"/>
    <w:rsid w:val="00DA1663"/>
    <w:rsid w:val="00DA1665"/>
    <w:rsid w:val="00DA1748"/>
    <w:rsid w:val="00DA17DD"/>
    <w:rsid w:val="00DA1800"/>
    <w:rsid w:val="00DA18B3"/>
    <w:rsid w:val="00DA18B5"/>
    <w:rsid w:val="00DA194E"/>
    <w:rsid w:val="00DA1AE0"/>
    <w:rsid w:val="00DA1BFC"/>
    <w:rsid w:val="00DA1C21"/>
    <w:rsid w:val="00DA1CB7"/>
    <w:rsid w:val="00DA1D5F"/>
    <w:rsid w:val="00DA1E01"/>
    <w:rsid w:val="00DA1E16"/>
    <w:rsid w:val="00DA1E7A"/>
    <w:rsid w:val="00DA1E89"/>
    <w:rsid w:val="00DA1EC0"/>
    <w:rsid w:val="00DA1EF4"/>
    <w:rsid w:val="00DA1F59"/>
    <w:rsid w:val="00DA1FF3"/>
    <w:rsid w:val="00DA204C"/>
    <w:rsid w:val="00DA20A2"/>
    <w:rsid w:val="00DA20C9"/>
    <w:rsid w:val="00DA20E7"/>
    <w:rsid w:val="00DA21D3"/>
    <w:rsid w:val="00DA21FF"/>
    <w:rsid w:val="00DA2263"/>
    <w:rsid w:val="00DA236B"/>
    <w:rsid w:val="00DA236D"/>
    <w:rsid w:val="00DA23B6"/>
    <w:rsid w:val="00DA23D1"/>
    <w:rsid w:val="00DA25D2"/>
    <w:rsid w:val="00DA276B"/>
    <w:rsid w:val="00DA27B2"/>
    <w:rsid w:val="00DA28C0"/>
    <w:rsid w:val="00DA2973"/>
    <w:rsid w:val="00DA29AD"/>
    <w:rsid w:val="00DA2A2D"/>
    <w:rsid w:val="00DA2A3A"/>
    <w:rsid w:val="00DA2AA3"/>
    <w:rsid w:val="00DA2CCE"/>
    <w:rsid w:val="00DA2CE8"/>
    <w:rsid w:val="00DA2CF2"/>
    <w:rsid w:val="00DA2D2A"/>
    <w:rsid w:val="00DA2E0B"/>
    <w:rsid w:val="00DA2E3E"/>
    <w:rsid w:val="00DA2E66"/>
    <w:rsid w:val="00DA2EB3"/>
    <w:rsid w:val="00DA2F80"/>
    <w:rsid w:val="00DA2F87"/>
    <w:rsid w:val="00DA2FA6"/>
    <w:rsid w:val="00DA3004"/>
    <w:rsid w:val="00DA30B2"/>
    <w:rsid w:val="00DA3101"/>
    <w:rsid w:val="00DA3188"/>
    <w:rsid w:val="00DA31F4"/>
    <w:rsid w:val="00DA3220"/>
    <w:rsid w:val="00DA3389"/>
    <w:rsid w:val="00DA33A0"/>
    <w:rsid w:val="00DA33B6"/>
    <w:rsid w:val="00DA33CF"/>
    <w:rsid w:val="00DA3465"/>
    <w:rsid w:val="00DA3566"/>
    <w:rsid w:val="00DA3591"/>
    <w:rsid w:val="00DA35AA"/>
    <w:rsid w:val="00DA3724"/>
    <w:rsid w:val="00DA3756"/>
    <w:rsid w:val="00DA37CC"/>
    <w:rsid w:val="00DA37DB"/>
    <w:rsid w:val="00DA3836"/>
    <w:rsid w:val="00DA3854"/>
    <w:rsid w:val="00DA38B8"/>
    <w:rsid w:val="00DA39EC"/>
    <w:rsid w:val="00DA3A4B"/>
    <w:rsid w:val="00DA3B54"/>
    <w:rsid w:val="00DA3BC2"/>
    <w:rsid w:val="00DA3C55"/>
    <w:rsid w:val="00DA3CDE"/>
    <w:rsid w:val="00DA3D07"/>
    <w:rsid w:val="00DA3D61"/>
    <w:rsid w:val="00DA3E39"/>
    <w:rsid w:val="00DA3E47"/>
    <w:rsid w:val="00DA3F3F"/>
    <w:rsid w:val="00DA41E6"/>
    <w:rsid w:val="00DA427E"/>
    <w:rsid w:val="00DA42AC"/>
    <w:rsid w:val="00DA4315"/>
    <w:rsid w:val="00DA4387"/>
    <w:rsid w:val="00DA438D"/>
    <w:rsid w:val="00DA4403"/>
    <w:rsid w:val="00DA4452"/>
    <w:rsid w:val="00DA4478"/>
    <w:rsid w:val="00DA45A4"/>
    <w:rsid w:val="00DA4608"/>
    <w:rsid w:val="00DA4638"/>
    <w:rsid w:val="00DA46E9"/>
    <w:rsid w:val="00DA470D"/>
    <w:rsid w:val="00DA47F0"/>
    <w:rsid w:val="00DA4833"/>
    <w:rsid w:val="00DA49B0"/>
    <w:rsid w:val="00DA49FA"/>
    <w:rsid w:val="00DA4A9C"/>
    <w:rsid w:val="00DA4AA4"/>
    <w:rsid w:val="00DA4ACF"/>
    <w:rsid w:val="00DA4B29"/>
    <w:rsid w:val="00DA4BFB"/>
    <w:rsid w:val="00DA4C7E"/>
    <w:rsid w:val="00DA4CED"/>
    <w:rsid w:val="00DA4CF2"/>
    <w:rsid w:val="00DA4D12"/>
    <w:rsid w:val="00DA4D7B"/>
    <w:rsid w:val="00DA4E62"/>
    <w:rsid w:val="00DA4E6F"/>
    <w:rsid w:val="00DA4E74"/>
    <w:rsid w:val="00DA4ED0"/>
    <w:rsid w:val="00DA4F29"/>
    <w:rsid w:val="00DA4FAA"/>
    <w:rsid w:val="00DA4FD3"/>
    <w:rsid w:val="00DA5005"/>
    <w:rsid w:val="00DA5144"/>
    <w:rsid w:val="00DA5155"/>
    <w:rsid w:val="00DA51A9"/>
    <w:rsid w:val="00DA51EA"/>
    <w:rsid w:val="00DA53C3"/>
    <w:rsid w:val="00DA53DF"/>
    <w:rsid w:val="00DA53E2"/>
    <w:rsid w:val="00DA5448"/>
    <w:rsid w:val="00DA544B"/>
    <w:rsid w:val="00DA54D0"/>
    <w:rsid w:val="00DA55BB"/>
    <w:rsid w:val="00DA5630"/>
    <w:rsid w:val="00DA5636"/>
    <w:rsid w:val="00DA56A8"/>
    <w:rsid w:val="00DA56AC"/>
    <w:rsid w:val="00DA56E2"/>
    <w:rsid w:val="00DA56EF"/>
    <w:rsid w:val="00DA572F"/>
    <w:rsid w:val="00DA583E"/>
    <w:rsid w:val="00DA586B"/>
    <w:rsid w:val="00DA593B"/>
    <w:rsid w:val="00DA5966"/>
    <w:rsid w:val="00DA59E3"/>
    <w:rsid w:val="00DA5A6A"/>
    <w:rsid w:val="00DA5B61"/>
    <w:rsid w:val="00DA5BD4"/>
    <w:rsid w:val="00DA5BEE"/>
    <w:rsid w:val="00DA5BF2"/>
    <w:rsid w:val="00DA5CBC"/>
    <w:rsid w:val="00DA5D8D"/>
    <w:rsid w:val="00DA5DFA"/>
    <w:rsid w:val="00DA5E0A"/>
    <w:rsid w:val="00DA5E14"/>
    <w:rsid w:val="00DA5E2F"/>
    <w:rsid w:val="00DA5EAE"/>
    <w:rsid w:val="00DA5F08"/>
    <w:rsid w:val="00DA5F56"/>
    <w:rsid w:val="00DA6091"/>
    <w:rsid w:val="00DA60EC"/>
    <w:rsid w:val="00DA611D"/>
    <w:rsid w:val="00DA6136"/>
    <w:rsid w:val="00DA61D2"/>
    <w:rsid w:val="00DA625B"/>
    <w:rsid w:val="00DA6267"/>
    <w:rsid w:val="00DA62A4"/>
    <w:rsid w:val="00DA62C1"/>
    <w:rsid w:val="00DA63A0"/>
    <w:rsid w:val="00DA63C7"/>
    <w:rsid w:val="00DA6442"/>
    <w:rsid w:val="00DA66F5"/>
    <w:rsid w:val="00DA679B"/>
    <w:rsid w:val="00DA67B4"/>
    <w:rsid w:val="00DA6824"/>
    <w:rsid w:val="00DA6848"/>
    <w:rsid w:val="00DA6852"/>
    <w:rsid w:val="00DA686C"/>
    <w:rsid w:val="00DA688F"/>
    <w:rsid w:val="00DA690D"/>
    <w:rsid w:val="00DA6987"/>
    <w:rsid w:val="00DA69E6"/>
    <w:rsid w:val="00DA6A59"/>
    <w:rsid w:val="00DA6BB0"/>
    <w:rsid w:val="00DA6C4C"/>
    <w:rsid w:val="00DA6C72"/>
    <w:rsid w:val="00DA6CBF"/>
    <w:rsid w:val="00DA6D02"/>
    <w:rsid w:val="00DA6DA5"/>
    <w:rsid w:val="00DA6DD4"/>
    <w:rsid w:val="00DA6E1D"/>
    <w:rsid w:val="00DA6F18"/>
    <w:rsid w:val="00DA6F1E"/>
    <w:rsid w:val="00DA6F5B"/>
    <w:rsid w:val="00DA6FA1"/>
    <w:rsid w:val="00DA70BB"/>
    <w:rsid w:val="00DA70D8"/>
    <w:rsid w:val="00DA7120"/>
    <w:rsid w:val="00DA7138"/>
    <w:rsid w:val="00DA72AF"/>
    <w:rsid w:val="00DA72B2"/>
    <w:rsid w:val="00DA72E8"/>
    <w:rsid w:val="00DA7349"/>
    <w:rsid w:val="00DA73D6"/>
    <w:rsid w:val="00DA73DD"/>
    <w:rsid w:val="00DA7474"/>
    <w:rsid w:val="00DA747B"/>
    <w:rsid w:val="00DA74C7"/>
    <w:rsid w:val="00DA754C"/>
    <w:rsid w:val="00DA755C"/>
    <w:rsid w:val="00DA756C"/>
    <w:rsid w:val="00DA757C"/>
    <w:rsid w:val="00DA75DB"/>
    <w:rsid w:val="00DA760C"/>
    <w:rsid w:val="00DA7634"/>
    <w:rsid w:val="00DA7639"/>
    <w:rsid w:val="00DA76D2"/>
    <w:rsid w:val="00DA7777"/>
    <w:rsid w:val="00DA7819"/>
    <w:rsid w:val="00DA78D9"/>
    <w:rsid w:val="00DA7AAB"/>
    <w:rsid w:val="00DA7B89"/>
    <w:rsid w:val="00DA7C15"/>
    <w:rsid w:val="00DA7C4E"/>
    <w:rsid w:val="00DA7C50"/>
    <w:rsid w:val="00DA7CED"/>
    <w:rsid w:val="00DA7D14"/>
    <w:rsid w:val="00DA7D53"/>
    <w:rsid w:val="00DA7F3F"/>
    <w:rsid w:val="00DA7F44"/>
    <w:rsid w:val="00DA7F76"/>
    <w:rsid w:val="00DAE93C"/>
    <w:rsid w:val="00DB0006"/>
    <w:rsid w:val="00DB0077"/>
    <w:rsid w:val="00DB01B0"/>
    <w:rsid w:val="00DB01C2"/>
    <w:rsid w:val="00DB01F2"/>
    <w:rsid w:val="00DB0244"/>
    <w:rsid w:val="00DB0379"/>
    <w:rsid w:val="00DB0400"/>
    <w:rsid w:val="00DB0466"/>
    <w:rsid w:val="00DB048A"/>
    <w:rsid w:val="00DB04EA"/>
    <w:rsid w:val="00DB0557"/>
    <w:rsid w:val="00DB05AF"/>
    <w:rsid w:val="00DB0629"/>
    <w:rsid w:val="00DB0799"/>
    <w:rsid w:val="00DB0805"/>
    <w:rsid w:val="00DB080F"/>
    <w:rsid w:val="00DB0A45"/>
    <w:rsid w:val="00DB0AEA"/>
    <w:rsid w:val="00DB0BAE"/>
    <w:rsid w:val="00DB0C20"/>
    <w:rsid w:val="00DB0C39"/>
    <w:rsid w:val="00DB0D1D"/>
    <w:rsid w:val="00DB0DBF"/>
    <w:rsid w:val="00DB0DE8"/>
    <w:rsid w:val="00DB0F2C"/>
    <w:rsid w:val="00DB0F6D"/>
    <w:rsid w:val="00DB101E"/>
    <w:rsid w:val="00DB107B"/>
    <w:rsid w:val="00DB111B"/>
    <w:rsid w:val="00DB11DF"/>
    <w:rsid w:val="00DB1212"/>
    <w:rsid w:val="00DB12CC"/>
    <w:rsid w:val="00DB12EF"/>
    <w:rsid w:val="00DB134F"/>
    <w:rsid w:val="00DB13B8"/>
    <w:rsid w:val="00DB13E4"/>
    <w:rsid w:val="00DB14D7"/>
    <w:rsid w:val="00DB14DF"/>
    <w:rsid w:val="00DB1591"/>
    <w:rsid w:val="00DB15A6"/>
    <w:rsid w:val="00DB1817"/>
    <w:rsid w:val="00DB1865"/>
    <w:rsid w:val="00DB1A73"/>
    <w:rsid w:val="00DB1AA7"/>
    <w:rsid w:val="00DB1AC6"/>
    <w:rsid w:val="00DB1ADE"/>
    <w:rsid w:val="00DB1B4A"/>
    <w:rsid w:val="00DB1C7A"/>
    <w:rsid w:val="00DB1D66"/>
    <w:rsid w:val="00DB1DCC"/>
    <w:rsid w:val="00DB1E3F"/>
    <w:rsid w:val="00DB1ECB"/>
    <w:rsid w:val="00DB1F0C"/>
    <w:rsid w:val="00DB1F92"/>
    <w:rsid w:val="00DB1FA0"/>
    <w:rsid w:val="00DB1FCA"/>
    <w:rsid w:val="00DB2013"/>
    <w:rsid w:val="00DB20F3"/>
    <w:rsid w:val="00DB2123"/>
    <w:rsid w:val="00DB21F3"/>
    <w:rsid w:val="00DB22C8"/>
    <w:rsid w:val="00DB230D"/>
    <w:rsid w:val="00DB2378"/>
    <w:rsid w:val="00DB2439"/>
    <w:rsid w:val="00DB2451"/>
    <w:rsid w:val="00DB250A"/>
    <w:rsid w:val="00DB2545"/>
    <w:rsid w:val="00DB2561"/>
    <w:rsid w:val="00DB2619"/>
    <w:rsid w:val="00DB2722"/>
    <w:rsid w:val="00DB2735"/>
    <w:rsid w:val="00DB273B"/>
    <w:rsid w:val="00DB280B"/>
    <w:rsid w:val="00DB2870"/>
    <w:rsid w:val="00DB288D"/>
    <w:rsid w:val="00DB288E"/>
    <w:rsid w:val="00DB28B5"/>
    <w:rsid w:val="00DB28FA"/>
    <w:rsid w:val="00DB2904"/>
    <w:rsid w:val="00DB290B"/>
    <w:rsid w:val="00DB2993"/>
    <w:rsid w:val="00DB29E6"/>
    <w:rsid w:val="00DB2A23"/>
    <w:rsid w:val="00DB2A3D"/>
    <w:rsid w:val="00DB2AFA"/>
    <w:rsid w:val="00DB2B0E"/>
    <w:rsid w:val="00DB2BE3"/>
    <w:rsid w:val="00DB2BEA"/>
    <w:rsid w:val="00DB2C68"/>
    <w:rsid w:val="00DB2D48"/>
    <w:rsid w:val="00DB2D64"/>
    <w:rsid w:val="00DB3008"/>
    <w:rsid w:val="00DB3130"/>
    <w:rsid w:val="00DB3244"/>
    <w:rsid w:val="00DB32A0"/>
    <w:rsid w:val="00DB32BB"/>
    <w:rsid w:val="00DB32D4"/>
    <w:rsid w:val="00DB33F4"/>
    <w:rsid w:val="00DB35C6"/>
    <w:rsid w:val="00DB35EF"/>
    <w:rsid w:val="00DB3602"/>
    <w:rsid w:val="00DB37DC"/>
    <w:rsid w:val="00DB3893"/>
    <w:rsid w:val="00DB38EB"/>
    <w:rsid w:val="00DB392D"/>
    <w:rsid w:val="00DB39CF"/>
    <w:rsid w:val="00DB3AD3"/>
    <w:rsid w:val="00DB3BBE"/>
    <w:rsid w:val="00DB3BE5"/>
    <w:rsid w:val="00DB3C55"/>
    <w:rsid w:val="00DB3CA1"/>
    <w:rsid w:val="00DB3D7A"/>
    <w:rsid w:val="00DB3DE6"/>
    <w:rsid w:val="00DB3E19"/>
    <w:rsid w:val="00DB3E57"/>
    <w:rsid w:val="00DB3EA3"/>
    <w:rsid w:val="00DB3FAB"/>
    <w:rsid w:val="00DB400F"/>
    <w:rsid w:val="00DB402D"/>
    <w:rsid w:val="00DB4039"/>
    <w:rsid w:val="00DB405B"/>
    <w:rsid w:val="00DB4092"/>
    <w:rsid w:val="00DB40F2"/>
    <w:rsid w:val="00DB4187"/>
    <w:rsid w:val="00DB4199"/>
    <w:rsid w:val="00DB4330"/>
    <w:rsid w:val="00DB4358"/>
    <w:rsid w:val="00DB4553"/>
    <w:rsid w:val="00DB4563"/>
    <w:rsid w:val="00DB477A"/>
    <w:rsid w:val="00DB4797"/>
    <w:rsid w:val="00DB4870"/>
    <w:rsid w:val="00DB48E5"/>
    <w:rsid w:val="00DB491C"/>
    <w:rsid w:val="00DB4958"/>
    <w:rsid w:val="00DB4991"/>
    <w:rsid w:val="00DB49DD"/>
    <w:rsid w:val="00DB4A95"/>
    <w:rsid w:val="00DB4ADF"/>
    <w:rsid w:val="00DB4B4A"/>
    <w:rsid w:val="00DB4B96"/>
    <w:rsid w:val="00DB4BB7"/>
    <w:rsid w:val="00DB4C47"/>
    <w:rsid w:val="00DB4D02"/>
    <w:rsid w:val="00DB4D1D"/>
    <w:rsid w:val="00DB4DA0"/>
    <w:rsid w:val="00DB4E51"/>
    <w:rsid w:val="00DB4EBF"/>
    <w:rsid w:val="00DB4F47"/>
    <w:rsid w:val="00DB4FF9"/>
    <w:rsid w:val="00DB5086"/>
    <w:rsid w:val="00DB50D7"/>
    <w:rsid w:val="00DB5118"/>
    <w:rsid w:val="00DB517A"/>
    <w:rsid w:val="00DB5192"/>
    <w:rsid w:val="00DB5252"/>
    <w:rsid w:val="00DB52DF"/>
    <w:rsid w:val="00DB533E"/>
    <w:rsid w:val="00DB5363"/>
    <w:rsid w:val="00DB53D1"/>
    <w:rsid w:val="00DB5508"/>
    <w:rsid w:val="00DB5553"/>
    <w:rsid w:val="00DB555B"/>
    <w:rsid w:val="00DB555D"/>
    <w:rsid w:val="00DB55C9"/>
    <w:rsid w:val="00DB564E"/>
    <w:rsid w:val="00DB56F2"/>
    <w:rsid w:val="00DB5829"/>
    <w:rsid w:val="00DB5843"/>
    <w:rsid w:val="00DB5A29"/>
    <w:rsid w:val="00DB5AE3"/>
    <w:rsid w:val="00DB5BBB"/>
    <w:rsid w:val="00DB5BD3"/>
    <w:rsid w:val="00DB5C95"/>
    <w:rsid w:val="00DB5D66"/>
    <w:rsid w:val="00DB5DA7"/>
    <w:rsid w:val="00DB5DD9"/>
    <w:rsid w:val="00DB5E5B"/>
    <w:rsid w:val="00DB5FE9"/>
    <w:rsid w:val="00DB5FF9"/>
    <w:rsid w:val="00DB5FFB"/>
    <w:rsid w:val="00DB6056"/>
    <w:rsid w:val="00DB60FF"/>
    <w:rsid w:val="00DB6163"/>
    <w:rsid w:val="00DB61F9"/>
    <w:rsid w:val="00DB6204"/>
    <w:rsid w:val="00DB6285"/>
    <w:rsid w:val="00DB6375"/>
    <w:rsid w:val="00DB63C9"/>
    <w:rsid w:val="00DB640E"/>
    <w:rsid w:val="00DB663F"/>
    <w:rsid w:val="00DB665F"/>
    <w:rsid w:val="00DB666F"/>
    <w:rsid w:val="00DB667E"/>
    <w:rsid w:val="00DB66E6"/>
    <w:rsid w:val="00DB6765"/>
    <w:rsid w:val="00DB685C"/>
    <w:rsid w:val="00DB6888"/>
    <w:rsid w:val="00DB689E"/>
    <w:rsid w:val="00DB68AA"/>
    <w:rsid w:val="00DB68DC"/>
    <w:rsid w:val="00DB69D9"/>
    <w:rsid w:val="00DB69F5"/>
    <w:rsid w:val="00DB6A0A"/>
    <w:rsid w:val="00DB6B80"/>
    <w:rsid w:val="00DB6B83"/>
    <w:rsid w:val="00DB6BB3"/>
    <w:rsid w:val="00DB6C5E"/>
    <w:rsid w:val="00DB6CC6"/>
    <w:rsid w:val="00DB6CDE"/>
    <w:rsid w:val="00DB6E82"/>
    <w:rsid w:val="00DB6EC3"/>
    <w:rsid w:val="00DB6F0E"/>
    <w:rsid w:val="00DB6F1C"/>
    <w:rsid w:val="00DB6F95"/>
    <w:rsid w:val="00DB7041"/>
    <w:rsid w:val="00DB704A"/>
    <w:rsid w:val="00DB7185"/>
    <w:rsid w:val="00DB71C4"/>
    <w:rsid w:val="00DB71D7"/>
    <w:rsid w:val="00DB722B"/>
    <w:rsid w:val="00DB723F"/>
    <w:rsid w:val="00DB72EB"/>
    <w:rsid w:val="00DB72FA"/>
    <w:rsid w:val="00DB7317"/>
    <w:rsid w:val="00DB7352"/>
    <w:rsid w:val="00DB7431"/>
    <w:rsid w:val="00DB7603"/>
    <w:rsid w:val="00DB76FB"/>
    <w:rsid w:val="00DB7718"/>
    <w:rsid w:val="00DB77DE"/>
    <w:rsid w:val="00DB77F3"/>
    <w:rsid w:val="00DB7819"/>
    <w:rsid w:val="00DB7A2B"/>
    <w:rsid w:val="00DB7A64"/>
    <w:rsid w:val="00DB7B08"/>
    <w:rsid w:val="00DB7B50"/>
    <w:rsid w:val="00DB7B51"/>
    <w:rsid w:val="00DB7BD0"/>
    <w:rsid w:val="00DB7BD6"/>
    <w:rsid w:val="00DB7D1B"/>
    <w:rsid w:val="00DB7D55"/>
    <w:rsid w:val="00DB7DAC"/>
    <w:rsid w:val="00DB7E18"/>
    <w:rsid w:val="00DB7E3B"/>
    <w:rsid w:val="00DB7EB8"/>
    <w:rsid w:val="00DB7F76"/>
    <w:rsid w:val="00DC00E5"/>
    <w:rsid w:val="00DC01E9"/>
    <w:rsid w:val="00DC0274"/>
    <w:rsid w:val="00DC0276"/>
    <w:rsid w:val="00DC02B9"/>
    <w:rsid w:val="00DC0302"/>
    <w:rsid w:val="00DC03B6"/>
    <w:rsid w:val="00DC041D"/>
    <w:rsid w:val="00DC0497"/>
    <w:rsid w:val="00DC04BF"/>
    <w:rsid w:val="00DC056C"/>
    <w:rsid w:val="00DC05B9"/>
    <w:rsid w:val="00DC0601"/>
    <w:rsid w:val="00DC0652"/>
    <w:rsid w:val="00DC065C"/>
    <w:rsid w:val="00DC068D"/>
    <w:rsid w:val="00DC06B7"/>
    <w:rsid w:val="00DC0751"/>
    <w:rsid w:val="00DC076B"/>
    <w:rsid w:val="00DC07BE"/>
    <w:rsid w:val="00DC08A1"/>
    <w:rsid w:val="00DC0970"/>
    <w:rsid w:val="00DC09FD"/>
    <w:rsid w:val="00DC0A93"/>
    <w:rsid w:val="00DC0B43"/>
    <w:rsid w:val="00DC0B47"/>
    <w:rsid w:val="00DC0C02"/>
    <w:rsid w:val="00DC0D46"/>
    <w:rsid w:val="00DC0E13"/>
    <w:rsid w:val="00DC0E2A"/>
    <w:rsid w:val="00DC0ED9"/>
    <w:rsid w:val="00DC0EDD"/>
    <w:rsid w:val="00DC0FB9"/>
    <w:rsid w:val="00DC0FE3"/>
    <w:rsid w:val="00DC102B"/>
    <w:rsid w:val="00DC10A4"/>
    <w:rsid w:val="00DC1186"/>
    <w:rsid w:val="00DC11B4"/>
    <w:rsid w:val="00DC135B"/>
    <w:rsid w:val="00DC13A9"/>
    <w:rsid w:val="00DC1423"/>
    <w:rsid w:val="00DC1574"/>
    <w:rsid w:val="00DC15C9"/>
    <w:rsid w:val="00DC165E"/>
    <w:rsid w:val="00DC1691"/>
    <w:rsid w:val="00DC16F8"/>
    <w:rsid w:val="00DC174E"/>
    <w:rsid w:val="00DC177D"/>
    <w:rsid w:val="00DC1848"/>
    <w:rsid w:val="00DC18EB"/>
    <w:rsid w:val="00DC18F7"/>
    <w:rsid w:val="00DC1A6F"/>
    <w:rsid w:val="00DC1AC4"/>
    <w:rsid w:val="00DC1B32"/>
    <w:rsid w:val="00DC1BC1"/>
    <w:rsid w:val="00DC1BCA"/>
    <w:rsid w:val="00DC1C5F"/>
    <w:rsid w:val="00DC1C6C"/>
    <w:rsid w:val="00DC1CD2"/>
    <w:rsid w:val="00DC1CD8"/>
    <w:rsid w:val="00DC1CE8"/>
    <w:rsid w:val="00DC1D16"/>
    <w:rsid w:val="00DC1E19"/>
    <w:rsid w:val="00DC1E38"/>
    <w:rsid w:val="00DC1EAC"/>
    <w:rsid w:val="00DC1EB2"/>
    <w:rsid w:val="00DC1ED2"/>
    <w:rsid w:val="00DC1ED4"/>
    <w:rsid w:val="00DC1EE8"/>
    <w:rsid w:val="00DC1F7D"/>
    <w:rsid w:val="00DC207E"/>
    <w:rsid w:val="00DC2099"/>
    <w:rsid w:val="00DC2104"/>
    <w:rsid w:val="00DC214A"/>
    <w:rsid w:val="00DC22A9"/>
    <w:rsid w:val="00DC22DE"/>
    <w:rsid w:val="00DC2342"/>
    <w:rsid w:val="00DC23AE"/>
    <w:rsid w:val="00DC23B3"/>
    <w:rsid w:val="00DC2446"/>
    <w:rsid w:val="00DC2461"/>
    <w:rsid w:val="00DC2490"/>
    <w:rsid w:val="00DC24D8"/>
    <w:rsid w:val="00DC25C4"/>
    <w:rsid w:val="00DC26F2"/>
    <w:rsid w:val="00DC2853"/>
    <w:rsid w:val="00DC28F6"/>
    <w:rsid w:val="00DC28FC"/>
    <w:rsid w:val="00DC2920"/>
    <w:rsid w:val="00DC2930"/>
    <w:rsid w:val="00DC29E5"/>
    <w:rsid w:val="00DC2A2F"/>
    <w:rsid w:val="00DC2A43"/>
    <w:rsid w:val="00DC2AD3"/>
    <w:rsid w:val="00DC2AEE"/>
    <w:rsid w:val="00DC2BED"/>
    <w:rsid w:val="00DC2C76"/>
    <w:rsid w:val="00DC2D6E"/>
    <w:rsid w:val="00DC2D91"/>
    <w:rsid w:val="00DC2DF7"/>
    <w:rsid w:val="00DC2E50"/>
    <w:rsid w:val="00DC2EA1"/>
    <w:rsid w:val="00DC2EF8"/>
    <w:rsid w:val="00DC2F3B"/>
    <w:rsid w:val="00DC2FB3"/>
    <w:rsid w:val="00DC2FE1"/>
    <w:rsid w:val="00DC305C"/>
    <w:rsid w:val="00DC3086"/>
    <w:rsid w:val="00DC311A"/>
    <w:rsid w:val="00DC3198"/>
    <w:rsid w:val="00DC3252"/>
    <w:rsid w:val="00DC329B"/>
    <w:rsid w:val="00DC3375"/>
    <w:rsid w:val="00DC34B2"/>
    <w:rsid w:val="00DC34B9"/>
    <w:rsid w:val="00DC34F1"/>
    <w:rsid w:val="00DC3577"/>
    <w:rsid w:val="00DC35F7"/>
    <w:rsid w:val="00DC35FF"/>
    <w:rsid w:val="00DC366A"/>
    <w:rsid w:val="00DC3675"/>
    <w:rsid w:val="00DC36CD"/>
    <w:rsid w:val="00DC36D5"/>
    <w:rsid w:val="00DC36EE"/>
    <w:rsid w:val="00DC3739"/>
    <w:rsid w:val="00DC3744"/>
    <w:rsid w:val="00DC3771"/>
    <w:rsid w:val="00DC37E6"/>
    <w:rsid w:val="00DC3836"/>
    <w:rsid w:val="00DC3869"/>
    <w:rsid w:val="00DC38B7"/>
    <w:rsid w:val="00DC3921"/>
    <w:rsid w:val="00DC3934"/>
    <w:rsid w:val="00DC396A"/>
    <w:rsid w:val="00DC39A4"/>
    <w:rsid w:val="00DC39A8"/>
    <w:rsid w:val="00DC3A4E"/>
    <w:rsid w:val="00DC3B78"/>
    <w:rsid w:val="00DC3BB6"/>
    <w:rsid w:val="00DC3C2D"/>
    <w:rsid w:val="00DC3C68"/>
    <w:rsid w:val="00DC3C6A"/>
    <w:rsid w:val="00DC3C85"/>
    <w:rsid w:val="00DC3D2F"/>
    <w:rsid w:val="00DC3D54"/>
    <w:rsid w:val="00DC3DCE"/>
    <w:rsid w:val="00DC3DE7"/>
    <w:rsid w:val="00DC4048"/>
    <w:rsid w:val="00DC4063"/>
    <w:rsid w:val="00DC4151"/>
    <w:rsid w:val="00DC41FE"/>
    <w:rsid w:val="00DC4280"/>
    <w:rsid w:val="00DC4293"/>
    <w:rsid w:val="00DC42C9"/>
    <w:rsid w:val="00DC430E"/>
    <w:rsid w:val="00DC4358"/>
    <w:rsid w:val="00DC43CE"/>
    <w:rsid w:val="00DC43E1"/>
    <w:rsid w:val="00DC4415"/>
    <w:rsid w:val="00DC4465"/>
    <w:rsid w:val="00DC4468"/>
    <w:rsid w:val="00DC451A"/>
    <w:rsid w:val="00DC45BD"/>
    <w:rsid w:val="00DC462E"/>
    <w:rsid w:val="00DC463A"/>
    <w:rsid w:val="00DC4643"/>
    <w:rsid w:val="00DC46B5"/>
    <w:rsid w:val="00DC470A"/>
    <w:rsid w:val="00DC4786"/>
    <w:rsid w:val="00DC47D8"/>
    <w:rsid w:val="00DC48A3"/>
    <w:rsid w:val="00DC491A"/>
    <w:rsid w:val="00DC4975"/>
    <w:rsid w:val="00DC4991"/>
    <w:rsid w:val="00DC4B45"/>
    <w:rsid w:val="00DC4B73"/>
    <w:rsid w:val="00DC4B7B"/>
    <w:rsid w:val="00DC4C97"/>
    <w:rsid w:val="00DC4C98"/>
    <w:rsid w:val="00DC4E33"/>
    <w:rsid w:val="00DC4E74"/>
    <w:rsid w:val="00DC4E79"/>
    <w:rsid w:val="00DC4E87"/>
    <w:rsid w:val="00DC4E8A"/>
    <w:rsid w:val="00DC506D"/>
    <w:rsid w:val="00DC5248"/>
    <w:rsid w:val="00DC5283"/>
    <w:rsid w:val="00DC53A6"/>
    <w:rsid w:val="00DC54F4"/>
    <w:rsid w:val="00DC554B"/>
    <w:rsid w:val="00DC5687"/>
    <w:rsid w:val="00DC5763"/>
    <w:rsid w:val="00DC5863"/>
    <w:rsid w:val="00DC5899"/>
    <w:rsid w:val="00DC58AD"/>
    <w:rsid w:val="00DC5994"/>
    <w:rsid w:val="00DC59E3"/>
    <w:rsid w:val="00DC5A34"/>
    <w:rsid w:val="00DC5DBD"/>
    <w:rsid w:val="00DC5DF6"/>
    <w:rsid w:val="00DC5E5A"/>
    <w:rsid w:val="00DC5EF8"/>
    <w:rsid w:val="00DC5F88"/>
    <w:rsid w:val="00DC5FDB"/>
    <w:rsid w:val="00DC6202"/>
    <w:rsid w:val="00DC620A"/>
    <w:rsid w:val="00DC622A"/>
    <w:rsid w:val="00DC6258"/>
    <w:rsid w:val="00DC627D"/>
    <w:rsid w:val="00DC62A3"/>
    <w:rsid w:val="00DC6344"/>
    <w:rsid w:val="00DC636A"/>
    <w:rsid w:val="00DC638B"/>
    <w:rsid w:val="00DC63A3"/>
    <w:rsid w:val="00DC64E8"/>
    <w:rsid w:val="00DC6549"/>
    <w:rsid w:val="00DC657B"/>
    <w:rsid w:val="00DC65DB"/>
    <w:rsid w:val="00DC65F3"/>
    <w:rsid w:val="00DC6661"/>
    <w:rsid w:val="00DC6780"/>
    <w:rsid w:val="00DC67BA"/>
    <w:rsid w:val="00DC67BB"/>
    <w:rsid w:val="00DC67E4"/>
    <w:rsid w:val="00DC6821"/>
    <w:rsid w:val="00DC6866"/>
    <w:rsid w:val="00DC68DB"/>
    <w:rsid w:val="00DC6A1E"/>
    <w:rsid w:val="00DC6A65"/>
    <w:rsid w:val="00DC6B2A"/>
    <w:rsid w:val="00DC6B5F"/>
    <w:rsid w:val="00DC6C0D"/>
    <w:rsid w:val="00DC6C15"/>
    <w:rsid w:val="00DC6D8C"/>
    <w:rsid w:val="00DC6E00"/>
    <w:rsid w:val="00DC6E37"/>
    <w:rsid w:val="00DC6E85"/>
    <w:rsid w:val="00DC6E8C"/>
    <w:rsid w:val="00DC6E9D"/>
    <w:rsid w:val="00DC7042"/>
    <w:rsid w:val="00DC70BF"/>
    <w:rsid w:val="00DC7167"/>
    <w:rsid w:val="00DC724E"/>
    <w:rsid w:val="00DC727F"/>
    <w:rsid w:val="00DC72A9"/>
    <w:rsid w:val="00DC7321"/>
    <w:rsid w:val="00DC7377"/>
    <w:rsid w:val="00DC7380"/>
    <w:rsid w:val="00DC743A"/>
    <w:rsid w:val="00DC752F"/>
    <w:rsid w:val="00DC75C9"/>
    <w:rsid w:val="00DC76F0"/>
    <w:rsid w:val="00DC7717"/>
    <w:rsid w:val="00DC772F"/>
    <w:rsid w:val="00DC781B"/>
    <w:rsid w:val="00DC78F6"/>
    <w:rsid w:val="00DC799E"/>
    <w:rsid w:val="00DC79EA"/>
    <w:rsid w:val="00DC7AEE"/>
    <w:rsid w:val="00DC7B9D"/>
    <w:rsid w:val="00DC7BE3"/>
    <w:rsid w:val="00DC7EA5"/>
    <w:rsid w:val="00DC7F63"/>
    <w:rsid w:val="00DC7FCD"/>
    <w:rsid w:val="00DC7FF0"/>
    <w:rsid w:val="00DD0001"/>
    <w:rsid w:val="00DD00D2"/>
    <w:rsid w:val="00DD0256"/>
    <w:rsid w:val="00DD0283"/>
    <w:rsid w:val="00DD02C8"/>
    <w:rsid w:val="00DD02F3"/>
    <w:rsid w:val="00DD03A3"/>
    <w:rsid w:val="00DD041B"/>
    <w:rsid w:val="00DD0514"/>
    <w:rsid w:val="00DD0517"/>
    <w:rsid w:val="00DD0533"/>
    <w:rsid w:val="00DD054F"/>
    <w:rsid w:val="00DD05FF"/>
    <w:rsid w:val="00DD0625"/>
    <w:rsid w:val="00DD068E"/>
    <w:rsid w:val="00DD06EA"/>
    <w:rsid w:val="00DD071D"/>
    <w:rsid w:val="00DD07B5"/>
    <w:rsid w:val="00DD08A9"/>
    <w:rsid w:val="00DD0955"/>
    <w:rsid w:val="00DD095B"/>
    <w:rsid w:val="00DD09FB"/>
    <w:rsid w:val="00DD0A31"/>
    <w:rsid w:val="00DD0A95"/>
    <w:rsid w:val="00DD0AEB"/>
    <w:rsid w:val="00DD0AEC"/>
    <w:rsid w:val="00DD0B51"/>
    <w:rsid w:val="00DD0B81"/>
    <w:rsid w:val="00DD0BD1"/>
    <w:rsid w:val="00DD0BE4"/>
    <w:rsid w:val="00DD0DCB"/>
    <w:rsid w:val="00DD0EAB"/>
    <w:rsid w:val="00DD0EF7"/>
    <w:rsid w:val="00DD0F83"/>
    <w:rsid w:val="00DD0FD7"/>
    <w:rsid w:val="00DD112C"/>
    <w:rsid w:val="00DD1152"/>
    <w:rsid w:val="00DD1224"/>
    <w:rsid w:val="00DD1225"/>
    <w:rsid w:val="00DD122F"/>
    <w:rsid w:val="00DD12B4"/>
    <w:rsid w:val="00DD12BF"/>
    <w:rsid w:val="00DD12D5"/>
    <w:rsid w:val="00DD13AF"/>
    <w:rsid w:val="00DD13B6"/>
    <w:rsid w:val="00DD142D"/>
    <w:rsid w:val="00DD1451"/>
    <w:rsid w:val="00DD1493"/>
    <w:rsid w:val="00DD156B"/>
    <w:rsid w:val="00DD15A0"/>
    <w:rsid w:val="00DD16D4"/>
    <w:rsid w:val="00DD16FB"/>
    <w:rsid w:val="00DD1707"/>
    <w:rsid w:val="00DD1782"/>
    <w:rsid w:val="00DD188B"/>
    <w:rsid w:val="00DD193E"/>
    <w:rsid w:val="00DD1983"/>
    <w:rsid w:val="00DD1995"/>
    <w:rsid w:val="00DD19D5"/>
    <w:rsid w:val="00DD19DF"/>
    <w:rsid w:val="00DD1AFC"/>
    <w:rsid w:val="00DD1B27"/>
    <w:rsid w:val="00DD1C0D"/>
    <w:rsid w:val="00DD1C4C"/>
    <w:rsid w:val="00DD1CE2"/>
    <w:rsid w:val="00DD1CF5"/>
    <w:rsid w:val="00DD1D23"/>
    <w:rsid w:val="00DD1D39"/>
    <w:rsid w:val="00DD1D6D"/>
    <w:rsid w:val="00DD1D7A"/>
    <w:rsid w:val="00DD1D9F"/>
    <w:rsid w:val="00DD1DAD"/>
    <w:rsid w:val="00DD1DD1"/>
    <w:rsid w:val="00DD1DED"/>
    <w:rsid w:val="00DD1F3D"/>
    <w:rsid w:val="00DD2042"/>
    <w:rsid w:val="00DD2062"/>
    <w:rsid w:val="00DD20A0"/>
    <w:rsid w:val="00DD20EA"/>
    <w:rsid w:val="00DD21AB"/>
    <w:rsid w:val="00DD21C7"/>
    <w:rsid w:val="00DD21E9"/>
    <w:rsid w:val="00DD224A"/>
    <w:rsid w:val="00DD22BB"/>
    <w:rsid w:val="00DD2352"/>
    <w:rsid w:val="00DD2370"/>
    <w:rsid w:val="00DD23AD"/>
    <w:rsid w:val="00DD23B1"/>
    <w:rsid w:val="00DD23B9"/>
    <w:rsid w:val="00DD2443"/>
    <w:rsid w:val="00DD2454"/>
    <w:rsid w:val="00DD2508"/>
    <w:rsid w:val="00DD2514"/>
    <w:rsid w:val="00DD25F0"/>
    <w:rsid w:val="00DD2642"/>
    <w:rsid w:val="00DD275E"/>
    <w:rsid w:val="00DD2815"/>
    <w:rsid w:val="00DD28BB"/>
    <w:rsid w:val="00DD295D"/>
    <w:rsid w:val="00DD2971"/>
    <w:rsid w:val="00DD29D5"/>
    <w:rsid w:val="00DD2ACE"/>
    <w:rsid w:val="00DD2B16"/>
    <w:rsid w:val="00DD2B54"/>
    <w:rsid w:val="00DD2C3A"/>
    <w:rsid w:val="00DD2D3D"/>
    <w:rsid w:val="00DD2D73"/>
    <w:rsid w:val="00DD2E90"/>
    <w:rsid w:val="00DD30D3"/>
    <w:rsid w:val="00DD31BD"/>
    <w:rsid w:val="00DD32C0"/>
    <w:rsid w:val="00DD3330"/>
    <w:rsid w:val="00DD33DD"/>
    <w:rsid w:val="00DD35EF"/>
    <w:rsid w:val="00DD3676"/>
    <w:rsid w:val="00DD36CA"/>
    <w:rsid w:val="00DD36EB"/>
    <w:rsid w:val="00DD3767"/>
    <w:rsid w:val="00DD377A"/>
    <w:rsid w:val="00DD37B5"/>
    <w:rsid w:val="00DD3865"/>
    <w:rsid w:val="00DD38AF"/>
    <w:rsid w:val="00DD3944"/>
    <w:rsid w:val="00DD3A74"/>
    <w:rsid w:val="00DD3A8F"/>
    <w:rsid w:val="00DD3AA5"/>
    <w:rsid w:val="00DD3ADA"/>
    <w:rsid w:val="00DD3B77"/>
    <w:rsid w:val="00DD3C17"/>
    <w:rsid w:val="00DD3C22"/>
    <w:rsid w:val="00DD3C54"/>
    <w:rsid w:val="00DD3C6E"/>
    <w:rsid w:val="00DD3ED9"/>
    <w:rsid w:val="00DD3FB2"/>
    <w:rsid w:val="00DD4061"/>
    <w:rsid w:val="00DD4097"/>
    <w:rsid w:val="00DD4173"/>
    <w:rsid w:val="00DD4278"/>
    <w:rsid w:val="00DD42A0"/>
    <w:rsid w:val="00DD43F2"/>
    <w:rsid w:val="00DD448F"/>
    <w:rsid w:val="00DD451F"/>
    <w:rsid w:val="00DD4558"/>
    <w:rsid w:val="00DD4613"/>
    <w:rsid w:val="00DD463B"/>
    <w:rsid w:val="00DD475F"/>
    <w:rsid w:val="00DD47C7"/>
    <w:rsid w:val="00DD47E5"/>
    <w:rsid w:val="00DD47EF"/>
    <w:rsid w:val="00DD4898"/>
    <w:rsid w:val="00DD48DA"/>
    <w:rsid w:val="00DD4A3F"/>
    <w:rsid w:val="00DD4AAA"/>
    <w:rsid w:val="00DD4AAF"/>
    <w:rsid w:val="00DD4B6D"/>
    <w:rsid w:val="00DD4B92"/>
    <w:rsid w:val="00DD4BF9"/>
    <w:rsid w:val="00DD4C0B"/>
    <w:rsid w:val="00DD4C55"/>
    <w:rsid w:val="00DD4CF0"/>
    <w:rsid w:val="00DD4D4A"/>
    <w:rsid w:val="00DD4D77"/>
    <w:rsid w:val="00DD4DC5"/>
    <w:rsid w:val="00DD4E4E"/>
    <w:rsid w:val="00DD4EDE"/>
    <w:rsid w:val="00DD4EE5"/>
    <w:rsid w:val="00DD4F6B"/>
    <w:rsid w:val="00DD4FD5"/>
    <w:rsid w:val="00DD5002"/>
    <w:rsid w:val="00DD5094"/>
    <w:rsid w:val="00DD5208"/>
    <w:rsid w:val="00DD5209"/>
    <w:rsid w:val="00DD520C"/>
    <w:rsid w:val="00DD5314"/>
    <w:rsid w:val="00DD5361"/>
    <w:rsid w:val="00DD53F1"/>
    <w:rsid w:val="00DD5480"/>
    <w:rsid w:val="00DD54DA"/>
    <w:rsid w:val="00DD5511"/>
    <w:rsid w:val="00DD55A9"/>
    <w:rsid w:val="00DD55C9"/>
    <w:rsid w:val="00DD5657"/>
    <w:rsid w:val="00DD5696"/>
    <w:rsid w:val="00DD56CE"/>
    <w:rsid w:val="00DD56D1"/>
    <w:rsid w:val="00DD57B7"/>
    <w:rsid w:val="00DD5811"/>
    <w:rsid w:val="00DD5814"/>
    <w:rsid w:val="00DD5844"/>
    <w:rsid w:val="00DD5848"/>
    <w:rsid w:val="00DD587A"/>
    <w:rsid w:val="00DD5971"/>
    <w:rsid w:val="00DD59E9"/>
    <w:rsid w:val="00DD5A37"/>
    <w:rsid w:val="00DD5AC3"/>
    <w:rsid w:val="00DD5B0C"/>
    <w:rsid w:val="00DD5BC5"/>
    <w:rsid w:val="00DD5C24"/>
    <w:rsid w:val="00DD5C2C"/>
    <w:rsid w:val="00DD5C74"/>
    <w:rsid w:val="00DD5D76"/>
    <w:rsid w:val="00DD5E7C"/>
    <w:rsid w:val="00DD5EA1"/>
    <w:rsid w:val="00DD5EEF"/>
    <w:rsid w:val="00DD5FBB"/>
    <w:rsid w:val="00DD5FEC"/>
    <w:rsid w:val="00DD60BA"/>
    <w:rsid w:val="00DD61B3"/>
    <w:rsid w:val="00DD61B6"/>
    <w:rsid w:val="00DD61DC"/>
    <w:rsid w:val="00DD6214"/>
    <w:rsid w:val="00DD627B"/>
    <w:rsid w:val="00DD62EB"/>
    <w:rsid w:val="00DD6364"/>
    <w:rsid w:val="00DD63C0"/>
    <w:rsid w:val="00DD6471"/>
    <w:rsid w:val="00DD6532"/>
    <w:rsid w:val="00DD6578"/>
    <w:rsid w:val="00DD65B2"/>
    <w:rsid w:val="00DD6601"/>
    <w:rsid w:val="00DD6666"/>
    <w:rsid w:val="00DD672B"/>
    <w:rsid w:val="00DD6732"/>
    <w:rsid w:val="00DD67EE"/>
    <w:rsid w:val="00DD681F"/>
    <w:rsid w:val="00DD683D"/>
    <w:rsid w:val="00DD68B7"/>
    <w:rsid w:val="00DD68E6"/>
    <w:rsid w:val="00DD68EF"/>
    <w:rsid w:val="00DD6B9C"/>
    <w:rsid w:val="00DD6CCA"/>
    <w:rsid w:val="00DD6D82"/>
    <w:rsid w:val="00DD6D9C"/>
    <w:rsid w:val="00DD6E73"/>
    <w:rsid w:val="00DD6EA2"/>
    <w:rsid w:val="00DD6F34"/>
    <w:rsid w:val="00DD701E"/>
    <w:rsid w:val="00DD7030"/>
    <w:rsid w:val="00DD7054"/>
    <w:rsid w:val="00DD705B"/>
    <w:rsid w:val="00DD7156"/>
    <w:rsid w:val="00DD72B2"/>
    <w:rsid w:val="00DD72C5"/>
    <w:rsid w:val="00DD7432"/>
    <w:rsid w:val="00DD74A9"/>
    <w:rsid w:val="00DD74AB"/>
    <w:rsid w:val="00DD74AF"/>
    <w:rsid w:val="00DD755A"/>
    <w:rsid w:val="00DD75F4"/>
    <w:rsid w:val="00DD76FB"/>
    <w:rsid w:val="00DD7791"/>
    <w:rsid w:val="00DD7811"/>
    <w:rsid w:val="00DD785F"/>
    <w:rsid w:val="00DD78E6"/>
    <w:rsid w:val="00DD7963"/>
    <w:rsid w:val="00DD7981"/>
    <w:rsid w:val="00DD7B14"/>
    <w:rsid w:val="00DD7B84"/>
    <w:rsid w:val="00DD7BD8"/>
    <w:rsid w:val="00DD7BE0"/>
    <w:rsid w:val="00DD7CB4"/>
    <w:rsid w:val="00DD7CFC"/>
    <w:rsid w:val="00DD7D62"/>
    <w:rsid w:val="00DD7DC1"/>
    <w:rsid w:val="00DD7E90"/>
    <w:rsid w:val="00DE000C"/>
    <w:rsid w:val="00DE005E"/>
    <w:rsid w:val="00DE005F"/>
    <w:rsid w:val="00DE0095"/>
    <w:rsid w:val="00DE016F"/>
    <w:rsid w:val="00DE021B"/>
    <w:rsid w:val="00DE0234"/>
    <w:rsid w:val="00DE028D"/>
    <w:rsid w:val="00DE02CC"/>
    <w:rsid w:val="00DE0327"/>
    <w:rsid w:val="00DE0352"/>
    <w:rsid w:val="00DE03D7"/>
    <w:rsid w:val="00DE0422"/>
    <w:rsid w:val="00DE0497"/>
    <w:rsid w:val="00DE04B3"/>
    <w:rsid w:val="00DE05AD"/>
    <w:rsid w:val="00DE065A"/>
    <w:rsid w:val="00DE073A"/>
    <w:rsid w:val="00DE078C"/>
    <w:rsid w:val="00DE07D6"/>
    <w:rsid w:val="00DE0A66"/>
    <w:rsid w:val="00DE0A6F"/>
    <w:rsid w:val="00DE0AA6"/>
    <w:rsid w:val="00DE0ABA"/>
    <w:rsid w:val="00DE0AD2"/>
    <w:rsid w:val="00DE0B9F"/>
    <w:rsid w:val="00DE0BD8"/>
    <w:rsid w:val="00DE0C17"/>
    <w:rsid w:val="00DE0CA1"/>
    <w:rsid w:val="00DE0CED"/>
    <w:rsid w:val="00DE0D68"/>
    <w:rsid w:val="00DE0ED7"/>
    <w:rsid w:val="00DE0F06"/>
    <w:rsid w:val="00DE0F31"/>
    <w:rsid w:val="00DE0FF8"/>
    <w:rsid w:val="00DE107B"/>
    <w:rsid w:val="00DE11C5"/>
    <w:rsid w:val="00DE1200"/>
    <w:rsid w:val="00DE1307"/>
    <w:rsid w:val="00DE1317"/>
    <w:rsid w:val="00DE1367"/>
    <w:rsid w:val="00DE1381"/>
    <w:rsid w:val="00DE1471"/>
    <w:rsid w:val="00DE1483"/>
    <w:rsid w:val="00DE15B8"/>
    <w:rsid w:val="00DE171B"/>
    <w:rsid w:val="00DE1735"/>
    <w:rsid w:val="00DE184F"/>
    <w:rsid w:val="00DE1887"/>
    <w:rsid w:val="00DE18F3"/>
    <w:rsid w:val="00DE1906"/>
    <w:rsid w:val="00DE1943"/>
    <w:rsid w:val="00DE1A4B"/>
    <w:rsid w:val="00DE1B1A"/>
    <w:rsid w:val="00DE1B90"/>
    <w:rsid w:val="00DE1C79"/>
    <w:rsid w:val="00DE1CDE"/>
    <w:rsid w:val="00DE1D12"/>
    <w:rsid w:val="00DE1D5D"/>
    <w:rsid w:val="00DE1E03"/>
    <w:rsid w:val="00DE1E14"/>
    <w:rsid w:val="00DE1E31"/>
    <w:rsid w:val="00DE1E4A"/>
    <w:rsid w:val="00DE1E4B"/>
    <w:rsid w:val="00DE1E50"/>
    <w:rsid w:val="00DE205F"/>
    <w:rsid w:val="00DE23C8"/>
    <w:rsid w:val="00DE257F"/>
    <w:rsid w:val="00DE25C3"/>
    <w:rsid w:val="00DE2624"/>
    <w:rsid w:val="00DE26C5"/>
    <w:rsid w:val="00DE2716"/>
    <w:rsid w:val="00DE2800"/>
    <w:rsid w:val="00DE2933"/>
    <w:rsid w:val="00DE293B"/>
    <w:rsid w:val="00DE2B1D"/>
    <w:rsid w:val="00DE2BE6"/>
    <w:rsid w:val="00DE2BEF"/>
    <w:rsid w:val="00DE2BFE"/>
    <w:rsid w:val="00DE2C51"/>
    <w:rsid w:val="00DE2CF0"/>
    <w:rsid w:val="00DE2D3A"/>
    <w:rsid w:val="00DE2DF2"/>
    <w:rsid w:val="00DE2E94"/>
    <w:rsid w:val="00DE2FB8"/>
    <w:rsid w:val="00DE308D"/>
    <w:rsid w:val="00DE313D"/>
    <w:rsid w:val="00DE3296"/>
    <w:rsid w:val="00DE336C"/>
    <w:rsid w:val="00DE33EF"/>
    <w:rsid w:val="00DE3440"/>
    <w:rsid w:val="00DE34A5"/>
    <w:rsid w:val="00DE34D2"/>
    <w:rsid w:val="00DE3640"/>
    <w:rsid w:val="00DE374F"/>
    <w:rsid w:val="00DE37BD"/>
    <w:rsid w:val="00DE38A9"/>
    <w:rsid w:val="00DE3913"/>
    <w:rsid w:val="00DE3935"/>
    <w:rsid w:val="00DE39FD"/>
    <w:rsid w:val="00DE3A7F"/>
    <w:rsid w:val="00DE3B73"/>
    <w:rsid w:val="00DE3BFE"/>
    <w:rsid w:val="00DE3C40"/>
    <w:rsid w:val="00DE3D5D"/>
    <w:rsid w:val="00DE3DFE"/>
    <w:rsid w:val="00DE3E0B"/>
    <w:rsid w:val="00DE3EBA"/>
    <w:rsid w:val="00DE3F2F"/>
    <w:rsid w:val="00DE3FDE"/>
    <w:rsid w:val="00DE3FE4"/>
    <w:rsid w:val="00DE3FF8"/>
    <w:rsid w:val="00DE41DE"/>
    <w:rsid w:val="00DE41FF"/>
    <w:rsid w:val="00DE4335"/>
    <w:rsid w:val="00DE4358"/>
    <w:rsid w:val="00DE454E"/>
    <w:rsid w:val="00DE4696"/>
    <w:rsid w:val="00DE47B9"/>
    <w:rsid w:val="00DE47FE"/>
    <w:rsid w:val="00DE47FF"/>
    <w:rsid w:val="00DE487B"/>
    <w:rsid w:val="00DE4901"/>
    <w:rsid w:val="00DE4910"/>
    <w:rsid w:val="00DE4937"/>
    <w:rsid w:val="00DE4970"/>
    <w:rsid w:val="00DE4991"/>
    <w:rsid w:val="00DE4992"/>
    <w:rsid w:val="00DE49E1"/>
    <w:rsid w:val="00DE4ABE"/>
    <w:rsid w:val="00DE4AF8"/>
    <w:rsid w:val="00DE4B35"/>
    <w:rsid w:val="00DE4C24"/>
    <w:rsid w:val="00DE4D6C"/>
    <w:rsid w:val="00DE4D8B"/>
    <w:rsid w:val="00DE4DC2"/>
    <w:rsid w:val="00DE4DFF"/>
    <w:rsid w:val="00DE4F3A"/>
    <w:rsid w:val="00DE4FFE"/>
    <w:rsid w:val="00DE5020"/>
    <w:rsid w:val="00DE502B"/>
    <w:rsid w:val="00DE50C5"/>
    <w:rsid w:val="00DE5102"/>
    <w:rsid w:val="00DE51BA"/>
    <w:rsid w:val="00DE51E6"/>
    <w:rsid w:val="00DE531E"/>
    <w:rsid w:val="00DE5355"/>
    <w:rsid w:val="00DE5367"/>
    <w:rsid w:val="00DE5388"/>
    <w:rsid w:val="00DE53E0"/>
    <w:rsid w:val="00DE53F2"/>
    <w:rsid w:val="00DE5521"/>
    <w:rsid w:val="00DE552F"/>
    <w:rsid w:val="00DE5570"/>
    <w:rsid w:val="00DE55A2"/>
    <w:rsid w:val="00DE55ED"/>
    <w:rsid w:val="00DE561A"/>
    <w:rsid w:val="00DE5665"/>
    <w:rsid w:val="00DE5871"/>
    <w:rsid w:val="00DE588B"/>
    <w:rsid w:val="00DE5899"/>
    <w:rsid w:val="00DE5917"/>
    <w:rsid w:val="00DE5964"/>
    <w:rsid w:val="00DE596A"/>
    <w:rsid w:val="00DE5970"/>
    <w:rsid w:val="00DE5AD8"/>
    <w:rsid w:val="00DE5B53"/>
    <w:rsid w:val="00DE5C2B"/>
    <w:rsid w:val="00DE5C43"/>
    <w:rsid w:val="00DE5CAE"/>
    <w:rsid w:val="00DE5CB0"/>
    <w:rsid w:val="00DE5CD0"/>
    <w:rsid w:val="00DE5D40"/>
    <w:rsid w:val="00DE5DD5"/>
    <w:rsid w:val="00DE5E47"/>
    <w:rsid w:val="00DE5E81"/>
    <w:rsid w:val="00DE5E8E"/>
    <w:rsid w:val="00DE5E9F"/>
    <w:rsid w:val="00DE5EE6"/>
    <w:rsid w:val="00DE5FAC"/>
    <w:rsid w:val="00DE5FD9"/>
    <w:rsid w:val="00DE612C"/>
    <w:rsid w:val="00DE619F"/>
    <w:rsid w:val="00DE61E9"/>
    <w:rsid w:val="00DE630C"/>
    <w:rsid w:val="00DE636C"/>
    <w:rsid w:val="00DE64BE"/>
    <w:rsid w:val="00DE64D5"/>
    <w:rsid w:val="00DE6643"/>
    <w:rsid w:val="00DE66DC"/>
    <w:rsid w:val="00DE676C"/>
    <w:rsid w:val="00DE67FB"/>
    <w:rsid w:val="00DE6827"/>
    <w:rsid w:val="00DE6865"/>
    <w:rsid w:val="00DE688E"/>
    <w:rsid w:val="00DE68FE"/>
    <w:rsid w:val="00DE6912"/>
    <w:rsid w:val="00DE6920"/>
    <w:rsid w:val="00DE69E8"/>
    <w:rsid w:val="00DE6AA3"/>
    <w:rsid w:val="00DE6AF5"/>
    <w:rsid w:val="00DE6B0E"/>
    <w:rsid w:val="00DE6BD1"/>
    <w:rsid w:val="00DE6C89"/>
    <w:rsid w:val="00DE6EEB"/>
    <w:rsid w:val="00DE6F31"/>
    <w:rsid w:val="00DE7105"/>
    <w:rsid w:val="00DE72F0"/>
    <w:rsid w:val="00DE7334"/>
    <w:rsid w:val="00DE7352"/>
    <w:rsid w:val="00DE743D"/>
    <w:rsid w:val="00DE74DA"/>
    <w:rsid w:val="00DE752B"/>
    <w:rsid w:val="00DE760A"/>
    <w:rsid w:val="00DE7616"/>
    <w:rsid w:val="00DE766D"/>
    <w:rsid w:val="00DE7684"/>
    <w:rsid w:val="00DE76ED"/>
    <w:rsid w:val="00DE7744"/>
    <w:rsid w:val="00DE774F"/>
    <w:rsid w:val="00DE7776"/>
    <w:rsid w:val="00DE7875"/>
    <w:rsid w:val="00DE7878"/>
    <w:rsid w:val="00DE7975"/>
    <w:rsid w:val="00DE7A57"/>
    <w:rsid w:val="00DE7B10"/>
    <w:rsid w:val="00DE7BBC"/>
    <w:rsid w:val="00DE7C8F"/>
    <w:rsid w:val="00DE7CF6"/>
    <w:rsid w:val="00DE7D6C"/>
    <w:rsid w:val="00DE7E31"/>
    <w:rsid w:val="00DE7E57"/>
    <w:rsid w:val="00DE7E93"/>
    <w:rsid w:val="00DE7F24"/>
    <w:rsid w:val="00DE7F97"/>
    <w:rsid w:val="00DF0015"/>
    <w:rsid w:val="00DF002E"/>
    <w:rsid w:val="00DF007B"/>
    <w:rsid w:val="00DF00A9"/>
    <w:rsid w:val="00DF00CB"/>
    <w:rsid w:val="00DF0160"/>
    <w:rsid w:val="00DF01E8"/>
    <w:rsid w:val="00DF02EE"/>
    <w:rsid w:val="00DF034E"/>
    <w:rsid w:val="00DF0373"/>
    <w:rsid w:val="00DF0454"/>
    <w:rsid w:val="00DF04DD"/>
    <w:rsid w:val="00DF0520"/>
    <w:rsid w:val="00DF05CA"/>
    <w:rsid w:val="00DF05F1"/>
    <w:rsid w:val="00DF06C8"/>
    <w:rsid w:val="00DF0708"/>
    <w:rsid w:val="00DF072A"/>
    <w:rsid w:val="00DF0753"/>
    <w:rsid w:val="00DF0817"/>
    <w:rsid w:val="00DF0933"/>
    <w:rsid w:val="00DF0981"/>
    <w:rsid w:val="00DF0994"/>
    <w:rsid w:val="00DF0B3C"/>
    <w:rsid w:val="00DF0B4F"/>
    <w:rsid w:val="00DF0B76"/>
    <w:rsid w:val="00DF0B90"/>
    <w:rsid w:val="00DF0EF8"/>
    <w:rsid w:val="00DF0F07"/>
    <w:rsid w:val="00DF0F2B"/>
    <w:rsid w:val="00DF109C"/>
    <w:rsid w:val="00DF113A"/>
    <w:rsid w:val="00DF12A8"/>
    <w:rsid w:val="00DF1313"/>
    <w:rsid w:val="00DF13ED"/>
    <w:rsid w:val="00DF1401"/>
    <w:rsid w:val="00DF1405"/>
    <w:rsid w:val="00DF14E1"/>
    <w:rsid w:val="00DF14FF"/>
    <w:rsid w:val="00DF158B"/>
    <w:rsid w:val="00DF160C"/>
    <w:rsid w:val="00DF1730"/>
    <w:rsid w:val="00DF1803"/>
    <w:rsid w:val="00DF1854"/>
    <w:rsid w:val="00DF18D5"/>
    <w:rsid w:val="00DF18ED"/>
    <w:rsid w:val="00DF1947"/>
    <w:rsid w:val="00DF19B9"/>
    <w:rsid w:val="00DF1A04"/>
    <w:rsid w:val="00DF1A9C"/>
    <w:rsid w:val="00DF1B60"/>
    <w:rsid w:val="00DF1B8F"/>
    <w:rsid w:val="00DF1B9C"/>
    <w:rsid w:val="00DF1C43"/>
    <w:rsid w:val="00DF1D89"/>
    <w:rsid w:val="00DF1D8A"/>
    <w:rsid w:val="00DF1FE4"/>
    <w:rsid w:val="00DF1FEC"/>
    <w:rsid w:val="00DF2053"/>
    <w:rsid w:val="00DF2119"/>
    <w:rsid w:val="00DF2136"/>
    <w:rsid w:val="00DF2185"/>
    <w:rsid w:val="00DF21A1"/>
    <w:rsid w:val="00DF237F"/>
    <w:rsid w:val="00DF2408"/>
    <w:rsid w:val="00DF247F"/>
    <w:rsid w:val="00DF24C9"/>
    <w:rsid w:val="00DF2663"/>
    <w:rsid w:val="00DF270B"/>
    <w:rsid w:val="00DF2782"/>
    <w:rsid w:val="00DF27CD"/>
    <w:rsid w:val="00DF28C3"/>
    <w:rsid w:val="00DF2908"/>
    <w:rsid w:val="00DF2994"/>
    <w:rsid w:val="00DF29DB"/>
    <w:rsid w:val="00DF2A34"/>
    <w:rsid w:val="00DF2C68"/>
    <w:rsid w:val="00DF2D90"/>
    <w:rsid w:val="00DF2D93"/>
    <w:rsid w:val="00DF2DB6"/>
    <w:rsid w:val="00DF2ED5"/>
    <w:rsid w:val="00DF2F3A"/>
    <w:rsid w:val="00DF30A8"/>
    <w:rsid w:val="00DF3192"/>
    <w:rsid w:val="00DF3334"/>
    <w:rsid w:val="00DF335B"/>
    <w:rsid w:val="00DF3384"/>
    <w:rsid w:val="00DF34D7"/>
    <w:rsid w:val="00DF351A"/>
    <w:rsid w:val="00DF3534"/>
    <w:rsid w:val="00DF3621"/>
    <w:rsid w:val="00DF380B"/>
    <w:rsid w:val="00DF3819"/>
    <w:rsid w:val="00DF386D"/>
    <w:rsid w:val="00DF3930"/>
    <w:rsid w:val="00DF393F"/>
    <w:rsid w:val="00DF3B90"/>
    <w:rsid w:val="00DF3BB5"/>
    <w:rsid w:val="00DF3C14"/>
    <w:rsid w:val="00DF3C88"/>
    <w:rsid w:val="00DF3CF8"/>
    <w:rsid w:val="00DF3D9D"/>
    <w:rsid w:val="00DF3DEF"/>
    <w:rsid w:val="00DF3EF8"/>
    <w:rsid w:val="00DF406C"/>
    <w:rsid w:val="00DF40CA"/>
    <w:rsid w:val="00DF416C"/>
    <w:rsid w:val="00DF419F"/>
    <w:rsid w:val="00DF41AD"/>
    <w:rsid w:val="00DF43BB"/>
    <w:rsid w:val="00DF4644"/>
    <w:rsid w:val="00DF468A"/>
    <w:rsid w:val="00DF46BC"/>
    <w:rsid w:val="00DF46C1"/>
    <w:rsid w:val="00DF46E5"/>
    <w:rsid w:val="00DF4778"/>
    <w:rsid w:val="00DF47A1"/>
    <w:rsid w:val="00DF488B"/>
    <w:rsid w:val="00DF4910"/>
    <w:rsid w:val="00DF4924"/>
    <w:rsid w:val="00DF4AA5"/>
    <w:rsid w:val="00DF4B37"/>
    <w:rsid w:val="00DF4C2C"/>
    <w:rsid w:val="00DF4C9F"/>
    <w:rsid w:val="00DF4CBE"/>
    <w:rsid w:val="00DF4D33"/>
    <w:rsid w:val="00DF4DB1"/>
    <w:rsid w:val="00DF4E70"/>
    <w:rsid w:val="00DF4E96"/>
    <w:rsid w:val="00DF4E9E"/>
    <w:rsid w:val="00DF4EAE"/>
    <w:rsid w:val="00DF4EDF"/>
    <w:rsid w:val="00DF4F38"/>
    <w:rsid w:val="00DF505B"/>
    <w:rsid w:val="00DF5097"/>
    <w:rsid w:val="00DF509B"/>
    <w:rsid w:val="00DF5120"/>
    <w:rsid w:val="00DF5138"/>
    <w:rsid w:val="00DF5150"/>
    <w:rsid w:val="00DF5212"/>
    <w:rsid w:val="00DF527A"/>
    <w:rsid w:val="00DF5369"/>
    <w:rsid w:val="00DF5469"/>
    <w:rsid w:val="00DF54AE"/>
    <w:rsid w:val="00DF58D7"/>
    <w:rsid w:val="00DF598D"/>
    <w:rsid w:val="00DF5A46"/>
    <w:rsid w:val="00DF5ACF"/>
    <w:rsid w:val="00DF5AE1"/>
    <w:rsid w:val="00DF5B07"/>
    <w:rsid w:val="00DF5B91"/>
    <w:rsid w:val="00DF5CA8"/>
    <w:rsid w:val="00DF5CC3"/>
    <w:rsid w:val="00DF5D0D"/>
    <w:rsid w:val="00DF5DD1"/>
    <w:rsid w:val="00DF5E1D"/>
    <w:rsid w:val="00DF5E81"/>
    <w:rsid w:val="00DF5E99"/>
    <w:rsid w:val="00DF5F24"/>
    <w:rsid w:val="00DF5F3F"/>
    <w:rsid w:val="00DF5F51"/>
    <w:rsid w:val="00DF5F65"/>
    <w:rsid w:val="00DF5F8D"/>
    <w:rsid w:val="00DF5FF7"/>
    <w:rsid w:val="00DF609B"/>
    <w:rsid w:val="00DF61A8"/>
    <w:rsid w:val="00DF61DF"/>
    <w:rsid w:val="00DF6206"/>
    <w:rsid w:val="00DF62DE"/>
    <w:rsid w:val="00DF62FA"/>
    <w:rsid w:val="00DF63A7"/>
    <w:rsid w:val="00DF63B9"/>
    <w:rsid w:val="00DF647B"/>
    <w:rsid w:val="00DF64C9"/>
    <w:rsid w:val="00DF65A7"/>
    <w:rsid w:val="00DF6657"/>
    <w:rsid w:val="00DF666D"/>
    <w:rsid w:val="00DF6700"/>
    <w:rsid w:val="00DF6786"/>
    <w:rsid w:val="00DF67B8"/>
    <w:rsid w:val="00DF6832"/>
    <w:rsid w:val="00DF68A0"/>
    <w:rsid w:val="00DF68BF"/>
    <w:rsid w:val="00DF68E0"/>
    <w:rsid w:val="00DF6A31"/>
    <w:rsid w:val="00DF6A53"/>
    <w:rsid w:val="00DF6A81"/>
    <w:rsid w:val="00DF6B02"/>
    <w:rsid w:val="00DF6CBC"/>
    <w:rsid w:val="00DF6E3C"/>
    <w:rsid w:val="00DF6EC9"/>
    <w:rsid w:val="00DF6F0B"/>
    <w:rsid w:val="00DF6F2A"/>
    <w:rsid w:val="00DF6F2E"/>
    <w:rsid w:val="00DF6F52"/>
    <w:rsid w:val="00DF6FBA"/>
    <w:rsid w:val="00DF70AD"/>
    <w:rsid w:val="00DF7231"/>
    <w:rsid w:val="00DF72D6"/>
    <w:rsid w:val="00DF7450"/>
    <w:rsid w:val="00DF746C"/>
    <w:rsid w:val="00DF74EC"/>
    <w:rsid w:val="00DF7692"/>
    <w:rsid w:val="00DF78D1"/>
    <w:rsid w:val="00DF7921"/>
    <w:rsid w:val="00DF797B"/>
    <w:rsid w:val="00DF79B8"/>
    <w:rsid w:val="00DF79E7"/>
    <w:rsid w:val="00DF79E9"/>
    <w:rsid w:val="00DF79F8"/>
    <w:rsid w:val="00DF7A0E"/>
    <w:rsid w:val="00DF7AC7"/>
    <w:rsid w:val="00DF7B97"/>
    <w:rsid w:val="00DF7BAD"/>
    <w:rsid w:val="00DF7CF1"/>
    <w:rsid w:val="00DF7DDF"/>
    <w:rsid w:val="00DF7E64"/>
    <w:rsid w:val="00DF7E91"/>
    <w:rsid w:val="00DF7ED6"/>
    <w:rsid w:val="00DF7FE2"/>
    <w:rsid w:val="00E00041"/>
    <w:rsid w:val="00E001E9"/>
    <w:rsid w:val="00E00313"/>
    <w:rsid w:val="00E00324"/>
    <w:rsid w:val="00E0036D"/>
    <w:rsid w:val="00E004AB"/>
    <w:rsid w:val="00E004CD"/>
    <w:rsid w:val="00E004EB"/>
    <w:rsid w:val="00E00521"/>
    <w:rsid w:val="00E00527"/>
    <w:rsid w:val="00E005DE"/>
    <w:rsid w:val="00E005E0"/>
    <w:rsid w:val="00E0065C"/>
    <w:rsid w:val="00E0065D"/>
    <w:rsid w:val="00E00687"/>
    <w:rsid w:val="00E00729"/>
    <w:rsid w:val="00E0076E"/>
    <w:rsid w:val="00E007E9"/>
    <w:rsid w:val="00E00950"/>
    <w:rsid w:val="00E0098D"/>
    <w:rsid w:val="00E00A9B"/>
    <w:rsid w:val="00E00B03"/>
    <w:rsid w:val="00E00BDF"/>
    <w:rsid w:val="00E00C30"/>
    <w:rsid w:val="00E00C40"/>
    <w:rsid w:val="00E00D17"/>
    <w:rsid w:val="00E00D4C"/>
    <w:rsid w:val="00E00D4E"/>
    <w:rsid w:val="00E00D80"/>
    <w:rsid w:val="00E00E97"/>
    <w:rsid w:val="00E00F0C"/>
    <w:rsid w:val="00E00F2E"/>
    <w:rsid w:val="00E00F4E"/>
    <w:rsid w:val="00E0104B"/>
    <w:rsid w:val="00E010BB"/>
    <w:rsid w:val="00E01131"/>
    <w:rsid w:val="00E012B4"/>
    <w:rsid w:val="00E014D6"/>
    <w:rsid w:val="00E014D8"/>
    <w:rsid w:val="00E0150F"/>
    <w:rsid w:val="00E0152C"/>
    <w:rsid w:val="00E01554"/>
    <w:rsid w:val="00E0156E"/>
    <w:rsid w:val="00E0161E"/>
    <w:rsid w:val="00E0165A"/>
    <w:rsid w:val="00E016D5"/>
    <w:rsid w:val="00E01835"/>
    <w:rsid w:val="00E01871"/>
    <w:rsid w:val="00E01872"/>
    <w:rsid w:val="00E018C1"/>
    <w:rsid w:val="00E018D1"/>
    <w:rsid w:val="00E01901"/>
    <w:rsid w:val="00E0197C"/>
    <w:rsid w:val="00E019E7"/>
    <w:rsid w:val="00E01ABB"/>
    <w:rsid w:val="00E01AD8"/>
    <w:rsid w:val="00E01ADF"/>
    <w:rsid w:val="00E01AED"/>
    <w:rsid w:val="00E01B44"/>
    <w:rsid w:val="00E01C77"/>
    <w:rsid w:val="00E01CA6"/>
    <w:rsid w:val="00E01D42"/>
    <w:rsid w:val="00E01E14"/>
    <w:rsid w:val="00E01E5C"/>
    <w:rsid w:val="00E01ED6"/>
    <w:rsid w:val="00E02018"/>
    <w:rsid w:val="00E020B3"/>
    <w:rsid w:val="00E020EF"/>
    <w:rsid w:val="00E02148"/>
    <w:rsid w:val="00E022FF"/>
    <w:rsid w:val="00E0232A"/>
    <w:rsid w:val="00E0234F"/>
    <w:rsid w:val="00E023AE"/>
    <w:rsid w:val="00E0240D"/>
    <w:rsid w:val="00E02600"/>
    <w:rsid w:val="00E02603"/>
    <w:rsid w:val="00E02643"/>
    <w:rsid w:val="00E0266B"/>
    <w:rsid w:val="00E0270E"/>
    <w:rsid w:val="00E02757"/>
    <w:rsid w:val="00E0279F"/>
    <w:rsid w:val="00E027A8"/>
    <w:rsid w:val="00E02813"/>
    <w:rsid w:val="00E02880"/>
    <w:rsid w:val="00E02888"/>
    <w:rsid w:val="00E029A6"/>
    <w:rsid w:val="00E029D5"/>
    <w:rsid w:val="00E029DA"/>
    <w:rsid w:val="00E029DB"/>
    <w:rsid w:val="00E02AD9"/>
    <w:rsid w:val="00E02B0F"/>
    <w:rsid w:val="00E02B10"/>
    <w:rsid w:val="00E02BF3"/>
    <w:rsid w:val="00E02C8C"/>
    <w:rsid w:val="00E02CAF"/>
    <w:rsid w:val="00E02CDB"/>
    <w:rsid w:val="00E02D35"/>
    <w:rsid w:val="00E02EBB"/>
    <w:rsid w:val="00E02EEF"/>
    <w:rsid w:val="00E02F2D"/>
    <w:rsid w:val="00E02F61"/>
    <w:rsid w:val="00E02F63"/>
    <w:rsid w:val="00E02FC1"/>
    <w:rsid w:val="00E02FDA"/>
    <w:rsid w:val="00E02FDF"/>
    <w:rsid w:val="00E03029"/>
    <w:rsid w:val="00E03058"/>
    <w:rsid w:val="00E0306E"/>
    <w:rsid w:val="00E030C1"/>
    <w:rsid w:val="00E030D3"/>
    <w:rsid w:val="00E03147"/>
    <w:rsid w:val="00E031A2"/>
    <w:rsid w:val="00E031F9"/>
    <w:rsid w:val="00E032F5"/>
    <w:rsid w:val="00E03370"/>
    <w:rsid w:val="00E0338E"/>
    <w:rsid w:val="00E0339A"/>
    <w:rsid w:val="00E033C2"/>
    <w:rsid w:val="00E03526"/>
    <w:rsid w:val="00E03633"/>
    <w:rsid w:val="00E0366B"/>
    <w:rsid w:val="00E036B8"/>
    <w:rsid w:val="00E036D5"/>
    <w:rsid w:val="00E036EF"/>
    <w:rsid w:val="00E036FB"/>
    <w:rsid w:val="00E03718"/>
    <w:rsid w:val="00E0371F"/>
    <w:rsid w:val="00E037F9"/>
    <w:rsid w:val="00E0380F"/>
    <w:rsid w:val="00E03A7D"/>
    <w:rsid w:val="00E03AA2"/>
    <w:rsid w:val="00E03B57"/>
    <w:rsid w:val="00E03B92"/>
    <w:rsid w:val="00E03C18"/>
    <w:rsid w:val="00E03C83"/>
    <w:rsid w:val="00E03C84"/>
    <w:rsid w:val="00E03CD4"/>
    <w:rsid w:val="00E03D1A"/>
    <w:rsid w:val="00E03D61"/>
    <w:rsid w:val="00E03E0C"/>
    <w:rsid w:val="00E03ED4"/>
    <w:rsid w:val="00E03F3C"/>
    <w:rsid w:val="00E03F5B"/>
    <w:rsid w:val="00E03F6B"/>
    <w:rsid w:val="00E03F6F"/>
    <w:rsid w:val="00E0400D"/>
    <w:rsid w:val="00E0403E"/>
    <w:rsid w:val="00E04056"/>
    <w:rsid w:val="00E0418E"/>
    <w:rsid w:val="00E042E1"/>
    <w:rsid w:val="00E04309"/>
    <w:rsid w:val="00E043A5"/>
    <w:rsid w:val="00E044B9"/>
    <w:rsid w:val="00E044DE"/>
    <w:rsid w:val="00E04642"/>
    <w:rsid w:val="00E047E7"/>
    <w:rsid w:val="00E04A62"/>
    <w:rsid w:val="00E04AF4"/>
    <w:rsid w:val="00E04AF9"/>
    <w:rsid w:val="00E04B4E"/>
    <w:rsid w:val="00E04B93"/>
    <w:rsid w:val="00E04BFB"/>
    <w:rsid w:val="00E04C24"/>
    <w:rsid w:val="00E04C66"/>
    <w:rsid w:val="00E04C91"/>
    <w:rsid w:val="00E04CB7"/>
    <w:rsid w:val="00E04CF4"/>
    <w:rsid w:val="00E04D87"/>
    <w:rsid w:val="00E04EEF"/>
    <w:rsid w:val="00E04F35"/>
    <w:rsid w:val="00E04FDE"/>
    <w:rsid w:val="00E0502C"/>
    <w:rsid w:val="00E050F0"/>
    <w:rsid w:val="00E051F7"/>
    <w:rsid w:val="00E05209"/>
    <w:rsid w:val="00E05222"/>
    <w:rsid w:val="00E052EB"/>
    <w:rsid w:val="00E053B8"/>
    <w:rsid w:val="00E053B9"/>
    <w:rsid w:val="00E05411"/>
    <w:rsid w:val="00E054B9"/>
    <w:rsid w:val="00E054BE"/>
    <w:rsid w:val="00E054EE"/>
    <w:rsid w:val="00E054F2"/>
    <w:rsid w:val="00E054F3"/>
    <w:rsid w:val="00E055B1"/>
    <w:rsid w:val="00E055F2"/>
    <w:rsid w:val="00E05754"/>
    <w:rsid w:val="00E0584C"/>
    <w:rsid w:val="00E05879"/>
    <w:rsid w:val="00E0588E"/>
    <w:rsid w:val="00E0589D"/>
    <w:rsid w:val="00E058A6"/>
    <w:rsid w:val="00E05934"/>
    <w:rsid w:val="00E05935"/>
    <w:rsid w:val="00E05978"/>
    <w:rsid w:val="00E05A27"/>
    <w:rsid w:val="00E05A73"/>
    <w:rsid w:val="00E05AF3"/>
    <w:rsid w:val="00E05B53"/>
    <w:rsid w:val="00E05C0D"/>
    <w:rsid w:val="00E05C31"/>
    <w:rsid w:val="00E05CB3"/>
    <w:rsid w:val="00E05D52"/>
    <w:rsid w:val="00E05DE9"/>
    <w:rsid w:val="00E05DF1"/>
    <w:rsid w:val="00E05E1E"/>
    <w:rsid w:val="00E05E73"/>
    <w:rsid w:val="00E05F8A"/>
    <w:rsid w:val="00E05FD0"/>
    <w:rsid w:val="00E0600F"/>
    <w:rsid w:val="00E0602C"/>
    <w:rsid w:val="00E0603E"/>
    <w:rsid w:val="00E061F1"/>
    <w:rsid w:val="00E062FB"/>
    <w:rsid w:val="00E06304"/>
    <w:rsid w:val="00E063B4"/>
    <w:rsid w:val="00E0647D"/>
    <w:rsid w:val="00E0648B"/>
    <w:rsid w:val="00E06519"/>
    <w:rsid w:val="00E06583"/>
    <w:rsid w:val="00E06643"/>
    <w:rsid w:val="00E0666D"/>
    <w:rsid w:val="00E06696"/>
    <w:rsid w:val="00E0676E"/>
    <w:rsid w:val="00E067E4"/>
    <w:rsid w:val="00E067F4"/>
    <w:rsid w:val="00E06801"/>
    <w:rsid w:val="00E06817"/>
    <w:rsid w:val="00E068FF"/>
    <w:rsid w:val="00E069A3"/>
    <w:rsid w:val="00E06A5A"/>
    <w:rsid w:val="00E06B20"/>
    <w:rsid w:val="00E06C25"/>
    <w:rsid w:val="00E06C70"/>
    <w:rsid w:val="00E06D9B"/>
    <w:rsid w:val="00E06DDC"/>
    <w:rsid w:val="00E06E75"/>
    <w:rsid w:val="00E06EB5"/>
    <w:rsid w:val="00E06F8C"/>
    <w:rsid w:val="00E06FDD"/>
    <w:rsid w:val="00E06FE7"/>
    <w:rsid w:val="00E0707C"/>
    <w:rsid w:val="00E070B7"/>
    <w:rsid w:val="00E0713C"/>
    <w:rsid w:val="00E07188"/>
    <w:rsid w:val="00E0718E"/>
    <w:rsid w:val="00E071D8"/>
    <w:rsid w:val="00E0734B"/>
    <w:rsid w:val="00E07384"/>
    <w:rsid w:val="00E073C1"/>
    <w:rsid w:val="00E07470"/>
    <w:rsid w:val="00E074FB"/>
    <w:rsid w:val="00E07527"/>
    <w:rsid w:val="00E0753F"/>
    <w:rsid w:val="00E07557"/>
    <w:rsid w:val="00E0756C"/>
    <w:rsid w:val="00E075DC"/>
    <w:rsid w:val="00E0760F"/>
    <w:rsid w:val="00E07671"/>
    <w:rsid w:val="00E0773B"/>
    <w:rsid w:val="00E0776E"/>
    <w:rsid w:val="00E0778A"/>
    <w:rsid w:val="00E077E3"/>
    <w:rsid w:val="00E0783D"/>
    <w:rsid w:val="00E079A1"/>
    <w:rsid w:val="00E07A0C"/>
    <w:rsid w:val="00E07A16"/>
    <w:rsid w:val="00E07A87"/>
    <w:rsid w:val="00E07B0D"/>
    <w:rsid w:val="00E07BDD"/>
    <w:rsid w:val="00E07C7B"/>
    <w:rsid w:val="00E07C91"/>
    <w:rsid w:val="00E07D1C"/>
    <w:rsid w:val="00E07D5F"/>
    <w:rsid w:val="00E07D93"/>
    <w:rsid w:val="00E07DCA"/>
    <w:rsid w:val="00E07FC7"/>
    <w:rsid w:val="00E07FCB"/>
    <w:rsid w:val="00E1009D"/>
    <w:rsid w:val="00E101CB"/>
    <w:rsid w:val="00E1028A"/>
    <w:rsid w:val="00E102BD"/>
    <w:rsid w:val="00E10304"/>
    <w:rsid w:val="00E10546"/>
    <w:rsid w:val="00E1055C"/>
    <w:rsid w:val="00E10582"/>
    <w:rsid w:val="00E10590"/>
    <w:rsid w:val="00E10798"/>
    <w:rsid w:val="00E10839"/>
    <w:rsid w:val="00E1089D"/>
    <w:rsid w:val="00E10A72"/>
    <w:rsid w:val="00E10A94"/>
    <w:rsid w:val="00E10AFE"/>
    <w:rsid w:val="00E10B4F"/>
    <w:rsid w:val="00E10B84"/>
    <w:rsid w:val="00E10BBF"/>
    <w:rsid w:val="00E10CA0"/>
    <w:rsid w:val="00E10D58"/>
    <w:rsid w:val="00E10D71"/>
    <w:rsid w:val="00E10DCA"/>
    <w:rsid w:val="00E10DFE"/>
    <w:rsid w:val="00E10E3D"/>
    <w:rsid w:val="00E10ED1"/>
    <w:rsid w:val="00E10FA2"/>
    <w:rsid w:val="00E11013"/>
    <w:rsid w:val="00E11055"/>
    <w:rsid w:val="00E1108E"/>
    <w:rsid w:val="00E11119"/>
    <w:rsid w:val="00E11134"/>
    <w:rsid w:val="00E111EE"/>
    <w:rsid w:val="00E1126B"/>
    <w:rsid w:val="00E112DF"/>
    <w:rsid w:val="00E1144E"/>
    <w:rsid w:val="00E11457"/>
    <w:rsid w:val="00E11507"/>
    <w:rsid w:val="00E11524"/>
    <w:rsid w:val="00E11528"/>
    <w:rsid w:val="00E11573"/>
    <w:rsid w:val="00E115EC"/>
    <w:rsid w:val="00E1163B"/>
    <w:rsid w:val="00E11822"/>
    <w:rsid w:val="00E1182E"/>
    <w:rsid w:val="00E11840"/>
    <w:rsid w:val="00E11974"/>
    <w:rsid w:val="00E1197E"/>
    <w:rsid w:val="00E11A26"/>
    <w:rsid w:val="00E11BCF"/>
    <w:rsid w:val="00E11C7F"/>
    <w:rsid w:val="00E11D42"/>
    <w:rsid w:val="00E11DB1"/>
    <w:rsid w:val="00E11E57"/>
    <w:rsid w:val="00E11EFB"/>
    <w:rsid w:val="00E11F9D"/>
    <w:rsid w:val="00E11FB8"/>
    <w:rsid w:val="00E12088"/>
    <w:rsid w:val="00E120F7"/>
    <w:rsid w:val="00E12156"/>
    <w:rsid w:val="00E1217E"/>
    <w:rsid w:val="00E122C9"/>
    <w:rsid w:val="00E122D0"/>
    <w:rsid w:val="00E122F9"/>
    <w:rsid w:val="00E1246D"/>
    <w:rsid w:val="00E12521"/>
    <w:rsid w:val="00E12602"/>
    <w:rsid w:val="00E12682"/>
    <w:rsid w:val="00E126E3"/>
    <w:rsid w:val="00E1276B"/>
    <w:rsid w:val="00E127D2"/>
    <w:rsid w:val="00E12827"/>
    <w:rsid w:val="00E1291D"/>
    <w:rsid w:val="00E1298D"/>
    <w:rsid w:val="00E1299B"/>
    <w:rsid w:val="00E12B3C"/>
    <w:rsid w:val="00E12B5C"/>
    <w:rsid w:val="00E12C28"/>
    <w:rsid w:val="00E12C4D"/>
    <w:rsid w:val="00E12D1D"/>
    <w:rsid w:val="00E12DF9"/>
    <w:rsid w:val="00E12E03"/>
    <w:rsid w:val="00E12EA5"/>
    <w:rsid w:val="00E12EAC"/>
    <w:rsid w:val="00E1300F"/>
    <w:rsid w:val="00E1314F"/>
    <w:rsid w:val="00E13340"/>
    <w:rsid w:val="00E133EE"/>
    <w:rsid w:val="00E1346A"/>
    <w:rsid w:val="00E1346C"/>
    <w:rsid w:val="00E134BF"/>
    <w:rsid w:val="00E134E1"/>
    <w:rsid w:val="00E134F0"/>
    <w:rsid w:val="00E1356E"/>
    <w:rsid w:val="00E1357E"/>
    <w:rsid w:val="00E13799"/>
    <w:rsid w:val="00E1379E"/>
    <w:rsid w:val="00E137E2"/>
    <w:rsid w:val="00E13966"/>
    <w:rsid w:val="00E13AD2"/>
    <w:rsid w:val="00E13B06"/>
    <w:rsid w:val="00E13BF4"/>
    <w:rsid w:val="00E13C00"/>
    <w:rsid w:val="00E13C51"/>
    <w:rsid w:val="00E13C85"/>
    <w:rsid w:val="00E13C91"/>
    <w:rsid w:val="00E13CD2"/>
    <w:rsid w:val="00E13DBC"/>
    <w:rsid w:val="00E13E2A"/>
    <w:rsid w:val="00E13E57"/>
    <w:rsid w:val="00E13F33"/>
    <w:rsid w:val="00E13F75"/>
    <w:rsid w:val="00E1405C"/>
    <w:rsid w:val="00E140CC"/>
    <w:rsid w:val="00E140D9"/>
    <w:rsid w:val="00E1413B"/>
    <w:rsid w:val="00E14163"/>
    <w:rsid w:val="00E14205"/>
    <w:rsid w:val="00E14226"/>
    <w:rsid w:val="00E142AC"/>
    <w:rsid w:val="00E142DA"/>
    <w:rsid w:val="00E142EB"/>
    <w:rsid w:val="00E1439A"/>
    <w:rsid w:val="00E14429"/>
    <w:rsid w:val="00E14453"/>
    <w:rsid w:val="00E1445B"/>
    <w:rsid w:val="00E144F9"/>
    <w:rsid w:val="00E1453C"/>
    <w:rsid w:val="00E145A3"/>
    <w:rsid w:val="00E14710"/>
    <w:rsid w:val="00E147BB"/>
    <w:rsid w:val="00E147C3"/>
    <w:rsid w:val="00E147C6"/>
    <w:rsid w:val="00E1482C"/>
    <w:rsid w:val="00E1488E"/>
    <w:rsid w:val="00E148DF"/>
    <w:rsid w:val="00E14905"/>
    <w:rsid w:val="00E14907"/>
    <w:rsid w:val="00E1491A"/>
    <w:rsid w:val="00E14976"/>
    <w:rsid w:val="00E1497B"/>
    <w:rsid w:val="00E14A37"/>
    <w:rsid w:val="00E14A9B"/>
    <w:rsid w:val="00E14AFC"/>
    <w:rsid w:val="00E14C38"/>
    <w:rsid w:val="00E14DFC"/>
    <w:rsid w:val="00E14E86"/>
    <w:rsid w:val="00E14EB4"/>
    <w:rsid w:val="00E14F56"/>
    <w:rsid w:val="00E14FB5"/>
    <w:rsid w:val="00E14FFA"/>
    <w:rsid w:val="00E15080"/>
    <w:rsid w:val="00E151A8"/>
    <w:rsid w:val="00E153D9"/>
    <w:rsid w:val="00E155CD"/>
    <w:rsid w:val="00E1561C"/>
    <w:rsid w:val="00E15689"/>
    <w:rsid w:val="00E156C7"/>
    <w:rsid w:val="00E15782"/>
    <w:rsid w:val="00E157B1"/>
    <w:rsid w:val="00E157CE"/>
    <w:rsid w:val="00E157F0"/>
    <w:rsid w:val="00E1584C"/>
    <w:rsid w:val="00E1585A"/>
    <w:rsid w:val="00E1585F"/>
    <w:rsid w:val="00E15874"/>
    <w:rsid w:val="00E158C5"/>
    <w:rsid w:val="00E15974"/>
    <w:rsid w:val="00E159FD"/>
    <w:rsid w:val="00E15C4A"/>
    <w:rsid w:val="00E15CF4"/>
    <w:rsid w:val="00E15DE5"/>
    <w:rsid w:val="00E15DF2"/>
    <w:rsid w:val="00E15E9C"/>
    <w:rsid w:val="00E15EBD"/>
    <w:rsid w:val="00E15F14"/>
    <w:rsid w:val="00E15F55"/>
    <w:rsid w:val="00E15F7C"/>
    <w:rsid w:val="00E15F9D"/>
    <w:rsid w:val="00E15FCB"/>
    <w:rsid w:val="00E1600F"/>
    <w:rsid w:val="00E160BA"/>
    <w:rsid w:val="00E160D4"/>
    <w:rsid w:val="00E16122"/>
    <w:rsid w:val="00E16182"/>
    <w:rsid w:val="00E1619E"/>
    <w:rsid w:val="00E1620C"/>
    <w:rsid w:val="00E1633E"/>
    <w:rsid w:val="00E16348"/>
    <w:rsid w:val="00E1635C"/>
    <w:rsid w:val="00E163F4"/>
    <w:rsid w:val="00E163F6"/>
    <w:rsid w:val="00E1645A"/>
    <w:rsid w:val="00E1651D"/>
    <w:rsid w:val="00E16593"/>
    <w:rsid w:val="00E1659B"/>
    <w:rsid w:val="00E16684"/>
    <w:rsid w:val="00E1669D"/>
    <w:rsid w:val="00E166A0"/>
    <w:rsid w:val="00E16704"/>
    <w:rsid w:val="00E16745"/>
    <w:rsid w:val="00E1680F"/>
    <w:rsid w:val="00E1682A"/>
    <w:rsid w:val="00E168E8"/>
    <w:rsid w:val="00E16936"/>
    <w:rsid w:val="00E16956"/>
    <w:rsid w:val="00E1696D"/>
    <w:rsid w:val="00E16A40"/>
    <w:rsid w:val="00E16BC5"/>
    <w:rsid w:val="00E16BD5"/>
    <w:rsid w:val="00E16C69"/>
    <w:rsid w:val="00E16C8E"/>
    <w:rsid w:val="00E16D00"/>
    <w:rsid w:val="00E16D02"/>
    <w:rsid w:val="00E16D26"/>
    <w:rsid w:val="00E16E04"/>
    <w:rsid w:val="00E16E2C"/>
    <w:rsid w:val="00E16F5B"/>
    <w:rsid w:val="00E16F8A"/>
    <w:rsid w:val="00E16FC5"/>
    <w:rsid w:val="00E17036"/>
    <w:rsid w:val="00E171CE"/>
    <w:rsid w:val="00E17376"/>
    <w:rsid w:val="00E173CA"/>
    <w:rsid w:val="00E173D4"/>
    <w:rsid w:val="00E17450"/>
    <w:rsid w:val="00E17486"/>
    <w:rsid w:val="00E17618"/>
    <w:rsid w:val="00E1764C"/>
    <w:rsid w:val="00E17751"/>
    <w:rsid w:val="00E1779A"/>
    <w:rsid w:val="00E177AA"/>
    <w:rsid w:val="00E177DB"/>
    <w:rsid w:val="00E17853"/>
    <w:rsid w:val="00E1785A"/>
    <w:rsid w:val="00E178A0"/>
    <w:rsid w:val="00E17957"/>
    <w:rsid w:val="00E1796F"/>
    <w:rsid w:val="00E179CE"/>
    <w:rsid w:val="00E179FA"/>
    <w:rsid w:val="00E17AA1"/>
    <w:rsid w:val="00E17AF4"/>
    <w:rsid w:val="00E17B23"/>
    <w:rsid w:val="00E17C61"/>
    <w:rsid w:val="00E17D99"/>
    <w:rsid w:val="00E17E62"/>
    <w:rsid w:val="00E17F4A"/>
    <w:rsid w:val="00E17F77"/>
    <w:rsid w:val="00E20013"/>
    <w:rsid w:val="00E20026"/>
    <w:rsid w:val="00E2006D"/>
    <w:rsid w:val="00E2007D"/>
    <w:rsid w:val="00E20104"/>
    <w:rsid w:val="00E20198"/>
    <w:rsid w:val="00E201FE"/>
    <w:rsid w:val="00E20257"/>
    <w:rsid w:val="00E20261"/>
    <w:rsid w:val="00E20464"/>
    <w:rsid w:val="00E20488"/>
    <w:rsid w:val="00E20491"/>
    <w:rsid w:val="00E204F0"/>
    <w:rsid w:val="00E2050E"/>
    <w:rsid w:val="00E20523"/>
    <w:rsid w:val="00E205B0"/>
    <w:rsid w:val="00E205E4"/>
    <w:rsid w:val="00E205E5"/>
    <w:rsid w:val="00E20611"/>
    <w:rsid w:val="00E20612"/>
    <w:rsid w:val="00E2068D"/>
    <w:rsid w:val="00E206EC"/>
    <w:rsid w:val="00E20712"/>
    <w:rsid w:val="00E207A9"/>
    <w:rsid w:val="00E207D6"/>
    <w:rsid w:val="00E207FF"/>
    <w:rsid w:val="00E20894"/>
    <w:rsid w:val="00E208B3"/>
    <w:rsid w:val="00E208D3"/>
    <w:rsid w:val="00E20951"/>
    <w:rsid w:val="00E20970"/>
    <w:rsid w:val="00E209C9"/>
    <w:rsid w:val="00E209CF"/>
    <w:rsid w:val="00E20A56"/>
    <w:rsid w:val="00E20BC7"/>
    <w:rsid w:val="00E20CC2"/>
    <w:rsid w:val="00E20CED"/>
    <w:rsid w:val="00E20D07"/>
    <w:rsid w:val="00E20D52"/>
    <w:rsid w:val="00E20DAB"/>
    <w:rsid w:val="00E20DB4"/>
    <w:rsid w:val="00E20E89"/>
    <w:rsid w:val="00E20EC3"/>
    <w:rsid w:val="00E20EF2"/>
    <w:rsid w:val="00E20FE6"/>
    <w:rsid w:val="00E2106B"/>
    <w:rsid w:val="00E2112C"/>
    <w:rsid w:val="00E211A9"/>
    <w:rsid w:val="00E212C0"/>
    <w:rsid w:val="00E21303"/>
    <w:rsid w:val="00E21316"/>
    <w:rsid w:val="00E2141F"/>
    <w:rsid w:val="00E21448"/>
    <w:rsid w:val="00E2144A"/>
    <w:rsid w:val="00E214D5"/>
    <w:rsid w:val="00E2150F"/>
    <w:rsid w:val="00E21599"/>
    <w:rsid w:val="00E215F5"/>
    <w:rsid w:val="00E21606"/>
    <w:rsid w:val="00E217F3"/>
    <w:rsid w:val="00E21824"/>
    <w:rsid w:val="00E218DB"/>
    <w:rsid w:val="00E218DE"/>
    <w:rsid w:val="00E218F2"/>
    <w:rsid w:val="00E2192B"/>
    <w:rsid w:val="00E219C7"/>
    <w:rsid w:val="00E21A68"/>
    <w:rsid w:val="00E21AD3"/>
    <w:rsid w:val="00E21B43"/>
    <w:rsid w:val="00E21BD4"/>
    <w:rsid w:val="00E21C33"/>
    <w:rsid w:val="00E21C4F"/>
    <w:rsid w:val="00E21CAB"/>
    <w:rsid w:val="00E21D1C"/>
    <w:rsid w:val="00E21D21"/>
    <w:rsid w:val="00E21E15"/>
    <w:rsid w:val="00E21E6D"/>
    <w:rsid w:val="00E22078"/>
    <w:rsid w:val="00E220BD"/>
    <w:rsid w:val="00E22173"/>
    <w:rsid w:val="00E221A8"/>
    <w:rsid w:val="00E22268"/>
    <w:rsid w:val="00E2238E"/>
    <w:rsid w:val="00E224A3"/>
    <w:rsid w:val="00E224A6"/>
    <w:rsid w:val="00E22536"/>
    <w:rsid w:val="00E2254D"/>
    <w:rsid w:val="00E2254E"/>
    <w:rsid w:val="00E225DA"/>
    <w:rsid w:val="00E22662"/>
    <w:rsid w:val="00E22691"/>
    <w:rsid w:val="00E226DD"/>
    <w:rsid w:val="00E22726"/>
    <w:rsid w:val="00E2275F"/>
    <w:rsid w:val="00E227AC"/>
    <w:rsid w:val="00E2282B"/>
    <w:rsid w:val="00E22875"/>
    <w:rsid w:val="00E2288C"/>
    <w:rsid w:val="00E229B0"/>
    <w:rsid w:val="00E229B7"/>
    <w:rsid w:val="00E22A54"/>
    <w:rsid w:val="00E22B2F"/>
    <w:rsid w:val="00E22B34"/>
    <w:rsid w:val="00E22B8B"/>
    <w:rsid w:val="00E22BBB"/>
    <w:rsid w:val="00E22BED"/>
    <w:rsid w:val="00E22C5B"/>
    <w:rsid w:val="00E22D17"/>
    <w:rsid w:val="00E22D38"/>
    <w:rsid w:val="00E22D8C"/>
    <w:rsid w:val="00E22D97"/>
    <w:rsid w:val="00E22EC6"/>
    <w:rsid w:val="00E22F50"/>
    <w:rsid w:val="00E22F83"/>
    <w:rsid w:val="00E2301E"/>
    <w:rsid w:val="00E23052"/>
    <w:rsid w:val="00E23139"/>
    <w:rsid w:val="00E2319E"/>
    <w:rsid w:val="00E232D2"/>
    <w:rsid w:val="00E2341C"/>
    <w:rsid w:val="00E234F4"/>
    <w:rsid w:val="00E235B4"/>
    <w:rsid w:val="00E235BB"/>
    <w:rsid w:val="00E23647"/>
    <w:rsid w:val="00E236F0"/>
    <w:rsid w:val="00E23711"/>
    <w:rsid w:val="00E23727"/>
    <w:rsid w:val="00E23764"/>
    <w:rsid w:val="00E2380B"/>
    <w:rsid w:val="00E23879"/>
    <w:rsid w:val="00E239A5"/>
    <w:rsid w:val="00E239DD"/>
    <w:rsid w:val="00E23ACE"/>
    <w:rsid w:val="00E23B23"/>
    <w:rsid w:val="00E23BE6"/>
    <w:rsid w:val="00E23C14"/>
    <w:rsid w:val="00E23CE3"/>
    <w:rsid w:val="00E23CEA"/>
    <w:rsid w:val="00E23DCD"/>
    <w:rsid w:val="00E23E8D"/>
    <w:rsid w:val="00E23EE2"/>
    <w:rsid w:val="00E23F42"/>
    <w:rsid w:val="00E23F63"/>
    <w:rsid w:val="00E23FF6"/>
    <w:rsid w:val="00E24064"/>
    <w:rsid w:val="00E240AE"/>
    <w:rsid w:val="00E240ED"/>
    <w:rsid w:val="00E241A1"/>
    <w:rsid w:val="00E241DB"/>
    <w:rsid w:val="00E24287"/>
    <w:rsid w:val="00E242E3"/>
    <w:rsid w:val="00E243CD"/>
    <w:rsid w:val="00E24409"/>
    <w:rsid w:val="00E24436"/>
    <w:rsid w:val="00E24462"/>
    <w:rsid w:val="00E24492"/>
    <w:rsid w:val="00E244BC"/>
    <w:rsid w:val="00E24543"/>
    <w:rsid w:val="00E245A8"/>
    <w:rsid w:val="00E24641"/>
    <w:rsid w:val="00E246A0"/>
    <w:rsid w:val="00E246FC"/>
    <w:rsid w:val="00E24725"/>
    <w:rsid w:val="00E24763"/>
    <w:rsid w:val="00E24849"/>
    <w:rsid w:val="00E248B9"/>
    <w:rsid w:val="00E24957"/>
    <w:rsid w:val="00E24A64"/>
    <w:rsid w:val="00E24AB2"/>
    <w:rsid w:val="00E24ADE"/>
    <w:rsid w:val="00E24AF4"/>
    <w:rsid w:val="00E24AF8"/>
    <w:rsid w:val="00E24BAB"/>
    <w:rsid w:val="00E24C72"/>
    <w:rsid w:val="00E24E02"/>
    <w:rsid w:val="00E24E7B"/>
    <w:rsid w:val="00E24E85"/>
    <w:rsid w:val="00E24F76"/>
    <w:rsid w:val="00E25040"/>
    <w:rsid w:val="00E25092"/>
    <w:rsid w:val="00E25093"/>
    <w:rsid w:val="00E250A1"/>
    <w:rsid w:val="00E250F9"/>
    <w:rsid w:val="00E25125"/>
    <w:rsid w:val="00E251C7"/>
    <w:rsid w:val="00E25226"/>
    <w:rsid w:val="00E25260"/>
    <w:rsid w:val="00E25330"/>
    <w:rsid w:val="00E25341"/>
    <w:rsid w:val="00E25347"/>
    <w:rsid w:val="00E2537A"/>
    <w:rsid w:val="00E25397"/>
    <w:rsid w:val="00E253CA"/>
    <w:rsid w:val="00E253D6"/>
    <w:rsid w:val="00E25416"/>
    <w:rsid w:val="00E2551D"/>
    <w:rsid w:val="00E25538"/>
    <w:rsid w:val="00E255B6"/>
    <w:rsid w:val="00E255E7"/>
    <w:rsid w:val="00E257E5"/>
    <w:rsid w:val="00E25864"/>
    <w:rsid w:val="00E258EA"/>
    <w:rsid w:val="00E259B0"/>
    <w:rsid w:val="00E259CB"/>
    <w:rsid w:val="00E25A0F"/>
    <w:rsid w:val="00E25A94"/>
    <w:rsid w:val="00E25BB1"/>
    <w:rsid w:val="00E25C17"/>
    <w:rsid w:val="00E25C7C"/>
    <w:rsid w:val="00E25CBF"/>
    <w:rsid w:val="00E25CCE"/>
    <w:rsid w:val="00E25CD3"/>
    <w:rsid w:val="00E25D60"/>
    <w:rsid w:val="00E25DBA"/>
    <w:rsid w:val="00E25DC8"/>
    <w:rsid w:val="00E25EF8"/>
    <w:rsid w:val="00E25F6A"/>
    <w:rsid w:val="00E2601C"/>
    <w:rsid w:val="00E26038"/>
    <w:rsid w:val="00E260A6"/>
    <w:rsid w:val="00E260FD"/>
    <w:rsid w:val="00E2610F"/>
    <w:rsid w:val="00E26122"/>
    <w:rsid w:val="00E2614D"/>
    <w:rsid w:val="00E262FA"/>
    <w:rsid w:val="00E26371"/>
    <w:rsid w:val="00E264D9"/>
    <w:rsid w:val="00E2656B"/>
    <w:rsid w:val="00E26665"/>
    <w:rsid w:val="00E26786"/>
    <w:rsid w:val="00E267AE"/>
    <w:rsid w:val="00E2681C"/>
    <w:rsid w:val="00E26847"/>
    <w:rsid w:val="00E268A5"/>
    <w:rsid w:val="00E268B8"/>
    <w:rsid w:val="00E2696F"/>
    <w:rsid w:val="00E26A11"/>
    <w:rsid w:val="00E26A36"/>
    <w:rsid w:val="00E26A9C"/>
    <w:rsid w:val="00E26AD1"/>
    <w:rsid w:val="00E26C89"/>
    <w:rsid w:val="00E26D08"/>
    <w:rsid w:val="00E26D2B"/>
    <w:rsid w:val="00E26DB8"/>
    <w:rsid w:val="00E26DC7"/>
    <w:rsid w:val="00E26E8D"/>
    <w:rsid w:val="00E26F21"/>
    <w:rsid w:val="00E26F5B"/>
    <w:rsid w:val="00E26F98"/>
    <w:rsid w:val="00E27008"/>
    <w:rsid w:val="00E27088"/>
    <w:rsid w:val="00E270D8"/>
    <w:rsid w:val="00E27154"/>
    <w:rsid w:val="00E271B3"/>
    <w:rsid w:val="00E271D3"/>
    <w:rsid w:val="00E271E0"/>
    <w:rsid w:val="00E27247"/>
    <w:rsid w:val="00E272F9"/>
    <w:rsid w:val="00E27453"/>
    <w:rsid w:val="00E2750B"/>
    <w:rsid w:val="00E27645"/>
    <w:rsid w:val="00E2774D"/>
    <w:rsid w:val="00E277CB"/>
    <w:rsid w:val="00E27816"/>
    <w:rsid w:val="00E27896"/>
    <w:rsid w:val="00E278D2"/>
    <w:rsid w:val="00E2795D"/>
    <w:rsid w:val="00E27A41"/>
    <w:rsid w:val="00E27B0A"/>
    <w:rsid w:val="00E27B86"/>
    <w:rsid w:val="00E27B9A"/>
    <w:rsid w:val="00E27CE6"/>
    <w:rsid w:val="00E27CF3"/>
    <w:rsid w:val="00E27D17"/>
    <w:rsid w:val="00E27E7F"/>
    <w:rsid w:val="00E27EC6"/>
    <w:rsid w:val="00E27F2A"/>
    <w:rsid w:val="00E30057"/>
    <w:rsid w:val="00E300C6"/>
    <w:rsid w:val="00E30164"/>
    <w:rsid w:val="00E301C3"/>
    <w:rsid w:val="00E301D0"/>
    <w:rsid w:val="00E301D3"/>
    <w:rsid w:val="00E30291"/>
    <w:rsid w:val="00E302B0"/>
    <w:rsid w:val="00E302CE"/>
    <w:rsid w:val="00E30393"/>
    <w:rsid w:val="00E303C0"/>
    <w:rsid w:val="00E304D9"/>
    <w:rsid w:val="00E30584"/>
    <w:rsid w:val="00E30658"/>
    <w:rsid w:val="00E30693"/>
    <w:rsid w:val="00E306D2"/>
    <w:rsid w:val="00E307FB"/>
    <w:rsid w:val="00E30836"/>
    <w:rsid w:val="00E308C4"/>
    <w:rsid w:val="00E3097D"/>
    <w:rsid w:val="00E309AC"/>
    <w:rsid w:val="00E309B1"/>
    <w:rsid w:val="00E309D9"/>
    <w:rsid w:val="00E309F9"/>
    <w:rsid w:val="00E30A3E"/>
    <w:rsid w:val="00E30AA6"/>
    <w:rsid w:val="00E30AB0"/>
    <w:rsid w:val="00E30BD3"/>
    <w:rsid w:val="00E30C4C"/>
    <w:rsid w:val="00E30CA0"/>
    <w:rsid w:val="00E30CBD"/>
    <w:rsid w:val="00E30D28"/>
    <w:rsid w:val="00E30D4A"/>
    <w:rsid w:val="00E30E5F"/>
    <w:rsid w:val="00E30E76"/>
    <w:rsid w:val="00E30F0E"/>
    <w:rsid w:val="00E30F2E"/>
    <w:rsid w:val="00E30F4A"/>
    <w:rsid w:val="00E30FFB"/>
    <w:rsid w:val="00E30FFC"/>
    <w:rsid w:val="00E31031"/>
    <w:rsid w:val="00E31036"/>
    <w:rsid w:val="00E31058"/>
    <w:rsid w:val="00E31106"/>
    <w:rsid w:val="00E3119B"/>
    <w:rsid w:val="00E311E2"/>
    <w:rsid w:val="00E3126C"/>
    <w:rsid w:val="00E31382"/>
    <w:rsid w:val="00E313B3"/>
    <w:rsid w:val="00E313CA"/>
    <w:rsid w:val="00E3148F"/>
    <w:rsid w:val="00E31508"/>
    <w:rsid w:val="00E3150D"/>
    <w:rsid w:val="00E31722"/>
    <w:rsid w:val="00E3174B"/>
    <w:rsid w:val="00E31788"/>
    <w:rsid w:val="00E317CF"/>
    <w:rsid w:val="00E3198F"/>
    <w:rsid w:val="00E319E6"/>
    <w:rsid w:val="00E31A6C"/>
    <w:rsid w:val="00E31B08"/>
    <w:rsid w:val="00E31B8C"/>
    <w:rsid w:val="00E31BF2"/>
    <w:rsid w:val="00E31C27"/>
    <w:rsid w:val="00E31C6A"/>
    <w:rsid w:val="00E31D0B"/>
    <w:rsid w:val="00E31D12"/>
    <w:rsid w:val="00E31E69"/>
    <w:rsid w:val="00E31F1D"/>
    <w:rsid w:val="00E32004"/>
    <w:rsid w:val="00E32029"/>
    <w:rsid w:val="00E321C9"/>
    <w:rsid w:val="00E3221C"/>
    <w:rsid w:val="00E3222E"/>
    <w:rsid w:val="00E3251F"/>
    <w:rsid w:val="00E3259B"/>
    <w:rsid w:val="00E325D8"/>
    <w:rsid w:val="00E32661"/>
    <w:rsid w:val="00E327A8"/>
    <w:rsid w:val="00E328F8"/>
    <w:rsid w:val="00E32917"/>
    <w:rsid w:val="00E3295B"/>
    <w:rsid w:val="00E32A07"/>
    <w:rsid w:val="00E32AAC"/>
    <w:rsid w:val="00E32B00"/>
    <w:rsid w:val="00E32B41"/>
    <w:rsid w:val="00E32BA7"/>
    <w:rsid w:val="00E32BAE"/>
    <w:rsid w:val="00E32CCF"/>
    <w:rsid w:val="00E32D09"/>
    <w:rsid w:val="00E32E02"/>
    <w:rsid w:val="00E32EA9"/>
    <w:rsid w:val="00E32FDE"/>
    <w:rsid w:val="00E32FF6"/>
    <w:rsid w:val="00E33074"/>
    <w:rsid w:val="00E330FF"/>
    <w:rsid w:val="00E33145"/>
    <w:rsid w:val="00E33185"/>
    <w:rsid w:val="00E33209"/>
    <w:rsid w:val="00E33240"/>
    <w:rsid w:val="00E3326E"/>
    <w:rsid w:val="00E3337A"/>
    <w:rsid w:val="00E333B1"/>
    <w:rsid w:val="00E3342E"/>
    <w:rsid w:val="00E3346D"/>
    <w:rsid w:val="00E334CB"/>
    <w:rsid w:val="00E334CE"/>
    <w:rsid w:val="00E33570"/>
    <w:rsid w:val="00E335E3"/>
    <w:rsid w:val="00E33612"/>
    <w:rsid w:val="00E3376B"/>
    <w:rsid w:val="00E3379A"/>
    <w:rsid w:val="00E337C2"/>
    <w:rsid w:val="00E337E1"/>
    <w:rsid w:val="00E3382A"/>
    <w:rsid w:val="00E3385E"/>
    <w:rsid w:val="00E338DE"/>
    <w:rsid w:val="00E33916"/>
    <w:rsid w:val="00E3394B"/>
    <w:rsid w:val="00E3399A"/>
    <w:rsid w:val="00E339DB"/>
    <w:rsid w:val="00E33A68"/>
    <w:rsid w:val="00E33A7C"/>
    <w:rsid w:val="00E33B53"/>
    <w:rsid w:val="00E33B7E"/>
    <w:rsid w:val="00E33BBE"/>
    <w:rsid w:val="00E33BEA"/>
    <w:rsid w:val="00E33C41"/>
    <w:rsid w:val="00E33C7C"/>
    <w:rsid w:val="00E33CFB"/>
    <w:rsid w:val="00E33D25"/>
    <w:rsid w:val="00E33D4C"/>
    <w:rsid w:val="00E33D4F"/>
    <w:rsid w:val="00E33D53"/>
    <w:rsid w:val="00E33DB0"/>
    <w:rsid w:val="00E33F33"/>
    <w:rsid w:val="00E33F9C"/>
    <w:rsid w:val="00E33FBF"/>
    <w:rsid w:val="00E34102"/>
    <w:rsid w:val="00E341BF"/>
    <w:rsid w:val="00E341D5"/>
    <w:rsid w:val="00E3422A"/>
    <w:rsid w:val="00E34259"/>
    <w:rsid w:val="00E3428A"/>
    <w:rsid w:val="00E343CE"/>
    <w:rsid w:val="00E34747"/>
    <w:rsid w:val="00E34787"/>
    <w:rsid w:val="00E3483D"/>
    <w:rsid w:val="00E34AF3"/>
    <w:rsid w:val="00E34B1A"/>
    <w:rsid w:val="00E34BFE"/>
    <w:rsid w:val="00E34C4D"/>
    <w:rsid w:val="00E34C54"/>
    <w:rsid w:val="00E34C75"/>
    <w:rsid w:val="00E34CEC"/>
    <w:rsid w:val="00E34D79"/>
    <w:rsid w:val="00E34E56"/>
    <w:rsid w:val="00E34EBE"/>
    <w:rsid w:val="00E34EC5"/>
    <w:rsid w:val="00E34EFF"/>
    <w:rsid w:val="00E34F30"/>
    <w:rsid w:val="00E34F60"/>
    <w:rsid w:val="00E34F89"/>
    <w:rsid w:val="00E35048"/>
    <w:rsid w:val="00E3510E"/>
    <w:rsid w:val="00E35211"/>
    <w:rsid w:val="00E35287"/>
    <w:rsid w:val="00E352A5"/>
    <w:rsid w:val="00E352C0"/>
    <w:rsid w:val="00E352F1"/>
    <w:rsid w:val="00E353A1"/>
    <w:rsid w:val="00E353E2"/>
    <w:rsid w:val="00E354A3"/>
    <w:rsid w:val="00E354AA"/>
    <w:rsid w:val="00E354E8"/>
    <w:rsid w:val="00E3553D"/>
    <w:rsid w:val="00E35595"/>
    <w:rsid w:val="00E355F4"/>
    <w:rsid w:val="00E35622"/>
    <w:rsid w:val="00E35694"/>
    <w:rsid w:val="00E35695"/>
    <w:rsid w:val="00E3570A"/>
    <w:rsid w:val="00E3571D"/>
    <w:rsid w:val="00E35754"/>
    <w:rsid w:val="00E35781"/>
    <w:rsid w:val="00E357A4"/>
    <w:rsid w:val="00E3588E"/>
    <w:rsid w:val="00E358DC"/>
    <w:rsid w:val="00E35904"/>
    <w:rsid w:val="00E35992"/>
    <w:rsid w:val="00E359E2"/>
    <w:rsid w:val="00E35C38"/>
    <w:rsid w:val="00E35C3B"/>
    <w:rsid w:val="00E35C52"/>
    <w:rsid w:val="00E35CAD"/>
    <w:rsid w:val="00E35DDE"/>
    <w:rsid w:val="00E35DE1"/>
    <w:rsid w:val="00E35DF5"/>
    <w:rsid w:val="00E35E34"/>
    <w:rsid w:val="00E35FA8"/>
    <w:rsid w:val="00E35FEB"/>
    <w:rsid w:val="00E36225"/>
    <w:rsid w:val="00E36325"/>
    <w:rsid w:val="00E36339"/>
    <w:rsid w:val="00E36351"/>
    <w:rsid w:val="00E36393"/>
    <w:rsid w:val="00E363A2"/>
    <w:rsid w:val="00E364EF"/>
    <w:rsid w:val="00E3655D"/>
    <w:rsid w:val="00E3668A"/>
    <w:rsid w:val="00E366B9"/>
    <w:rsid w:val="00E367B7"/>
    <w:rsid w:val="00E367C1"/>
    <w:rsid w:val="00E36802"/>
    <w:rsid w:val="00E368E8"/>
    <w:rsid w:val="00E36939"/>
    <w:rsid w:val="00E3699D"/>
    <w:rsid w:val="00E369E0"/>
    <w:rsid w:val="00E36A99"/>
    <w:rsid w:val="00E36AAE"/>
    <w:rsid w:val="00E36BB8"/>
    <w:rsid w:val="00E36C02"/>
    <w:rsid w:val="00E36C05"/>
    <w:rsid w:val="00E36CF3"/>
    <w:rsid w:val="00E36D6E"/>
    <w:rsid w:val="00E36D77"/>
    <w:rsid w:val="00E36E6F"/>
    <w:rsid w:val="00E36E89"/>
    <w:rsid w:val="00E36EC3"/>
    <w:rsid w:val="00E36F96"/>
    <w:rsid w:val="00E37085"/>
    <w:rsid w:val="00E370B0"/>
    <w:rsid w:val="00E37127"/>
    <w:rsid w:val="00E37142"/>
    <w:rsid w:val="00E37145"/>
    <w:rsid w:val="00E37169"/>
    <w:rsid w:val="00E371F6"/>
    <w:rsid w:val="00E373B0"/>
    <w:rsid w:val="00E373EB"/>
    <w:rsid w:val="00E37407"/>
    <w:rsid w:val="00E375C1"/>
    <w:rsid w:val="00E375E9"/>
    <w:rsid w:val="00E3767A"/>
    <w:rsid w:val="00E3773A"/>
    <w:rsid w:val="00E37766"/>
    <w:rsid w:val="00E3787B"/>
    <w:rsid w:val="00E378C0"/>
    <w:rsid w:val="00E378E8"/>
    <w:rsid w:val="00E378E9"/>
    <w:rsid w:val="00E37ABC"/>
    <w:rsid w:val="00E37AFA"/>
    <w:rsid w:val="00E37BD3"/>
    <w:rsid w:val="00E37BF1"/>
    <w:rsid w:val="00E37CB2"/>
    <w:rsid w:val="00E37CD5"/>
    <w:rsid w:val="00E37CD7"/>
    <w:rsid w:val="00E37CF4"/>
    <w:rsid w:val="00E37D52"/>
    <w:rsid w:val="00E37D55"/>
    <w:rsid w:val="00E37D7F"/>
    <w:rsid w:val="00E37EA3"/>
    <w:rsid w:val="00E37F18"/>
    <w:rsid w:val="00E37F3C"/>
    <w:rsid w:val="00E400A3"/>
    <w:rsid w:val="00E400AB"/>
    <w:rsid w:val="00E40299"/>
    <w:rsid w:val="00E404F0"/>
    <w:rsid w:val="00E40588"/>
    <w:rsid w:val="00E40590"/>
    <w:rsid w:val="00E40591"/>
    <w:rsid w:val="00E406F3"/>
    <w:rsid w:val="00E40740"/>
    <w:rsid w:val="00E40747"/>
    <w:rsid w:val="00E4088F"/>
    <w:rsid w:val="00E40A28"/>
    <w:rsid w:val="00E40A35"/>
    <w:rsid w:val="00E40A3B"/>
    <w:rsid w:val="00E40B25"/>
    <w:rsid w:val="00E40B74"/>
    <w:rsid w:val="00E40CEC"/>
    <w:rsid w:val="00E40D1C"/>
    <w:rsid w:val="00E40DC9"/>
    <w:rsid w:val="00E40DD5"/>
    <w:rsid w:val="00E40E1F"/>
    <w:rsid w:val="00E40E29"/>
    <w:rsid w:val="00E40E5B"/>
    <w:rsid w:val="00E40FAF"/>
    <w:rsid w:val="00E40FCF"/>
    <w:rsid w:val="00E41067"/>
    <w:rsid w:val="00E41127"/>
    <w:rsid w:val="00E41197"/>
    <w:rsid w:val="00E411AE"/>
    <w:rsid w:val="00E411C6"/>
    <w:rsid w:val="00E41225"/>
    <w:rsid w:val="00E41234"/>
    <w:rsid w:val="00E41257"/>
    <w:rsid w:val="00E41385"/>
    <w:rsid w:val="00E413BB"/>
    <w:rsid w:val="00E413F9"/>
    <w:rsid w:val="00E41488"/>
    <w:rsid w:val="00E41632"/>
    <w:rsid w:val="00E416EC"/>
    <w:rsid w:val="00E41736"/>
    <w:rsid w:val="00E41769"/>
    <w:rsid w:val="00E4180E"/>
    <w:rsid w:val="00E4181C"/>
    <w:rsid w:val="00E41826"/>
    <w:rsid w:val="00E41864"/>
    <w:rsid w:val="00E418CD"/>
    <w:rsid w:val="00E418EA"/>
    <w:rsid w:val="00E41947"/>
    <w:rsid w:val="00E4194A"/>
    <w:rsid w:val="00E41A99"/>
    <w:rsid w:val="00E41B14"/>
    <w:rsid w:val="00E41C14"/>
    <w:rsid w:val="00E41C25"/>
    <w:rsid w:val="00E41C2C"/>
    <w:rsid w:val="00E41C62"/>
    <w:rsid w:val="00E41CF2"/>
    <w:rsid w:val="00E41D35"/>
    <w:rsid w:val="00E41D96"/>
    <w:rsid w:val="00E41E1A"/>
    <w:rsid w:val="00E41EFF"/>
    <w:rsid w:val="00E420D0"/>
    <w:rsid w:val="00E42143"/>
    <w:rsid w:val="00E42186"/>
    <w:rsid w:val="00E422BF"/>
    <w:rsid w:val="00E422E4"/>
    <w:rsid w:val="00E422FD"/>
    <w:rsid w:val="00E4233A"/>
    <w:rsid w:val="00E42384"/>
    <w:rsid w:val="00E423C8"/>
    <w:rsid w:val="00E423F5"/>
    <w:rsid w:val="00E4242E"/>
    <w:rsid w:val="00E4267D"/>
    <w:rsid w:val="00E42691"/>
    <w:rsid w:val="00E426E7"/>
    <w:rsid w:val="00E42834"/>
    <w:rsid w:val="00E428B9"/>
    <w:rsid w:val="00E429F7"/>
    <w:rsid w:val="00E42A05"/>
    <w:rsid w:val="00E42A53"/>
    <w:rsid w:val="00E42A83"/>
    <w:rsid w:val="00E42B51"/>
    <w:rsid w:val="00E42B7D"/>
    <w:rsid w:val="00E42CD7"/>
    <w:rsid w:val="00E42D21"/>
    <w:rsid w:val="00E42D41"/>
    <w:rsid w:val="00E42DBC"/>
    <w:rsid w:val="00E42DC5"/>
    <w:rsid w:val="00E42E87"/>
    <w:rsid w:val="00E43159"/>
    <w:rsid w:val="00E431ED"/>
    <w:rsid w:val="00E43220"/>
    <w:rsid w:val="00E4326D"/>
    <w:rsid w:val="00E432CB"/>
    <w:rsid w:val="00E43360"/>
    <w:rsid w:val="00E433CC"/>
    <w:rsid w:val="00E4344D"/>
    <w:rsid w:val="00E43524"/>
    <w:rsid w:val="00E43612"/>
    <w:rsid w:val="00E4366A"/>
    <w:rsid w:val="00E43753"/>
    <w:rsid w:val="00E43790"/>
    <w:rsid w:val="00E43808"/>
    <w:rsid w:val="00E43871"/>
    <w:rsid w:val="00E43882"/>
    <w:rsid w:val="00E43A24"/>
    <w:rsid w:val="00E43A4C"/>
    <w:rsid w:val="00E43AAA"/>
    <w:rsid w:val="00E43AB4"/>
    <w:rsid w:val="00E43AE7"/>
    <w:rsid w:val="00E43BA5"/>
    <w:rsid w:val="00E43E7A"/>
    <w:rsid w:val="00E43FD8"/>
    <w:rsid w:val="00E44047"/>
    <w:rsid w:val="00E44236"/>
    <w:rsid w:val="00E4428F"/>
    <w:rsid w:val="00E443CB"/>
    <w:rsid w:val="00E443D0"/>
    <w:rsid w:val="00E443DE"/>
    <w:rsid w:val="00E4449A"/>
    <w:rsid w:val="00E4452E"/>
    <w:rsid w:val="00E4453E"/>
    <w:rsid w:val="00E44547"/>
    <w:rsid w:val="00E44577"/>
    <w:rsid w:val="00E44621"/>
    <w:rsid w:val="00E44765"/>
    <w:rsid w:val="00E44773"/>
    <w:rsid w:val="00E44785"/>
    <w:rsid w:val="00E447F3"/>
    <w:rsid w:val="00E44846"/>
    <w:rsid w:val="00E4486E"/>
    <w:rsid w:val="00E448A2"/>
    <w:rsid w:val="00E448B8"/>
    <w:rsid w:val="00E448C0"/>
    <w:rsid w:val="00E44983"/>
    <w:rsid w:val="00E44AD5"/>
    <w:rsid w:val="00E44B01"/>
    <w:rsid w:val="00E44DD8"/>
    <w:rsid w:val="00E44DEE"/>
    <w:rsid w:val="00E44DF1"/>
    <w:rsid w:val="00E44DF4"/>
    <w:rsid w:val="00E44E0F"/>
    <w:rsid w:val="00E44E13"/>
    <w:rsid w:val="00E44E86"/>
    <w:rsid w:val="00E44EBE"/>
    <w:rsid w:val="00E44EFA"/>
    <w:rsid w:val="00E44FBF"/>
    <w:rsid w:val="00E4505F"/>
    <w:rsid w:val="00E450B1"/>
    <w:rsid w:val="00E450DC"/>
    <w:rsid w:val="00E450EF"/>
    <w:rsid w:val="00E452D9"/>
    <w:rsid w:val="00E45392"/>
    <w:rsid w:val="00E453AC"/>
    <w:rsid w:val="00E453FE"/>
    <w:rsid w:val="00E45408"/>
    <w:rsid w:val="00E45436"/>
    <w:rsid w:val="00E45463"/>
    <w:rsid w:val="00E4548C"/>
    <w:rsid w:val="00E454F0"/>
    <w:rsid w:val="00E4552A"/>
    <w:rsid w:val="00E45570"/>
    <w:rsid w:val="00E45594"/>
    <w:rsid w:val="00E456B8"/>
    <w:rsid w:val="00E4583C"/>
    <w:rsid w:val="00E45842"/>
    <w:rsid w:val="00E45951"/>
    <w:rsid w:val="00E4597A"/>
    <w:rsid w:val="00E45A40"/>
    <w:rsid w:val="00E45A51"/>
    <w:rsid w:val="00E45A8B"/>
    <w:rsid w:val="00E45AC3"/>
    <w:rsid w:val="00E45BDF"/>
    <w:rsid w:val="00E45C03"/>
    <w:rsid w:val="00E45CCC"/>
    <w:rsid w:val="00E45DDE"/>
    <w:rsid w:val="00E45DF3"/>
    <w:rsid w:val="00E45E08"/>
    <w:rsid w:val="00E45F53"/>
    <w:rsid w:val="00E46027"/>
    <w:rsid w:val="00E460E4"/>
    <w:rsid w:val="00E4612F"/>
    <w:rsid w:val="00E461AD"/>
    <w:rsid w:val="00E46229"/>
    <w:rsid w:val="00E462D4"/>
    <w:rsid w:val="00E46339"/>
    <w:rsid w:val="00E4636F"/>
    <w:rsid w:val="00E4638C"/>
    <w:rsid w:val="00E4638F"/>
    <w:rsid w:val="00E46407"/>
    <w:rsid w:val="00E46436"/>
    <w:rsid w:val="00E46454"/>
    <w:rsid w:val="00E46512"/>
    <w:rsid w:val="00E4651B"/>
    <w:rsid w:val="00E46784"/>
    <w:rsid w:val="00E46848"/>
    <w:rsid w:val="00E46889"/>
    <w:rsid w:val="00E46A10"/>
    <w:rsid w:val="00E46A7D"/>
    <w:rsid w:val="00E46B1E"/>
    <w:rsid w:val="00E46B23"/>
    <w:rsid w:val="00E46D52"/>
    <w:rsid w:val="00E46DC1"/>
    <w:rsid w:val="00E46DC3"/>
    <w:rsid w:val="00E46DC6"/>
    <w:rsid w:val="00E46DE4"/>
    <w:rsid w:val="00E46EA0"/>
    <w:rsid w:val="00E46F24"/>
    <w:rsid w:val="00E470D8"/>
    <w:rsid w:val="00E47201"/>
    <w:rsid w:val="00E4729C"/>
    <w:rsid w:val="00E4737D"/>
    <w:rsid w:val="00E47388"/>
    <w:rsid w:val="00E4738E"/>
    <w:rsid w:val="00E4741B"/>
    <w:rsid w:val="00E47568"/>
    <w:rsid w:val="00E47582"/>
    <w:rsid w:val="00E47647"/>
    <w:rsid w:val="00E47678"/>
    <w:rsid w:val="00E47705"/>
    <w:rsid w:val="00E47769"/>
    <w:rsid w:val="00E47794"/>
    <w:rsid w:val="00E4780E"/>
    <w:rsid w:val="00E47861"/>
    <w:rsid w:val="00E4786E"/>
    <w:rsid w:val="00E47975"/>
    <w:rsid w:val="00E479EA"/>
    <w:rsid w:val="00E47A75"/>
    <w:rsid w:val="00E47A85"/>
    <w:rsid w:val="00E47A87"/>
    <w:rsid w:val="00E47B25"/>
    <w:rsid w:val="00E47B34"/>
    <w:rsid w:val="00E47B9B"/>
    <w:rsid w:val="00E47BDC"/>
    <w:rsid w:val="00E47CD8"/>
    <w:rsid w:val="00E47D0B"/>
    <w:rsid w:val="00E47E02"/>
    <w:rsid w:val="00E47E4F"/>
    <w:rsid w:val="00E50042"/>
    <w:rsid w:val="00E50064"/>
    <w:rsid w:val="00E500A9"/>
    <w:rsid w:val="00E500D1"/>
    <w:rsid w:val="00E50106"/>
    <w:rsid w:val="00E5026C"/>
    <w:rsid w:val="00E502DE"/>
    <w:rsid w:val="00E502F6"/>
    <w:rsid w:val="00E50372"/>
    <w:rsid w:val="00E50378"/>
    <w:rsid w:val="00E503D6"/>
    <w:rsid w:val="00E504FB"/>
    <w:rsid w:val="00E50500"/>
    <w:rsid w:val="00E5078A"/>
    <w:rsid w:val="00E50799"/>
    <w:rsid w:val="00E5081B"/>
    <w:rsid w:val="00E50A44"/>
    <w:rsid w:val="00E50A50"/>
    <w:rsid w:val="00E50BE5"/>
    <w:rsid w:val="00E50C7E"/>
    <w:rsid w:val="00E50CEF"/>
    <w:rsid w:val="00E50D20"/>
    <w:rsid w:val="00E50E5A"/>
    <w:rsid w:val="00E50EA0"/>
    <w:rsid w:val="00E50EA8"/>
    <w:rsid w:val="00E50F0E"/>
    <w:rsid w:val="00E50F6D"/>
    <w:rsid w:val="00E50F77"/>
    <w:rsid w:val="00E50F98"/>
    <w:rsid w:val="00E51102"/>
    <w:rsid w:val="00E5118E"/>
    <w:rsid w:val="00E511B9"/>
    <w:rsid w:val="00E51200"/>
    <w:rsid w:val="00E51275"/>
    <w:rsid w:val="00E5129C"/>
    <w:rsid w:val="00E5144A"/>
    <w:rsid w:val="00E5146E"/>
    <w:rsid w:val="00E5170D"/>
    <w:rsid w:val="00E517CD"/>
    <w:rsid w:val="00E51901"/>
    <w:rsid w:val="00E51939"/>
    <w:rsid w:val="00E519BF"/>
    <w:rsid w:val="00E51A15"/>
    <w:rsid w:val="00E51B3C"/>
    <w:rsid w:val="00E51C01"/>
    <w:rsid w:val="00E51C1F"/>
    <w:rsid w:val="00E51CB0"/>
    <w:rsid w:val="00E51DD7"/>
    <w:rsid w:val="00E51E1F"/>
    <w:rsid w:val="00E51F68"/>
    <w:rsid w:val="00E51F97"/>
    <w:rsid w:val="00E51FDA"/>
    <w:rsid w:val="00E52090"/>
    <w:rsid w:val="00E520FC"/>
    <w:rsid w:val="00E52236"/>
    <w:rsid w:val="00E5226C"/>
    <w:rsid w:val="00E522C1"/>
    <w:rsid w:val="00E522EE"/>
    <w:rsid w:val="00E5232F"/>
    <w:rsid w:val="00E52420"/>
    <w:rsid w:val="00E52740"/>
    <w:rsid w:val="00E52848"/>
    <w:rsid w:val="00E528A9"/>
    <w:rsid w:val="00E528DA"/>
    <w:rsid w:val="00E528E0"/>
    <w:rsid w:val="00E52927"/>
    <w:rsid w:val="00E52979"/>
    <w:rsid w:val="00E529A6"/>
    <w:rsid w:val="00E52A05"/>
    <w:rsid w:val="00E52A35"/>
    <w:rsid w:val="00E52A5C"/>
    <w:rsid w:val="00E52B41"/>
    <w:rsid w:val="00E52C81"/>
    <w:rsid w:val="00E52E0A"/>
    <w:rsid w:val="00E52E4B"/>
    <w:rsid w:val="00E52E8C"/>
    <w:rsid w:val="00E52FF9"/>
    <w:rsid w:val="00E53014"/>
    <w:rsid w:val="00E53057"/>
    <w:rsid w:val="00E53100"/>
    <w:rsid w:val="00E5314C"/>
    <w:rsid w:val="00E53368"/>
    <w:rsid w:val="00E53377"/>
    <w:rsid w:val="00E533BF"/>
    <w:rsid w:val="00E53406"/>
    <w:rsid w:val="00E53418"/>
    <w:rsid w:val="00E5341E"/>
    <w:rsid w:val="00E53459"/>
    <w:rsid w:val="00E534A5"/>
    <w:rsid w:val="00E534C8"/>
    <w:rsid w:val="00E534CE"/>
    <w:rsid w:val="00E534DC"/>
    <w:rsid w:val="00E53570"/>
    <w:rsid w:val="00E535BE"/>
    <w:rsid w:val="00E535E8"/>
    <w:rsid w:val="00E5360E"/>
    <w:rsid w:val="00E5366A"/>
    <w:rsid w:val="00E536E8"/>
    <w:rsid w:val="00E5383D"/>
    <w:rsid w:val="00E5387C"/>
    <w:rsid w:val="00E53AA3"/>
    <w:rsid w:val="00E53AA4"/>
    <w:rsid w:val="00E53C1F"/>
    <w:rsid w:val="00E53C48"/>
    <w:rsid w:val="00E53C77"/>
    <w:rsid w:val="00E53C87"/>
    <w:rsid w:val="00E53CC3"/>
    <w:rsid w:val="00E53D0B"/>
    <w:rsid w:val="00E53D15"/>
    <w:rsid w:val="00E53D2D"/>
    <w:rsid w:val="00E53E57"/>
    <w:rsid w:val="00E53E6B"/>
    <w:rsid w:val="00E53EDE"/>
    <w:rsid w:val="00E53FCE"/>
    <w:rsid w:val="00E54067"/>
    <w:rsid w:val="00E540A8"/>
    <w:rsid w:val="00E540CE"/>
    <w:rsid w:val="00E541C5"/>
    <w:rsid w:val="00E5423B"/>
    <w:rsid w:val="00E54250"/>
    <w:rsid w:val="00E54252"/>
    <w:rsid w:val="00E54291"/>
    <w:rsid w:val="00E542F2"/>
    <w:rsid w:val="00E543A7"/>
    <w:rsid w:val="00E544F3"/>
    <w:rsid w:val="00E5452A"/>
    <w:rsid w:val="00E54542"/>
    <w:rsid w:val="00E5454F"/>
    <w:rsid w:val="00E545F6"/>
    <w:rsid w:val="00E54784"/>
    <w:rsid w:val="00E547B8"/>
    <w:rsid w:val="00E547BA"/>
    <w:rsid w:val="00E548CE"/>
    <w:rsid w:val="00E54960"/>
    <w:rsid w:val="00E5497B"/>
    <w:rsid w:val="00E549CC"/>
    <w:rsid w:val="00E54A8F"/>
    <w:rsid w:val="00E54B3F"/>
    <w:rsid w:val="00E54B77"/>
    <w:rsid w:val="00E54C06"/>
    <w:rsid w:val="00E54CC8"/>
    <w:rsid w:val="00E54CE8"/>
    <w:rsid w:val="00E54D85"/>
    <w:rsid w:val="00E54D8B"/>
    <w:rsid w:val="00E54DDA"/>
    <w:rsid w:val="00E54E3C"/>
    <w:rsid w:val="00E54F19"/>
    <w:rsid w:val="00E54F3D"/>
    <w:rsid w:val="00E54F9C"/>
    <w:rsid w:val="00E5506F"/>
    <w:rsid w:val="00E55257"/>
    <w:rsid w:val="00E552EA"/>
    <w:rsid w:val="00E5539E"/>
    <w:rsid w:val="00E553BE"/>
    <w:rsid w:val="00E553D7"/>
    <w:rsid w:val="00E5543C"/>
    <w:rsid w:val="00E5557B"/>
    <w:rsid w:val="00E555B8"/>
    <w:rsid w:val="00E5560F"/>
    <w:rsid w:val="00E557AE"/>
    <w:rsid w:val="00E557E1"/>
    <w:rsid w:val="00E558DC"/>
    <w:rsid w:val="00E55903"/>
    <w:rsid w:val="00E5592B"/>
    <w:rsid w:val="00E55959"/>
    <w:rsid w:val="00E55AE9"/>
    <w:rsid w:val="00E55B27"/>
    <w:rsid w:val="00E55B8C"/>
    <w:rsid w:val="00E55DC8"/>
    <w:rsid w:val="00E55E3C"/>
    <w:rsid w:val="00E55EDD"/>
    <w:rsid w:val="00E55F85"/>
    <w:rsid w:val="00E55F8B"/>
    <w:rsid w:val="00E55FB5"/>
    <w:rsid w:val="00E56009"/>
    <w:rsid w:val="00E56109"/>
    <w:rsid w:val="00E56156"/>
    <w:rsid w:val="00E56308"/>
    <w:rsid w:val="00E56398"/>
    <w:rsid w:val="00E564D4"/>
    <w:rsid w:val="00E5656E"/>
    <w:rsid w:val="00E565E5"/>
    <w:rsid w:val="00E5668F"/>
    <w:rsid w:val="00E56757"/>
    <w:rsid w:val="00E56841"/>
    <w:rsid w:val="00E56955"/>
    <w:rsid w:val="00E56959"/>
    <w:rsid w:val="00E569A2"/>
    <w:rsid w:val="00E56B99"/>
    <w:rsid w:val="00E56CE6"/>
    <w:rsid w:val="00E56D66"/>
    <w:rsid w:val="00E56DB3"/>
    <w:rsid w:val="00E56EE7"/>
    <w:rsid w:val="00E56F43"/>
    <w:rsid w:val="00E56FCC"/>
    <w:rsid w:val="00E56FD8"/>
    <w:rsid w:val="00E5703A"/>
    <w:rsid w:val="00E570AD"/>
    <w:rsid w:val="00E570E1"/>
    <w:rsid w:val="00E57220"/>
    <w:rsid w:val="00E5732E"/>
    <w:rsid w:val="00E5736C"/>
    <w:rsid w:val="00E5736E"/>
    <w:rsid w:val="00E573FD"/>
    <w:rsid w:val="00E575FE"/>
    <w:rsid w:val="00E5761D"/>
    <w:rsid w:val="00E5775E"/>
    <w:rsid w:val="00E577D1"/>
    <w:rsid w:val="00E577EA"/>
    <w:rsid w:val="00E57807"/>
    <w:rsid w:val="00E57867"/>
    <w:rsid w:val="00E5787C"/>
    <w:rsid w:val="00E5793C"/>
    <w:rsid w:val="00E579B4"/>
    <w:rsid w:val="00E57A4E"/>
    <w:rsid w:val="00E57B0A"/>
    <w:rsid w:val="00E57B6B"/>
    <w:rsid w:val="00E57B9F"/>
    <w:rsid w:val="00E57BF3"/>
    <w:rsid w:val="00E57FAE"/>
    <w:rsid w:val="00E60069"/>
    <w:rsid w:val="00E601A1"/>
    <w:rsid w:val="00E601F9"/>
    <w:rsid w:val="00E6026F"/>
    <w:rsid w:val="00E60293"/>
    <w:rsid w:val="00E602EC"/>
    <w:rsid w:val="00E6030E"/>
    <w:rsid w:val="00E60324"/>
    <w:rsid w:val="00E6042C"/>
    <w:rsid w:val="00E6046A"/>
    <w:rsid w:val="00E60489"/>
    <w:rsid w:val="00E605D8"/>
    <w:rsid w:val="00E605E9"/>
    <w:rsid w:val="00E607B9"/>
    <w:rsid w:val="00E607DB"/>
    <w:rsid w:val="00E6089B"/>
    <w:rsid w:val="00E60953"/>
    <w:rsid w:val="00E609D7"/>
    <w:rsid w:val="00E60AE4"/>
    <w:rsid w:val="00E60B05"/>
    <w:rsid w:val="00E60B3E"/>
    <w:rsid w:val="00E60BD3"/>
    <w:rsid w:val="00E60C0B"/>
    <w:rsid w:val="00E60CD3"/>
    <w:rsid w:val="00E60E67"/>
    <w:rsid w:val="00E60E6A"/>
    <w:rsid w:val="00E60E9B"/>
    <w:rsid w:val="00E60FA9"/>
    <w:rsid w:val="00E61092"/>
    <w:rsid w:val="00E61095"/>
    <w:rsid w:val="00E610BC"/>
    <w:rsid w:val="00E61196"/>
    <w:rsid w:val="00E611A2"/>
    <w:rsid w:val="00E611D7"/>
    <w:rsid w:val="00E6120B"/>
    <w:rsid w:val="00E612B7"/>
    <w:rsid w:val="00E612C4"/>
    <w:rsid w:val="00E612E3"/>
    <w:rsid w:val="00E612E8"/>
    <w:rsid w:val="00E6133C"/>
    <w:rsid w:val="00E61384"/>
    <w:rsid w:val="00E6139A"/>
    <w:rsid w:val="00E613EC"/>
    <w:rsid w:val="00E614AD"/>
    <w:rsid w:val="00E61513"/>
    <w:rsid w:val="00E615B9"/>
    <w:rsid w:val="00E615CF"/>
    <w:rsid w:val="00E61694"/>
    <w:rsid w:val="00E616C5"/>
    <w:rsid w:val="00E61769"/>
    <w:rsid w:val="00E61776"/>
    <w:rsid w:val="00E617CA"/>
    <w:rsid w:val="00E619FD"/>
    <w:rsid w:val="00E61A39"/>
    <w:rsid w:val="00E61A59"/>
    <w:rsid w:val="00E61B7E"/>
    <w:rsid w:val="00E61B8E"/>
    <w:rsid w:val="00E61C60"/>
    <w:rsid w:val="00E61DB4"/>
    <w:rsid w:val="00E61E10"/>
    <w:rsid w:val="00E61EF6"/>
    <w:rsid w:val="00E61F82"/>
    <w:rsid w:val="00E61F8D"/>
    <w:rsid w:val="00E61F9D"/>
    <w:rsid w:val="00E61FD0"/>
    <w:rsid w:val="00E62031"/>
    <w:rsid w:val="00E62057"/>
    <w:rsid w:val="00E620D3"/>
    <w:rsid w:val="00E62184"/>
    <w:rsid w:val="00E621B1"/>
    <w:rsid w:val="00E6226B"/>
    <w:rsid w:val="00E6242A"/>
    <w:rsid w:val="00E6245B"/>
    <w:rsid w:val="00E6248B"/>
    <w:rsid w:val="00E62503"/>
    <w:rsid w:val="00E62699"/>
    <w:rsid w:val="00E6277B"/>
    <w:rsid w:val="00E62816"/>
    <w:rsid w:val="00E6282F"/>
    <w:rsid w:val="00E628A7"/>
    <w:rsid w:val="00E628AF"/>
    <w:rsid w:val="00E628BB"/>
    <w:rsid w:val="00E628F1"/>
    <w:rsid w:val="00E6295B"/>
    <w:rsid w:val="00E62969"/>
    <w:rsid w:val="00E629EE"/>
    <w:rsid w:val="00E62A76"/>
    <w:rsid w:val="00E62A87"/>
    <w:rsid w:val="00E62AE2"/>
    <w:rsid w:val="00E62B0F"/>
    <w:rsid w:val="00E62C98"/>
    <w:rsid w:val="00E62D58"/>
    <w:rsid w:val="00E62E5E"/>
    <w:rsid w:val="00E62F3A"/>
    <w:rsid w:val="00E62F75"/>
    <w:rsid w:val="00E63026"/>
    <w:rsid w:val="00E63041"/>
    <w:rsid w:val="00E63096"/>
    <w:rsid w:val="00E6312B"/>
    <w:rsid w:val="00E631AF"/>
    <w:rsid w:val="00E631BC"/>
    <w:rsid w:val="00E631F5"/>
    <w:rsid w:val="00E63222"/>
    <w:rsid w:val="00E632F8"/>
    <w:rsid w:val="00E63319"/>
    <w:rsid w:val="00E633B3"/>
    <w:rsid w:val="00E633E2"/>
    <w:rsid w:val="00E633F1"/>
    <w:rsid w:val="00E6341B"/>
    <w:rsid w:val="00E63473"/>
    <w:rsid w:val="00E63494"/>
    <w:rsid w:val="00E635F1"/>
    <w:rsid w:val="00E636F1"/>
    <w:rsid w:val="00E63773"/>
    <w:rsid w:val="00E637B0"/>
    <w:rsid w:val="00E63835"/>
    <w:rsid w:val="00E63A50"/>
    <w:rsid w:val="00E63AB6"/>
    <w:rsid w:val="00E63AC8"/>
    <w:rsid w:val="00E63AE3"/>
    <w:rsid w:val="00E63B14"/>
    <w:rsid w:val="00E63B4E"/>
    <w:rsid w:val="00E63B69"/>
    <w:rsid w:val="00E63BAA"/>
    <w:rsid w:val="00E63C30"/>
    <w:rsid w:val="00E63C36"/>
    <w:rsid w:val="00E63C59"/>
    <w:rsid w:val="00E63CE9"/>
    <w:rsid w:val="00E63D57"/>
    <w:rsid w:val="00E63E38"/>
    <w:rsid w:val="00E63EC9"/>
    <w:rsid w:val="00E64050"/>
    <w:rsid w:val="00E640F5"/>
    <w:rsid w:val="00E641A1"/>
    <w:rsid w:val="00E641E2"/>
    <w:rsid w:val="00E64248"/>
    <w:rsid w:val="00E642AC"/>
    <w:rsid w:val="00E642FC"/>
    <w:rsid w:val="00E6435B"/>
    <w:rsid w:val="00E643F3"/>
    <w:rsid w:val="00E6442F"/>
    <w:rsid w:val="00E6446A"/>
    <w:rsid w:val="00E64542"/>
    <w:rsid w:val="00E64577"/>
    <w:rsid w:val="00E645F6"/>
    <w:rsid w:val="00E64606"/>
    <w:rsid w:val="00E64616"/>
    <w:rsid w:val="00E646AD"/>
    <w:rsid w:val="00E646C7"/>
    <w:rsid w:val="00E64795"/>
    <w:rsid w:val="00E64837"/>
    <w:rsid w:val="00E648C1"/>
    <w:rsid w:val="00E6493A"/>
    <w:rsid w:val="00E64962"/>
    <w:rsid w:val="00E6497E"/>
    <w:rsid w:val="00E649F1"/>
    <w:rsid w:val="00E64A05"/>
    <w:rsid w:val="00E64A41"/>
    <w:rsid w:val="00E64ADB"/>
    <w:rsid w:val="00E64B02"/>
    <w:rsid w:val="00E64BA2"/>
    <w:rsid w:val="00E64BDD"/>
    <w:rsid w:val="00E64BE0"/>
    <w:rsid w:val="00E64BF8"/>
    <w:rsid w:val="00E64CE4"/>
    <w:rsid w:val="00E64CE7"/>
    <w:rsid w:val="00E64D5B"/>
    <w:rsid w:val="00E64DCE"/>
    <w:rsid w:val="00E64DD5"/>
    <w:rsid w:val="00E64E9E"/>
    <w:rsid w:val="00E64EAC"/>
    <w:rsid w:val="00E64F30"/>
    <w:rsid w:val="00E6509D"/>
    <w:rsid w:val="00E65154"/>
    <w:rsid w:val="00E65224"/>
    <w:rsid w:val="00E65264"/>
    <w:rsid w:val="00E65348"/>
    <w:rsid w:val="00E653A0"/>
    <w:rsid w:val="00E65547"/>
    <w:rsid w:val="00E655D3"/>
    <w:rsid w:val="00E655FD"/>
    <w:rsid w:val="00E65617"/>
    <w:rsid w:val="00E656E9"/>
    <w:rsid w:val="00E656FD"/>
    <w:rsid w:val="00E6579F"/>
    <w:rsid w:val="00E657CD"/>
    <w:rsid w:val="00E657D3"/>
    <w:rsid w:val="00E657E6"/>
    <w:rsid w:val="00E6581F"/>
    <w:rsid w:val="00E65895"/>
    <w:rsid w:val="00E658CF"/>
    <w:rsid w:val="00E65944"/>
    <w:rsid w:val="00E65A79"/>
    <w:rsid w:val="00E65A93"/>
    <w:rsid w:val="00E65AD6"/>
    <w:rsid w:val="00E65B4C"/>
    <w:rsid w:val="00E65B59"/>
    <w:rsid w:val="00E65BF1"/>
    <w:rsid w:val="00E65D60"/>
    <w:rsid w:val="00E65F67"/>
    <w:rsid w:val="00E65F75"/>
    <w:rsid w:val="00E65F9E"/>
    <w:rsid w:val="00E65FC6"/>
    <w:rsid w:val="00E66047"/>
    <w:rsid w:val="00E660B8"/>
    <w:rsid w:val="00E660CD"/>
    <w:rsid w:val="00E660E7"/>
    <w:rsid w:val="00E6611A"/>
    <w:rsid w:val="00E66126"/>
    <w:rsid w:val="00E661EF"/>
    <w:rsid w:val="00E66311"/>
    <w:rsid w:val="00E66318"/>
    <w:rsid w:val="00E663BE"/>
    <w:rsid w:val="00E66443"/>
    <w:rsid w:val="00E6655C"/>
    <w:rsid w:val="00E66574"/>
    <w:rsid w:val="00E66578"/>
    <w:rsid w:val="00E6659D"/>
    <w:rsid w:val="00E666BB"/>
    <w:rsid w:val="00E6673B"/>
    <w:rsid w:val="00E667B9"/>
    <w:rsid w:val="00E667C6"/>
    <w:rsid w:val="00E667DB"/>
    <w:rsid w:val="00E667F8"/>
    <w:rsid w:val="00E669AC"/>
    <w:rsid w:val="00E669CA"/>
    <w:rsid w:val="00E66A27"/>
    <w:rsid w:val="00E66A7B"/>
    <w:rsid w:val="00E66AAF"/>
    <w:rsid w:val="00E66AF9"/>
    <w:rsid w:val="00E66BCF"/>
    <w:rsid w:val="00E66C3C"/>
    <w:rsid w:val="00E66C55"/>
    <w:rsid w:val="00E66D12"/>
    <w:rsid w:val="00E66D58"/>
    <w:rsid w:val="00E66D8A"/>
    <w:rsid w:val="00E66E5B"/>
    <w:rsid w:val="00E66EB2"/>
    <w:rsid w:val="00E66F1A"/>
    <w:rsid w:val="00E66F33"/>
    <w:rsid w:val="00E670E3"/>
    <w:rsid w:val="00E67126"/>
    <w:rsid w:val="00E6716E"/>
    <w:rsid w:val="00E671A5"/>
    <w:rsid w:val="00E672CC"/>
    <w:rsid w:val="00E672D8"/>
    <w:rsid w:val="00E67343"/>
    <w:rsid w:val="00E67356"/>
    <w:rsid w:val="00E67407"/>
    <w:rsid w:val="00E6741C"/>
    <w:rsid w:val="00E674B2"/>
    <w:rsid w:val="00E674DE"/>
    <w:rsid w:val="00E6757E"/>
    <w:rsid w:val="00E675A8"/>
    <w:rsid w:val="00E675E3"/>
    <w:rsid w:val="00E676BD"/>
    <w:rsid w:val="00E676E9"/>
    <w:rsid w:val="00E67738"/>
    <w:rsid w:val="00E67749"/>
    <w:rsid w:val="00E67750"/>
    <w:rsid w:val="00E6781D"/>
    <w:rsid w:val="00E67861"/>
    <w:rsid w:val="00E67979"/>
    <w:rsid w:val="00E67ACD"/>
    <w:rsid w:val="00E67AF2"/>
    <w:rsid w:val="00E67AF4"/>
    <w:rsid w:val="00E67B76"/>
    <w:rsid w:val="00E67C23"/>
    <w:rsid w:val="00E67D31"/>
    <w:rsid w:val="00E67E72"/>
    <w:rsid w:val="00E67E7A"/>
    <w:rsid w:val="00E67E98"/>
    <w:rsid w:val="00E67ED0"/>
    <w:rsid w:val="00E7004B"/>
    <w:rsid w:val="00E7010F"/>
    <w:rsid w:val="00E70154"/>
    <w:rsid w:val="00E70159"/>
    <w:rsid w:val="00E70176"/>
    <w:rsid w:val="00E7044C"/>
    <w:rsid w:val="00E70477"/>
    <w:rsid w:val="00E70577"/>
    <w:rsid w:val="00E706BA"/>
    <w:rsid w:val="00E70727"/>
    <w:rsid w:val="00E70751"/>
    <w:rsid w:val="00E708AF"/>
    <w:rsid w:val="00E7091C"/>
    <w:rsid w:val="00E70945"/>
    <w:rsid w:val="00E7095B"/>
    <w:rsid w:val="00E70963"/>
    <w:rsid w:val="00E709DA"/>
    <w:rsid w:val="00E70A4A"/>
    <w:rsid w:val="00E70A65"/>
    <w:rsid w:val="00E70B5B"/>
    <w:rsid w:val="00E70C27"/>
    <w:rsid w:val="00E70C4A"/>
    <w:rsid w:val="00E70D4C"/>
    <w:rsid w:val="00E70D75"/>
    <w:rsid w:val="00E70D9F"/>
    <w:rsid w:val="00E70DBE"/>
    <w:rsid w:val="00E70E62"/>
    <w:rsid w:val="00E70F8A"/>
    <w:rsid w:val="00E70FDA"/>
    <w:rsid w:val="00E71169"/>
    <w:rsid w:val="00E71174"/>
    <w:rsid w:val="00E711AA"/>
    <w:rsid w:val="00E711C8"/>
    <w:rsid w:val="00E711E9"/>
    <w:rsid w:val="00E7122B"/>
    <w:rsid w:val="00E712D7"/>
    <w:rsid w:val="00E7132A"/>
    <w:rsid w:val="00E713C6"/>
    <w:rsid w:val="00E71446"/>
    <w:rsid w:val="00E714C2"/>
    <w:rsid w:val="00E71502"/>
    <w:rsid w:val="00E71579"/>
    <w:rsid w:val="00E7159D"/>
    <w:rsid w:val="00E715C4"/>
    <w:rsid w:val="00E715DF"/>
    <w:rsid w:val="00E7160D"/>
    <w:rsid w:val="00E716AD"/>
    <w:rsid w:val="00E716D5"/>
    <w:rsid w:val="00E71722"/>
    <w:rsid w:val="00E7173F"/>
    <w:rsid w:val="00E71755"/>
    <w:rsid w:val="00E71768"/>
    <w:rsid w:val="00E7183E"/>
    <w:rsid w:val="00E71A03"/>
    <w:rsid w:val="00E71A04"/>
    <w:rsid w:val="00E71A4A"/>
    <w:rsid w:val="00E71C1D"/>
    <w:rsid w:val="00E71E59"/>
    <w:rsid w:val="00E71F06"/>
    <w:rsid w:val="00E71F4E"/>
    <w:rsid w:val="00E72086"/>
    <w:rsid w:val="00E720F0"/>
    <w:rsid w:val="00E72178"/>
    <w:rsid w:val="00E721C2"/>
    <w:rsid w:val="00E721D7"/>
    <w:rsid w:val="00E72214"/>
    <w:rsid w:val="00E72215"/>
    <w:rsid w:val="00E72342"/>
    <w:rsid w:val="00E7242F"/>
    <w:rsid w:val="00E7251B"/>
    <w:rsid w:val="00E7257F"/>
    <w:rsid w:val="00E72584"/>
    <w:rsid w:val="00E7259F"/>
    <w:rsid w:val="00E725A3"/>
    <w:rsid w:val="00E725F8"/>
    <w:rsid w:val="00E7262B"/>
    <w:rsid w:val="00E726BD"/>
    <w:rsid w:val="00E727EA"/>
    <w:rsid w:val="00E728B2"/>
    <w:rsid w:val="00E728B5"/>
    <w:rsid w:val="00E728E3"/>
    <w:rsid w:val="00E7295E"/>
    <w:rsid w:val="00E72A8C"/>
    <w:rsid w:val="00E72ACF"/>
    <w:rsid w:val="00E72B81"/>
    <w:rsid w:val="00E72B9F"/>
    <w:rsid w:val="00E72C0C"/>
    <w:rsid w:val="00E72C0E"/>
    <w:rsid w:val="00E72CF8"/>
    <w:rsid w:val="00E72DB8"/>
    <w:rsid w:val="00E72DC2"/>
    <w:rsid w:val="00E72E21"/>
    <w:rsid w:val="00E72E83"/>
    <w:rsid w:val="00E72F2C"/>
    <w:rsid w:val="00E72F35"/>
    <w:rsid w:val="00E72F6E"/>
    <w:rsid w:val="00E730F5"/>
    <w:rsid w:val="00E7311C"/>
    <w:rsid w:val="00E73146"/>
    <w:rsid w:val="00E7315D"/>
    <w:rsid w:val="00E731DF"/>
    <w:rsid w:val="00E732BC"/>
    <w:rsid w:val="00E732FB"/>
    <w:rsid w:val="00E732FE"/>
    <w:rsid w:val="00E73323"/>
    <w:rsid w:val="00E7338E"/>
    <w:rsid w:val="00E73537"/>
    <w:rsid w:val="00E73572"/>
    <w:rsid w:val="00E73582"/>
    <w:rsid w:val="00E7367C"/>
    <w:rsid w:val="00E73692"/>
    <w:rsid w:val="00E736F6"/>
    <w:rsid w:val="00E737FE"/>
    <w:rsid w:val="00E7387C"/>
    <w:rsid w:val="00E73998"/>
    <w:rsid w:val="00E739E7"/>
    <w:rsid w:val="00E73A58"/>
    <w:rsid w:val="00E73B51"/>
    <w:rsid w:val="00E73BDE"/>
    <w:rsid w:val="00E73C86"/>
    <w:rsid w:val="00E73DD5"/>
    <w:rsid w:val="00E73F9B"/>
    <w:rsid w:val="00E73FCC"/>
    <w:rsid w:val="00E74009"/>
    <w:rsid w:val="00E74017"/>
    <w:rsid w:val="00E740C6"/>
    <w:rsid w:val="00E741FB"/>
    <w:rsid w:val="00E7421A"/>
    <w:rsid w:val="00E7421F"/>
    <w:rsid w:val="00E74373"/>
    <w:rsid w:val="00E743B1"/>
    <w:rsid w:val="00E743CA"/>
    <w:rsid w:val="00E744B8"/>
    <w:rsid w:val="00E744F0"/>
    <w:rsid w:val="00E74612"/>
    <w:rsid w:val="00E7462E"/>
    <w:rsid w:val="00E74695"/>
    <w:rsid w:val="00E746E4"/>
    <w:rsid w:val="00E74712"/>
    <w:rsid w:val="00E74727"/>
    <w:rsid w:val="00E74774"/>
    <w:rsid w:val="00E748CA"/>
    <w:rsid w:val="00E74924"/>
    <w:rsid w:val="00E7493E"/>
    <w:rsid w:val="00E7495B"/>
    <w:rsid w:val="00E74965"/>
    <w:rsid w:val="00E74980"/>
    <w:rsid w:val="00E749C5"/>
    <w:rsid w:val="00E74A89"/>
    <w:rsid w:val="00E74AB0"/>
    <w:rsid w:val="00E74BDC"/>
    <w:rsid w:val="00E74C62"/>
    <w:rsid w:val="00E74C7F"/>
    <w:rsid w:val="00E74D7C"/>
    <w:rsid w:val="00E74E9E"/>
    <w:rsid w:val="00E74EBE"/>
    <w:rsid w:val="00E74F43"/>
    <w:rsid w:val="00E74FB9"/>
    <w:rsid w:val="00E750AE"/>
    <w:rsid w:val="00E75124"/>
    <w:rsid w:val="00E7525D"/>
    <w:rsid w:val="00E7527A"/>
    <w:rsid w:val="00E7533A"/>
    <w:rsid w:val="00E753A6"/>
    <w:rsid w:val="00E75499"/>
    <w:rsid w:val="00E75503"/>
    <w:rsid w:val="00E755D8"/>
    <w:rsid w:val="00E75719"/>
    <w:rsid w:val="00E75858"/>
    <w:rsid w:val="00E759AB"/>
    <w:rsid w:val="00E75A29"/>
    <w:rsid w:val="00E75B47"/>
    <w:rsid w:val="00E75C06"/>
    <w:rsid w:val="00E75C68"/>
    <w:rsid w:val="00E75D30"/>
    <w:rsid w:val="00E75E46"/>
    <w:rsid w:val="00E75EAD"/>
    <w:rsid w:val="00E75ED9"/>
    <w:rsid w:val="00E75F2E"/>
    <w:rsid w:val="00E75F39"/>
    <w:rsid w:val="00E75FDF"/>
    <w:rsid w:val="00E75FE6"/>
    <w:rsid w:val="00E760CB"/>
    <w:rsid w:val="00E760D4"/>
    <w:rsid w:val="00E7623F"/>
    <w:rsid w:val="00E76339"/>
    <w:rsid w:val="00E76342"/>
    <w:rsid w:val="00E76392"/>
    <w:rsid w:val="00E76503"/>
    <w:rsid w:val="00E76576"/>
    <w:rsid w:val="00E7666F"/>
    <w:rsid w:val="00E7667B"/>
    <w:rsid w:val="00E76680"/>
    <w:rsid w:val="00E7669C"/>
    <w:rsid w:val="00E766B7"/>
    <w:rsid w:val="00E76859"/>
    <w:rsid w:val="00E768D8"/>
    <w:rsid w:val="00E76928"/>
    <w:rsid w:val="00E7692B"/>
    <w:rsid w:val="00E7692E"/>
    <w:rsid w:val="00E76A57"/>
    <w:rsid w:val="00E76E6E"/>
    <w:rsid w:val="00E76E79"/>
    <w:rsid w:val="00E76EBF"/>
    <w:rsid w:val="00E76EFC"/>
    <w:rsid w:val="00E76F63"/>
    <w:rsid w:val="00E76FA5"/>
    <w:rsid w:val="00E7704E"/>
    <w:rsid w:val="00E77050"/>
    <w:rsid w:val="00E77103"/>
    <w:rsid w:val="00E77115"/>
    <w:rsid w:val="00E77158"/>
    <w:rsid w:val="00E7720A"/>
    <w:rsid w:val="00E7734F"/>
    <w:rsid w:val="00E773E0"/>
    <w:rsid w:val="00E7747C"/>
    <w:rsid w:val="00E774EE"/>
    <w:rsid w:val="00E77534"/>
    <w:rsid w:val="00E77586"/>
    <w:rsid w:val="00E77628"/>
    <w:rsid w:val="00E77679"/>
    <w:rsid w:val="00E777C9"/>
    <w:rsid w:val="00E777CA"/>
    <w:rsid w:val="00E778CF"/>
    <w:rsid w:val="00E77A4C"/>
    <w:rsid w:val="00E77B86"/>
    <w:rsid w:val="00E77C36"/>
    <w:rsid w:val="00E77C9E"/>
    <w:rsid w:val="00E77CB0"/>
    <w:rsid w:val="00E77D15"/>
    <w:rsid w:val="00E77F8F"/>
    <w:rsid w:val="00E800A9"/>
    <w:rsid w:val="00E8018D"/>
    <w:rsid w:val="00E80230"/>
    <w:rsid w:val="00E802E1"/>
    <w:rsid w:val="00E80303"/>
    <w:rsid w:val="00E8034B"/>
    <w:rsid w:val="00E80371"/>
    <w:rsid w:val="00E803A0"/>
    <w:rsid w:val="00E803EC"/>
    <w:rsid w:val="00E80456"/>
    <w:rsid w:val="00E804CB"/>
    <w:rsid w:val="00E80628"/>
    <w:rsid w:val="00E8062A"/>
    <w:rsid w:val="00E80682"/>
    <w:rsid w:val="00E806C3"/>
    <w:rsid w:val="00E806FE"/>
    <w:rsid w:val="00E80781"/>
    <w:rsid w:val="00E807F7"/>
    <w:rsid w:val="00E80971"/>
    <w:rsid w:val="00E809D2"/>
    <w:rsid w:val="00E80C6B"/>
    <w:rsid w:val="00E80C9D"/>
    <w:rsid w:val="00E80CB4"/>
    <w:rsid w:val="00E80CD1"/>
    <w:rsid w:val="00E80D75"/>
    <w:rsid w:val="00E80E12"/>
    <w:rsid w:val="00E80E27"/>
    <w:rsid w:val="00E80E2B"/>
    <w:rsid w:val="00E80E52"/>
    <w:rsid w:val="00E80F5A"/>
    <w:rsid w:val="00E80FA5"/>
    <w:rsid w:val="00E8106B"/>
    <w:rsid w:val="00E81105"/>
    <w:rsid w:val="00E811E9"/>
    <w:rsid w:val="00E81215"/>
    <w:rsid w:val="00E81282"/>
    <w:rsid w:val="00E8128B"/>
    <w:rsid w:val="00E812EB"/>
    <w:rsid w:val="00E8135A"/>
    <w:rsid w:val="00E81465"/>
    <w:rsid w:val="00E814F0"/>
    <w:rsid w:val="00E8151F"/>
    <w:rsid w:val="00E815F7"/>
    <w:rsid w:val="00E81655"/>
    <w:rsid w:val="00E8166D"/>
    <w:rsid w:val="00E817D2"/>
    <w:rsid w:val="00E81833"/>
    <w:rsid w:val="00E818DC"/>
    <w:rsid w:val="00E81903"/>
    <w:rsid w:val="00E81945"/>
    <w:rsid w:val="00E819A5"/>
    <w:rsid w:val="00E819C8"/>
    <w:rsid w:val="00E819E5"/>
    <w:rsid w:val="00E81A2C"/>
    <w:rsid w:val="00E81A2E"/>
    <w:rsid w:val="00E81AB0"/>
    <w:rsid w:val="00E81ACC"/>
    <w:rsid w:val="00E81AF8"/>
    <w:rsid w:val="00E81B5C"/>
    <w:rsid w:val="00E81B84"/>
    <w:rsid w:val="00E81B8E"/>
    <w:rsid w:val="00E81C5B"/>
    <w:rsid w:val="00E81C84"/>
    <w:rsid w:val="00E81DDE"/>
    <w:rsid w:val="00E81DEE"/>
    <w:rsid w:val="00E81ED9"/>
    <w:rsid w:val="00E81F09"/>
    <w:rsid w:val="00E81F21"/>
    <w:rsid w:val="00E81F2B"/>
    <w:rsid w:val="00E820FC"/>
    <w:rsid w:val="00E82159"/>
    <w:rsid w:val="00E82190"/>
    <w:rsid w:val="00E821CD"/>
    <w:rsid w:val="00E821D5"/>
    <w:rsid w:val="00E82260"/>
    <w:rsid w:val="00E82279"/>
    <w:rsid w:val="00E8244B"/>
    <w:rsid w:val="00E824AE"/>
    <w:rsid w:val="00E82551"/>
    <w:rsid w:val="00E82557"/>
    <w:rsid w:val="00E8256B"/>
    <w:rsid w:val="00E8256C"/>
    <w:rsid w:val="00E82571"/>
    <w:rsid w:val="00E82686"/>
    <w:rsid w:val="00E826FF"/>
    <w:rsid w:val="00E8278F"/>
    <w:rsid w:val="00E82867"/>
    <w:rsid w:val="00E8292F"/>
    <w:rsid w:val="00E829B0"/>
    <w:rsid w:val="00E82A03"/>
    <w:rsid w:val="00E82A4A"/>
    <w:rsid w:val="00E82C03"/>
    <w:rsid w:val="00E82CD3"/>
    <w:rsid w:val="00E82D47"/>
    <w:rsid w:val="00E82DA4"/>
    <w:rsid w:val="00E82DB3"/>
    <w:rsid w:val="00E82DC3"/>
    <w:rsid w:val="00E82E2F"/>
    <w:rsid w:val="00E82E83"/>
    <w:rsid w:val="00E83086"/>
    <w:rsid w:val="00E832C2"/>
    <w:rsid w:val="00E8340A"/>
    <w:rsid w:val="00E8342C"/>
    <w:rsid w:val="00E83458"/>
    <w:rsid w:val="00E83468"/>
    <w:rsid w:val="00E834BE"/>
    <w:rsid w:val="00E834E4"/>
    <w:rsid w:val="00E83536"/>
    <w:rsid w:val="00E835A1"/>
    <w:rsid w:val="00E835DF"/>
    <w:rsid w:val="00E83659"/>
    <w:rsid w:val="00E83662"/>
    <w:rsid w:val="00E836A0"/>
    <w:rsid w:val="00E8373E"/>
    <w:rsid w:val="00E837E0"/>
    <w:rsid w:val="00E83834"/>
    <w:rsid w:val="00E838CD"/>
    <w:rsid w:val="00E838F3"/>
    <w:rsid w:val="00E83931"/>
    <w:rsid w:val="00E839F3"/>
    <w:rsid w:val="00E83ADA"/>
    <w:rsid w:val="00E83AFF"/>
    <w:rsid w:val="00E83B16"/>
    <w:rsid w:val="00E83B2E"/>
    <w:rsid w:val="00E83BBF"/>
    <w:rsid w:val="00E83C42"/>
    <w:rsid w:val="00E83D83"/>
    <w:rsid w:val="00E83DCC"/>
    <w:rsid w:val="00E83DEE"/>
    <w:rsid w:val="00E83E43"/>
    <w:rsid w:val="00E83E81"/>
    <w:rsid w:val="00E83EE7"/>
    <w:rsid w:val="00E83EEB"/>
    <w:rsid w:val="00E83F63"/>
    <w:rsid w:val="00E83FA0"/>
    <w:rsid w:val="00E83FF4"/>
    <w:rsid w:val="00E84009"/>
    <w:rsid w:val="00E84082"/>
    <w:rsid w:val="00E840CF"/>
    <w:rsid w:val="00E840D8"/>
    <w:rsid w:val="00E84168"/>
    <w:rsid w:val="00E8416C"/>
    <w:rsid w:val="00E841B4"/>
    <w:rsid w:val="00E841DA"/>
    <w:rsid w:val="00E84262"/>
    <w:rsid w:val="00E842FB"/>
    <w:rsid w:val="00E84323"/>
    <w:rsid w:val="00E84341"/>
    <w:rsid w:val="00E84348"/>
    <w:rsid w:val="00E84388"/>
    <w:rsid w:val="00E84446"/>
    <w:rsid w:val="00E84468"/>
    <w:rsid w:val="00E844F3"/>
    <w:rsid w:val="00E845CB"/>
    <w:rsid w:val="00E84691"/>
    <w:rsid w:val="00E84825"/>
    <w:rsid w:val="00E8489C"/>
    <w:rsid w:val="00E848B6"/>
    <w:rsid w:val="00E8493D"/>
    <w:rsid w:val="00E849AE"/>
    <w:rsid w:val="00E84B2F"/>
    <w:rsid w:val="00E84B4B"/>
    <w:rsid w:val="00E84BF3"/>
    <w:rsid w:val="00E84CB4"/>
    <w:rsid w:val="00E84D2B"/>
    <w:rsid w:val="00E84D5B"/>
    <w:rsid w:val="00E84E1F"/>
    <w:rsid w:val="00E84EDE"/>
    <w:rsid w:val="00E84F8A"/>
    <w:rsid w:val="00E8503A"/>
    <w:rsid w:val="00E850B0"/>
    <w:rsid w:val="00E850E0"/>
    <w:rsid w:val="00E851E2"/>
    <w:rsid w:val="00E852FF"/>
    <w:rsid w:val="00E8534E"/>
    <w:rsid w:val="00E853C0"/>
    <w:rsid w:val="00E853F0"/>
    <w:rsid w:val="00E85426"/>
    <w:rsid w:val="00E854F5"/>
    <w:rsid w:val="00E85503"/>
    <w:rsid w:val="00E855D9"/>
    <w:rsid w:val="00E85664"/>
    <w:rsid w:val="00E85786"/>
    <w:rsid w:val="00E85893"/>
    <w:rsid w:val="00E85A51"/>
    <w:rsid w:val="00E85A53"/>
    <w:rsid w:val="00E85B8C"/>
    <w:rsid w:val="00E85B99"/>
    <w:rsid w:val="00E85C8E"/>
    <w:rsid w:val="00E85CC6"/>
    <w:rsid w:val="00E85D6D"/>
    <w:rsid w:val="00E85DBD"/>
    <w:rsid w:val="00E85E1D"/>
    <w:rsid w:val="00E85F0F"/>
    <w:rsid w:val="00E86042"/>
    <w:rsid w:val="00E860C6"/>
    <w:rsid w:val="00E8614B"/>
    <w:rsid w:val="00E86245"/>
    <w:rsid w:val="00E8624A"/>
    <w:rsid w:val="00E8628D"/>
    <w:rsid w:val="00E86473"/>
    <w:rsid w:val="00E8650B"/>
    <w:rsid w:val="00E8653C"/>
    <w:rsid w:val="00E8659F"/>
    <w:rsid w:val="00E865A0"/>
    <w:rsid w:val="00E86701"/>
    <w:rsid w:val="00E86844"/>
    <w:rsid w:val="00E8684F"/>
    <w:rsid w:val="00E86917"/>
    <w:rsid w:val="00E869B1"/>
    <w:rsid w:val="00E869E2"/>
    <w:rsid w:val="00E869EF"/>
    <w:rsid w:val="00E86A44"/>
    <w:rsid w:val="00E86A6B"/>
    <w:rsid w:val="00E86AAD"/>
    <w:rsid w:val="00E86BC9"/>
    <w:rsid w:val="00E86D3E"/>
    <w:rsid w:val="00E86DC8"/>
    <w:rsid w:val="00E86E1C"/>
    <w:rsid w:val="00E86F3F"/>
    <w:rsid w:val="00E86F77"/>
    <w:rsid w:val="00E870F4"/>
    <w:rsid w:val="00E870FE"/>
    <w:rsid w:val="00E8715C"/>
    <w:rsid w:val="00E87175"/>
    <w:rsid w:val="00E871ED"/>
    <w:rsid w:val="00E87251"/>
    <w:rsid w:val="00E8728B"/>
    <w:rsid w:val="00E8730D"/>
    <w:rsid w:val="00E8741B"/>
    <w:rsid w:val="00E8742D"/>
    <w:rsid w:val="00E87450"/>
    <w:rsid w:val="00E874C0"/>
    <w:rsid w:val="00E874CC"/>
    <w:rsid w:val="00E874D2"/>
    <w:rsid w:val="00E874D8"/>
    <w:rsid w:val="00E87633"/>
    <w:rsid w:val="00E876A5"/>
    <w:rsid w:val="00E876DA"/>
    <w:rsid w:val="00E87723"/>
    <w:rsid w:val="00E877A3"/>
    <w:rsid w:val="00E87839"/>
    <w:rsid w:val="00E8783D"/>
    <w:rsid w:val="00E87934"/>
    <w:rsid w:val="00E8795C"/>
    <w:rsid w:val="00E87965"/>
    <w:rsid w:val="00E879BF"/>
    <w:rsid w:val="00E87A29"/>
    <w:rsid w:val="00E87A2D"/>
    <w:rsid w:val="00E87A58"/>
    <w:rsid w:val="00E87AE9"/>
    <w:rsid w:val="00E87B80"/>
    <w:rsid w:val="00E87B9D"/>
    <w:rsid w:val="00E87C1A"/>
    <w:rsid w:val="00E87CB4"/>
    <w:rsid w:val="00E87CC0"/>
    <w:rsid w:val="00E87D0D"/>
    <w:rsid w:val="00E87DFA"/>
    <w:rsid w:val="00E87E69"/>
    <w:rsid w:val="00E87ED7"/>
    <w:rsid w:val="00E87F8D"/>
    <w:rsid w:val="00E87FB1"/>
    <w:rsid w:val="00E87FCE"/>
    <w:rsid w:val="00E87FD8"/>
    <w:rsid w:val="00E9000D"/>
    <w:rsid w:val="00E900C0"/>
    <w:rsid w:val="00E9010B"/>
    <w:rsid w:val="00E90164"/>
    <w:rsid w:val="00E90199"/>
    <w:rsid w:val="00E9020F"/>
    <w:rsid w:val="00E90250"/>
    <w:rsid w:val="00E902BE"/>
    <w:rsid w:val="00E90337"/>
    <w:rsid w:val="00E903A5"/>
    <w:rsid w:val="00E9086D"/>
    <w:rsid w:val="00E908EC"/>
    <w:rsid w:val="00E908F6"/>
    <w:rsid w:val="00E9091B"/>
    <w:rsid w:val="00E90A00"/>
    <w:rsid w:val="00E90A99"/>
    <w:rsid w:val="00E90B2D"/>
    <w:rsid w:val="00E90B9A"/>
    <w:rsid w:val="00E90BF5"/>
    <w:rsid w:val="00E90CDF"/>
    <w:rsid w:val="00E90CE2"/>
    <w:rsid w:val="00E90D70"/>
    <w:rsid w:val="00E90D93"/>
    <w:rsid w:val="00E90E35"/>
    <w:rsid w:val="00E90E80"/>
    <w:rsid w:val="00E90EA3"/>
    <w:rsid w:val="00E90EC9"/>
    <w:rsid w:val="00E90F2A"/>
    <w:rsid w:val="00E90F8B"/>
    <w:rsid w:val="00E90FD2"/>
    <w:rsid w:val="00E91046"/>
    <w:rsid w:val="00E9106E"/>
    <w:rsid w:val="00E9107F"/>
    <w:rsid w:val="00E91095"/>
    <w:rsid w:val="00E910FD"/>
    <w:rsid w:val="00E9112D"/>
    <w:rsid w:val="00E91201"/>
    <w:rsid w:val="00E912E3"/>
    <w:rsid w:val="00E9134C"/>
    <w:rsid w:val="00E913A2"/>
    <w:rsid w:val="00E913A9"/>
    <w:rsid w:val="00E913C5"/>
    <w:rsid w:val="00E915C6"/>
    <w:rsid w:val="00E91602"/>
    <w:rsid w:val="00E9165C"/>
    <w:rsid w:val="00E91681"/>
    <w:rsid w:val="00E9174F"/>
    <w:rsid w:val="00E917C5"/>
    <w:rsid w:val="00E917DB"/>
    <w:rsid w:val="00E918B1"/>
    <w:rsid w:val="00E91A01"/>
    <w:rsid w:val="00E91AB3"/>
    <w:rsid w:val="00E91AE9"/>
    <w:rsid w:val="00E91B1B"/>
    <w:rsid w:val="00E91B5D"/>
    <w:rsid w:val="00E91CD1"/>
    <w:rsid w:val="00E91CEF"/>
    <w:rsid w:val="00E91E14"/>
    <w:rsid w:val="00E91EB5"/>
    <w:rsid w:val="00E91F32"/>
    <w:rsid w:val="00E92064"/>
    <w:rsid w:val="00E920AC"/>
    <w:rsid w:val="00E921DB"/>
    <w:rsid w:val="00E921F4"/>
    <w:rsid w:val="00E92221"/>
    <w:rsid w:val="00E922D7"/>
    <w:rsid w:val="00E92386"/>
    <w:rsid w:val="00E9238B"/>
    <w:rsid w:val="00E923BE"/>
    <w:rsid w:val="00E923CA"/>
    <w:rsid w:val="00E923D4"/>
    <w:rsid w:val="00E9240F"/>
    <w:rsid w:val="00E92424"/>
    <w:rsid w:val="00E924F8"/>
    <w:rsid w:val="00E92505"/>
    <w:rsid w:val="00E92644"/>
    <w:rsid w:val="00E92741"/>
    <w:rsid w:val="00E927B0"/>
    <w:rsid w:val="00E927B5"/>
    <w:rsid w:val="00E92809"/>
    <w:rsid w:val="00E928E5"/>
    <w:rsid w:val="00E92905"/>
    <w:rsid w:val="00E92907"/>
    <w:rsid w:val="00E92913"/>
    <w:rsid w:val="00E929C7"/>
    <w:rsid w:val="00E92A1C"/>
    <w:rsid w:val="00E92A33"/>
    <w:rsid w:val="00E92A43"/>
    <w:rsid w:val="00E92B44"/>
    <w:rsid w:val="00E92B65"/>
    <w:rsid w:val="00E92BBD"/>
    <w:rsid w:val="00E92CAE"/>
    <w:rsid w:val="00E92D43"/>
    <w:rsid w:val="00E92E7F"/>
    <w:rsid w:val="00E92EDF"/>
    <w:rsid w:val="00E9301B"/>
    <w:rsid w:val="00E9303C"/>
    <w:rsid w:val="00E931DD"/>
    <w:rsid w:val="00E932DD"/>
    <w:rsid w:val="00E93306"/>
    <w:rsid w:val="00E93341"/>
    <w:rsid w:val="00E9348A"/>
    <w:rsid w:val="00E934F6"/>
    <w:rsid w:val="00E9359A"/>
    <w:rsid w:val="00E935A8"/>
    <w:rsid w:val="00E93692"/>
    <w:rsid w:val="00E93696"/>
    <w:rsid w:val="00E936E8"/>
    <w:rsid w:val="00E936EB"/>
    <w:rsid w:val="00E9370D"/>
    <w:rsid w:val="00E93884"/>
    <w:rsid w:val="00E938DB"/>
    <w:rsid w:val="00E93957"/>
    <w:rsid w:val="00E93AA1"/>
    <w:rsid w:val="00E93C0A"/>
    <w:rsid w:val="00E93E08"/>
    <w:rsid w:val="00E93E3D"/>
    <w:rsid w:val="00E93FE4"/>
    <w:rsid w:val="00E94033"/>
    <w:rsid w:val="00E940AA"/>
    <w:rsid w:val="00E941B4"/>
    <w:rsid w:val="00E9420F"/>
    <w:rsid w:val="00E94318"/>
    <w:rsid w:val="00E94347"/>
    <w:rsid w:val="00E94525"/>
    <w:rsid w:val="00E945C4"/>
    <w:rsid w:val="00E94778"/>
    <w:rsid w:val="00E947B7"/>
    <w:rsid w:val="00E947FE"/>
    <w:rsid w:val="00E94810"/>
    <w:rsid w:val="00E948BD"/>
    <w:rsid w:val="00E948C7"/>
    <w:rsid w:val="00E9496E"/>
    <w:rsid w:val="00E949C3"/>
    <w:rsid w:val="00E94A26"/>
    <w:rsid w:val="00E94A49"/>
    <w:rsid w:val="00E94A7B"/>
    <w:rsid w:val="00E94AED"/>
    <w:rsid w:val="00E94B0F"/>
    <w:rsid w:val="00E94B49"/>
    <w:rsid w:val="00E94B53"/>
    <w:rsid w:val="00E94B65"/>
    <w:rsid w:val="00E94BEC"/>
    <w:rsid w:val="00E94CC0"/>
    <w:rsid w:val="00E94DC3"/>
    <w:rsid w:val="00E94DF1"/>
    <w:rsid w:val="00E94EFE"/>
    <w:rsid w:val="00E94F39"/>
    <w:rsid w:val="00E94F41"/>
    <w:rsid w:val="00E94FBF"/>
    <w:rsid w:val="00E95007"/>
    <w:rsid w:val="00E950ED"/>
    <w:rsid w:val="00E95245"/>
    <w:rsid w:val="00E952A9"/>
    <w:rsid w:val="00E954A8"/>
    <w:rsid w:val="00E954C4"/>
    <w:rsid w:val="00E954F3"/>
    <w:rsid w:val="00E95537"/>
    <w:rsid w:val="00E95554"/>
    <w:rsid w:val="00E955AC"/>
    <w:rsid w:val="00E95628"/>
    <w:rsid w:val="00E95766"/>
    <w:rsid w:val="00E9576D"/>
    <w:rsid w:val="00E957F0"/>
    <w:rsid w:val="00E9581C"/>
    <w:rsid w:val="00E95855"/>
    <w:rsid w:val="00E958C9"/>
    <w:rsid w:val="00E958E2"/>
    <w:rsid w:val="00E958E3"/>
    <w:rsid w:val="00E95950"/>
    <w:rsid w:val="00E95A3F"/>
    <w:rsid w:val="00E95A4F"/>
    <w:rsid w:val="00E95A66"/>
    <w:rsid w:val="00E95A6F"/>
    <w:rsid w:val="00E95AAF"/>
    <w:rsid w:val="00E95ADC"/>
    <w:rsid w:val="00E95B12"/>
    <w:rsid w:val="00E95B43"/>
    <w:rsid w:val="00E95BCE"/>
    <w:rsid w:val="00E95BDD"/>
    <w:rsid w:val="00E95C80"/>
    <w:rsid w:val="00E95D9D"/>
    <w:rsid w:val="00E95F69"/>
    <w:rsid w:val="00E96057"/>
    <w:rsid w:val="00E960A4"/>
    <w:rsid w:val="00E960BE"/>
    <w:rsid w:val="00E960CB"/>
    <w:rsid w:val="00E9620C"/>
    <w:rsid w:val="00E96230"/>
    <w:rsid w:val="00E9624A"/>
    <w:rsid w:val="00E9625A"/>
    <w:rsid w:val="00E96315"/>
    <w:rsid w:val="00E96339"/>
    <w:rsid w:val="00E963A8"/>
    <w:rsid w:val="00E9641A"/>
    <w:rsid w:val="00E964CD"/>
    <w:rsid w:val="00E964F5"/>
    <w:rsid w:val="00E96553"/>
    <w:rsid w:val="00E965BB"/>
    <w:rsid w:val="00E9667B"/>
    <w:rsid w:val="00E96748"/>
    <w:rsid w:val="00E967CD"/>
    <w:rsid w:val="00E967EF"/>
    <w:rsid w:val="00E96983"/>
    <w:rsid w:val="00E96A92"/>
    <w:rsid w:val="00E96B14"/>
    <w:rsid w:val="00E96B91"/>
    <w:rsid w:val="00E96BA2"/>
    <w:rsid w:val="00E96C30"/>
    <w:rsid w:val="00E96C87"/>
    <w:rsid w:val="00E96CB6"/>
    <w:rsid w:val="00E96D38"/>
    <w:rsid w:val="00E96DC9"/>
    <w:rsid w:val="00E96E04"/>
    <w:rsid w:val="00E96F2B"/>
    <w:rsid w:val="00E96F3F"/>
    <w:rsid w:val="00E96F45"/>
    <w:rsid w:val="00E96F7F"/>
    <w:rsid w:val="00E96FDC"/>
    <w:rsid w:val="00E97011"/>
    <w:rsid w:val="00E97170"/>
    <w:rsid w:val="00E97203"/>
    <w:rsid w:val="00E9720C"/>
    <w:rsid w:val="00E9733B"/>
    <w:rsid w:val="00E973BC"/>
    <w:rsid w:val="00E97530"/>
    <w:rsid w:val="00E97561"/>
    <w:rsid w:val="00E975BD"/>
    <w:rsid w:val="00E97628"/>
    <w:rsid w:val="00E9767E"/>
    <w:rsid w:val="00E976A4"/>
    <w:rsid w:val="00E976ED"/>
    <w:rsid w:val="00E9775B"/>
    <w:rsid w:val="00E978B3"/>
    <w:rsid w:val="00E9796D"/>
    <w:rsid w:val="00E97ADC"/>
    <w:rsid w:val="00E97AEC"/>
    <w:rsid w:val="00E97CAF"/>
    <w:rsid w:val="00E97CB1"/>
    <w:rsid w:val="00E97CC8"/>
    <w:rsid w:val="00E97CED"/>
    <w:rsid w:val="00E97E2C"/>
    <w:rsid w:val="00E97F03"/>
    <w:rsid w:val="00E9A4B5"/>
    <w:rsid w:val="00EA0039"/>
    <w:rsid w:val="00EA00C7"/>
    <w:rsid w:val="00EA0166"/>
    <w:rsid w:val="00EA02A1"/>
    <w:rsid w:val="00EA0353"/>
    <w:rsid w:val="00EA048B"/>
    <w:rsid w:val="00EA0493"/>
    <w:rsid w:val="00EA04AC"/>
    <w:rsid w:val="00EA050E"/>
    <w:rsid w:val="00EA0515"/>
    <w:rsid w:val="00EA059B"/>
    <w:rsid w:val="00EA05FC"/>
    <w:rsid w:val="00EA0634"/>
    <w:rsid w:val="00EA06CA"/>
    <w:rsid w:val="00EA0719"/>
    <w:rsid w:val="00EA07EA"/>
    <w:rsid w:val="00EA0813"/>
    <w:rsid w:val="00EA086E"/>
    <w:rsid w:val="00EA08D5"/>
    <w:rsid w:val="00EA0993"/>
    <w:rsid w:val="00EA0A2F"/>
    <w:rsid w:val="00EA0B0F"/>
    <w:rsid w:val="00EA0B25"/>
    <w:rsid w:val="00EA0B45"/>
    <w:rsid w:val="00EA0BB1"/>
    <w:rsid w:val="00EA0BF9"/>
    <w:rsid w:val="00EA0C11"/>
    <w:rsid w:val="00EA0C9D"/>
    <w:rsid w:val="00EA0CEC"/>
    <w:rsid w:val="00EA0ED5"/>
    <w:rsid w:val="00EA0EE2"/>
    <w:rsid w:val="00EA0FA5"/>
    <w:rsid w:val="00EA0FAC"/>
    <w:rsid w:val="00EA0FEF"/>
    <w:rsid w:val="00EA1000"/>
    <w:rsid w:val="00EA1233"/>
    <w:rsid w:val="00EA12F0"/>
    <w:rsid w:val="00EA13F6"/>
    <w:rsid w:val="00EA1413"/>
    <w:rsid w:val="00EA1418"/>
    <w:rsid w:val="00EA1552"/>
    <w:rsid w:val="00EA16DB"/>
    <w:rsid w:val="00EA1704"/>
    <w:rsid w:val="00EA17C9"/>
    <w:rsid w:val="00EA18C4"/>
    <w:rsid w:val="00EA18DF"/>
    <w:rsid w:val="00EA1910"/>
    <w:rsid w:val="00EA1922"/>
    <w:rsid w:val="00EA19A0"/>
    <w:rsid w:val="00EA1B64"/>
    <w:rsid w:val="00EA1B8E"/>
    <w:rsid w:val="00EA1CB5"/>
    <w:rsid w:val="00EA1CFF"/>
    <w:rsid w:val="00EA1D04"/>
    <w:rsid w:val="00EA1DB6"/>
    <w:rsid w:val="00EA1DC9"/>
    <w:rsid w:val="00EA1E3E"/>
    <w:rsid w:val="00EA1E7A"/>
    <w:rsid w:val="00EA1EC5"/>
    <w:rsid w:val="00EA1EE0"/>
    <w:rsid w:val="00EA1EEB"/>
    <w:rsid w:val="00EA1F3D"/>
    <w:rsid w:val="00EA1FC7"/>
    <w:rsid w:val="00EA1FCE"/>
    <w:rsid w:val="00EA201D"/>
    <w:rsid w:val="00EA21DE"/>
    <w:rsid w:val="00EA2244"/>
    <w:rsid w:val="00EA2268"/>
    <w:rsid w:val="00EA2286"/>
    <w:rsid w:val="00EA2288"/>
    <w:rsid w:val="00EA2361"/>
    <w:rsid w:val="00EA2393"/>
    <w:rsid w:val="00EA23BB"/>
    <w:rsid w:val="00EA23EA"/>
    <w:rsid w:val="00EA2462"/>
    <w:rsid w:val="00EA2476"/>
    <w:rsid w:val="00EA24A2"/>
    <w:rsid w:val="00EA24C1"/>
    <w:rsid w:val="00EA24F6"/>
    <w:rsid w:val="00EA251A"/>
    <w:rsid w:val="00EA256C"/>
    <w:rsid w:val="00EA259D"/>
    <w:rsid w:val="00EA265D"/>
    <w:rsid w:val="00EA269F"/>
    <w:rsid w:val="00EA2723"/>
    <w:rsid w:val="00EA27A0"/>
    <w:rsid w:val="00EA2942"/>
    <w:rsid w:val="00EA2947"/>
    <w:rsid w:val="00EA298E"/>
    <w:rsid w:val="00EA2B1A"/>
    <w:rsid w:val="00EA2BB3"/>
    <w:rsid w:val="00EA2BFE"/>
    <w:rsid w:val="00EA2C74"/>
    <w:rsid w:val="00EA2CCF"/>
    <w:rsid w:val="00EA2D38"/>
    <w:rsid w:val="00EA2FA8"/>
    <w:rsid w:val="00EA2FBE"/>
    <w:rsid w:val="00EA301A"/>
    <w:rsid w:val="00EA30D7"/>
    <w:rsid w:val="00EA3138"/>
    <w:rsid w:val="00EA31B0"/>
    <w:rsid w:val="00EA31C2"/>
    <w:rsid w:val="00EA31CA"/>
    <w:rsid w:val="00EA3202"/>
    <w:rsid w:val="00EA3217"/>
    <w:rsid w:val="00EA3403"/>
    <w:rsid w:val="00EA3539"/>
    <w:rsid w:val="00EA371F"/>
    <w:rsid w:val="00EA377E"/>
    <w:rsid w:val="00EA3784"/>
    <w:rsid w:val="00EA3786"/>
    <w:rsid w:val="00EA3790"/>
    <w:rsid w:val="00EA379A"/>
    <w:rsid w:val="00EA3918"/>
    <w:rsid w:val="00EA392C"/>
    <w:rsid w:val="00EA393E"/>
    <w:rsid w:val="00EA39B6"/>
    <w:rsid w:val="00EA39EE"/>
    <w:rsid w:val="00EA3A3C"/>
    <w:rsid w:val="00EA3A71"/>
    <w:rsid w:val="00EA3AAA"/>
    <w:rsid w:val="00EA3B82"/>
    <w:rsid w:val="00EA3BCF"/>
    <w:rsid w:val="00EA3BF9"/>
    <w:rsid w:val="00EA3C2F"/>
    <w:rsid w:val="00EA3E8A"/>
    <w:rsid w:val="00EA3EA7"/>
    <w:rsid w:val="00EA3FB5"/>
    <w:rsid w:val="00EA4086"/>
    <w:rsid w:val="00EA416C"/>
    <w:rsid w:val="00EA4203"/>
    <w:rsid w:val="00EA4276"/>
    <w:rsid w:val="00EA434F"/>
    <w:rsid w:val="00EA4373"/>
    <w:rsid w:val="00EA43A6"/>
    <w:rsid w:val="00EA43E5"/>
    <w:rsid w:val="00EA43F6"/>
    <w:rsid w:val="00EA451C"/>
    <w:rsid w:val="00EA45DC"/>
    <w:rsid w:val="00EA4618"/>
    <w:rsid w:val="00EA461F"/>
    <w:rsid w:val="00EA466F"/>
    <w:rsid w:val="00EA469D"/>
    <w:rsid w:val="00EA46F4"/>
    <w:rsid w:val="00EA4700"/>
    <w:rsid w:val="00EA47BB"/>
    <w:rsid w:val="00EA4813"/>
    <w:rsid w:val="00EA4895"/>
    <w:rsid w:val="00EA48EE"/>
    <w:rsid w:val="00EA4926"/>
    <w:rsid w:val="00EA4A09"/>
    <w:rsid w:val="00EA4A87"/>
    <w:rsid w:val="00EA4DAD"/>
    <w:rsid w:val="00EA4F11"/>
    <w:rsid w:val="00EA4F66"/>
    <w:rsid w:val="00EA4FCD"/>
    <w:rsid w:val="00EA50F2"/>
    <w:rsid w:val="00EA512C"/>
    <w:rsid w:val="00EA51AA"/>
    <w:rsid w:val="00EA5256"/>
    <w:rsid w:val="00EA52F7"/>
    <w:rsid w:val="00EA5325"/>
    <w:rsid w:val="00EA546A"/>
    <w:rsid w:val="00EA5490"/>
    <w:rsid w:val="00EA54F2"/>
    <w:rsid w:val="00EA5543"/>
    <w:rsid w:val="00EA55F7"/>
    <w:rsid w:val="00EA562F"/>
    <w:rsid w:val="00EA569D"/>
    <w:rsid w:val="00EA576C"/>
    <w:rsid w:val="00EA578E"/>
    <w:rsid w:val="00EA5885"/>
    <w:rsid w:val="00EA58C1"/>
    <w:rsid w:val="00EA5A6B"/>
    <w:rsid w:val="00EA5BED"/>
    <w:rsid w:val="00EA5C31"/>
    <w:rsid w:val="00EA5CCE"/>
    <w:rsid w:val="00EA5CF7"/>
    <w:rsid w:val="00EA5D51"/>
    <w:rsid w:val="00EA5E2A"/>
    <w:rsid w:val="00EA5F11"/>
    <w:rsid w:val="00EA5F14"/>
    <w:rsid w:val="00EA5F45"/>
    <w:rsid w:val="00EA5F52"/>
    <w:rsid w:val="00EA610F"/>
    <w:rsid w:val="00EA614D"/>
    <w:rsid w:val="00EA6213"/>
    <w:rsid w:val="00EA627F"/>
    <w:rsid w:val="00EA6327"/>
    <w:rsid w:val="00EA6386"/>
    <w:rsid w:val="00EA63F7"/>
    <w:rsid w:val="00EA6493"/>
    <w:rsid w:val="00EA64BA"/>
    <w:rsid w:val="00EA656F"/>
    <w:rsid w:val="00EA6577"/>
    <w:rsid w:val="00EA6656"/>
    <w:rsid w:val="00EA6668"/>
    <w:rsid w:val="00EA66AA"/>
    <w:rsid w:val="00EA66E0"/>
    <w:rsid w:val="00EA6725"/>
    <w:rsid w:val="00EA6770"/>
    <w:rsid w:val="00EA6796"/>
    <w:rsid w:val="00EA67D3"/>
    <w:rsid w:val="00EA6814"/>
    <w:rsid w:val="00EA68F6"/>
    <w:rsid w:val="00EA690E"/>
    <w:rsid w:val="00EA6989"/>
    <w:rsid w:val="00EA6A55"/>
    <w:rsid w:val="00EA6A7D"/>
    <w:rsid w:val="00EA6ADF"/>
    <w:rsid w:val="00EA6B10"/>
    <w:rsid w:val="00EA6B59"/>
    <w:rsid w:val="00EA6BDD"/>
    <w:rsid w:val="00EA6C38"/>
    <w:rsid w:val="00EA6C47"/>
    <w:rsid w:val="00EA6C6A"/>
    <w:rsid w:val="00EA6C9E"/>
    <w:rsid w:val="00EA6CB1"/>
    <w:rsid w:val="00EA6D43"/>
    <w:rsid w:val="00EA6DF3"/>
    <w:rsid w:val="00EA6E98"/>
    <w:rsid w:val="00EA6EA4"/>
    <w:rsid w:val="00EA6F58"/>
    <w:rsid w:val="00EA6F6A"/>
    <w:rsid w:val="00EA6F83"/>
    <w:rsid w:val="00EA6FDA"/>
    <w:rsid w:val="00EA709D"/>
    <w:rsid w:val="00EA715B"/>
    <w:rsid w:val="00EA716A"/>
    <w:rsid w:val="00EA7217"/>
    <w:rsid w:val="00EA722A"/>
    <w:rsid w:val="00EA7255"/>
    <w:rsid w:val="00EA73F1"/>
    <w:rsid w:val="00EA7409"/>
    <w:rsid w:val="00EA7449"/>
    <w:rsid w:val="00EA7472"/>
    <w:rsid w:val="00EA74AC"/>
    <w:rsid w:val="00EA74F6"/>
    <w:rsid w:val="00EA754F"/>
    <w:rsid w:val="00EA7568"/>
    <w:rsid w:val="00EA75A8"/>
    <w:rsid w:val="00EA75BD"/>
    <w:rsid w:val="00EA76A3"/>
    <w:rsid w:val="00EA76E3"/>
    <w:rsid w:val="00EA773C"/>
    <w:rsid w:val="00EA778C"/>
    <w:rsid w:val="00EA77BA"/>
    <w:rsid w:val="00EA79BB"/>
    <w:rsid w:val="00EA79C9"/>
    <w:rsid w:val="00EA79F7"/>
    <w:rsid w:val="00EA79FD"/>
    <w:rsid w:val="00EA7A31"/>
    <w:rsid w:val="00EA7A6A"/>
    <w:rsid w:val="00EA7A92"/>
    <w:rsid w:val="00EA7AC3"/>
    <w:rsid w:val="00EA7AE2"/>
    <w:rsid w:val="00EA7B8E"/>
    <w:rsid w:val="00EA7B94"/>
    <w:rsid w:val="00EA7BB5"/>
    <w:rsid w:val="00EA7C02"/>
    <w:rsid w:val="00EA7C14"/>
    <w:rsid w:val="00EA7C54"/>
    <w:rsid w:val="00EA7C6E"/>
    <w:rsid w:val="00EA7CE5"/>
    <w:rsid w:val="00EA7DA9"/>
    <w:rsid w:val="00EA7E38"/>
    <w:rsid w:val="00EA7E9A"/>
    <w:rsid w:val="00EA7F08"/>
    <w:rsid w:val="00EAC099"/>
    <w:rsid w:val="00EB006E"/>
    <w:rsid w:val="00EB00B7"/>
    <w:rsid w:val="00EB0140"/>
    <w:rsid w:val="00EB0267"/>
    <w:rsid w:val="00EB0279"/>
    <w:rsid w:val="00EB0399"/>
    <w:rsid w:val="00EB04E6"/>
    <w:rsid w:val="00EB0501"/>
    <w:rsid w:val="00EB050D"/>
    <w:rsid w:val="00EB08BC"/>
    <w:rsid w:val="00EB08D9"/>
    <w:rsid w:val="00EB08F0"/>
    <w:rsid w:val="00EB08FA"/>
    <w:rsid w:val="00EB093D"/>
    <w:rsid w:val="00EB0A62"/>
    <w:rsid w:val="00EB0AEE"/>
    <w:rsid w:val="00EB0B93"/>
    <w:rsid w:val="00EB0C1B"/>
    <w:rsid w:val="00EB0C80"/>
    <w:rsid w:val="00EB0CD6"/>
    <w:rsid w:val="00EB0E42"/>
    <w:rsid w:val="00EB0E8A"/>
    <w:rsid w:val="00EB0ECA"/>
    <w:rsid w:val="00EB0EF7"/>
    <w:rsid w:val="00EB110E"/>
    <w:rsid w:val="00EB1164"/>
    <w:rsid w:val="00EB117C"/>
    <w:rsid w:val="00EB11AA"/>
    <w:rsid w:val="00EB1212"/>
    <w:rsid w:val="00EB12EA"/>
    <w:rsid w:val="00EB1362"/>
    <w:rsid w:val="00EB14E3"/>
    <w:rsid w:val="00EB16D2"/>
    <w:rsid w:val="00EB17AD"/>
    <w:rsid w:val="00EB1918"/>
    <w:rsid w:val="00EB1989"/>
    <w:rsid w:val="00EB1ADD"/>
    <w:rsid w:val="00EB1B1B"/>
    <w:rsid w:val="00EB1B56"/>
    <w:rsid w:val="00EB1BC3"/>
    <w:rsid w:val="00EB1BEB"/>
    <w:rsid w:val="00EB1C30"/>
    <w:rsid w:val="00EB1CC1"/>
    <w:rsid w:val="00EB1CE5"/>
    <w:rsid w:val="00EB1F32"/>
    <w:rsid w:val="00EB1F7E"/>
    <w:rsid w:val="00EB1FE0"/>
    <w:rsid w:val="00EB1FFE"/>
    <w:rsid w:val="00EB2054"/>
    <w:rsid w:val="00EB205C"/>
    <w:rsid w:val="00EB20BC"/>
    <w:rsid w:val="00EB2310"/>
    <w:rsid w:val="00EB2363"/>
    <w:rsid w:val="00EB23FA"/>
    <w:rsid w:val="00EB2418"/>
    <w:rsid w:val="00EB24BF"/>
    <w:rsid w:val="00EB2538"/>
    <w:rsid w:val="00EB256B"/>
    <w:rsid w:val="00EB2653"/>
    <w:rsid w:val="00EB267F"/>
    <w:rsid w:val="00EB269C"/>
    <w:rsid w:val="00EB26A7"/>
    <w:rsid w:val="00EB26E5"/>
    <w:rsid w:val="00EB2800"/>
    <w:rsid w:val="00EB2854"/>
    <w:rsid w:val="00EB2953"/>
    <w:rsid w:val="00EB2A9D"/>
    <w:rsid w:val="00EB2AF5"/>
    <w:rsid w:val="00EB2B13"/>
    <w:rsid w:val="00EB2B6C"/>
    <w:rsid w:val="00EB2BD3"/>
    <w:rsid w:val="00EB2BE9"/>
    <w:rsid w:val="00EB2C8C"/>
    <w:rsid w:val="00EB2C98"/>
    <w:rsid w:val="00EB2CA0"/>
    <w:rsid w:val="00EB2CC1"/>
    <w:rsid w:val="00EB2D12"/>
    <w:rsid w:val="00EB2D19"/>
    <w:rsid w:val="00EB2F1C"/>
    <w:rsid w:val="00EB2F2A"/>
    <w:rsid w:val="00EB2F6D"/>
    <w:rsid w:val="00EB308B"/>
    <w:rsid w:val="00EB30A1"/>
    <w:rsid w:val="00EB30EF"/>
    <w:rsid w:val="00EB319C"/>
    <w:rsid w:val="00EB31C6"/>
    <w:rsid w:val="00EB3369"/>
    <w:rsid w:val="00EB33D1"/>
    <w:rsid w:val="00EB387A"/>
    <w:rsid w:val="00EB390E"/>
    <w:rsid w:val="00EB3945"/>
    <w:rsid w:val="00EB3955"/>
    <w:rsid w:val="00EB3A42"/>
    <w:rsid w:val="00EB3A74"/>
    <w:rsid w:val="00EB3A76"/>
    <w:rsid w:val="00EB3A8A"/>
    <w:rsid w:val="00EB3B06"/>
    <w:rsid w:val="00EB3B0D"/>
    <w:rsid w:val="00EB3BBD"/>
    <w:rsid w:val="00EB3BCA"/>
    <w:rsid w:val="00EB3C6D"/>
    <w:rsid w:val="00EB3DB8"/>
    <w:rsid w:val="00EB3E0C"/>
    <w:rsid w:val="00EB3E36"/>
    <w:rsid w:val="00EB3F14"/>
    <w:rsid w:val="00EB3F17"/>
    <w:rsid w:val="00EB3F3A"/>
    <w:rsid w:val="00EB3FC5"/>
    <w:rsid w:val="00EB4177"/>
    <w:rsid w:val="00EB41FA"/>
    <w:rsid w:val="00EB42AE"/>
    <w:rsid w:val="00EB42C0"/>
    <w:rsid w:val="00EB436B"/>
    <w:rsid w:val="00EB4420"/>
    <w:rsid w:val="00EB444E"/>
    <w:rsid w:val="00EB4583"/>
    <w:rsid w:val="00EB4613"/>
    <w:rsid w:val="00EB461E"/>
    <w:rsid w:val="00EB4796"/>
    <w:rsid w:val="00EB47F5"/>
    <w:rsid w:val="00EB4809"/>
    <w:rsid w:val="00EB4A4A"/>
    <w:rsid w:val="00EB4B05"/>
    <w:rsid w:val="00EB4BAE"/>
    <w:rsid w:val="00EB4BDD"/>
    <w:rsid w:val="00EB4BDE"/>
    <w:rsid w:val="00EB4C72"/>
    <w:rsid w:val="00EB4CA9"/>
    <w:rsid w:val="00EB4CBD"/>
    <w:rsid w:val="00EB4CC9"/>
    <w:rsid w:val="00EB4D5F"/>
    <w:rsid w:val="00EB4D70"/>
    <w:rsid w:val="00EB4F04"/>
    <w:rsid w:val="00EB4F24"/>
    <w:rsid w:val="00EB506E"/>
    <w:rsid w:val="00EB5082"/>
    <w:rsid w:val="00EB511D"/>
    <w:rsid w:val="00EB5131"/>
    <w:rsid w:val="00EB5140"/>
    <w:rsid w:val="00EB514D"/>
    <w:rsid w:val="00EB5281"/>
    <w:rsid w:val="00EB52BE"/>
    <w:rsid w:val="00EB52F2"/>
    <w:rsid w:val="00EB54C9"/>
    <w:rsid w:val="00EB54E7"/>
    <w:rsid w:val="00EB5681"/>
    <w:rsid w:val="00EB56A9"/>
    <w:rsid w:val="00EB56CA"/>
    <w:rsid w:val="00EB56EA"/>
    <w:rsid w:val="00EB57B5"/>
    <w:rsid w:val="00EB57E2"/>
    <w:rsid w:val="00EB57FB"/>
    <w:rsid w:val="00EB5838"/>
    <w:rsid w:val="00EB584B"/>
    <w:rsid w:val="00EB585C"/>
    <w:rsid w:val="00EB5872"/>
    <w:rsid w:val="00EB592F"/>
    <w:rsid w:val="00EB5965"/>
    <w:rsid w:val="00EB5A3D"/>
    <w:rsid w:val="00EB5AA8"/>
    <w:rsid w:val="00EB5AD2"/>
    <w:rsid w:val="00EB5B47"/>
    <w:rsid w:val="00EB5BC4"/>
    <w:rsid w:val="00EB5C74"/>
    <w:rsid w:val="00EB5C91"/>
    <w:rsid w:val="00EB5E11"/>
    <w:rsid w:val="00EB5E7C"/>
    <w:rsid w:val="00EB5F93"/>
    <w:rsid w:val="00EB6000"/>
    <w:rsid w:val="00EB60A8"/>
    <w:rsid w:val="00EB61D3"/>
    <w:rsid w:val="00EB622E"/>
    <w:rsid w:val="00EB626A"/>
    <w:rsid w:val="00EB639C"/>
    <w:rsid w:val="00EB6465"/>
    <w:rsid w:val="00EB64CD"/>
    <w:rsid w:val="00EB64D6"/>
    <w:rsid w:val="00EB65D2"/>
    <w:rsid w:val="00EB6667"/>
    <w:rsid w:val="00EB673F"/>
    <w:rsid w:val="00EB6791"/>
    <w:rsid w:val="00EB6857"/>
    <w:rsid w:val="00EB686C"/>
    <w:rsid w:val="00EB6B45"/>
    <w:rsid w:val="00EB6C5E"/>
    <w:rsid w:val="00EB6DA8"/>
    <w:rsid w:val="00EB6E0E"/>
    <w:rsid w:val="00EB6E6F"/>
    <w:rsid w:val="00EB6E85"/>
    <w:rsid w:val="00EB6F1C"/>
    <w:rsid w:val="00EB6F8D"/>
    <w:rsid w:val="00EB6FA9"/>
    <w:rsid w:val="00EB710D"/>
    <w:rsid w:val="00EB7317"/>
    <w:rsid w:val="00EB735A"/>
    <w:rsid w:val="00EB73A5"/>
    <w:rsid w:val="00EB73C8"/>
    <w:rsid w:val="00EB75EA"/>
    <w:rsid w:val="00EB767C"/>
    <w:rsid w:val="00EB7680"/>
    <w:rsid w:val="00EB76D5"/>
    <w:rsid w:val="00EB7750"/>
    <w:rsid w:val="00EB77C5"/>
    <w:rsid w:val="00EB788F"/>
    <w:rsid w:val="00EB78B8"/>
    <w:rsid w:val="00EB78C1"/>
    <w:rsid w:val="00EB7902"/>
    <w:rsid w:val="00EB796C"/>
    <w:rsid w:val="00EB79E7"/>
    <w:rsid w:val="00EB7AA8"/>
    <w:rsid w:val="00EB7ACA"/>
    <w:rsid w:val="00EB7B85"/>
    <w:rsid w:val="00EB7CD3"/>
    <w:rsid w:val="00EB7D5A"/>
    <w:rsid w:val="00EB7D91"/>
    <w:rsid w:val="00EB7DC7"/>
    <w:rsid w:val="00EB7E44"/>
    <w:rsid w:val="00EB7FED"/>
    <w:rsid w:val="00EB7FF6"/>
    <w:rsid w:val="00EB9474"/>
    <w:rsid w:val="00EC000F"/>
    <w:rsid w:val="00EC005F"/>
    <w:rsid w:val="00EC0177"/>
    <w:rsid w:val="00EC01D7"/>
    <w:rsid w:val="00EC022C"/>
    <w:rsid w:val="00EC0291"/>
    <w:rsid w:val="00EC0378"/>
    <w:rsid w:val="00EC0703"/>
    <w:rsid w:val="00EC07E2"/>
    <w:rsid w:val="00EC0907"/>
    <w:rsid w:val="00EC0997"/>
    <w:rsid w:val="00EC0A38"/>
    <w:rsid w:val="00EC0A73"/>
    <w:rsid w:val="00EC0AC5"/>
    <w:rsid w:val="00EC0B60"/>
    <w:rsid w:val="00EC0CA6"/>
    <w:rsid w:val="00EC0E13"/>
    <w:rsid w:val="00EC0F7E"/>
    <w:rsid w:val="00EC1023"/>
    <w:rsid w:val="00EC108E"/>
    <w:rsid w:val="00EC1113"/>
    <w:rsid w:val="00EC116F"/>
    <w:rsid w:val="00EC1195"/>
    <w:rsid w:val="00EC1215"/>
    <w:rsid w:val="00EC130C"/>
    <w:rsid w:val="00EC134E"/>
    <w:rsid w:val="00EC136D"/>
    <w:rsid w:val="00EC1487"/>
    <w:rsid w:val="00EC1563"/>
    <w:rsid w:val="00EC15F8"/>
    <w:rsid w:val="00EC1613"/>
    <w:rsid w:val="00EC167B"/>
    <w:rsid w:val="00EC1686"/>
    <w:rsid w:val="00EC174E"/>
    <w:rsid w:val="00EC1795"/>
    <w:rsid w:val="00EC180A"/>
    <w:rsid w:val="00EC18A0"/>
    <w:rsid w:val="00EC1912"/>
    <w:rsid w:val="00EC1A12"/>
    <w:rsid w:val="00EC1AE3"/>
    <w:rsid w:val="00EC1C9A"/>
    <w:rsid w:val="00EC1CD3"/>
    <w:rsid w:val="00EC1D0C"/>
    <w:rsid w:val="00EC1D9B"/>
    <w:rsid w:val="00EC1E35"/>
    <w:rsid w:val="00EC1E36"/>
    <w:rsid w:val="00EC1ECB"/>
    <w:rsid w:val="00EC1EEF"/>
    <w:rsid w:val="00EC1FCE"/>
    <w:rsid w:val="00EC20E7"/>
    <w:rsid w:val="00EC2148"/>
    <w:rsid w:val="00EC21EB"/>
    <w:rsid w:val="00EC2269"/>
    <w:rsid w:val="00EC22B0"/>
    <w:rsid w:val="00EC22CB"/>
    <w:rsid w:val="00EC22FC"/>
    <w:rsid w:val="00EC2310"/>
    <w:rsid w:val="00EC23C6"/>
    <w:rsid w:val="00EC248B"/>
    <w:rsid w:val="00EC24A6"/>
    <w:rsid w:val="00EC24FC"/>
    <w:rsid w:val="00EC25B7"/>
    <w:rsid w:val="00EC25E8"/>
    <w:rsid w:val="00EC2621"/>
    <w:rsid w:val="00EC2675"/>
    <w:rsid w:val="00EC287D"/>
    <w:rsid w:val="00EC28A3"/>
    <w:rsid w:val="00EC29A8"/>
    <w:rsid w:val="00EC2A3C"/>
    <w:rsid w:val="00EC2A77"/>
    <w:rsid w:val="00EC2AEA"/>
    <w:rsid w:val="00EC2B10"/>
    <w:rsid w:val="00EC2B54"/>
    <w:rsid w:val="00EC2B83"/>
    <w:rsid w:val="00EC2C20"/>
    <w:rsid w:val="00EC2D17"/>
    <w:rsid w:val="00EC2DB3"/>
    <w:rsid w:val="00EC2F21"/>
    <w:rsid w:val="00EC2F49"/>
    <w:rsid w:val="00EC2F76"/>
    <w:rsid w:val="00EC2F85"/>
    <w:rsid w:val="00EC2FAC"/>
    <w:rsid w:val="00EC2FB5"/>
    <w:rsid w:val="00EC3043"/>
    <w:rsid w:val="00EC3079"/>
    <w:rsid w:val="00EC30AD"/>
    <w:rsid w:val="00EC315E"/>
    <w:rsid w:val="00EC3162"/>
    <w:rsid w:val="00EC318E"/>
    <w:rsid w:val="00EC31E4"/>
    <w:rsid w:val="00EC3376"/>
    <w:rsid w:val="00EC33BC"/>
    <w:rsid w:val="00EC33E5"/>
    <w:rsid w:val="00EC3429"/>
    <w:rsid w:val="00EC3432"/>
    <w:rsid w:val="00EC34E0"/>
    <w:rsid w:val="00EC358D"/>
    <w:rsid w:val="00EC3634"/>
    <w:rsid w:val="00EC3666"/>
    <w:rsid w:val="00EC3694"/>
    <w:rsid w:val="00EC36F1"/>
    <w:rsid w:val="00EC3794"/>
    <w:rsid w:val="00EC37D6"/>
    <w:rsid w:val="00EC37EB"/>
    <w:rsid w:val="00EC39EE"/>
    <w:rsid w:val="00EC3AD1"/>
    <w:rsid w:val="00EC3B3A"/>
    <w:rsid w:val="00EC3BE6"/>
    <w:rsid w:val="00EC3BEA"/>
    <w:rsid w:val="00EC3BEC"/>
    <w:rsid w:val="00EC3BF5"/>
    <w:rsid w:val="00EC3C1A"/>
    <w:rsid w:val="00EC3C8B"/>
    <w:rsid w:val="00EC3CAA"/>
    <w:rsid w:val="00EC3CBA"/>
    <w:rsid w:val="00EC3CE4"/>
    <w:rsid w:val="00EC3CE7"/>
    <w:rsid w:val="00EC3CF4"/>
    <w:rsid w:val="00EC3EA2"/>
    <w:rsid w:val="00EC3EA9"/>
    <w:rsid w:val="00EC3F8D"/>
    <w:rsid w:val="00EC3FC7"/>
    <w:rsid w:val="00EC4101"/>
    <w:rsid w:val="00EC4170"/>
    <w:rsid w:val="00EC4262"/>
    <w:rsid w:val="00EC42D8"/>
    <w:rsid w:val="00EC4383"/>
    <w:rsid w:val="00EC43AA"/>
    <w:rsid w:val="00EC43E3"/>
    <w:rsid w:val="00EC4404"/>
    <w:rsid w:val="00EC4518"/>
    <w:rsid w:val="00EC4521"/>
    <w:rsid w:val="00EC4819"/>
    <w:rsid w:val="00EC493B"/>
    <w:rsid w:val="00EC49C2"/>
    <w:rsid w:val="00EC4A89"/>
    <w:rsid w:val="00EC4AC8"/>
    <w:rsid w:val="00EC4DAE"/>
    <w:rsid w:val="00EC4DB2"/>
    <w:rsid w:val="00EC4DFC"/>
    <w:rsid w:val="00EC4E9B"/>
    <w:rsid w:val="00EC4EC0"/>
    <w:rsid w:val="00EC4F81"/>
    <w:rsid w:val="00EC4F8C"/>
    <w:rsid w:val="00EC4FA3"/>
    <w:rsid w:val="00EC4FCD"/>
    <w:rsid w:val="00EC5077"/>
    <w:rsid w:val="00EC50C7"/>
    <w:rsid w:val="00EC5165"/>
    <w:rsid w:val="00EC51FE"/>
    <w:rsid w:val="00EC54FB"/>
    <w:rsid w:val="00EC55AC"/>
    <w:rsid w:val="00EC5626"/>
    <w:rsid w:val="00EC5690"/>
    <w:rsid w:val="00EC56AA"/>
    <w:rsid w:val="00EC56D3"/>
    <w:rsid w:val="00EC5762"/>
    <w:rsid w:val="00EC57D0"/>
    <w:rsid w:val="00EC585A"/>
    <w:rsid w:val="00EC5866"/>
    <w:rsid w:val="00EC58CF"/>
    <w:rsid w:val="00EC58EE"/>
    <w:rsid w:val="00EC58F4"/>
    <w:rsid w:val="00EC591C"/>
    <w:rsid w:val="00EC5929"/>
    <w:rsid w:val="00EC597C"/>
    <w:rsid w:val="00EC598A"/>
    <w:rsid w:val="00EC5995"/>
    <w:rsid w:val="00EC5A15"/>
    <w:rsid w:val="00EC5A1C"/>
    <w:rsid w:val="00EC5BCD"/>
    <w:rsid w:val="00EC5C12"/>
    <w:rsid w:val="00EC5C39"/>
    <w:rsid w:val="00EC5CA9"/>
    <w:rsid w:val="00EC5CDE"/>
    <w:rsid w:val="00EC5D8D"/>
    <w:rsid w:val="00EC5DCE"/>
    <w:rsid w:val="00EC5DD8"/>
    <w:rsid w:val="00EC5EA1"/>
    <w:rsid w:val="00EC5ED3"/>
    <w:rsid w:val="00EC600C"/>
    <w:rsid w:val="00EC6079"/>
    <w:rsid w:val="00EC6161"/>
    <w:rsid w:val="00EC61B2"/>
    <w:rsid w:val="00EC6215"/>
    <w:rsid w:val="00EC626E"/>
    <w:rsid w:val="00EC6271"/>
    <w:rsid w:val="00EC6298"/>
    <w:rsid w:val="00EC62B0"/>
    <w:rsid w:val="00EC6334"/>
    <w:rsid w:val="00EC6413"/>
    <w:rsid w:val="00EC646B"/>
    <w:rsid w:val="00EC64B6"/>
    <w:rsid w:val="00EC65C2"/>
    <w:rsid w:val="00EC678C"/>
    <w:rsid w:val="00EC67CF"/>
    <w:rsid w:val="00EC6820"/>
    <w:rsid w:val="00EC68C1"/>
    <w:rsid w:val="00EC6977"/>
    <w:rsid w:val="00EC6B1E"/>
    <w:rsid w:val="00EC6B40"/>
    <w:rsid w:val="00EC6B4B"/>
    <w:rsid w:val="00EC6BA6"/>
    <w:rsid w:val="00EC6C1E"/>
    <w:rsid w:val="00EC6C85"/>
    <w:rsid w:val="00EC6D4C"/>
    <w:rsid w:val="00EC6DC2"/>
    <w:rsid w:val="00EC6E30"/>
    <w:rsid w:val="00EC6EBD"/>
    <w:rsid w:val="00EC6F42"/>
    <w:rsid w:val="00EC71DD"/>
    <w:rsid w:val="00EC73F7"/>
    <w:rsid w:val="00EC740D"/>
    <w:rsid w:val="00EC7436"/>
    <w:rsid w:val="00EC7593"/>
    <w:rsid w:val="00EC75D8"/>
    <w:rsid w:val="00EC760F"/>
    <w:rsid w:val="00EC762B"/>
    <w:rsid w:val="00EC7641"/>
    <w:rsid w:val="00EC7743"/>
    <w:rsid w:val="00EC7841"/>
    <w:rsid w:val="00EC784F"/>
    <w:rsid w:val="00EC791A"/>
    <w:rsid w:val="00EC797E"/>
    <w:rsid w:val="00EC79D0"/>
    <w:rsid w:val="00EC7A35"/>
    <w:rsid w:val="00EC7A39"/>
    <w:rsid w:val="00EC7AF2"/>
    <w:rsid w:val="00EC7BB6"/>
    <w:rsid w:val="00EC7BBE"/>
    <w:rsid w:val="00EC7D1E"/>
    <w:rsid w:val="00EC7DA9"/>
    <w:rsid w:val="00EC7DDC"/>
    <w:rsid w:val="00EC7DE3"/>
    <w:rsid w:val="00EC7E64"/>
    <w:rsid w:val="00EC7E86"/>
    <w:rsid w:val="00EC7EDC"/>
    <w:rsid w:val="00EC7F7E"/>
    <w:rsid w:val="00EC7FE6"/>
    <w:rsid w:val="00ECD2C3"/>
    <w:rsid w:val="00ED0074"/>
    <w:rsid w:val="00ED00F0"/>
    <w:rsid w:val="00ED011D"/>
    <w:rsid w:val="00ED015A"/>
    <w:rsid w:val="00ED0213"/>
    <w:rsid w:val="00ED02A8"/>
    <w:rsid w:val="00ED02E9"/>
    <w:rsid w:val="00ED0330"/>
    <w:rsid w:val="00ED03BB"/>
    <w:rsid w:val="00ED03DA"/>
    <w:rsid w:val="00ED0405"/>
    <w:rsid w:val="00ED0455"/>
    <w:rsid w:val="00ED0474"/>
    <w:rsid w:val="00ED0521"/>
    <w:rsid w:val="00ED059A"/>
    <w:rsid w:val="00ED05EE"/>
    <w:rsid w:val="00ED0740"/>
    <w:rsid w:val="00ED080B"/>
    <w:rsid w:val="00ED0822"/>
    <w:rsid w:val="00ED0915"/>
    <w:rsid w:val="00ED0951"/>
    <w:rsid w:val="00ED0957"/>
    <w:rsid w:val="00ED0978"/>
    <w:rsid w:val="00ED0A2B"/>
    <w:rsid w:val="00ED0AA7"/>
    <w:rsid w:val="00ED0B6B"/>
    <w:rsid w:val="00ED0C55"/>
    <w:rsid w:val="00ED0D4D"/>
    <w:rsid w:val="00ED0D52"/>
    <w:rsid w:val="00ED0D85"/>
    <w:rsid w:val="00ED0DA6"/>
    <w:rsid w:val="00ED0DFA"/>
    <w:rsid w:val="00ED0E8A"/>
    <w:rsid w:val="00ED0EDA"/>
    <w:rsid w:val="00ED0EE3"/>
    <w:rsid w:val="00ED0EE8"/>
    <w:rsid w:val="00ED0F31"/>
    <w:rsid w:val="00ED0F8E"/>
    <w:rsid w:val="00ED0F9A"/>
    <w:rsid w:val="00ED1106"/>
    <w:rsid w:val="00ED1191"/>
    <w:rsid w:val="00ED1211"/>
    <w:rsid w:val="00ED1270"/>
    <w:rsid w:val="00ED129D"/>
    <w:rsid w:val="00ED12AA"/>
    <w:rsid w:val="00ED12C9"/>
    <w:rsid w:val="00ED12F6"/>
    <w:rsid w:val="00ED1373"/>
    <w:rsid w:val="00ED13BE"/>
    <w:rsid w:val="00ED1406"/>
    <w:rsid w:val="00ED142B"/>
    <w:rsid w:val="00ED1449"/>
    <w:rsid w:val="00ED15A8"/>
    <w:rsid w:val="00ED15F6"/>
    <w:rsid w:val="00ED15F7"/>
    <w:rsid w:val="00ED162C"/>
    <w:rsid w:val="00ED1693"/>
    <w:rsid w:val="00ED16F0"/>
    <w:rsid w:val="00ED1781"/>
    <w:rsid w:val="00ED17FD"/>
    <w:rsid w:val="00ED18C0"/>
    <w:rsid w:val="00ED1928"/>
    <w:rsid w:val="00ED1A6D"/>
    <w:rsid w:val="00ED1A90"/>
    <w:rsid w:val="00ED1AED"/>
    <w:rsid w:val="00ED1B29"/>
    <w:rsid w:val="00ED1C6B"/>
    <w:rsid w:val="00ED1D80"/>
    <w:rsid w:val="00ED1E2A"/>
    <w:rsid w:val="00ED1E2D"/>
    <w:rsid w:val="00ED1ED2"/>
    <w:rsid w:val="00ED1F18"/>
    <w:rsid w:val="00ED1FCB"/>
    <w:rsid w:val="00ED205C"/>
    <w:rsid w:val="00ED20D3"/>
    <w:rsid w:val="00ED212B"/>
    <w:rsid w:val="00ED21B8"/>
    <w:rsid w:val="00ED2236"/>
    <w:rsid w:val="00ED223F"/>
    <w:rsid w:val="00ED2272"/>
    <w:rsid w:val="00ED2327"/>
    <w:rsid w:val="00ED2389"/>
    <w:rsid w:val="00ED23B0"/>
    <w:rsid w:val="00ED2483"/>
    <w:rsid w:val="00ED24B8"/>
    <w:rsid w:val="00ED24DA"/>
    <w:rsid w:val="00ED24E9"/>
    <w:rsid w:val="00ED2593"/>
    <w:rsid w:val="00ED2644"/>
    <w:rsid w:val="00ED26D5"/>
    <w:rsid w:val="00ED27EE"/>
    <w:rsid w:val="00ED28B2"/>
    <w:rsid w:val="00ED28BE"/>
    <w:rsid w:val="00ED2A14"/>
    <w:rsid w:val="00ED2B49"/>
    <w:rsid w:val="00ED2B73"/>
    <w:rsid w:val="00ED2B9A"/>
    <w:rsid w:val="00ED2BA0"/>
    <w:rsid w:val="00ED2CB4"/>
    <w:rsid w:val="00ED2D35"/>
    <w:rsid w:val="00ED2E65"/>
    <w:rsid w:val="00ED2F78"/>
    <w:rsid w:val="00ED2FCD"/>
    <w:rsid w:val="00ED311A"/>
    <w:rsid w:val="00ED323A"/>
    <w:rsid w:val="00ED325C"/>
    <w:rsid w:val="00ED3313"/>
    <w:rsid w:val="00ED33C7"/>
    <w:rsid w:val="00ED33D1"/>
    <w:rsid w:val="00ED349D"/>
    <w:rsid w:val="00ED3545"/>
    <w:rsid w:val="00ED358E"/>
    <w:rsid w:val="00ED359B"/>
    <w:rsid w:val="00ED3693"/>
    <w:rsid w:val="00ED36ED"/>
    <w:rsid w:val="00ED36FB"/>
    <w:rsid w:val="00ED385A"/>
    <w:rsid w:val="00ED38BA"/>
    <w:rsid w:val="00ED38D8"/>
    <w:rsid w:val="00ED39CA"/>
    <w:rsid w:val="00ED3A06"/>
    <w:rsid w:val="00ED3B48"/>
    <w:rsid w:val="00ED3B88"/>
    <w:rsid w:val="00ED3D4F"/>
    <w:rsid w:val="00ED3D95"/>
    <w:rsid w:val="00ED3DAA"/>
    <w:rsid w:val="00ED3E06"/>
    <w:rsid w:val="00ED3E51"/>
    <w:rsid w:val="00ED3ECE"/>
    <w:rsid w:val="00ED3F11"/>
    <w:rsid w:val="00ED3F12"/>
    <w:rsid w:val="00ED4029"/>
    <w:rsid w:val="00ED4059"/>
    <w:rsid w:val="00ED4097"/>
    <w:rsid w:val="00ED4175"/>
    <w:rsid w:val="00ED41C1"/>
    <w:rsid w:val="00ED41CD"/>
    <w:rsid w:val="00ED41FE"/>
    <w:rsid w:val="00ED425D"/>
    <w:rsid w:val="00ED42AE"/>
    <w:rsid w:val="00ED42E6"/>
    <w:rsid w:val="00ED43C7"/>
    <w:rsid w:val="00ED43D6"/>
    <w:rsid w:val="00ED4532"/>
    <w:rsid w:val="00ED4588"/>
    <w:rsid w:val="00ED45DC"/>
    <w:rsid w:val="00ED45DD"/>
    <w:rsid w:val="00ED45F4"/>
    <w:rsid w:val="00ED4663"/>
    <w:rsid w:val="00ED4746"/>
    <w:rsid w:val="00ED4751"/>
    <w:rsid w:val="00ED4818"/>
    <w:rsid w:val="00ED484D"/>
    <w:rsid w:val="00ED4944"/>
    <w:rsid w:val="00ED49B1"/>
    <w:rsid w:val="00ED4A2F"/>
    <w:rsid w:val="00ED4B3C"/>
    <w:rsid w:val="00ED4BB2"/>
    <w:rsid w:val="00ED4C0F"/>
    <w:rsid w:val="00ED4CB3"/>
    <w:rsid w:val="00ED4CF1"/>
    <w:rsid w:val="00ED4DA0"/>
    <w:rsid w:val="00ED4FA6"/>
    <w:rsid w:val="00ED4FAE"/>
    <w:rsid w:val="00ED4FED"/>
    <w:rsid w:val="00ED4FFE"/>
    <w:rsid w:val="00ED5223"/>
    <w:rsid w:val="00ED530D"/>
    <w:rsid w:val="00ED5350"/>
    <w:rsid w:val="00ED53EB"/>
    <w:rsid w:val="00ED543C"/>
    <w:rsid w:val="00ED5441"/>
    <w:rsid w:val="00ED5473"/>
    <w:rsid w:val="00ED54BF"/>
    <w:rsid w:val="00ED54E2"/>
    <w:rsid w:val="00ED55B9"/>
    <w:rsid w:val="00ED56AA"/>
    <w:rsid w:val="00ED57C4"/>
    <w:rsid w:val="00ED57E2"/>
    <w:rsid w:val="00ED5910"/>
    <w:rsid w:val="00ED5939"/>
    <w:rsid w:val="00ED596C"/>
    <w:rsid w:val="00ED5985"/>
    <w:rsid w:val="00ED5990"/>
    <w:rsid w:val="00ED5B28"/>
    <w:rsid w:val="00ED5B76"/>
    <w:rsid w:val="00ED5BA4"/>
    <w:rsid w:val="00ED5C79"/>
    <w:rsid w:val="00ED5C7C"/>
    <w:rsid w:val="00ED5CDD"/>
    <w:rsid w:val="00ED5D91"/>
    <w:rsid w:val="00ED5DA8"/>
    <w:rsid w:val="00ED5DB8"/>
    <w:rsid w:val="00ED5DBD"/>
    <w:rsid w:val="00ED5DDC"/>
    <w:rsid w:val="00ED5DDE"/>
    <w:rsid w:val="00ED5DF1"/>
    <w:rsid w:val="00ED5E07"/>
    <w:rsid w:val="00ED5E48"/>
    <w:rsid w:val="00ED5E7D"/>
    <w:rsid w:val="00ED5F2D"/>
    <w:rsid w:val="00ED5FD6"/>
    <w:rsid w:val="00ED5FDB"/>
    <w:rsid w:val="00ED610A"/>
    <w:rsid w:val="00ED6110"/>
    <w:rsid w:val="00ED613A"/>
    <w:rsid w:val="00ED6164"/>
    <w:rsid w:val="00ED618B"/>
    <w:rsid w:val="00ED6350"/>
    <w:rsid w:val="00ED6444"/>
    <w:rsid w:val="00ED647C"/>
    <w:rsid w:val="00ED64D7"/>
    <w:rsid w:val="00ED652F"/>
    <w:rsid w:val="00ED6597"/>
    <w:rsid w:val="00ED6609"/>
    <w:rsid w:val="00ED682B"/>
    <w:rsid w:val="00ED686E"/>
    <w:rsid w:val="00ED690D"/>
    <w:rsid w:val="00ED693D"/>
    <w:rsid w:val="00ED6942"/>
    <w:rsid w:val="00ED69E7"/>
    <w:rsid w:val="00ED69F6"/>
    <w:rsid w:val="00ED6AFF"/>
    <w:rsid w:val="00ED6B01"/>
    <w:rsid w:val="00ED6B85"/>
    <w:rsid w:val="00ED6B91"/>
    <w:rsid w:val="00ED6C1B"/>
    <w:rsid w:val="00ED6D13"/>
    <w:rsid w:val="00ED6DEE"/>
    <w:rsid w:val="00ED6F2C"/>
    <w:rsid w:val="00ED703A"/>
    <w:rsid w:val="00ED705B"/>
    <w:rsid w:val="00ED7195"/>
    <w:rsid w:val="00ED72E5"/>
    <w:rsid w:val="00ED72F4"/>
    <w:rsid w:val="00ED7311"/>
    <w:rsid w:val="00ED737C"/>
    <w:rsid w:val="00ED73E2"/>
    <w:rsid w:val="00ED74D8"/>
    <w:rsid w:val="00ED7544"/>
    <w:rsid w:val="00ED7780"/>
    <w:rsid w:val="00ED784C"/>
    <w:rsid w:val="00ED784E"/>
    <w:rsid w:val="00ED785F"/>
    <w:rsid w:val="00ED7923"/>
    <w:rsid w:val="00ED7934"/>
    <w:rsid w:val="00ED7A03"/>
    <w:rsid w:val="00ED7A38"/>
    <w:rsid w:val="00ED7A3D"/>
    <w:rsid w:val="00ED7A4B"/>
    <w:rsid w:val="00ED7A6A"/>
    <w:rsid w:val="00ED7A88"/>
    <w:rsid w:val="00ED7A9B"/>
    <w:rsid w:val="00ED7B4C"/>
    <w:rsid w:val="00ED7B51"/>
    <w:rsid w:val="00ED7BE8"/>
    <w:rsid w:val="00ED7BEF"/>
    <w:rsid w:val="00ED7C55"/>
    <w:rsid w:val="00ED7CBB"/>
    <w:rsid w:val="00ED7D3C"/>
    <w:rsid w:val="00ED7DE2"/>
    <w:rsid w:val="00ED7E2C"/>
    <w:rsid w:val="00ED7E54"/>
    <w:rsid w:val="00ED7E63"/>
    <w:rsid w:val="00ED7E65"/>
    <w:rsid w:val="00ED7E7B"/>
    <w:rsid w:val="00ED7FC1"/>
    <w:rsid w:val="00EE0010"/>
    <w:rsid w:val="00EE0093"/>
    <w:rsid w:val="00EE00B6"/>
    <w:rsid w:val="00EE00D1"/>
    <w:rsid w:val="00EE00E4"/>
    <w:rsid w:val="00EE01C5"/>
    <w:rsid w:val="00EE0235"/>
    <w:rsid w:val="00EE0271"/>
    <w:rsid w:val="00EE0322"/>
    <w:rsid w:val="00EE041B"/>
    <w:rsid w:val="00EE04AF"/>
    <w:rsid w:val="00EE050D"/>
    <w:rsid w:val="00EE0722"/>
    <w:rsid w:val="00EE07C6"/>
    <w:rsid w:val="00EE085A"/>
    <w:rsid w:val="00EE0871"/>
    <w:rsid w:val="00EE08B0"/>
    <w:rsid w:val="00EE09D7"/>
    <w:rsid w:val="00EE0AAE"/>
    <w:rsid w:val="00EE0B8B"/>
    <w:rsid w:val="00EE0C8D"/>
    <w:rsid w:val="00EE0E1A"/>
    <w:rsid w:val="00EE0E6F"/>
    <w:rsid w:val="00EE0EA8"/>
    <w:rsid w:val="00EE0F0A"/>
    <w:rsid w:val="00EE0F57"/>
    <w:rsid w:val="00EE0F79"/>
    <w:rsid w:val="00EE1034"/>
    <w:rsid w:val="00EE111F"/>
    <w:rsid w:val="00EE1146"/>
    <w:rsid w:val="00EE1187"/>
    <w:rsid w:val="00EE11A2"/>
    <w:rsid w:val="00EE11C9"/>
    <w:rsid w:val="00EE11F8"/>
    <w:rsid w:val="00EE1232"/>
    <w:rsid w:val="00EE12C0"/>
    <w:rsid w:val="00EE12C1"/>
    <w:rsid w:val="00EE1314"/>
    <w:rsid w:val="00EE1426"/>
    <w:rsid w:val="00EE1442"/>
    <w:rsid w:val="00EE1447"/>
    <w:rsid w:val="00EE14A2"/>
    <w:rsid w:val="00EE14DE"/>
    <w:rsid w:val="00EE1516"/>
    <w:rsid w:val="00EE153E"/>
    <w:rsid w:val="00EE1557"/>
    <w:rsid w:val="00EE1594"/>
    <w:rsid w:val="00EE1656"/>
    <w:rsid w:val="00EE168B"/>
    <w:rsid w:val="00EE1743"/>
    <w:rsid w:val="00EE1868"/>
    <w:rsid w:val="00EE187D"/>
    <w:rsid w:val="00EE190A"/>
    <w:rsid w:val="00EE1927"/>
    <w:rsid w:val="00EE1957"/>
    <w:rsid w:val="00EE1998"/>
    <w:rsid w:val="00EE19A6"/>
    <w:rsid w:val="00EE1AF6"/>
    <w:rsid w:val="00EE1B7F"/>
    <w:rsid w:val="00EE1BD2"/>
    <w:rsid w:val="00EE1BE6"/>
    <w:rsid w:val="00EE1C42"/>
    <w:rsid w:val="00EE1DEC"/>
    <w:rsid w:val="00EE1E02"/>
    <w:rsid w:val="00EE1E60"/>
    <w:rsid w:val="00EE1F18"/>
    <w:rsid w:val="00EE2038"/>
    <w:rsid w:val="00EE203B"/>
    <w:rsid w:val="00EE2088"/>
    <w:rsid w:val="00EE20F3"/>
    <w:rsid w:val="00EE212F"/>
    <w:rsid w:val="00EE2151"/>
    <w:rsid w:val="00EE22E2"/>
    <w:rsid w:val="00EE2323"/>
    <w:rsid w:val="00EE2327"/>
    <w:rsid w:val="00EE2382"/>
    <w:rsid w:val="00EE23A8"/>
    <w:rsid w:val="00EE23BE"/>
    <w:rsid w:val="00EE24C9"/>
    <w:rsid w:val="00EE24EE"/>
    <w:rsid w:val="00EE251F"/>
    <w:rsid w:val="00EE2612"/>
    <w:rsid w:val="00EE2616"/>
    <w:rsid w:val="00EE2769"/>
    <w:rsid w:val="00EE27F9"/>
    <w:rsid w:val="00EE2934"/>
    <w:rsid w:val="00EE29AA"/>
    <w:rsid w:val="00EE29B9"/>
    <w:rsid w:val="00EE2A89"/>
    <w:rsid w:val="00EE2AB0"/>
    <w:rsid w:val="00EE2B19"/>
    <w:rsid w:val="00EE2B6A"/>
    <w:rsid w:val="00EE2BDA"/>
    <w:rsid w:val="00EE2C78"/>
    <w:rsid w:val="00EE2CB1"/>
    <w:rsid w:val="00EE2D4C"/>
    <w:rsid w:val="00EE2D6A"/>
    <w:rsid w:val="00EE2F65"/>
    <w:rsid w:val="00EE2FE6"/>
    <w:rsid w:val="00EE3007"/>
    <w:rsid w:val="00EE302E"/>
    <w:rsid w:val="00EE3070"/>
    <w:rsid w:val="00EE30CE"/>
    <w:rsid w:val="00EE3119"/>
    <w:rsid w:val="00EE3187"/>
    <w:rsid w:val="00EE32CA"/>
    <w:rsid w:val="00EE32F2"/>
    <w:rsid w:val="00EE3352"/>
    <w:rsid w:val="00EE33A4"/>
    <w:rsid w:val="00EE33A7"/>
    <w:rsid w:val="00EE3406"/>
    <w:rsid w:val="00EE34C0"/>
    <w:rsid w:val="00EE34E3"/>
    <w:rsid w:val="00EE353C"/>
    <w:rsid w:val="00EE365D"/>
    <w:rsid w:val="00EE366B"/>
    <w:rsid w:val="00EE378E"/>
    <w:rsid w:val="00EE37B0"/>
    <w:rsid w:val="00EE37B6"/>
    <w:rsid w:val="00EE382F"/>
    <w:rsid w:val="00EE391A"/>
    <w:rsid w:val="00EE395D"/>
    <w:rsid w:val="00EE399A"/>
    <w:rsid w:val="00EE3A09"/>
    <w:rsid w:val="00EE3A10"/>
    <w:rsid w:val="00EE3B4B"/>
    <w:rsid w:val="00EE3C00"/>
    <w:rsid w:val="00EE3C29"/>
    <w:rsid w:val="00EE3C4B"/>
    <w:rsid w:val="00EE3CBB"/>
    <w:rsid w:val="00EE3CF6"/>
    <w:rsid w:val="00EE3D36"/>
    <w:rsid w:val="00EE3DA4"/>
    <w:rsid w:val="00EE3DB0"/>
    <w:rsid w:val="00EE401F"/>
    <w:rsid w:val="00EE4340"/>
    <w:rsid w:val="00EE4352"/>
    <w:rsid w:val="00EE4408"/>
    <w:rsid w:val="00EE4493"/>
    <w:rsid w:val="00EE44A2"/>
    <w:rsid w:val="00EE45BB"/>
    <w:rsid w:val="00EE45DE"/>
    <w:rsid w:val="00EE46AE"/>
    <w:rsid w:val="00EE473F"/>
    <w:rsid w:val="00EE47EA"/>
    <w:rsid w:val="00EE47F1"/>
    <w:rsid w:val="00EE482D"/>
    <w:rsid w:val="00EE484F"/>
    <w:rsid w:val="00EE486E"/>
    <w:rsid w:val="00EE489E"/>
    <w:rsid w:val="00EE48B0"/>
    <w:rsid w:val="00EE48EE"/>
    <w:rsid w:val="00EE493B"/>
    <w:rsid w:val="00EE4996"/>
    <w:rsid w:val="00EE49D2"/>
    <w:rsid w:val="00EE4B3A"/>
    <w:rsid w:val="00EE4B43"/>
    <w:rsid w:val="00EE4C01"/>
    <w:rsid w:val="00EE4C41"/>
    <w:rsid w:val="00EE4C55"/>
    <w:rsid w:val="00EE4CCA"/>
    <w:rsid w:val="00EE4D0A"/>
    <w:rsid w:val="00EE4D16"/>
    <w:rsid w:val="00EE4D71"/>
    <w:rsid w:val="00EE4F5A"/>
    <w:rsid w:val="00EE5082"/>
    <w:rsid w:val="00EE50BD"/>
    <w:rsid w:val="00EE5253"/>
    <w:rsid w:val="00EE52C7"/>
    <w:rsid w:val="00EE52F4"/>
    <w:rsid w:val="00EE53A7"/>
    <w:rsid w:val="00EE53D3"/>
    <w:rsid w:val="00EE5446"/>
    <w:rsid w:val="00EE545E"/>
    <w:rsid w:val="00EE548C"/>
    <w:rsid w:val="00EE54A0"/>
    <w:rsid w:val="00EE54C4"/>
    <w:rsid w:val="00EE5500"/>
    <w:rsid w:val="00EE550D"/>
    <w:rsid w:val="00EE55E5"/>
    <w:rsid w:val="00EE5643"/>
    <w:rsid w:val="00EE565C"/>
    <w:rsid w:val="00EE5793"/>
    <w:rsid w:val="00EE57D5"/>
    <w:rsid w:val="00EE57E4"/>
    <w:rsid w:val="00EE57E9"/>
    <w:rsid w:val="00EE5824"/>
    <w:rsid w:val="00EE58F7"/>
    <w:rsid w:val="00EE5A9E"/>
    <w:rsid w:val="00EE5AF5"/>
    <w:rsid w:val="00EE5AFC"/>
    <w:rsid w:val="00EE5B09"/>
    <w:rsid w:val="00EE5BB1"/>
    <w:rsid w:val="00EE5C2D"/>
    <w:rsid w:val="00EE5D11"/>
    <w:rsid w:val="00EE5DA0"/>
    <w:rsid w:val="00EE5E09"/>
    <w:rsid w:val="00EE5E48"/>
    <w:rsid w:val="00EE606F"/>
    <w:rsid w:val="00EE6070"/>
    <w:rsid w:val="00EE612E"/>
    <w:rsid w:val="00EE61CE"/>
    <w:rsid w:val="00EE6288"/>
    <w:rsid w:val="00EE63B4"/>
    <w:rsid w:val="00EE644E"/>
    <w:rsid w:val="00EE645D"/>
    <w:rsid w:val="00EE6591"/>
    <w:rsid w:val="00EE65F8"/>
    <w:rsid w:val="00EE66C3"/>
    <w:rsid w:val="00EE66CA"/>
    <w:rsid w:val="00EE67C0"/>
    <w:rsid w:val="00EE6802"/>
    <w:rsid w:val="00EE6807"/>
    <w:rsid w:val="00EE683A"/>
    <w:rsid w:val="00EE6857"/>
    <w:rsid w:val="00EE6883"/>
    <w:rsid w:val="00EE68A4"/>
    <w:rsid w:val="00EE68BC"/>
    <w:rsid w:val="00EE68CC"/>
    <w:rsid w:val="00EE6941"/>
    <w:rsid w:val="00EE699E"/>
    <w:rsid w:val="00EE6A17"/>
    <w:rsid w:val="00EE6C53"/>
    <w:rsid w:val="00EE6C85"/>
    <w:rsid w:val="00EE6DB6"/>
    <w:rsid w:val="00EE6E0C"/>
    <w:rsid w:val="00EE6E1E"/>
    <w:rsid w:val="00EE6E36"/>
    <w:rsid w:val="00EE6EF7"/>
    <w:rsid w:val="00EE6F66"/>
    <w:rsid w:val="00EE6FEE"/>
    <w:rsid w:val="00EE6FFA"/>
    <w:rsid w:val="00EE706A"/>
    <w:rsid w:val="00EE7158"/>
    <w:rsid w:val="00EE7206"/>
    <w:rsid w:val="00EE723B"/>
    <w:rsid w:val="00EE723D"/>
    <w:rsid w:val="00EE7275"/>
    <w:rsid w:val="00EE73C7"/>
    <w:rsid w:val="00EE76DE"/>
    <w:rsid w:val="00EE7724"/>
    <w:rsid w:val="00EE7766"/>
    <w:rsid w:val="00EE7782"/>
    <w:rsid w:val="00EE7785"/>
    <w:rsid w:val="00EE7811"/>
    <w:rsid w:val="00EE7881"/>
    <w:rsid w:val="00EE7885"/>
    <w:rsid w:val="00EE792D"/>
    <w:rsid w:val="00EE79E4"/>
    <w:rsid w:val="00EE7A2E"/>
    <w:rsid w:val="00EE7A41"/>
    <w:rsid w:val="00EE7B2B"/>
    <w:rsid w:val="00EE7BF3"/>
    <w:rsid w:val="00EE7D5A"/>
    <w:rsid w:val="00EE7DDF"/>
    <w:rsid w:val="00EE98B4"/>
    <w:rsid w:val="00EF0056"/>
    <w:rsid w:val="00EF0059"/>
    <w:rsid w:val="00EF00C8"/>
    <w:rsid w:val="00EF0112"/>
    <w:rsid w:val="00EF0149"/>
    <w:rsid w:val="00EF01F3"/>
    <w:rsid w:val="00EF020E"/>
    <w:rsid w:val="00EF035C"/>
    <w:rsid w:val="00EF03EC"/>
    <w:rsid w:val="00EF043E"/>
    <w:rsid w:val="00EF052B"/>
    <w:rsid w:val="00EF0580"/>
    <w:rsid w:val="00EF05C2"/>
    <w:rsid w:val="00EF060F"/>
    <w:rsid w:val="00EF0681"/>
    <w:rsid w:val="00EF06E9"/>
    <w:rsid w:val="00EF07D6"/>
    <w:rsid w:val="00EF07FB"/>
    <w:rsid w:val="00EF0818"/>
    <w:rsid w:val="00EF0859"/>
    <w:rsid w:val="00EF08A1"/>
    <w:rsid w:val="00EF0A0C"/>
    <w:rsid w:val="00EF0A4F"/>
    <w:rsid w:val="00EF0B8E"/>
    <w:rsid w:val="00EF0C71"/>
    <w:rsid w:val="00EF0C7F"/>
    <w:rsid w:val="00EF0CB7"/>
    <w:rsid w:val="00EF0D07"/>
    <w:rsid w:val="00EF0D57"/>
    <w:rsid w:val="00EF0F1F"/>
    <w:rsid w:val="00EF0F8D"/>
    <w:rsid w:val="00EF0F94"/>
    <w:rsid w:val="00EF10A9"/>
    <w:rsid w:val="00EF10C1"/>
    <w:rsid w:val="00EF1176"/>
    <w:rsid w:val="00EF119E"/>
    <w:rsid w:val="00EF1270"/>
    <w:rsid w:val="00EF1313"/>
    <w:rsid w:val="00EF1325"/>
    <w:rsid w:val="00EF14EA"/>
    <w:rsid w:val="00EF15FE"/>
    <w:rsid w:val="00EF16CD"/>
    <w:rsid w:val="00EF16F6"/>
    <w:rsid w:val="00EF173B"/>
    <w:rsid w:val="00EF1743"/>
    <w:rsid w:val="00EF17A3"/>
    <w:rsid w:val="00EF18D4"/>
    <w:rsid w:val="00EF1995"/>
    <w:rsid w:val="00EF19AE"/>
    <w:rsid w:val="00EF19BC"/>
    <w:rsid w:val="00EF1ABE"/>
    <w:rsid w:val="00EF1AEA"/>
    <w:rsid w:val="00EF1B08"/>
    <w:rsid w:val="00EF1BED"/>
    <w:rsid w:val="00EF1CB0"/>
    <w:rsid w:val="00EF1CD1"/>
    <w:rsid w:val="00EF1EAE"/>
    <w:rsid w:val="00EF1ED8"/>
    <w:rsid w:val="00EF1F35"/>
    <w:rsid w:val="00EF1F39"/>
    <w:rsid w:val="00EF1F45"/>
    <w:rsid w:val="00EF213C"/>
    <w:rsid w:val="00EF2244"/>
    <w:rsid w:val="00EF22FE"/>
    <w:rsid w:val="00EF2376"/>
    <w:rsid w:val="00EF23E5"/>
    <w:rsid w:val="00EF25CC"/>
    <w:rsid w:val="00EF25E6"/>
    <w:rsid w:val="00EF26D3"/>
    <w:rsid w:val="00EF2756"/>
    <w:rsid w:val="00EF2780"/>
    <w:rsid w:val="00EF2857"/>
    <w:rsid w:val="00EF285A"/>
    <w:rsid w:val="00EF291F"/>
    <w:rsid w:val="00EF2A94"/>
    <w:rsid w:val="00EF2B96"/>
    <w:rsid w:val="00EF2C63"/>
    <w:rsid w:val="00EF2CAD"/>
    <w:rsid w:val="00EF2D25"/>
    <w:rsid w:val="00EF2E45"/>
    <w:rsid w:val="00EF2ED8"/>
    <w:rsid w:val="00EF2F50"/>
    <w:rsid w:val="00EF2F69"/>
    <w:rsid w:val="00EF2F9C"/>
    <w:rsid w:val="00EF2FC8"/>
    <w:rsid w:val="00EF2FEC"/>
    <w:rsid w:val="00EF3025"/>
    <w:rsid w:val="00EF3099"/>
    <w:rsid w:val="00EF30BD"/>
    <w:rsid w:val="00EF30C1"/>
    <w:rsid w:val="00EF3100"/>
    <w:rsid w:val="00EF3129"/>
    <w:rsid w:val="00EF315F"/>
    <w:rsid w:val="00EF327C"/>
    <w:rsid w:val="00EF3385"/>
    <w:rsid w:val="00EF338D"/>
    <w:rsid w:val="00EF34DA"/>
    <w:rsid w:val="00EF34F6"/>
    <w:rsid w:val="00EF350D"/>
    <w:rsid w:val="00EF3538"/>
    <w:rsid w:val="00EF3719"/>
    <w:rsid w:val="00EF382B"/>
    <w:rsid w:val="00EF390C"/>
    <w:rsid w:val="00EF3929"/>
    <w:rsid w:val="00EF39FD"/>
    <w:rsid w:val="00EF3A3F"/>
    <w:rsid w:val="00EF3B37"/>
    <w:rsid w:val="00EF3BF1"/>
    <w:rsid w:val="00EF3CCD"/>
    <w:rsid w:val="00EF3D28"/>
    <w:rsid w:val="00EF3D34"/>
    <w:rsid w:val="00EF3E5D"/>
    <w:rsid w:val="00EF3EDD"/>
    <w:rsid w:val="00EF3F6B"/>
    <w:rsid w:val="00EF40C5"/>
    <w:rsid w:val="00EF416C"/>
    <w:rsid w:val="00EF416D"/>
    <w:rsid w:val="00EF41BC"/>
    <w:rsid w:val="00EF4284"/>
    <w:rsid w:val="00EF42EB"/>
    <w:rsid w:val="00EF4329"/>
    <w:rsid w:val="00EF450B"/>
    <w:rsid w:val="00EF454B"/>
    <w:rsid w:val="00EF455A"/>
    <w:rsid w:val="00EF474E"/>
    <w:rsid w:val="00EF4764"/>
    <w:rsid w:val="00EF4778"/>
    <w:rsid w:val="00EF4902"/>
    <w:rsid w:val="00EF49E5"/>
    <w:rsid w:val="00EF4A2B"/>
    <w:rsid w:val="00EF4AA7"/>
    <w:rsid w:val="00EF4ACD"/>
    <w:rsid w:val="00EF4B70"/>
    <w:rsid w:val="00EF4BCB"/>
    <w:rsid w:val="00EF4BFF"/>
    <w:rsid w:val="00EF4C13"/>
    <w:rsid w:val="00EF4CA0"/>
    <w:rsid w:val="00EF4D39"/>
    <w:rsid w:val="00EF4E47"/>
    <w:rsid w:val="00EF4E6C"/>
    <w:rsid w:val="00EF4F49"/>
    <w:rsid w:val="00EF4FCB"/>
    <w:rsid w:val="00EF501F"/>
    <w:rsid w:val="00EF515F"/>
    <w:rsid w:val="00EF51DE"/>
    <w:rsid w:val="00EF5299"/>
    <w:rsid w:val="00EF5483"/>
    <w:rsid w:val="00EF54A4"/>
    <w:rsid w:val="00EF54E8"/>
    <w:rsid w:val="00EF5515"/>
    <w:rsid w:val="00EF5533"/>
    <w:rsid w:val="00EF5595"/>
    <w:rsid w:val="00EF55A8"/>
    <w:rsid w:val="00EF5605"/>
    <w:rsid w:val="00EF56B9"/>
    <w:rsid w:val="00EF56C3"/>
    <w:rsid w:val="00EF56FD"/>
    <w:rsid w:val="00EF5798"/>
    <w:rsid w:val="00EF581A"/>
    <w:rsid w:val="00EF58F4"/>
    <w:rsid w:val="00EF591C"/>
    <w:rsid w:val="00EF592B"/>
    <w:rsid w:val="00EF5976"/>
    <w:rsid w:val="00EF59BE"/>
    <w:rsid w:val="00EF5AA4"/>
    <w:rsid w:val="00EF5B20"/>
    <w:rsid w:val="00EF5C59"/>
    <w:rsid w:val="00EF5D07"/>
    <w:rsid w:val="00EF5D36"/>
    <w:rsid w:val="00EF5E39"/>
    <w:rsid w:val="00EF5F53"/>
    <w:rsid w:val="00EF5FA5"/>
    <w:rsid w:val="00EF5FD9"/>
    <w:rsid w:val="00EF60A3"/>
    <w:rsid w:val="00EF6241"/>
    <w:rsid w:val="00EF62B8"/>
    <w:rsid w:val="00EF6374"/>
    <w:rsid w:val="00EF638E"/>
    <w:rsid w:val="00EF63F3"/>
    <w:rsid w:val="00EF6579"/>
    <w:rsid w:val="00EF6589"/>
    <w:rsid w:val="00EF667F"/>
    <w:rsid w:val="00EF66A5"/>
    <w:rsid w:val="00EF67CE"/>
    <w:rsid w:val="00EF683F"/>
    <w:rsid w:val="00EF698F"/>
    <w:rsid w:val="00EF6997"/>
    <w:rsid w:val="00EF69A7"/>
    <w:rsid w:val="00EF6B3B"/>
    <w:rsid w:val="00EF6B4E"/>
    <w:rsid w:val="00EF6B52"/>
    <w:rsid w:val="00EF6B5F"/>
    <w:rsid w:val="00EF6B84"/>
    <w:rsid w:val="00EF6B86"/>
    <w:rsid w:val="00EF6BC5"/>
    <w:rsid w:val="00EF6BDA"/>
    <w:rsid w:val="00EF6BFC"/>
    <w:rsid w:val="00EF6C3D"/>
    <w:rsid w:val="00EF6C7F"/>
    <w:rsid w:val="00EF6C8D"/>
    <w:rsid w:val="00EF6DD4"/>
    <w:rsid w:val="00EF6E1D"/>
    <w:rsid w:val="00EF6E80"/>
    <w:rsid w:val="00EF6E8A"/>
    <w:rsid w:val="00EF6EDF"/>
    <w:rsid w:val="00EF6FB6"/>
    <w:rsid w:val="00EF7023"/>
    <w:rsid w:val="00EF70DD"/>
    <w:rsid w:val="00EF70F0"/>
    <w:rsid w:val="00EF720D"/>
    <w:rsid w:val="00EF7356"/>
    <w:rsid w:val="00EF74DA"/>
    <w:rsid w:val="00EF75AA"/>
    <w:rsid w:val="00EF75D8"/>
    <w:rsid w:val="00EF76C7"/>
    <w:rsid w:val="00EF770B"/>
    <w:rsid w:val="00EF77DD"/>
    <w:rsid w:val="00EF77E4"/>
    <w:rsid w:val="00EF7885"/>
    <w:rsid w:val="00EF78B9"/>
    <w:rsid w:val="00EF7908"/>
    <w:rsid w:val="00EF792A"/>
    <w:rsid w:val="00EF7A47"/>
    <w:rsid w:val="00EF7B3D"/>
    <w:rsid w:val="00EF7BA8"/>
    <w:rsid w:val="00EF7C74"/>
    <w:rsid w:val="00EF7CD2"/>
    <w:rsid w:val="00EF7CE9"/>
    <w:rsid w:val="00EF7D76"/>
    <w:rsid w:val="00EF7DA0"/>
    <w:rsid w:val="00EF7E91"/>
    <w:rsid w:val="00EF7EB6"/>
    <w:rsid w:val="00F0001C"/>
    <w:rsid w:val="00F00060"/>
    <w:rsid w:val="00F000E2"/>
    <w:rsid w:val="00F000F9"/>
    <w:rsid w:val="00F0018E"/>
    <w:rsid w:val="00F001C6"/>
    <w:rsid w:val="00F00206"/>
    <w:rsid w:val="00F0020D"/>
    <w:rsid w:val="00F00232"/>
    <w:rsid w:val="00F0024A"/>
    <w:rsid w:val="00F00298"/>
    <w:rsid w:val="00F0041C"/>
    <w:rsid w:val="00F00477"/>
    <w:rsid w:val="00F004AC"/>
    <w:rsid w:val="00F0059F"/>
    <w:rsid w:val="00F00616"/>
    <w:rsid w:val="00F00619"/>
    <w:rsid w:val="00F00779"/>
    <w:rsid w:val="00F00858"/>
    <w:rsid w:val="00F008B3"/>
    <w:rsid w:val="00F0090C"/>
    <w:rsid w:val="00F009F9"/>
    <w:rsid w:val="00F00A0F"/>
    <w:rsid w:val="00F00B8F"/>
    <w:rsid w:val="00F00BBA"/>
    <w:rsid w:val="00F00D10"/>
    <w:rsid w:val="00F00D46"/>
    <w:rsid w:val="00F00D9F"/>
    <w:rsid w:val="00F00DDB"/>
    <w:rsid w:val="00F00ED7"/>
    <w:rsid w:val="00F00F86"/>
    <w:rsid w:val="00F00FA1"/>
    <w:rsid w:val="00F01025"/>
    <w:rsid w:val="00F011CE"/>
    <w:rsid w:val="00F012B3"/>
    <w:rsid w:val="00F012F6"/>
    <w:rsid w:val="00F0130B"/>
    <w:rsid w:val="00F01341"/>
    <w:rsid w:val="00F013A5"/>
    <w:rsid w:val="00F014E1"/>
    <w:rsid w:val="00F01527"/>
    <w:rsid w:val="00F0155E"/>
    <w:rsid w:val="00F0163D"/>
    <w:rsid w:val="00F016C7"/>
    <w:rsid w:val="00F016DE"/>
    <w:rsid w:val="00F016FA"/>
    <w:rsid w:val="00F0173C"/>
    <w:rsid w:val="00F017DD"/>
    <w:rsid w:val="00F01808"/>
    <w:rsid w:val="00F01841"/>
    <w:rsid w:val="00F018E3"/>
    <w:rsid w:val="00F019E0"/>
    <w:rsid w:val="00F01A45"/>
    <w:rsid w:val="00F01A88"/>
    <w:rsid w:val="00F01AD3"/>
    <w:rsid w:val="00F01B2F"/>
    <w:rsid w:val="00F01D90"/>
    <w:rsid w:val="00F01E3B"/>
    <w:rsid w:val="00F01E9C"/>
    <w:rsid w:val="00F01F2B"/>
    <w:rsid w:val="00F01F3C"/>
    <w:rsid w:val="00F01F5B"/>
    <w:rsid w:val="00F01F82"/>
    <w:rsid w:val="00F0214A"/>
    <w:rsid w:val="00F021A6"/>
    <w:rsid w:val="00F021C8"/>
    <w:rsid w:val="00F021F0"/>
    <w:rsid w:val="00F0225D"/>
    <w:rsid w:val="00F02315"/>
    <w:rsid w:val="00F02379"/>
    <w:rsid w:val="00F0237B"/>
    <w:rsid w:val="00F0241C"/>
    <w:rsid w:val="00F0241D"/>
    <w:rsid w:val="00F02437"/>
    <w:rsid w:val="00F02481"/>
    <w:rsid w:val="00F02486"/>
    <w:rsid w:val="00F0248A"/>
    <w:rsid w:val="00F02527"/>
    <w:rsid w:val="00F02565"/>
    <w:rsid w:val="00F02577"/>
    <w:rsid w:val="00F026E8"/>
    <w:rsid w:val="00F02707"/>
    <w:rsid w:val="00F0270A"/>
    <w:rsid w:val="00F027C2"/>
    <w:rsid w:val="00F02890"/>
    <w:rsid w:val="00F028F0"/>
    <w:rsid w:val="00F02925"/>
    <w:rsid w:val="00F02A34"/>
    <w:rsid w:val="00F02AF8"/>
    <w:rsid w:val="00F02B03"/>
    <w:rsid w:val="00F02B20"/>
    <w:rsid w:val="00F02B55"/>
    <w:rsid w:val="00F02D21"/>
    <w:rsid w:val="00F02EEF"/>
    <w:rsid w:val="00F02EF4"/>
    <w:rsid w:val="00F02F72"/>
    <w:rsid w:val="00F02FBA"/>
    <w:rsid w:val="00F02FDD"/>
    <w:rsid w:val="00F02FF0"/>
    <w:rsid w:val="00F030E2"/>
    <w:rsid w:val="00F030F2"/>
    <w:rsid w:val="00F0313C"/>
    <w:rsid w:val="00F0317B"/>
    <w:rsid w:val="00F032AA"/>
    <w:rsid w:val="00F032C7"/>
    <w:rsid w:val="00F032E0"/>
    <w:rsid w:val="00F032F1"/>
    <w:rsid w:val="00F03466"/>
    <w:rsid w:val="00F034B7"/>
    <w:rsid w:val="00F034D4"/>
    <w:rsid w:val="00F034F6"/>
    <w:rsid w:val="00F0351C"/>
    <w:rsid w:val="00F0355D"/>
    <w:rsid w:val="00F036F7"/>
    <w:rsid w:val="00F036FD"/>
    <w:rsid w:val="00F037F4"/>
    <w:rsid w:val="00F03822"/>
    <w:rsid w:val="00F0388F"/>
    <w:rsid w:val="00F038EB"/>
    <w:rsid w:val="00F038F6"/>
    <w:rsid w:val="00F03917"/>
    <w:rsid w:val="00F03982"/>
    <w:rsid w:val="00F03A40"/>
    <w:rsid w:val="00F03ACB"/>
    <w:rsid w:val="00F03ADC"/>
    <w:rsid w:val="00F03B3C"/>
    <w:rsid w:val="00F03C1C"/>
    <w:rsid w:val="00F03C3E"/>
    <w:rsid w:val="00F03CBD"/>
    <w:rsid w:val="00F03CC9"/>
    <w:rsid w:val="00F03D21"/>
    <w:rsid w:val="00F03D25"/>
    <w:rsid w:val="00F03D8B"/>
    <w:rsid w:val="00F03F11"/>
    <w:rsid w:val="00F03F64"/>
    <w:rsid w:val="00F03F80"/>
    <w:rsid w:val="00F03F8C"/>
    <w:rsid w:val="00F03FD6"/>
    <w:rsid w:val="00F03FF5"/>
    <w:rsid w:val="00F03FF9"/>
    <w:rsid w:val="00F0405A"/>
    <w:rsid w:val="00F042E9"/>
    <w:rsid w:val="00F04380"/>
    <w:rsid w:val="00F0445C"/>
    <w:rsid w:val="00F044E2"/>
    <w:rsid w:val="00F04617"/>
    <w:rsid w:val="00F04759"/>
    <w:rsid w:val="00F047C7"/>
    <w:rsid w:val="00F047F4"/>
    <w:rsid w:val="00F047F8"/>
    <w:rsid w:val="00F0481B"/>
    <w:rsid w:val="00F0482D"/>
    <w:rsid w:val="00F04A10"/>
    <w:rsid w:val="00F04AC9"/>
    <w:rsid w:val="00F04B0D"/>
    <w:rsid w:val="00F04B46"/>
    <w:rsid w:val="00F04B8F"/>
    <w:rsid w:val="00F04BBA"/>
    <w:rsid w:val="00F04CE5"/>
    <w:rsid w:val="00F04D5C"/>
    <w:rsid w:val="00F04D6F"/>
    <w:rsid w:val="00F04DAA"/>
    <w:rsid w:val="00F04E61"/>
    <w:rsid w:val="00F04ED5"/>
    <w:rsid w:val="00F05012"/>
    <w:rsid w:val="00F05029"/>
    <w:rsid w:val="00F05145"/>
    <w:rsid w:val="00F0515F"/>
    <w:rsid w:val="00F051AC"/>
    <w:rsid w:val="00F05200"/>
    <w:rsid w:val="00F0521F"/>
    <w:rsid w:val="00F05295"/>
    <w:rsid w:val="00F052E2"/>
    <w:rsid w:val="00F05325"/>
    <w:rsid w:val="00F0536A"/>
    <w:rsid w:val="00F054D5"/>
    <w:rsid w:val="00F0554A"/>
    <w:rsid w:val="00F055DC"/>
    <w:rsid w:val="00F05642"/>
    <w:rsid w:val="00F05775"/>
    <w:rsid w:val="00F057E5"/>
    <w:rsid w:val="00F05827"/>
    <w:rsid w:val="00F058AB"/>
    <w:rsid w:val="00F05991"/>
    <w:rsid w:val="00F059CE"/>
    <w:rsid w:val="00F05A78"/>
    <w:rsid w:val="00F05AAB"/>
    <w:rsid w:val="00F05AB8"/>
    <w:rsid w:val="00F05B0B"/>
    <w:rsid w:val="00F05B22"/>
    <w:rsid w:val="00F05B5A"/>
    <w:rsid w:val="00F05CA9"/>
    <w:rsid w:val="00F05ED3"/>
    <w:rsid w:val="00F05EE8"/>
    <w:rsid w:val="00F05F5B"/>
    <w:rsid w:val="00F05F62"/>
    <w:rsid w:val="00F05F75"/>
    <w:rsid w:val="00F061AE"/>
    <w:rsid w:val="00F061BB"/>
    <w:rsid w:val="00F0620F"/>
    <w:rsid w:val="00F0633D"/>
    <w:rsid w:val="00F0637A"/>
    <w:rsid w:val="00F0638E"/>
    <w:rsid w:val="00F063D8"/>
    <w:rsid w:val="00F064D3"/>
    <w:rsid w:val="00F0651F"/>
    <w:rsid w:val="00F065F0"/>
    <w:rsid w:val="00F066C9"/>
    <w:rsid w:val="00F066F8"/>
    <w:rsid w:val="00F067AF"/>
    <w:rsid w:val="00F06894"/>
    <w:rsid w:val="00F068DE"/>
    <w:rsid w:val="00F069A0"/>
    <w:rsid w:val="00F069D3"/>
    <w:rsid w:val="00F069EE"/>
    <w:rsid w:val="00F06A57"/>
    <w:rsid w:val="00F06B8C"/>
    <w:rsid w:val="00F06BC0"/>
    <w:rsid w:val="00F06C63"/>
    <w:rsid w:val="00F06D51"/>
    <w:rsid w:val="00F06D5C"/>
    <w:rsid w:val="00F06E51"/>
    <w:rsid w:val="00F06E68"/>
    <w:rsid w:val="00F06ED7"/>
    <w:rsid w:val="00F06F0D"/>
    <w:rsid w:val="00F06F0E"/>
    <w:rsid w:val="00F06F25"/>
    <w:rsid w:val="00F06F30"/>
    <w:rsid w:val="00F07036"/>
    <w:rsid w:val="00F070E1"/>
    <w:rsid w:val="00F07215"/>
    <w:rsid w:val="00F07290"/>
    <w:rsid w:val="00F072BD"/>
    <w:rsid w:val="00F072E9"/>
    <w:rsid w:val="00F072EB"/>
    <w:rsid w:val="00F072FE"/>
    <w:rsid w:val="00F0735D"/>
    <w:rsid w:val="00F073A7"/>
    <w:rsid w:val="00F073DC"/>
    <w:rsid w:val="00F073FA"/>
    <w:rsid w:val="00F07409"/>
    <w:rsid w:val="00F07493"/>
    <w:rsid w:val="00F07515"/>
    <w:rsid w:val="00F075B9"/>
    <w:rsid w:val="00F07630"/>
    <w:rsid w:val="00F07672"/>
    <w:rsid w:val="00F0769A"/>
    <w:rsid w:val="00F0780D"/>
    <w:rsid w:val="00F0790A"/>
    <w:rsid w:val="00F0798E"/>
    <w:rsid w:val="00F07AB6"/>
    <w:rsid w:val="00F07B14"/>
    <w:rsid w:val="00F07C2A"/>
    <w:rsid w:val="00F07D9A"/>
    <w:rsid w:val="00F07DE4"/>
    <w:rsid w:val="00F07E99"/>
    <w:rsid w:val="00F07F18"/>
    <w:rsid w:val="00F07F58"/>
    <w:rsid w:val="00F0985F"/>
    <w:rsid w:val="00F1008D"/>
    <w:rsid w:val="00F100E5"/>
    <w:rsid w:val="00F100F7"/>
    <w:rsid w:val="00F101C2"/>
    <w:rsid w:val="00F101FF"/>
    <w:rsid w:val="00F1021C"/>
    <w:rsid w:val="00F102F5"/>
    <w:rsid w:val="00F1033D"/>
    <w:rsid w:val="00F1039A"/>
    <w:rsid w:val="00F103AE"/>
    <w:rsid w:val="00F1048D"/>
    <w:rsid w:val="00F10585"/>
    <w:rsid w:val="00F1064E"/>
    <w:rsid w:val="00F106F9"/>
    <w:rsid w:val="00F1074D"/>
    <w:rsid w:val="00F10769"/>
    <w:rsid w:val="00F1076A"/>
    <w:rsid w:val="00F1079A"/>
    <w:rsid w:val="00F10877"/>
    <w:rsid w:val="00F109CD"/>
    <w:rsid w:val="00F10A7A"/>
    <w:rsid w:val="00F10AD7"/>
    <w:rsid w:val="00F10AE6"/>
    <w:rsid w:val="00F10B21"/>
    <w:rsid w:val="00F10C44"/>
    <w:rsid w:val="00F10C48"/>
    <w:rsid w:val="00F10CB2"/>
    <w:rsid w:val="00F10CCC"/>
    <w:rsid w:val="00F10CD4"/>
    <w:rsid w:val="00F10CE5"/>
    <w:rsid w:val="00F10CFC"/>
    <w:rsid w:val="00F10D26"/>
    <w:rsid w:val="00F10D92"/>
    <w:rsid w:val="00F10DCE"/>
    <w:rsid w:val="00F10DEE"/>
    <w:rsid w:val="00F10EA6"/>
    <w:rsid w:val="00F10ECB"/>
    <w:rsid w:val="00F10FA9"/>
    <w:rsid w:val="00F1102A"/>
    <w:rsid w:val="00F11053"/>
    <w:rsid w:val="00F11056"/>
    <w:rsid w:val="00F1109F"/>
    <w:rsid w:val="00F11104"/>
    <w:rsid w:val="00F1111B"/>
    <w:rsid w:val="00F1116D"/>
    <w:rsid w:val="00F111B5"/>
    <w:rsid w:val="00F1124A"/>
    <w:rsid w:val="00F11251"/>
    <w:rsid w:val="00F11258"/>
    <w:rsid w:val="00F11283"/>
    <w:rsid w:val="00F114B6"/>
    <w:rsid w:val="00F1155D"/>
    <w:rsid w:val="00F115CF"/>
    <w:rsid w:val="00F115FA"/>
    <w:rsid w:val="00F116F8"/>
    <w:rsid w:val="00F11747"/>
    <w:rsid w:val="00F1176E"/>
    <w:rsid w:val="00F1181F"/>
    <w:rsid w:val="00F118B0"/>
    <w:rsid w:val="00F118C3"/>
    <w:rsid w:val="00F118FA"/>
    <w:rsid w:val="00F11925"/>
    <w:rsid w:val="00F119C0"/>
    <w:rsid w:val="00F11A63"/>
    <w:rsid w:val="00F11AD4"/>
    <w:rsid w:val="00F11B67"/>
    <w:rsid w:val="00F11B8B"/>
    <w:rsid w:val="00F11BAB"/>
    <w:rsid w:val="00F11BF2"/>
    <w:rsid w:val="00F11C21"/>
    <w:rsid w:val="00F11C8F"/>
    <w:rsid w:val="00F11D75"/>
    <w:rsid w:val="00F11D85"/>
    <w:rsid w:val="00F11F24"/>
    <w:rsid w:val="00F11FE1"/>
    <w:rsid w:val="00F1201D"/>
    <w:rsid w:val="00F1206D"/>
    <w:rsid w:val="00F12088"/>
    <w:rsid w:val="00F121F8"/>
    <w:rsid w:val="00F12303"/>
    <w:rsid w:val="00F12305"/>
    <w:rsid w:val="00F123B9"/>
    <w:rsid w:val="00F12480"/>
    <w:rsid w:val="00F124E8"/>
    <w:rsid w:val="00F124F3"/>
    <w:rsid w:val="00F12534"/>
    <w:rsid w:val="00F12622"/>
    <w:rsid w:val="00F12680"/>
    <w:rsid w:val="00F126CF"/>
    <w:rsid w:val="00F126FE"/>
    <w:rsid w:val="00F1272F"/>
    <w:rsid w:val="00F12790"/>
    <w:rsid w:val="00F12844"/>
    <w:rsid w:val="00F1285E"/>
    <w:rsid w:val="00F12B75"/>
    <w:rsid w:val="00F12BBC"/>
    <w:rsid w:val="00F12C7B"/>
    <w:rsid w:val="00F12C9E"/>
    <w:rsid w:val="00F12CC4"/>
    <w:rsid w:val="00F12CE2"/>
    <w:rsid w:val="00F12F10"/>
    <w:rsid w:val="00F13018"/>
    <w:rsid w:val="00F13153"/>
    <w:rsid w:val="00F13221"/>
    <w:rsid w:val="00F13261"/>
    <w:rsid w:val="00F132CE"/>
    <w:rsid w:val="00F132FA"/>
    <w:rsid w:val="00F13551"/>
    <w:rsid w:val="00F135CA"/>
    <w:rsid w:val="00F135D6"/>
    <w:rsid w:val="00F136A2"/>
    <w:rsid w:val="00F13700"/>
    <w:rsid w:val="00F13714"/>
    <w:rsid w:val="00F13786"/>
    <w:rsid w:val="00F137AC"/>
    <w:rsid w:val="00F137DB"/>
    <w:rsid w:val="00F137EB"/>
    <w:rsid w:val="00F138DD"/>
    <w:rsid w:val="00F138E6"/>
    <w:rsid w:val="00F138F0"/>
    <w:rsid w:val="00F1390E"/>
    <w:rsid w:val="00F13A9D"/>
    <w:rsid w:val="00F13AA6"/>
    <w:rsid w:val="00F13B76"/>
    <w:rsid w:val="00F13BA6"/>
    <w:rsid w:val="00F13C04"/>
    <w:rsid w:val="00F13C0F"/>
    <w:rsid w:val="00F13C19"/>
    <w:rsid w:val="00F13D81"/>
    <w:rsid w:val="00F13D83"/>
    <w:rsid w:val="00F13E42"/>
    <w:rsid w:val="00F13E69"/>
    <w:rsid w:val="00F13F0C"/>
    <w:rsid w:val="00F13F74"/>
    <w:rsid w:val="00F1408A"/>
    <w:rsid w:val="00F140C8"/>
    <w:rsid w:val="00F140E7"/>
    <w:rsid w:val="00F1411A"/>
    <w:rsid w:val="00F14245"/>
    <w:rsid w:val="00F142BF"/>
    <w:rsid w:val="00F142D7"/>
    <w:rsid w:val="00F143F9"/>
    <w:rsid w:val="00F144EA"/>
    <w:rsid w:val="00F14511"/>
    <w:rsid w:val="00F14530"/>
    <w:rsid w:val="00F14568"/>
    <w:rsid w:val="00F1457B"/>
    <w:rsid w:val="00F145D9"/>
    <w:rsid w:val="00F14607"/>
    <w:rsid w:val="00F14644"/>
    <w:rsid w:val="00F14670"/>
    <w:rsid w:val="00F1474C"/>
    <w:rsid w:val="00F1479A"/>
    <w:rsid w:val="00F14814"/>
    <w:rsid w:val="00F1491D"/>
    <w:rsid w:val="00F14999"/>
    <w:rsid w:val="00F14BD5"/>
    <w:rsid w:val="00F14C73"/>
    <w:rsid w:val="00F14CAE"/>
    <w:rsid w:val="00F14D35"/>
    <w:rsid w:val="00F14D70"/>
    <w:rsid w:val="00F14DD5"/>
    <w:rsid w:val="00F14DEB"/>
    <w:rsid w:val="00F14DF9"/>
    <w:rsid w:val="00F14EC4"/>
    <w:rsid w:val="00F14EF5"/>
    <w:rsid w:val="00F14F05"/>
    <w:rsid w:val="00F14F1D"/>
    <w:rsid w:val="00F150FB"/>
    <w:rsid w:val="00F15150"/>
    <w:rsid w:val="00F1515D"/>
    <w:rsid w:val="00F151A1"/>
    <w:rsid w:val="00F151F3"/>
    <w:rsid w:val="00F15225"/>
    <w:rsid w:val="00F153AE"/>
    <w:rsid w:val="00F154E7"/>
    <w:rsid w:val="00F1551C"/>
    <w:rsid w:val="00F15527"/>
    <w:rsid w:val="00F15572"/>
    <w:rsid w:val="00F15581"/>
    <w:rsid w:val="00F155C3"/>
    <w:rsid w:val="00F155F7"/>
    <w:rsid w:val="00F155F9"/>
    <w:rsid w:val="00F1571B"/>
    <w:rsid w:val="00F15874"/>
    <w:rsid w:val="00F158BC"/>
    <w:rsid w:val="00F158C3"/>
    <w:rsid w:val="00F159BB"/>
    <w:rsid w:val="00F159E9"/>
    <w:rsid w:val="00F15A3A"/>
    <w:rsid w:val="00F15B24"/>
    <w:rsid w:val="00F15B60"/>
    <w:rsid w:val="00F15B72"/>
    <w:rsid w:val="00F15BF0"/>
    <w:rsid w:val="00F15C4D"/>
    <w:rsid w:val="00F15E48"/>
    <w:rsid w:val="00F15E4E"/>
    <w:rsid w:val="00F15EA9"/>
    <w:rsid w:val="00F15EC0"/>
    <w:rsid w:val="00F15F2E"/>
    <w:rsid w:val="00F1602C"/>
    <w:rsid w:val="00F160B7"/>
    <w:rsid w:val="00F160E6"/>
    <w:rsid w:val="00F16174"/>
    <w:rsid w:val="00F162BF"/>
    <w:rsid w:val="00F163B8"/>
    <w:rsid w:val="00F16433"/>
    <w:rsid w:val="00F16548"/>
    <w:rsid w:val="00F16595"/>
    <w:rsid w:val="00F166CF"/>
    <w:rsid w:val="00F166D4"/>
    <w:rsid w:val="00F16718"/>
    <w:rsid w:val="00F1675E"/>
    <w:rsid w:val="00F1680E"/>
    <w:rsid w:val="00F16851"/>
    <w:rsid w:val="00F16873"/>
    <w:rsid w:val="00F1688A"/>
    <w:rsid w:val="00F16924"/>
    <w:rsid w:val="00F1693A"/>
    <w:rsid w:val="00F16B34"/>
    <w:rsid w:val="00F16BF8"/>
    <w:rsid w:val="00F16C25"/>
    <w:rsid w:val="00F16C7C"/>
    <w:rsid w:val="00F16D0C"/>
    <w:rsid w:val="00F16E37"/>
    <w:rsid w:val="00F16E74"/>
    <w:rsid w:val="00F16EF1"/>
    <w:rsid w:val="00F16FB2"/>
    <w:rsid w:val="00F17054"/>
    <w:rsid w:val="00F170E3"/>
    <w:rsid w:val="00F1710A"/>
    <w:rsid w:val="00F17160"/>
    <w:rsid w:val="00F171F4"/>
    <w:rsid w:val="00F17233"/>
    <w:rsid w:val="00F1725A"/>
    <w:rsid w:val="00F172BF"/>
    <w:rsid w:val="00F17340"/>
    <w:rsid w:val="00F173FE"/>
    <w:rsid w:val="00F17430"/>
    <w:rsid w:val="00F1743A"/>
    <w:rsid w:val="00F17471"/>
    <w:rsid w:val="00F1750A"/>
    <w:rsid w:val="00F17778"/>
    <w:rsid w:val="00F17799"/>
    <w:rsid w:val="00F177E9"/>
    <w:rsid w:val="00F17821"/>
    <w:rsid w:val="00F1794C"/>
    <w:rsid w:val="00F17A59"/>
    <w:rsid w:val="00F17B6E"/>
    <w:rsid w:val="00F17BCC"/>
    <w:rsid w:val="00F17C35"/>
    <w:rsid w:val="00F17C67"/>
    <w:rsid w:val="00F17C80"/>
    <w:rsid w:val="00F17C85"/>
    <w:rsid w:val="00F17C86"/>
    <w:rsid w:val="00F17CD9"/>
    <w:rsid w:val="00F17E21"/>
    <w:rsid w:val="00F17E30"/>
    <w:rsid w:val="00F1CD01"/>
    <w:rsid w:val="00F20134"/>
    <w:rsid w:val="00F20151"/>
    <w:rsid w:val="00F201B1"/>
    <w:rsid w:val="00F20280"/>
    <w:rsid w:val="00F20338"/>
    <w:rsid w:val="00F203E6"/>
    <w:rsid w:val="00F20417"/>
    <w:rsid w:val="00F20621"/>
    <w:rsid w:val="00F207FF"/>
    <w:rsid w:val="00F20833"/>
    <w:rsid w:val="00F2093A"/>
    <w:rsid w:val="00F20955"/>
    <w:rsid w:val="00F20A6D"/>
    <w:rsid w:val="00F20AD9"/>
    <w:rsid w:val="00F20B09"/>
    <w:rsid w:val="00F20BD3"/>
    <w:rsid w:val="00F20BE8"/>
    <w:rsid w:val="00F20BEF"/>
    <w:rsid w:val="00F20C5B"/>
    <w:rsid w:val="00F20DF9"/>
    <w:rsid w:val="00F20E0C"/>
    <w:rsid w:val="00F20E52"/>
    <w:rsid w:val="00F20E8C"/>
    <w:rsid w:val="00F20E98"/>
    <w:rsid w:val="00F20F04"/>
    <w:rsid w:val="00F20F56"/>
    <w:rsid w:val="00F20F85"/>
    <w:rsid w:val="00F20F97"/>
    <w:rsid w:val="00F20FA2"/>
    <w:rsid w:val="00F20FBB"/>
    <w:rsid w:val="00F21022"/>
    <w:rsid w:val="00F210E0"/>
    <w:rsid w:val="00F211B6"/>
    <w:rsid w:val="00F21342"/>
    <w:rsid w:val="00F21476"/>
    <w:rsid w:val="00F2148C"/>
    <w:rsid w:val="00F214F9"/>
    <w:rsid w:val="00F21567"/>
    <w:rsid w:val="00F21575"/>
    <w:rsid w:val="00F21627"/>
    <w:rsid w:val="00F21630"/>
    <w:rsid w:val="00F2167F"/>
    <w:rsid w:val="00F21701"/>
    <w:rsid w:val="00F21709"/>
    <w:rsid w:val="00F217AA"/>
    <w:rsid w:val="00F217E5"/>
    <w:rsid w:val="00F2186E"/>
    <w:rsid w:val="00F21887"/>
    <w:rsid w:val="00F2189E"/>
    <w:rsid w:val="00F21961"/>
    <w:rsid w:val="00F21A5C"/>
    <w:rsid w:val="00F21A6C"/>
    <w:rsid w:val="00F21AFC"/>
    <w:rsid w:val="00F21C36"/>
    <w:rsid w:val="00F21C53"/>
    <w:rsid w:val="00F21C9B"/>
    <w:rsid w:val="00F21CAC"/>
    <w:rsid w:val="00F21CED"/>
    <w:rsid w:val="00F21E23"/>
    <w:rsid w:val="00F21E9E"/>
    <w:rsid w:val="00F21FAC"/>
    <w:rsid w:val="00F22048"/>
    <w:rsid w:val="00F220F3"/>
    <w:rsid w:val="00F2221E"/>
    <w:rsid w:val="00F22241"/>
    <w:rsid w:val="00F222D6"/>
    <w:rsid w:val="00F223FD"/>
    <w:rsid w:val="00F22490"/>
    <w:rsid w:val="00F22594"/>
    <w:rsid w:val="00F2262E"/>
    <w:rsid w:val="00F2278C"/>
    <w:rsid w:val="00F227DF"/>
    <w:rsid w:val="00F228C1"/>
    <w:rsid w:val="00F229A1"/>
    <w:rsid w:val="00F22A26"/>
    <w:rsid w:val="00F22A57"/>
    <w:rsid w:val="00F22A89"/>
    <w:rsid w:val="00F22B0D"/>
    <w:rsid w:val="00F22B19"/>
    <w:rsid w:val="00F22B2E"/>
    <w:rsid w:val="00F22B33"/>
    <w:rsid w:val="00F22BE2"/>
    <w:rsid w:val="00F22C04"/>
    <w:rsid w:val="00F22CD8"/>
    <w:rsid w:val="00F22CFA"/>
    <w:rsid w:val="00F22D48"/>
    <w:rsid w:val="00F22EC1"/>
    <w:rsid w:val="00F22FF7"/>
    <w:rsid w:val="00F23038"/>
    <w:rsid w:val="00F23147"/>
    <w:rsid w:val="00F2316E"/>
    <w:rsid w:val="00F231FA"/>
    <w:rsid w:val="00F2331D"/>
    <w:rsid w:val="00F233F7"/>
    <w:rsid w:val="00F233FE"/>
    <w:rsid w:val="00F23417"/>
    <w:rsid w:val="00F23431"/>
    <w:rsid w:val="00F235B3"/>
    <w:rsid w:val="00F2361E"/>
    <w:rsid w:val="00F23676"/>
    <w:rsid w:val="00F2369D"/>
    <w:rsid w:val="00F236AB"/>
    <w:rsid w:val="00F236B6"/>
    <w:rsid w:val="00F2372C"/>
    <w:rsid w:val="00F2377B"/>
    <w:rsid w:val="00F237C0"/>
    <w:rsid w:val="00F237C5"/>
    <w:rsid w:val="00F23898"/>
    <w:rsid w:val="00F23955"/>
    <w:rsid w:val="00F239BE"/>
    <w:rsid w:val="00F23A68"/>
    <w:rsid w:val="00F23AF5"/>
    <w:rsid w:val="00F23C3C"/>
    <w:rsid w:val="00F23C6E"/>
    <w:rsid w:val="00F23D23"/>
    <w:rsid w:val="00F23D3C"/>
    <w:rsid w:val="00F23D65"/>
    <w:rsid w:val="00F23D98"/>
    <w:rsid w:val="00F23DBE"/>
    <w:rsid w:val="00F23E1B"/>
    <w:rsid w:val="00F23E96"/>
    <w:rsid w:val="00F24034"/>
    <w:rsid w:val="00F24222"/>
    <w:rsid w:val="00F24272"/>
    <w:rsid w:val="00F24280"/>
    <w:rsid w:val="00F2433E"/>
    <w:rsid w:val="00F2435A"/>
    <w:rsid w:val="00F24389"/>
    <w:rsid w:val="00F244E7"/>
    <w:rsid w:val="00F24558"/>
    <w:rsid w:val="00F245D0"/>
    <w:rsid w:val="00F24662"/>
    <w:rsid w:val="00F246DA"/>
    <w:rsid w:val="00F247F2"/>
    <w:rsid w:val="00F247F4"/>
    <w:rsid w:val="00F24872"/>
    <w:rsid w:val="00F24A33"/>
    <w:rsid w:val="00F24A3F"/>
    <w:rsid w:val="00F24A61"/>
    <w:rsid w:val="00F24AB2"/>
    <w:rsid w:val="00F24AC8"/>
    <w:rsid w:val="00F24ACD"/>
    <w:rsid w:val="00F24CB5"/>
    <w:rsid w:val="00F24CC8"/>
    <w:rsid w:val="00F24E1F"/>
    <w:rsid w:val="00F24FC2"/>
    <w:rsid w:val="00F24FEF"/>
    <w:rsid w:val="00F24FFF"/>
    <w:rsid w:val="00F250BE"/>
    <w:rsid w:val="00F2517A"/>
    <w:rsid w:val="00F25188"/>
    <w:rsid w:val="00F251F9"/>
    <w:rsid w:val="00F25228"/>
    <w:rsid w:val="00F25229"/>
    <w:rsid w:val="00F252DA"/>
    <w:rsid w:val="00F2531D"/>
    <w:rsid w:val="00F25367"/>
    <w:rsid w:val="00F25373"/>
    <w:rsid w:val="00F25381"/>
    <w:rsid w:val="00F2542E"/>
    <w:rsid w:val="00F2547E"/>
    <w:rsid w:val="00F254E0"/>
    <w:rsid w:val="00F2553B"/>
    <w:rsid w:val="00F255B5"/>
    <w:rsid w:val="00F255C6"/>
    <w:rsid w:val="00F255D6"/>
    <w:rsid w:val="00F2560B"/>
    <w:rsid w:val="00F25652"/>
    <w:rsid w:val="00F256CC"/>
    <w:rsid w:val="00F25727"/>
    <w:rsid w:val="00F2572B"/>
    <w:rsid w:val="00F2574D"/>
    <w:rsid w:val="00F25754"/>
    <w:rsid w:val="00F2579C"/>
    <w:rsid w:val="00F257D0"/>
    <w:rsid w:val="00F25821"/>
    <w:rsid w:val="00F258C7"/>
    <w:rsid w:val="00F259AE"/>
    <w:rsid w:val="00F259E8"/>
    <w:rsid w:val="00F25A7E"/>
    <w:rsid w:val="00F25A7F"/>
    <w:rsid w:val="00F25AAD"/>
    <w:rsid w:val="00F25AC2"/>
    <w:rsid w:val="00F25B63"/>
    <w:rsid w:val="00F25DB4"/>
    <w:rsid w:val="00F25DEA"/>
    <w:rsid w:val="00F25E5B"/>
    <w:rsid w:val="00F25F95"/>
    <w:rsid w:val="00F26052"/>
    <w:rsid w:val="00F2606C"/>
    <w:rsid w:val="00F260F0"/>
    <w:rsid w:val="00F26144"/>
    <w:rsid w:val="00F26220"/>
    <w:rsid w:val="00F262DE"/>
    <w:rsid w:val="00F262E2"/>
    <w:rsid w:val="00F264EB"/>
    <w:rsid w:val="00F2661B"/>
    <w:rsid w:val="00F266B3"/>
    <w:rsid w:val="00F2671B"/>
    <w:rsid w:val="00F26827"/>
    <w:rsid w:val="00F26893"/>
    <w:rsid w:val="00F268FA"/>
    <w:rsid w:val="00F26A1E"/>
    <w:rsid w:val="00F26A60"/>
    <w:rsid w:val="00F26ABC"/>
    <w:rsid w:val="00F26BFF"/>
    <w:rsid w:val="00F26CCC"/>
    <w:rsid w:val="00F26DA5"/>
    <w:rsid w:val="00F26DAE"/>
    <w:rsid w:val="00F26EBB"/>
    <w:rsid w:val="00F26F3E"/>
    <w:rsid w:val="00F26F4F"/>
    <w:rsid w:val="00F27244"/>
    <w:rsid w:val="00F272BA"/>
    <w:rsid w:val="00F2737E"/>
    <w:rsid w:val="00F2739A"/>
    <w:rsid w:val="00F27403"/>
    <w:rsid w:val="00F27465"/>
    <w:rsid w:val="00F274FE"/>
    <w:rsid w:val="00F2750B"/>
    <w:rsid w:val="00F275C0"/>
    <w:rsid w:val="00F27636"/>
    <w:rsid w:val="00F2767A"/>
    <w:rsid w:val="00F2774A"/>
    <w:rsid w:val="00F27792"/>
    <w:rsid w:val="00F2784B"/>
    <w:rsid w:val="00F27868"/>
    <w:rsid w:val="00F27885"/>
    <w:rsid w:val="00F2789F"/>
    <w:rsid w:val="00F278E4"/>
    <w:rsid w:val="00F2792E"/>
    <w:rsid w:val="00F27A3F"/>
    <w:rsid w:val="00F27A42"/>
    <w:rsid w:val="00F27A7F"/>
    <w:rsid w:val="00F27ABC"/>
    <w:rsid w:val="00F27AD5"/>
    <w:rsid w:val="00F27BC1"/>
    <w:rsid w:val="00F27D2A"/>
    <w:rsid w:val="00F27D68"/>
    <w:rsid w:val="00F27D7C"/>
    <w:rsid w:val="00F27E8C"/>
    <w:rsid w:val="00F2F243"/>
    <w:rsid w:val="00F3002D"/>
    <w:rsid w:val="00F3004D"/>
    <w:rsid w:val="00F300AC"/>
    <w:rsid w:val="00F300F7"/>
    <w:rsid w:val="00F30108"/>
    <w:rsid w:val="00F30199"/>
    <w:rsid w:val="00F301F6"/>
    <w:rsid w:val="00F30266"/>
    <w:rsid w:val="00F302ED"/>
    <w:rsid w:val="00F303B4"/>
    <w:rsid w:val="00F303D7"/>
    <w:rsid w:val="00F3055D"/>
    <w:rsid w:val="00F3056E"/>
    <w:rsid w:val="00F306C9"/>
    <w:rsid w:val="00F307CE"/>
    <w:rsid w:val="00F309C7"/>
    <w:rsid w:val="00F309E5"/>
    <w:rsid w:val="00F30A34"/>
    <w:rsid w:val="00F30AAA"/>
    <w:rsid w:val="00F30CDC"/>
    <w:rsid w:val="00F30CE8"/>
    <w:rsid w:val="00F30CEE"/>
    <w:rsid w:val="00F30DF6"/>
    <w:rsid w:val="00F30E20"/>
    <w:rsid w:val="00F30EB3"/>
    <w:rsid w:val="00F30F49"/>
    <w:rsid w:val="00F30F86"/>
    <w:rsid w:val="00F30FD2"/>
    <w:rsid w:val="00F31003"/>
    <w:rsid w:val="00F3105E"/>
    <w:rsid w:val="00F3106B"/>
    <w:rsid w:val="00F31167"/>
    <w:rsid w:val="00F31173"/>
    <w:rsid w:val="00F3125F"/>
    <w:rsid w:val="00F312B0"/>
    <w:rsid w:val="00F312C3"/>
    <w:rsid w:val="00F31388"/>
    <w:rsid w:val="00F31489"/>
    <w:rsid w:val="00F31497"/>
    <w:rsid w:val="00F31515"/>
    <w:rsid w:val="00F31517"/>
    <w:rsid w:val="00F31595"/>
    <w:rsid w:val="00F315D5"/>
    <w:rsid w:val="00F31656"/>
    <w:rsid w:val="00F3170A"/>
    <w:rsid w:val="00F3170B"/>
    <w:rsid w:val="00F3174A"/>
    <w:rsid w:val="00F317B2"/>
    <w:rsid w:val="00F31851"/>
    <w:rsid w:val="00F3193C"/>
    <w:rsid w:val="00F319A2"/>
    <w:rsid w:val="00F319C2"/>
    <w:rsid w:val="00F31A8B"/>
    <w:rsid w:val="00F31C46"/>
    <w:rsid w:val="00F31D33"/>
    <w:rsid w:val="00F31D68"/>
    <w:rsid w:val="00F31D8A"/>
    <w:rsid w:val="00F31FDA"/>
    <w:rsid w:val="00F32045"/>
    <w:rsid w:val="00F32065"/>
    <w:rsid w:val="00F320C8"/>
    <w:rsid w:val="00F321AC"/>
    <w:rsid w:val="00F32292"/>
    <w:rsid w:val="00F322BE"/>
    <w:rsid w:val="00F322D2"/>
    <w:rsid w:val="00F322E6"/>
    <w:rsid w:val="00F3232E"/>
    <w:rsid w:val="00F3233D"/>
    <w:rsid w:val="00F32345"/>
    <w:rsid w:val="00F3236F"/>
    <w:rsid w:val="00F323AA"/>
    <w:rsid w:val="00F32404"/>
    <w:rsid w:val="00F32405"/>
    <w:rsid w:val="00F32408"/>
    <w:rsid w:val="00F3255B"/>
    <w:rsid w:val="00F325E0"/>
    <w:rsid w:val="00F32606"/>
    <w:rsid w:val="00F32699"/>
    <w:rsid w:val="00F326B9"/>
    <w:rsid w:val="00F32740"/>
    <w:rsid w:val="00F328C7"/>
    <w:rsid w:val="00F328D9"/>
    <w:rsid w:val="00F32B4C"/>
    <w:rsid w:val="00F32BCE"/>
    <w:rsid w:val="00F32BFD"/>
    <w:rsid w:val="00F32C70"/>
    <w:rsid w:val="00F32E84"/>
    <w:rsid w:val="00F32F53"/>
    <w:rsid w:val="00F33027"/>
    <w:rsid w:val="00F33056"/>
    <w:rsid w:val="00F331AA"/>
    <w:rsid w:val="00F33228"/>
    <w:rsid w:val="00F33232"/>
    <w:rsid w:val="00F333DB"/>
    <w:rsid w:val="00F333E1"/>
    <w:rsid w:val="00F334E8"/>
    <w:rsid w:val="00F334FF"/>
    <w:rsid w:val="00F3357B"/>
    <w:rsid w:val="00F335D0"/>
    <w:rsid w:val="00F335D1"/>
    <w:rsid w:val="00F33682"/>
    <w:rsid w:val="00F336AE"/>
    <w:rsid w:val="00F33825"/>
    <w:rsid w:val="00F3389B"/>
    <w:rsid w:val="00F3391A"/>
    <w:rsid w:val="00F33928"/>
    <w:rsid w:val="00F339BB"/>
    <w:rsid w:val="00F33A19"/>
    <w:rsid w:val="00F33AEB"/>
    <w:rsid w:val="00F33B33"/>
    <w:rsid w:val="00F33B6B"/>
    <w:rsid w:val="00F33BBA"/>
    <w:rsid w:val="00F33BE1"/>
    <w:rsid w:val="00F33BFF"/>
    <w:rsid w:val="00F33D01"/>
    <w:rsid w:val="00F33D15"/>
    <w:rsid w:val="00F33D27"/>
    <w:rsid w:val="00F33D6A"/>
    <w:rsid w:val="00F33D99"/>
    <w:rsid w:val="00F33E4E"/>
    <w:rsid w:val="00F33EA8"/>
    <w:rsid w:val="00F33EED"/>
    <w:rsid w:val="00F3403C"/>
    <w:rsid w:val="00F340D5"/>
    <w:rsid w:val="00F34146"/>
    <w:rsid w:val="00F341B5"/>
    <w:rsid w:val="00F34248"/>
    <w:rsid w:val="00F34333"/>
    <w:rsid w:val="00F3433D"/>
    <w:rsid w:val="00F3434D"/>
    <w:rsid w:val="00F343EA"/>
    <w:rsid w:val="00F34432"/>
    <w:rsid w:val="00F3453E"/>
    <w:rsid w:val="00F346CF"/>
    <w:rsid w:val="00F346F8"/>
    <w:rsid w:val="00F34710"/>
    <w:rsid w:val="00F347CD"/>
    <w:rsid w:val="00F34840"/>
    <w:rsid w:val="00F3487B"/>
    <w:rsid w:val="00F348AA"/>
    <w:rsid w:val="00F34972"/>
    <w:rsid w:val="00F349AF"/>
    <w:rsid w:val="00F34A46"/>
    <w:rsid w:val="00F34B4B"/>
    <w:rsid w:val="00F34BC2"/>
    <w:rsid w:val="00F34C90"/>
    <w:rsid w:val="00F34F55"/>
    <w:rsid w:val="00F34FDF"/>
    <w:rsid w:val="00F3506C"/>
    <w:rsid w:val="00F35131"/>
    <w:rsid w:val="00F3517D"/>
    <w:rsid w:val="00F35255"/>
    <w:rsid w:val="00F3539A"/>
    <w:rsid w:val="00F35476"/>
    <w:rsid w:val="00F35572"/>
    <w:rsid w:val="00F35584"/>
    <w:rsid w:val="00F3560C"/>
    <w:rsid w:val="00F356C8"/>
    <w:rsid w:val="00F356F0"/>
    <w:rsid w:val="00F35780"/>
    <w:rsid w:val="00F358CF"/>
    <w:rsid w:val="00F35933"/>
    <w:rsid w:val="00F3595D"/>
    <w:rsid w:val="00F359D5"/>
    <w:rsid w:val="00F35A5B"/>
    <w:rsid w:val="00F35BBB"/>
    <w:rsid w:val="00F35BF3"/>
    <w:rsid w:val="00F35BF4"/>
    <w:rsid w:val="00F35CC2"/>
    <w:rsid w:val="00F35E9D"/>
    <w:rsid w:val="00F35EE6"/>
    <w:rsid w:val="00F35F0C"/>
    <w:rsid w:val="00F35F2E"/>
    <w:rsid w:val="00F36034"/>
    <w:rsid w:val="00F36062"/>
    <w:rsid w:val="00F360D0"/>
    <w:rsid w:val="00F3613E"/>
    <w:rsid w:val="00F36202"/>
    <w:rsid w:val="00F36262"/>
    <w:rsid w:val="00F3629A"/>
    <w:rsid w:val="00F362A0"/>
    <w:rsid w:val="00F362A8"/>
    <w:rsid w:val="00F363A4"/>
    <w:rsid w:val="00F3651B"/>
    <w:rsid w:val="00F36554"/>
    <w:rsid w:val="00F365BF"/>
    <w:rsid w:val="00F3684F"/>
    <w:rsid w:val="00F368EA"/>
    <w:rsid w:val="00F36989"/>
    <w:rsid w:val="00F369AD"/>
    <w:rsid w:val="00F369D3"/>
    <w:rsid w:val="00F36AF9"/>
    <w:rsid w:val="00F36B75"/>
    <w:rsid w:val="00F36BAD"/>
    <w:rsid w:val="00F36C03"/>
    <w:rsid w:val="00F36CBD"/>
    <w:rsid w:val="00F36DDA"/>
    <w:rsid w:val="00F36E52"/>
    <w:rsid w:val="00F36FD0"/>
    <w:rsid w:val="00F36FDC"/>
    <w:rsid w:val="00F3701B"/>
    <w:rsid w:val="00F370EB"/>
    <w:rsid w:val="00F3718D"/>
    <w:rsid w:val="00F371B1"/>
    <w:rsid w:val="00F371B7"/>
    <w:rsid w:val="00F371C0"/>
    <w:rsid w:val="00F373A1"/>
    <w:rsid w:val="00F373BD"/>
    <w:rsid w:val="00F373F7"/>
    <w:rsid w:val="00F37471"/>
    <w:rsid w:val="00F3748E"/>
    <w:rsid w:val="00F374BC"/>
    <w:rsid w:val="00F3757B"/>
    <w:rsid w:val="00F375A0"/>
    <w:rsid w:val="00F375B6"/>
    <w:rsid w:val="00F37600"/>
    <w:rsid w:val="00F37929"/>
    <w:rsid w:val="00F3793E"/>
    <w:rsid w:val="00F37970"/>
    <w:rsid w:val="00F3797A"/>
    <w:rsid w:val="00F37AEB"/>
    <w:rsid w:val="00F37B10"/>
    <w:rsid w:val="00F37B4A"/>
    <w:rsid w:val="00F37BBA"/>
    <w:rsid w:val="00F37D59"/>
    <w:rsid w:val="00F37D64"/>
    <w:rsid w:val="00F37DBE"/>
    <w:rsid w:val="00F37E17"/>
    <w:rsid w:val="00F37EE1"/>
    <w:rsid w:val="00F37EF5"/>
    <w:rsid w:val="00F37F05"/>
    <w:rsid w:val="00F37F51"/>
    <w:rsid w:val="00F40033"/>
    <w:rsid w:val="00F40048"/>
    <w:rsid w:val="00F402B9"/>
    <w:rsid w:val="00F402DC"/>
    <w:rsid w:val="00F4033A"/>
    <w:rsid w:val="00F40374"/>
    <w:rsid w:val="00F403F5"/>
    <w:rsid w:val="00F4041B"/>
    <w:rsid w:val="00F4046E"/>
    <w:rsid w:val="00F40478"/>
    <w:rsid w:val="00F4048B"/>
    <w:rsid w:val="00F404CF"/>
    <w:rsid w:val="00F40500"/>
    <w:rsid w:val="00F405BA"/>
    <w:rsid w:val="00F405F3"/>
    <w:rsid w:val="00F405FF"/>
    <w:rsid w:val="00F40683"/>
    <w:rsid w:val="00F406BA"/>
    <w:rsid w:val="00F406FD"/>
    <w:rsid w:val="00F407C6"/>
    <w:rsid w:val="00F40888"/>
    <w:rsid w:val="00F4092C"/>
    <w:rsid w:val="00F4097A"/>
    <w:rsid w:val="00F4098A"/>
    <w:rsid w:val="00F409CA"/>
    <w:rsid w:val="00F40A96"/>
    <w:rsid w:val="00F40CC5"/>
    <w:rsid w:val="00F40DBA"/>
    <w:rsid w:val="00F40E1E"/>
    <w:rsid w:val="00F40E30"/>
    <w:rsid w:val="00F40E68"/>
    <w:rsid w:val="00F40F0D"/>
    <w:rsid w:val="00F40F15"/>
    <w:rsid w:val="00F40F82"/>
    <w:rsid w:val="00F40F86"/>
    <w:rsid w:val="00F40FAC"/>
    <w:rsid w:val="00F4101A"/>
    <w:rsid w:val="00F410A2"/>
    <w:rsid w:val="00F411CA"/>
    <w:rsid w:val="00F41244"/>
    <w:rsid w:val="00F412C0"/>
    <w:rsid w:val="00F415B0"/>
    <w:rsid w:val="00F4164D"/>
    <w:rsid w:val="00F416A1"/>
    <w:rsid w:val="00F4182C"/>
    <w:rsid w:val="00F418E5"/>
    <w:rsid w:val="00F41914"/>
    <w:rsid w:val="00F41976"/>
    <w:rsid w:val="00F4197E"/>
    <w:rsid w:val="00F41A00"/>
    <w:rsid w:val="00F41A5B"/>
    <w:rsid w:val="00F41A5F"/>
    <w:rsid w:val="00F41B0B"/>
    <w:rsid w:val="00F41B84"/>
    <w:rsid w:val="00F41BD9"/>
    <w:rsid w:val="00F41BDF"/>
    <w:rsid w:val="00F41CC0"/>
    <w:rsid w:val="00F41DA0"/>
    <w:rsid w:val="00F41DB2"/>
    <w:rsid w:val="00F41E47"/>
    <w:rsid w:val="00F41EAC"/>
    <w:rsid w:val="00F41FC4"/>
    <w:rsid w:val="00F42004"/>
    <w:rsid w:val="00F42067"/>
    <w:rsid w:val="00F4210A"/>
    <w:rsid w:val="00F421DC"/>
    <w:rsid w:val="00F42248"/>
    <w:rsid w:val="00F422A5"/>
    <w:rsid w:val="00F42301"/>
    <w:rsid w:val="00F423BD"/>
    <w:rsid w:val="00F42417"/>
    <w:rsid w:val="00F42460"/>
    <w:rsid w:val="00F4246E"/>
    <w:rsid w:val="00F42472"/>
    <w:rsid w:val="00F424EC"/>
    <w:rsid w:val="00F425BC"/>
    <w:rsid w:val="00F425C2"/>
    <w:rsid w:val="00F425DE"/>
    <w:rsid w:val="00F426D6"/>
    <w:rsid w:val="00F4274B"/>
    <w:rsid w:val="00F42774"/>
    <w:rsid w:val="00F42785"/>
    <w:rsid w:val="00F42787"/>
    <w:rsid w:val="00F427CA"/>
    <w:rsid w:val="00F42813"/>
    <w:rsid w:val="00F4281B"/>
    <w:rsid w:val="00F42882"/>
    <w:rsid w:val="00F4289D"/>
    <w:rsid w:val="00F428BB"/>
    <w:rsid w:val="00F428D3"/>
    <w:rsid w:val="00F42913"/>
    <w:rsid w:val="00F42942"/>
    <w:rsid w:val="00F4298D"/>
    <w:rsid w:val="00F42ACC"/>
    <w:rsid w:val="00F42AD2"/>
    <w:rsid w:val="00F42B76"/>
    <w:rsid w:val="00F42BA4"/>
    <w:rsid w:val="00F42BC3"/>
    <w:rsid w:val="00F42BC7"/>
    <w:rsid w:val="00F42D22"/>
    <w:rsid w:val="00F42E44"/>
    <w:rsid w:val="00F42EFC"/>
    <w:rsid w:val="00F42F40"/>
    <w:rsid w:val="00F42F65"/>
    <w:rsid w:val="00F42FA6"/>
    <w:rsid w:val="00F4304F"/>
    <w:rsid w:val="00F43056"/>
    <w:rsid w:val="00F430DD"/>
    <w:rsid w:val="00F43104"/>
    <w:rsid w:val="00F4318D"/>
    <w:rsid w:val="00F43314"/>
    <w:rsid w:val="00F43325"/>
    <w:rsid w:val="00F43348"/>
    <w:rsid w:val="00F434A0"/>
    <w:rsid w:val="00F435A6"/>
    <w:rsid w:val="00F435B6"/>
    <w:rsid w:val="00F43674"/>
    <w:rsid w:val="00F436C6"/>
    <w:rsid w:val="00F4370D"/>
    <w:rsid w:val="00F43725"/>
    <w:rsid w:val="00F43747"/>
    <w:rsid w:val="00F43759"/>
    <w:rsid w:val="00F437E3"/>
    <w:rsid w:val="00F43813"/>
    <w:rsid w:val="00F438AE"/>
    <w:rsid w:val="00F439AF"/>
    <w:rsid w:val="00F439C7"/>
    <w:rsid w:val="00F43A8C"/>
    <w:rsid w:val="00F43B00"/>
    <w:rsid w:val="00F43B07"/>
    <w:rsid w:val="00F43BA9"/>
    <w:rsid w:val="00F43BCB"/>
    <w:rsid w:val="00F43C67"/>
    <w:rsid w:val="00F43CA6"/>
    <w:rsid w:val="00F43D66"/>
    <w:rsid w:val="00F43DF6"/>
    <w:rsid w:val="00F43E7C"/>
    <w:rsid w:val="00F43EFD"/>
    <w:rsid w:val="00F43FE2"/>
    <w:rsid w:val="00F43FF6"/>
    <w:rsid w:val="00F44015"/>
    <w:rsid w:val="00F44094"/>
    <w:rsid w:val="00F441A7"/>
    <w:rsid w:val="00F441CE"/>
    <w:rsid w:val="00F441D6"/>
    <w:rsid w:val="00F44302"/>
    <w:rsid w:val="00F44368"/>
    <w:rsid w:val="00F44371"/>
    <w:rsid w:val="00F44395"/>
    <w:rsid w:val="00F443D3"/>
    <w:rsid w:val="00F44510"/>
    <w:rsid w:val="00F445D4"/>
    <w:rsid w:val="00F44608"/>
    <w:rsid w:val="00F446F6"/>
    <w:rsid w:val="00F448BF"/>
    <w:rsid w:val="00F448E0"/>
    <w:rsid w:val="00F44923"/>
    <w:rsid w:val="00F44A75"/>
    <w:rsid w:val="00F44AA8"/>
    <w:rsid w:val="00F44AC5"/>
    <w:rsid w:val="00F44B17"/>
    <w:rsid w:val="00F44BCB"/>
    <w:rsid w:val="00F44BEB"/>
    <w:rsid w:val="00F44C1E"/>
    <w:rsid w:val="00F44C49"/>
    <w:rsid w:val="00F44CA4"/>
    <w:rsid w:val="00F44CC0"/>
    <w:rsid w:val="00F44D41"/>
    <w:rsid w:val="00F44D80"/>
    <w:rsid w:val="00F44E63"/>
    <w:rsid w:val="00F44F46"/>
    <w:rsid w:val="00F44F83"/>
    <w:rsid w:val="00F44F85"/>
    <w:rsid w:val="00F44F93"/>
    <w:rsid w:val="00F44FDE"/>
    <w:rsid w:val="00F45012"/>
    <w:rsid w:val="00F4504E"/>
    <w:rsid w:val="00F4508D"/>
    <w:rsid w:val="00F45098"/>
    <w:rsid w:val="00F450C3"/>
    <w:rsid w:val="00F451CF"/>
    <w:rsid w:val="00F45209"/>
    <w:rsid w:val="00F4521B"/>
    <w:rsid w:val="00F45239"/>
    <w:rsid w:val="00F45268"/>
    <w:rsid w:val="00F45284"/>
    <w:rsid w:val="00F452D0"/>
    <w:rsid w:val="00F45317"/>
    <w:rsid w:val="00F453D6"/>
    <w:rsid w:val="00F45402"/>
    <w:rsid w:val="00F455E1"/>
    <w:rsid w:val="00F455E4"/>
    <w:rsid w:val="00F45652"/>
    <w:rsid w:val="00F45694"/>
    <w:rsid w:val="00F457EE"/>
    <w:rsid w:val="00F458CD"/>
    <w:rsid w:val="00F459C3"/>
    <w:rsid w:val="00F45A07"/>
    <w:rsid w:val="00F45AF5"/>
    <w:rsid w:val="00F45C15"/>
    <w:rsid w:val="00F45C19"/>
    <w:rsid w:val="00F45CA8"/>
    <w:rsid w:val="00F45DD5"/>
    <w:rsid w:val="00F45DE0"/>
    <w:rsid w:val="00F45F80"/>
    <w:rsid w:val="00F45FFD"/>
    <w:rsid w:val="00F46008"/>
    <w:rsid w:val="00F460F7"/>
    <w:rsid w:val="00F46128"/>
    <w:rsid w:val="00F46173"/>
    <w:rsid w:val="00F461C2"/>
    <w:rsid w:val="00F461E2"/>
    <w:rsid w:val="00F4640A"/>
    <w:rsid w:val="00F4642D"/>
    <w:rsid w:val="00F46480"/>
    <w:rsid w:val="00F464CF"/>
    <w:rsid w:val="00F465BF"/>
    <w:rsid w:val="00F465F9"/>
    <w:rsid w:val="00F466F9"/>
    <w:rsid w:val="00F467EC"/>
    <w:rsid w:val="00F467FB"/>
    <w:rsid w:val="00F46851"/>
    <w:rsid w:val="00F46973"/>
    <w:rsid w:val="00F469A0"/>
    <w:rsid w:val="00F46AC1"/>
    <w:rsid w:val="00F46C7B"/>
    <w:rsid w:val="00F46C99"/>
    <w:rsid w:val="00F46D5E"/>
    <w:rsid w:val="00F46DB3"/>
    <w:rsid w:val="00F46DDD"/>
    <w:rsid w:val="00F46DEF"/>
    <w:rsid w:val="00F46E00"/>
    <w:rsid w:val="00F46E16"/>
    <w:rsid w:val="00F46E22"/>
    <w:rsid w:val="00F46E97"/>
    <w:rsid w:val="00F47076"/>
    <w:rsid w:val="00F4718C"/>
    <w:rsid w:val="00F47220"/>
    <w:rsid w:val="00F47226"/>
    <w:rsid w:val="00F472B4"/>
    <w:rsid w:val="00F472F1"/>
    <w:rsid w:val="00F473C5"/>
    <w:rsid w:val="00F473FA"/>
    <w:rsid w:val="00F47512"/>
    <w:rsid w:val="00F47547"/>
    <w:rsid w:val="00F4766D"/>
    <w:rsid w:val="00F47709"/>
    <w:rsid w:val="00F4774E"/>
    <w:rsid w:val="00F4777C"/>
    <w:rsid w:val="00F47812"/>
    <w:rsid w:val="00F47839"/>
    <w:rsid w:val="00F47850"/>
    <w:rsid w:val="00F4789D"/>
    <w:rsid w:val="00F478EB"/>
    <w:rsid w:val="00F47A46"/>
    <w:rsid w:val="00F47A73"/>
    <w:rsid w:val="00F47B0F"/>
    <w:rsid w:val="00F47B5E"/>
    <w:rsid w:val="00F47C18"/>
    <w:rsid w:val="00F47C28"/>
    <w:rsid w:val="00F47C81"/>
    <w:rsid w:val="00F47DD5"/>
    <w:rsid w:val="00F47E2A"/>
    <w:rsid w:val="00F47E45"/>
    <w:rsid w:val="00F47E54"/>
    <w:rsid w:val="00F47E69"/>
    <w:rsid w:val="00F47F6D"/>
    <w:rsid w:val="00F47F8B"/>
    <w:rsid w:val="00F47FF5"/>
    <w:rsid w:val="00F4E509"/>
    <w:rsid w:val="00F501BB"/>
    <w:rsid w:val="00F50268"/>
    <w:rsid w:val="00F50360"/>
    <w:rsid w:val="00F503E4"/>
    <w:rsid w:val="00F5043D"/>
    <w:rsid w:val="00F504FF"/>
    <w:rsid w:val="00F5063A"/>
    <w:rsid w:val="00F50700"/>
    <w:rsid w:val="00F5072E"/>
    <w:rsid w:val="00F507B2"/>
    <w:rsid w:val="00F50816"/>
    <w:rsid w:val="00F5087C"/>
    <w:rsid w:val="00F50889"/>
    <w:rsid w:val="00F5088D"/>
    <w:rsid w:val="00F508F8"/>
    <w:rsid w:val="00F50952"/>
    <w:rsid w:val="00F50957"/>
    <w:rsid w:val="00F509AD"/>
    <w:rsid w:val="00F50A20"/>
    <w:rsid w:val="00F50A27"/>
    <w:rsid w:val="00F50B63"/>
    <w:rsid w:val="00F50BF2"/>
    <w:rsid w:val="00F50C25"/>
    <w:rsid w:val="00F50D02"/>
    <w:rsid w:val="00F50D88"/>
    <w:rsid w:val="00F50E75"/>
    <w:rsid w:val="00F50F15"/>
    <w:rsid w:val="00F50F4B"/>
    <w:rsid w:val="00F50F4D"/>
    <w:rsid w:val="00F51008"/>
    <w:rsid w:val="00F510A4"/>
    <w:rsid w:val="00F51118"/>
    <w:rsid w:val="00F511B3"/>
    <w:rsid w:val="00F511B9"/>
    <w:rsid w:val="00F511BF"/>
    <w:rsid w:val="00F51221"/>
    <w:rsid w:val="00F51244"/>
    <w:rsid w:val="00F512BE"/>
    <w:rsid w:val="00F512F7"/>
    <w:rsid w:val="00F51516"/>
    <w:rsid w:val="00F5175B"/>
    <w:rsid w:val="00F517AB"/>
    <w:rsid w:val="00F51812"/>
    <w:rsid w:val="00F51821"/>
    <w:rsid w:val="00F5185B"/>
    <w:rsid w:val="00F518DC"/>
    <w:rsid w:val="00F519CB"/>
    <w:rsid w:val="00F519F4"/>
    <w:rsid w:val="00F51A09"/>
    <w:rsid w:val="00F51A32"/>
    <w:rsid w:val="00F51A48"/>
    <w:rsid w:val="00F51A53"/>
    <w:rsid w:val="00F51B3B"/>
    <w:rsid w:val="00F51BC3"/>
    <w:rsid w:val="00F51C1E"/>
    <w:rsid w:val="00F51D03"/>
    <w:rsid w:val="00F51D46"/>
    <w:rsid w:val="00F51E6F"/>
    <w:rsid w:val="00F51E8E"/>
    <w:rsid w:val="00F51E90"/>
    <w:rsid w:val="00F51F1A"/>
    <w:rsid w:val="00F51F30"/>
    <w:rsid w:val="00F52002"/>
    <w:rsid w:val="00F5201B"/>
    <w:rsid w:val="00F52048"/>
    <w:rsid w:val="00F5205D"/>
    <w:rsid w:val="00F52063"/>
    <w:rsid w:val="00F520D9"/>
    <w:rsid w:val="00F52185"/>
    <w:rsid w:val="00F5224D"/>
    <w:rsid w:val="00F52250"/>
    <w:rsid w:val="00F5231B"/>
    <w:rsid w:val="00F52337"/>
    <w:rsid w:val="00F523AF"/>
    <w:rsid w:val="00F523B1"/>
    <w:rsid w:val="00F52531"/>
    <w:rsid w:val="00F52581"/>
    <w:rsid w:val="00F525F5"/>
    <w:rsid w:val="00F5260A"/>
    <w:rsid w:val="00F5261A"/>
    <w:rsid w:val="00F5261B"/>
    <w:rsid w:val="00F5268A"/>
    <w:rsid w:val="00F52723"/>
    <w:rsid w:val="00F52774"/>
    <w:rsid w:val="00F527CF"/>
    <w:rsid w:val="00F527EF"/>
    <w:rsid w:val="00F52828"/>
    <w:rsid w:val="00F5282B"/>
    <w:rsid w:val="00F52910"/>
    <w:rsid w:val="00F5291C"/>
    <w:rsid w:val="00F529C3"/>
    <w:rsid w:val="00F52AA2"/>
    <w:rsid w:val="00F52C2C"/>
    <w:rsid w:val="00F52C56"/>
    <w:rsid w:val="00F52C91"/>
    <w:rsid w:val="00F52C9F"/>
    <w:rsid w:val="00F52CFB"/>
    <w:rsid w:val="00F52D23"/>
    <w:rsid w:val="00F52DE4"/>
    <w:rsid w:val="00F52E76"/>
    <w:rsid w:val="00F52EA3"/>
    <w:rsid w:val="00F52F06"/>
    <w:rsid w:val="00F52F91"/>
    <w:rsid w:val="00F5313C"/>
    <w:rsid w:val="00F532AE"/>
    <w:rsid w:val="00F532E5"/>
    <w:rsid w:val="00F5333F"/>
    <w:rsid w:val="00F5349F"/>
    <w:rsid w:val="00F534AC"/>
    <w:rsid w:val="00F53524"/>
    <w:rsid w:val="00F5352F"/>
    <w:rsid w:val="00F535E6"/>
    <w:rsid w:val="00F53606"/>
    <w:rsid w:val="00F536B7"/>
    <w:rsid w:val="00F536CB"/>
    <w:rsid w:val="00F536DA"/>
    <w:rsid w:val="00F5371C"/>
    <w:rsid w:val="00F53748"/>
    <w:rsid w:val="00F537DC"/>
    <w:rsid w:val="00F5380C"/>
    <w:rsid w:val="00F538D0"/>
    <w:rsid w:val="00F538FF"/>
    <w:rsid w:val="00F53977"/>
    <w:rsid w:val="00F5398E"/>
    <w:rsid w:val="00F539D5"/>
    <w:rsid w:val="00F53A7E"/>
    <w:rsid w:val="00F53A9B"/>
    <w:rsid w:val="00F53ABB"/>
    <w:rsid w:val="00F53AF1"/>
    <w:rsid w:val="00F53B84"/>
    <w:rsid w:val="00F53C88"/>
    <w:rsid w:val="00F53C8C"/>
    <w:rsid w:val="00F53D02"/>
    <w:rsid w:val="00F53DB6"/>
    <w:rsid w:val="00F53E0D"/>
    <w:rsid w:val="00F53EA7"/>
    <w:rsid w:val="00F53EAF"/>
    <w:rsid w:val="00F53FA8"/>
    <w:rsid w:val="00F5407E"/>
    <w:rsid w:val="00F540A5"/>
    <w:rsid w:val="00F540C9"/>
    <w:rsid w:val="00F54141"/>
    <w:rsid w:val="00F54159"/>
    <w:rsid w:val="00F541B2"/>
    <w:rsid w:val="00F542FC"/>
    <w:rsid w:val="00F54316"/>
    <w:rsid w:val="00F5442C"/>
    <w:rsid w:val="00F544B7"/>
    <w:rsid w:val="00F5461E"/>
    <w:rsid w:val="00F546E7"/>
    <w:rsid w:val="00F54843"/>
    <w:rsid w:val="00F54871"/>
    <w:rsid w:val="00F5490E"/>
    <w:rsid w:val="00F54A41"/>
    <w:rsid w:val="00F54AB1"/>
    <w:rsid w:val="00F54AC9"/>
    <w:rsid w:val="00F54AFD"/>
    <w:rsid w:val="00F54B2E"/>
    <w:rsid w:val="00F54B4F"/>
    <w:rsid w:val="00F54C3B"/>
    <w:rsid w:val="00F54C56"/>
    <w:rsid w:val="00F54C7D"/>
    <w:rsid w:val="00F54CC4"/>
    <w:rsid w:val="00F54CC5"/>
    <w:rsid w:val="00F54D56"/>
    <w:rsid w:val="00F54DA8"/>
    <w:rsid w:val="00F54DF3"/>
    <w:rsid w:val="00F54F69"/>
    <w:rsid w:val="00F54FA1"/>
    <w:rsid w:val="00F54FE5"/>
    <w:rsid w:val="00F55077"/>
    <w:rsid w:val="00F55276"/>
    <w:rsid w:val="00F552BF"/>
    <w:rsid w:val="00F552D8"/>
    <w:rsid w:val="00F554B7"/>
    <w:rsid w:val="00F55564"/>
    <w:rsid w:val="00F55590"/>
    <w:rsid w:val="00F555F7"/>
    <w:rsid w:val="00F5564E"/>
    <w:rsid w:val="00F556EA"/>
    <w:rsid w:val="00F5571D"/>
    <w:rsid w:val="00F5573E"/>
    <w:rsid w:val="00F5579A"/>
    <w:rsid w:val="00F5592D"/>
    <w:rsid w:val="00F559FB"/>
    <w:rsid w:val="00F55A08"/>
    <w:rsid w:val="00F55A96"/>
    <w:rsid w:val="00F55AC8"/>
    <w:rsid w:val="00F55ADF"/>
    <w:rsid w:val="00F55AF7"/>
    <w:rsid w:val="00F55B88"/>
    <w:rsid w:val="00F55B90"/>
    <w:rsid w:val="00F55C40"/>
    <w:rsid w:val="00F55C9F"/>
    <w:rsid w:val="00F55CC7"/>
    <w:rsid w:val="00F55D97"/>
    <w:rsid w:val="00F55EAB"/>
    <w:rsid w:val="00F55EB2"/>
    <w:rsid w:val="00F55F9E"/>
    <w:rsid w:val="00F56099"/>
    <w:rsid w:val="00F5614E"/>
    <w:rsid w:val="00F5614F"/>
    <w:rsid w:val="00F56254"/>
    <w:rsid w:val="00F5627B"/>
    <w:rsid w:val="00F562BD"/>
    <w:rsid w:val="00F56386"/>
    <w:rsid w:val="00F564E5"/>
    <w:rsid w:val="00F56613"/>
    <w:rsid w:val="00F5666A"/>
    <w:rsid w:val="00F56687"/>
    <w:rsid w:val="00F566EB"/>
    <w:rsid w:val="00F56704"/>
    <w:rsid w:val="00F568D5"/>
    <w:rsid w:val="00F568DE"/>
    <w:rsid w:val="00F568FD"/>
    <w:rsid w:val="00F568FF"/>
    <w:rsid w:val="00F56956"/>
    <w:rsid w:val="00F56A00"/>
    <w:rsid w:val="00F56B37"/>
    <w:rsid w:val="00F56B9F"/>
    <w:rsid w:val="00F56C5D"/>
    <w:rsid w:val="00F56D10"/>
    <w:rsid w:val="00F56D15"/>
    <w:rsid w:val="00F56DD1"/>
    <w:rsid w:val="00F56F03"/>
    <w:rsid w:val="00F56F3E"/>
    <w:rsid w:val="00F56F57"/>
    <w:rsid w:val="00F56FAE"/>
    <w:rsid w:val="00F570B7"/>
    <w:rsid w:val="00F57150"/>
    <w:rsid w:val="00F571F7"/>
    <w:rsid w:val="00F57222"/>
    <w:rsid w:val="00F57248"/>
    <w:rsid w:val="00F572EF"/>
    <w:rsid w:val="00F57367"/>
    <w:rsid w:val="00F573B2"/>
    <w:rsid w:val="00F5744B"/>
    <w:rsid w:val="00F574FB"/>
    <w:rsid w:val="00F5752D"/>
    <w:rsid w:val="00F575AD"/>
    <w:rsid w:val="00F5764D"/>
    <w:rsid w:val="00F5771C"/>
    <w:rsid w:val="00F577EE"/>
    <w:rsid w:val="00F5789B"/>
    <w:rsid w:val="00F579D9"/>
    <w:rsid w:val="00F57A87"/>
    <w:rsid w:val="00F57A89"/>
    <w:rsid w:val="00F57AE8"/>
    <w:rsid w:val="00F57BF7"/>
    <w:rsid w:val="00F57C20"/>
    <w:rsid w:val="00F57C31"/>
    <w:rsid w:val="00F57D6E"/>
    <w:rsid w:val="00F57E4C"/>
    <w:rsid w:val="00F57EE2"/>
    <w:rsid w:val="00F57F01"/>
    <w:rsid w:val="00F57F2B"/>
    <w:rsid w:val="00F60051"/>
    <w:rsid w:val="00F6008C"/>
    <w:rsid w:val="00F60157"/>
    <w:rsid w:val="00F601E4"/>
    <w:rsid w:val="00F60236"/>
    <w:rsid w:val="00F60243"/>
    <w:rsid w:val="00F60261"/>
    <w:rsid w:val="00F60271"/>
    <w:rsid w:val="00F60328"/>
    <w:rsid w:val="00F6035C"/>
    <w:rsid w:val="00F6038B"/>
    <w:rsid w:val="00F60421"/>
    <w:rsid w:val="00F60492"/>
    <w:rsid w:val="00F604EA"/>
    <w:rsid w:val="00F60608"/>
    <w:rsid w:val="00F60631"/>
    <w:rsid w:val="00F6074D"/>
    <w:rsid w:val="00F60770"/>
    <w:rsid w:val="00F607F8"/>
    <w:rsid w:val="00F6081B"/>
    <w:rsid w:val="00F6089F"/>
    <w:rsid w:val="00F60934"/>
    <w:rsid w:val="00F60988"/>
    <w:rsid w:val="00F60AA8"/>
    <w:rsid w:val="00F60BA0"/>
    <w:rsid w:val="00F60BBA"/>
    <w:rsid w:val="00F60C47"/>
    <w:rsid w:val="00F60C4A"/>
    <w:rsid w:val="00F60D1E"/>
    <w:rsid w:val="00F60D2D"/>
    <w:rsid w:val="00F60E99"/>
    <w:rsid w:val="00F60F3B"/>
    <w:rsid w:val="00F60FFD"/>
    <w:rsid w:val="00F61010"/>
    <w:rsid w:val="00F61029"/>
    <w:rsid w:val="00F610C7"/>
    <w:rsid w:val="00F6110A"/>
    <w:rsid w:val="00F611C1"/>
    <w:rsid w:val="00F611C4"/>
    <w:rsid w:val="00F611EF"/>
    <w:rsid w:val="00F6140E"/>
    <w:rsid w:val="00F61418"/>
    <w:rsid w:val="00F61453"/>
    <w:rsid w:val="00F61461"/>
    <w:rsid w:val="00F614B0"/>
    <w:rsid w:val="00F615E9"/>
    <w:rsid w:val="00F61728"/>
    <w:rsid w:val="00F617C5"/>
    <w:rsid w:val="00F617FB"/>
    <w:rsid w:val="00F61803"/>
    <w:rsid w:val="00F6181A"/>
    <w:rsid w:val="00F61856"/>
    <w:rsid w:val="00F6186A"/>
    <w:rsid w:val="00F61934"/>
    <w:rsid w:val="00F61937"/>
    <w:rsid w:val="00F61978"/>
    <w:rsid w:val="00F61A6C"/>
    <w:rsid w:val="00F61AC9"/>
    <w:rsid w:val="00F61BB4"/>
    <w:rsid w:val="00F61C9F"/>
    <w:rsid w:val="00F61DBD"/>
    <w:rsid w:val="00F61E23"/>
    <w:rsid w:val="00F61E5D"/>
    <w:rsid w:val="00F61E66"/>
    <w:rsid w:val="00F61F1F"/>
    <w:rsid w:val="00F61F64"/>
    <w:rsid w:val="00F61FAC"/>
    <w:rsid w:val="00F6216F"/>
    <w:rsid w:val="00F62266"/>
    <w:rsid w:val="00F6232C"/>
    <w:rsid w:val="00F623C6"/>
    <w:rsid w:val="00F62408"/>
    <w:rsid w:val="00F62638"/>
    <w:rsid w:val="00F62666"/>
    <w:rsid w:val="00F626BE"/>
    <w:rsid w:val="00F626FB"/>
    <w:rsid w:val="00F6270D"/>
    <w:rsid w:val="00F62722"/>
    <w:rsid w:val="00F628E9"/>
    <w:rsid w:val="00F628EE"/>
    <w:rsid w:val="00F6294A"/>
    <w:rsid w:val="00F6298F"/>
    <w:rsid w:val="00F629EF"/>
    <w:rsid w:val="00F62A0C"/>
    <w:rsid w:val="00F62B7E"/>
    <w:rsid w:val="00F62C3D"/>
    <w:rsid w:val="00F62C75"/>
    <w:rsid w:val="00F62CA0"/>
    <w:rsid w:val="00F62CFC"/>
    <w:rsid w:val="00F62DCF"/>
    <w:rsid w:val="00F62DED"/>
    <w:rsid w:val="00F62E31"/>
    <w:rsid w:val="00F6302D"/>
    <w:rsid w:val="00F63033"/>
    <w:rsid w:val="00F63116"/>
    <w:rsid w:val="00F63331"/>
    <w:rsid w:val="00F63348"/>
    <w:rsid w:val="00F63392"/>
    <w:rsid w:val="00F63499"/>
    <w:rsid w:val="00F6352F"/>
    <w:rsid w:val="00F63549"/>
    <w:rsid w:val="00F635DA"/>
    <w:rsid w:val="00F63683"/>
    <w:rsid w:val="00F63698"/>
    <w:rsid w:val="00F636E8"/>
    <w:rsid w:val="00F63745"/>
    <w:rsid w:val="00F637D7"/>
    <w:rsid w:val="00F6383D"/>
    <w:rsid w:val="00F6389E"/>
    <w:rsid w:val="00F638A4"/>
    <w:rsid w:val="00F638E8"/>
    <w:rsid w:val="00F63A6F"/>
    <w:rsid w:val="00F63AB6"/>
    <w:rsid w:val="00F63B44"/>
    <w:rsid w:val="00F63C2D"/>
    <w:rsid w:val="00F63C4C"/>
    <w:rsid w:val="00F63E84"/>
    <w:rsid w:val="00F63F06"/>
    <w:rsid w:val="00F63FB4"/>
    <w:rsid w:val="00F64049"/>
    <w:rsid w:val="00F64066"/>
    <w:rsid w:val="00F64125"/>
    <w:rsid w:val="00F6412D"/>
    <w:rsid w:val="00F6414E"/>
    <w:rsid w:val="00F641A2"/>
    <w:rsid w:val="00F641DA"/>
    <w:rsid w:val="00F64211"/>
    <w:rsid w:val="00F642DE"/>
    <w:rsid w:val="00F6436E"/>
    <w:rsid w:val="00F6442B"/>
    <w:rsid w:val="00F64454"/>
    <w:rsid w:val="00F644BD"/>
    <w:rsid w:val="00F64532"/>
    <w:rsid w:val="00F6456A"/>
    <w:rsid w:val="00F645AF"/>
    <w:rsid w:val="00F64780"/>
    <w:rsid w:val="00F64782"/>
    <w:rsid w:val="00F6482C"/>
    <w:rsid w:val="00F6486A"/>
    <w:rsid w:val="00F64908"/>
    <w:rsid w:val="00F64AB0"/>
    <w:rsid w:val="00F64B59"/>
    <w:rsid w:val="00F64B87"/>
    <w:rsid w:val="00F64B89"/>
    <w:rsid w:val="00F64C12"/>
    <w:rsid w:val="00F64C32"/>
    <w:rsid w:val="00F64C8C"/>
    <w:rsid w:val="00F64D64"/>
    <w:rsid w:val="00F64D8D"/>
    <w:rsid w:val="00F64DE4"/>
    <w:rsid w:val="00F64EAA"/>
    <w:rsid w:val="00F64F2C"/>
    <w:rsid w:val="00F64F89"/>
    <w:rsid w:val="00F64FE7"/>
    <w:rsid w:val="00F6506A"/>
    <w:rsid w:val="00F652B4"/>
    <w:rsid w:val="00F65314"/>
    <w:rsid w:val="00F6534E"/>
    <w:rsid w:val="00F653A5"/>
    <w:rsid w:val="00F653DB"/>
    <w:rsid w:val="00F653F9"/>
    <w:rsid w:val="00F65456"/>
    <w:rsid w:val="00F654B0"/>
    <w:rsid w:val="00F654B9"/>
    <w:rsid w:val="00F65524"/>
    <w:rsid w:val="00F6561E"/>
    <w:rsid w:val="00F6565E"/>
    <w:rsid w:val="00F65721"/>
    <w:rsid w:val="00F65734"/>
    <w:rsid w:val="00F657BA"/>
    <w:rsid w:val="00F657CF"/>
    <w:rsid w:val="00F65811"/>
    <w:rsid w:val="00F6582A"/>
    <w:rsid w:val="00F6596C"/>
    <w:rsid w:val="00F659A6"/>
    <w:rsid w:val="00F659BA"/>
    <w:rsid w:val="00F659E4"/>
    <w:rsid w:val="00F65A5E"/>
    <w:rsid w:val="00F65B41"/>
    <w:rsid w:val="00F65B42"/>
    <w:rsid w:val="00F65BE3"/>
    <w:rsid w:val="00F65D48"/>
    <w:rsid w:val="00F65D60"/>
    <w:rsid w:val="00F65D64"/>
    <w:rsid w:val="00F65DB1"/>
    <w:rsid w:val="00F6604C"/>
    <w:rsid w:val="00F66162"/>
    <w:rsid w:val="00F661C2"/>
    <w:rsid w:val="00F66213"/>
    <w:rsid w:val="00F66287"/>
    <w:rsid w:val="00F66295"/>
    <w:rsid w:val="00F662F8"/>
    <w:rsid w:val="00F66306"/>
    <w:rsid w:val="00F66309"/>
    <w:rsid w:val="00F66379"/>
    <w:rsid w:val="00F66441"/>
    <w:rsid w:val="00F66497"/>
    <w:rsid w:val="00F664CC"/>
    <w:rsid w:val="00F66532"/>
    <w:rsid w:val="00F6653E"/>
    <w:rsid w:val="00F6668B"/>
    <w:rsid w:val="00F666C7"/>
    <w:rsid w:val="00F666FE"/>
    <w:rsid w:val="00F6670C"/>
    <w:rsid w:val="00F667AD"/>
    <w:rsid w:val="00F667AE"/>
    <w:rsid w:val="00F668D0"/>
    <w:rsid w:val="00F668F6"/>
    <w:rsid w:val="00F66945"/>
    <w:rsid w:val="00F6696B"/>
    <w:rsid w:val="00F669DE"/>
    <w:rsid w:val="00F669EA"/>
    <w:rsid w:val="00F669F3"/>
    <w:rsid w:val="00F66AD1"/>
    <w:rsid w:val="00F66B2B"/>
    <w:rsid w:val="00F66B57"/>
    <w:rsid w:val="00F66B79"/>
    <w:rsid w:val="00F66B80"/>
    <w:rsid w:val="00F66BFA"/>
    <w:rsid w:val="00F66C0B"/>
    <w:rsid w:val="00F66C2A"/>
    <w:rsid w:val="00F66C35"/>
    <w:rsid w:val="00F66D10"/>
    <w:rsid w:val="00F66DF8"/>
    <w:rsid w:val="00F6701E"/>
    <w:rsid w:val="00F67029"/>
    <w:rsid w:val="00F670D8"/>
    <w:rsid w:val="00F670F7"/>
    <w:rsid w:val="00F67111"/>
    <w:rsid w:val="00F672A4"/>
    <w:rsid w:val="00F672B9"/>
    <w:rsid w:val="00F6730B"/>
    <w:rsid w:val="00F673C0"/>
    <w:rsid w:val="00F67416"/>
    <w:rsid w:val="00F6741A"/>
    <w:rsid w:val="00F674D0"/>
    <w:rsid w:val="00F675BB"/>
    <w:rsid w:val="00F677E8"/>
    <w:rsid w:val="00F67878"/>
    <w:rsid w:val="00F67879"/>
    <w:rsid w:val="00F678CA"/>
    <w:rsid w:val="00F6795F"/>
    <w:rsid w:val="00F679AA"/>
    <w:rsid w:val="00F679B2"/>
    <w:rsid w:val="00F67A8E"/>
    <w:rsid w:val="00F67B71"/>
    <w:rsid w:val="00F67BFC"/>
    <w:rsid w:val="00F67C3A"/>
    <w:rsid w:val="00F67D6C"/>
    <w:rsid w:val="00F67E80"/>
    <w:rsid w:val="00F67ECF"/>
    <w:rsid w:val="00F67F21"/>
    <w:rsid w:val="00F70011"/>
    <w:rsid w:val="00F7005E"/>
    <w:rsid w:val="00F70110"/>
    <w:rsid w:val="00F70119"/>
    <w:rsid w:val="00F70196"/>
    <w:rsid w:val="00F70257"/>
    <w:rsid w:val="00F70393"/>
    <w:rsid w:val="00F703F7"/>
    <w:rsid w:val="00F704EB"/>
    <w:rsid w:val="00F70583"/>
    <w:rsid w:val="00F705B5"/>
    <w:rsid w:val="00F70638"/>
    <w:rsid w:val="00F70659"/>
    <w:rsid w:val="00F70715"/>
    <w:rsid w:val="00F70766"/>
    <w:rsid w:val="00F707DC"/>
    <w:rsid w:val="00F70872"/>
    <w:rsid w:val="00F708A1"/>
    <w:rsid w:val="00F70900"/>
    <w:rsid w:val="00F70927"/>
    <w:rsid w:val="00F7099F"/>
    <w:rsid w:val="00F70A1B"/>
    <w:rsid w:val="00F70A3B"/>
    <w:rsid w:val="00F70ABF"/>
    <w:rsid w:val="00F70AF6"/>
    <w:rsid w:val="00F70BC8"/>
    <w:rsid w:val="00F70BE9"/>
    <w:rsid w:val="00F70C5C"/>
    <w:rsid w:val="00F70CE7"/>
    <w:rsid w:val="00F70D01"/>
    <w:rsid w:val="00F70D58"/>
    <w:rsid w:val="00F70DAD"/>
    <w:rsid w:val="00F70DC1"/>
    <w:rsid w:val="00F70E8A"/>
    <w:rsid w:val="00F70FE0"/>
    <w:rsid w:val="00F710EA"/>
    <w:rsid w:val="00F7118F"/>
    <w:rsid w:val="00F711F6"/>
    <w:rsid w:val="00F71282"/>
    <w:rsid w:val="00F71330"/>
    <w:rsid w:val="00F713CF"/>
    <w:rsid w:val="00F71512"/>
    <w:rsid w:val="00F7153F"/>
    <w:rsid w:val="00F71581"/>
    <w:rsid w:val="00F71591"/>
    <w:rsid w:val="00F7162B"/>
    <w:rsid w:val="00F7165B"/>
    <w:rsid w:val="00F71667"/>
    <w:rsid w:val="00F716EA"/>
    <w:rsid w:val="00F71866"/>
    <w:rsid w:val="00F71873"/>
    <w:rsid w:val="00F7189F"/>
    <w:rsid w:val="00F718DC"/>
    <w:rsid w:val="00F71916"/>
    <w:rsid w:val="00F7193B"/>
    <w:rsid w:val="00F71951"/>
    <w:rsid w:val="00F719C8"/>
    <w:rsid w:val="00F719E6"/>
    <w:rsid w:val="00F71B42"/>
    <w:rsid w:val="00F71BCA"/>
    <w:rsid w:val="00F71BEB"/>
    <w:rsid w:val="00F71CCF"/>
    <w:rsid w:val="00F71CED"/>
    <w:rsid w:val="00F71D1E"/>
    <w:rsid w:val="00F71DD8"/>
    <w:rsid w:val="00F71E21"/>
    <w:rsid w:val="00F71F8A"/>
    <w:rsid w:val="00F7208A"/>
    <w:rsid w:val="00F721BA"/>
    <w:rsid w:val="00F72201"/>
    <w:rsid w:val="00F72214"/>
    <w:rsid w:val="00F723AA"/>
    <w:rsid w:val="00F723B7"/>
    <w:rsid w:val="00F723D5"/>
    <w:rsid w:val="00F7243B"/>
    <w:rsid w:val="00F7249E"/>
    <w:rsid w:val="00F724CD"/>
    <w:rsid w:val="00F72625"/>
    <w:rsid w:val="00F72677"/>
    <w:rsid w:val="00F7274A"/>
    <w:rsid w:val="00F7276F"/>
    <w:rsid w:val="00F727A8"/>
    <w:rsid w:val="00F727B5"/>
    <w:rsid w:val="00F72881"/>
    <w:rsid w:val="00F72886"/>
    <w:rsid w:val="00F72A1D"/>
    <w:rsid w:val="00F72A49"/>
    <w:rsid w:val="00F72B16"/>
    <w:rsid w:val="00F72B1F"/>
    <w:rsid w:val="00F72B80"/>
    <w:rsid w:val="00F72B9D"/>
    <w:rsid w:val="00F72BAE"/>
    <w:rsid w:val="00F72C31"/>
    <w:rsid w:val="00F72D81"/>
    <w:rsid w:val="00F72D9F"/>
    <w:rsid w:val="00F72DE5"/>
    <w:rsid w:val="00F72ECB"/>
    <w:rsid w:val="00F72FFC"/>
    <w:rsid w:val="00F7306A"/>
    <w:rsid w:val="00F73073"/>
    <w:rsid w:val="00F730AC"/>
    <w:rsid w:val="00F73175"/>
    <w:rsid w:val="00F731D7"/>
    <w:rsid w:val="00F73280"/>
    <w:rsid w:val="00F7332E"/>
    <w:rsid w:val="00F73375"/>
    <w:rsid w:val="00F73388"/>
    <w:rsid w:val="00F73447"/>
    <w:rsid w:val="00F73474"/>
    <w:rsid w:val="00F735BD"/>
    <w:rsid w:val="00F7366B"/>
    <w:rsid w:val="00F736D5"/>
    <w:rsid w:val="00F73707"/>
    <w:rsid w:val="00F737B1"/>
    <w:rsid w:val="00F737B2"/>
    <w:rsid w:val="00F737BC"/>
    <w:rsid w:val="00F738B9"/>
    <w:rsid w:val="00F739E7"/>
    <w:rsid w:val="00F73A24"/>
    <w:rsid w:val="00F73A70"/>
    <w:rsid w:val="00F73ADD"/>
    <w:rsid w:val="00F73BA6"/>
    <w:rsid w:val="00F73BE8"/>
    <w:rsid w:val="00F73C1A"/>
    <w:rsid w:val="00F73DF0"/>
    <w:rsid w:val="00F73E1B"/>
    <w:rsid w:val="00F73F16"/>
    <w:rsid w:val="00F73F2F"/>
    <w:rsid w:val="00F73F88"/>
    <w:rsid w:val="00F7405C"/>
    <w:rsid w:val="00F74129"/>
    <w:rsid w:val="00F7416F"/>
    <w:rsid w:val="00F741BF"/>
    <w:rsid w:val="00F74300"/>
    <w:rsid w:val="00F74307"/>
    <w:rsid w:val="00F74320"/>
    <w:rsid w:val="00F743D3"/>
    <w:rsid w:val="00F74416"/>
    <w:rsid w:val="00F74490"/>
    <w:rsid w:val="00F744ED"/>
    <w:rsid w:val="00F744FC"/>
    <w:rsid w:val="00F74519"/>
    <w:rsid w:val="00F7456E"/>
    <w:rsid w:val="00F745D6"/>
    <w:rsid w:val="00F74655"/>
    <w:rsid w:val="00F74710"/>
    <w:rsid w:val="00F7474C"/>
    <w:rsid w:val="00F74844"/>
    <w:rsid w:val="00F7484D"/>
    <w:rsid w:val="00F74865"/>
    <w:rsid w:val="00F748A2"/>
    <w:rsid w:val="00F74955"/>
    <w:rsid w:val="00F74959"/>
    <w:rsid w:val="00F74A25"/>
    <w:rsid w:val="00F74A78"/>
    <w:rsid w:val="00F74ABA"/>
    <w:rsid w:val="00F74B94"/>
    <w:rsid w:val="00F74DF5"/>
    <w:rsid w:val="00F74E2F"/>
    <w:rsid w:val="00F74E58"/>
    <w:rsid w:val="00F74EC5"/>
    <w:rsid w:val="00F74F48"/>
    <w:rsid w:val="00F74F69"/>
    <w:rsid w:val="00F75004"/>
    <w:rsid w:val="00F750EF"/>
    <w:rsid w:val="00F7516D"/>
    <w:rsid w:val="00F751B7"/>
    <w:rsid w:val="00F75280"/>
    <w:rsid w:val="00F75359"/>
    <w:rsid w:val="00F75469"/>
    <w:rsid w:val="00F75472"/>
    <w:rsid w:val="00F7547D"/>
    <w:rsid w:val="00F7548A"/>
    <w:rsid w:val="00F755D5"/>
    <w:rsid w:val="00F755F5"/>
    <w:rsid w:val="00F75641"/>
    <w:rsid w:val="00F75661"/>
    <w:rsid w:val="00F75713"/>
    <w:rsid w:val="00F75814"/>
    <w:rsid w:val="00F75851"/>
    <w:rsid w:val="00F7585D"/>
    <w:rsid w:val="00F75876"/>
    <w:rsid w:val="00F75925"/>
    <w:rsid w:val="00F759A7"/>
    <w:rsid w:val="00F759CC"/>
    <w:rsid w:val="00F759D0"/>
    <w:rsid w:val="00F759E2"/>
    <w:rsid w:val="00F75A05"/>
    <w:rsid w:val="00F75AA6"/>
    <w:rsid w:val="00F75C5A"/>
    <w:rsid w:val="00F75CDC"/>
    <w:rsid w:val="00F75CE3"/>
    <w:rsid w:val="00F75CF9"/>
    <w:rsid w:val="00F75DB9"/>
    <w:rsid w:val="00F75DC9"/>
    <w:rsid w:val="00F75E16"/>
    <w:rsid w:val="00F75E1A"/>
    <w:rsid w:val="00F75EA7"/>
    <w:rsid w:val="00F75F07"/>
    <w:rsid w:val="00F75F7C"/>
    <w:rsid w:val="00F76010"/>
    <w:rsid w:val="00F76018"/>
    <w:rsid w:val="00F760D7"/>
    <w:rsid w:val="00F7614F"/>
    <w:rsid w:val="00F761E5"/>
    <w:rsid w:val="00F7630C"/>
    <w:rsid w:val="00F7630F"/>
    <w:rsid w:val="00F76334"/>
    <w:rsid w:val="00F763A3"/>
    <w:rsid w:val="00F763B1"/>
    <w:rsid w:val="00F76465"/>
    <w:rsid w:val="00F76553"/>
    <w:rsid w:val="00F7655F"/>
    <w:rsid w:val="00F765BA"/>
    <w:rsid w:val="00F76693"/>
    <w:rsid w:val="00F7679D"/>
    <w:rsid w:val="00F767C0"/>
    <w:rsid w:val="00F767D7"/>
    <w:rsid w:val="00F76879"/>
    <w:rsid w:val="00F7688F"/>
    <w:rsid w:val="00F768D1"/>
    <w:rsid w:val="00F768EB"/>
    <w:rsid w:val="00F76929"/>
    <w:rsid w:val="00F7693D"/>
    <w:rsid w:val="00F76A55"/>
    <w:rsid w:val="00F76AB5"/>
    <w:rsid w:val="00F76B38"/>
    <w:rsid w:val="00F76BE8"/>
    <w:rsid w:val="00F76D4D"/>
    <w:rsid w:val="00F76E26"/>
    <w:rsid w:val="00F76E33"/>
    <w:rsid w:val="00F76F07"/>
    <w:rsid w:val="00F76F25"/>
    <w:rsid w:val="00F7700D"/>
    <w:rsid w:val="00F770CF"/>
    <w:rsid w:val="00F7712C"/>
    <w:rsid w:val="00F7714C"/>
    <w:rsid w:val="00F771C4"/>
    <w:rsid w:val="00F7726C"/>
    <w:rsid w:val="00F77284"/>
    <w:rsid w:val="00F772C2"/>
    <w:rsid w:val="00F773EB"/>
    <w:rsid w:val="00F77417"/>
    <w:rsid w:val="00F77465"/>
    <w:rsid w:val="00F77505"/>
    <w:rsid w:val="00F77529"/>
    <w:rsid w:val="00F775E4"/>
    <w:rsid w:val="00F77723"/>
    <w:rsid w:val="00F7779D"/>
    <w:rsid w:val="00F77879"/>
    <w:rsid w:val="00F77882"/>
    <w:rsid w:val="00F77893"/>
    <w:rsid w:val="00F77948"/>
    <w:rsid w:val="00F779B2"/>
    <w:rsid w:val="00F77A6D"/>
    <w:rsid w:val="00F77A70"/>
    <w:rsid w:val="00F77A85"/>
    <w:rsid w:val="00F77B6B"/>
    <w:rsid w:val="00F77BEE"/>
    <w:rsid w:val="00F77BF7"/>
    <w:rsid w:val="00F77BF8"/>
    <w:rsid w:val="00F77D05"/>
    <w:rsid w:val="00F77ECD"/>
    <w:rsid w:val="00F77EF0"/>
    <w:rsid w:val="00F77FA7"/>
    <w:rsid w:val="00F800D1"/>
    <w:rsid w:val="00F80243"/>
    <w:rsid w:val="00F80244"/>
    <w:rsid w:val="00F80270"/>
    <w:rsid w:val="00F80298"/>
    <w:rsid w:val="00F802DB"/>
    <w:rsid w:val="00F80337"/>
    <w:rsid w:val="00F80366"/>
    <w:rsid w:val="00F803A3"/>
    <w:rsid w:val="00F80434"/>
    <w:rsid w:val="00F80436"/>
    <w:rsid w:val="00F804AE"/>
    <w:rsid w:val="00F8051E"/>
    <w:rsid w:val="00F80568"/>
    <w:rsid w:val="00F80669"/>
    <w:rsid w:val="00F8067B"/>
    <w:rsid w:val="00F80752"/>
    <w:rsid w:val="00F807D5"/>
    <w:rsid w:val="00F807E0"/>
    <w:rsid w:val="00F807EB"/>
    <w:rsid w:val="00F8086B"/>
    <w:rsid w:val="00F808C1"/>
    <w:rsid w:val="00F80979"/>
    <w:rsid w:val="00F80A8E"/>
    <w:rsid w:val="00F80AA2"/>
    <w:rsid w:val="00F80B21"/>
    <w:rsid w:val="00F80B28"/>
    <w:rsid w:val="00F80C2B"/>
    <w:rsid w:val="00F80C66"/>
    <w:rsid w:val="00F80CBF"/>
    <w:rsid w:val="00F80D60"/>
    <w:rsid w:val="00F80D61"/>
    <w:rsid w:val="00F80E44"/>
    <w:rsid w:val="00F80ECC"/>
    <w:rsid w:val="00F80ECF"/>
    <w:rsid w:val="00F80EEA"/>
    <w:rsid w:val="00F80FF9"/>
    <w:rsid w:val="00F81077"/>
    <w:rsid w:val="00F81086"/>
    <w:rsid w:val="00F810DB"/>
    <w:rsid w:val="00F81103"/>
    <w:rsid w:val="00F81117"/>
    <w:rsid w:val="00F81143"/>
    <w:rsid w:val="00F8124D"/>
    <w:rsid w:val="00F8125C"/>
    <w:rsid w:val="00F8144D"/>
    <w:rsid w:val="00F81455"/>
    <w:rsid w:val="00F814D0"/>
    <w:rsid w:val="00F81538"/>
    <w:rsid w:val="00F8154F"/>
    <w:rsid w:val="00F81735"/>
    <w:rsid w:val="00F8173A"/>
    <w:rsid w:val="00F81792"/>
    <w:rsid w:val="00F8180D"/>
    <w:rsid w:val="00F81834"/>
    <w:rsid w:val="00F81854"/>
    <w:rsid w:val="00F819F0"/>
    <w:rsid w:val="00F81A0C"/>
    <w:rsid w:val="00F81AA3"/>
    <w:rsid w:val="00F81AC9"/>
    <w:rsid w:val="00F81ACC"/>
    <w:rsid w:val="00F81B62"/>
    <w:rsid w:val="00F81B86"/>
    <w:rsid w:val="00F81C68"/>
    <w:rsid w:val="00F81D6D"/>
    <w:rsid w:val="00F81DE4"/>
    <w:rsid w:val="00F81E64"/>
    <w:rsid w:val="00F82139"/>
    <w:rsid w:val="00F821DA"/>
    <w:rsid w:val="00F8233E"/>
    <w:rsid w:val="00F82393"/>
    <w:rsid w:val="00F823BA"/>
    <w:rsid w:val="00F823DA"/>
    <w:rsid w:val="00F82412"/>
    <w:rsid w:val="00F824D9"/>
    <w:rsid w:val="00F8255F"/>
    <w:rsid w:val="00F82568"/>
    <w:rsid w:val="00F825A5"/>
    <w:rsid w:val="00F8265B"/>
    <w:rsid w:val="00F826E7"/>
    <w:rsid w:val="00F82704"/>
    <w:rsid w:val="00F8276C"/>
    <w:rsid w:val="00F8285C"/>
    <w:rsid w:val="00F828A3"/>
    <w:rsid w:val="00F82945"/>
    <w:rsid w:val="00F82AC9"/>
    <w:rsid w:val="00F82AD5"/>
    <w:rsid w:val="00F82BDA"/>
    <w:rsid w:val="00F82C84"/>
    <w:rsid w:val="00F82C9C"/>
    <w:rsid w:val="00F82E17"/>
    <w:rsid w:val="00F82E22"/>
    <w:rsid w:val="00F82ECC"/>
    <w:rsid w:val="00F82F41"/>
    <w:rsid w:val="00F82F6A"/>
    <w:rsid w:val="00F82FA8"/>
    <w:rsid w:val="00F8304F"/>
    <w:rsid w:val="00F8306E"/>
    <w:rsid w:val="00F8308C"/>
    <w:rsid w:val="00F8317E"/>
    <w:rsid w:val="00F8319B"/>
    <w:rsid w:val="00F83265"/>
    <w:rsid w:val="00F832B3"/>
    <w:rsid w:val="00F832EF"/>
    <w:rsid w:val="00F833BF"/>
    <w:rsid w:val="00F833DE"/>
    <w:rsid w:val="00F8356D"/>
    <w:rsid w:val="00F8360A"/>
    <w:rsid w:val="00F8365B"/>
    <w:rsid w:val="00F836BA"/>
    <w:rsid w:val="00F837B8"/>
    <w:rsid w:val="00F83832"/>
    <w:rsid w:val="00F83875"/>
    <w:rsid w:val="00F838C4"/>
    <w:rsid w:val="00F8399E"/>
    <w:rsid w:val="00F839BF"/>
    <w:rsid w:val="00F83A6F"/>
    <w:rsid w:val="00F83C21"/>
    <w:rsid w:val="00F83D57"/>
    <w:rsid w:val="00F83DF5"/>
    <w:rsid w:val="00F83DFB"/>
    <w:rsid w:val="00F83E41"/>
    <w:rsid w:val="00F83F88"/>
    <w:rsid w:val="00F8408B"/>
    <w:rsid w:val="00F84115"/>
    <w:rsid w:val="00F841E8"/>
    <w:rsid w:val="00F8441C"/>
    <w:rsid w:val="00F84570"/>
    <w:rsid w:val="00F84647"/>
    <w:rsid w:val="00F84648"/>
    <w:rsid w:val="00F846F8"/>
    <w:rsid w:val="00F84758"/>
    <w:rsid w:val="00F84847"/>
    <w:rsid w:val="00F84862"/>
    <w:rsid w:val="00F848F4"/>
    <w:rsid w:val="00F8496E"/>
    <w:rsid w:val="00F84A32"/>
    <w:rsid w:val="00F84A51"/>
    <w:rsid w:val="00F84B40"/>
    <w:rsid w:val="00F84BA8"/>
    <w:rsid w:val="00F84BFF"/>
    <w:rsid w:val="00F84C95"/>
    <w:rsid w:val="00F84CD9"/>
    <w:rsid w:val="00F84D28"/>
    <w:rsid w:val="00F84D5A"/>
    <w:rsid w:val="00F84DF3"/>
    <w:rsid w:val="00F84E60"/>
    <w:rsid w:val="00F84EE9"/>
    <w:rsid w:val="00F84FC2"/>
    <w:rsid w:val="00F85010"/>
    <w:rsid w:val="00F85053"/>
    <w:rsid w:val="00F85059"/>
    <w:rsid w:val="00F85066"/>
    <w:rsid w:val="00F850D3"/>
    <w:rsid w:val="00F850D5"/>
    <w:rsid w:val="00F850EB"/>
    <w:rsid w:val="00F8511A"/>
    <w:rsid w:val="00F852F9"/>
    <w:rsid w:val="00F85359"/>
    <w:rsid w:val="00F85431"/>
    <w:rsid w:val="00F8550A"/>
    <w:rsid w:val="00F8555D"/>
    <w:rsid w:val="00F85590"/>
    <w:rsid w:val="00F856AC"/>
    <w:rsid w:val="00F856E3"/>
    <w:rsid w:val="00F8573F"/>
    <w:rsid w:val="00F8574D"/>
    <w:rsid w:val="00F85790"/>
    <w:rsid w:val="00F85796"/>
    <w:rsid w:val="00F857DC"/>
    <w:rsid w:val="00F8580A"/>
    <w:rsid w:val="00F8581A"/>
    <w:rsid w:val="00F8585A"/>
    <w:rsid w:val="00F8587C"/>
    <w:rsid w:val="00F858FD"/>
    <w:rsid w:val="00F85939"/>
    <w:rsid w:val="00F85961"/>
    <w:rsid w:val="00F859CC"/>
    <w:rsid w:val="00F85A30"/>
    <w:rsid w:val="00F85AC1"/>
    <w:rsid w:val="00F85B99"/>
    <w:rsid w:val="00F85BA0"/>
    <w:rsid w:val="00F85BAE"/>
    <w:rsid w:val="00F85BCA"/>
    <w:rsid w:val="00F85BDB"/>
    <w:rsid w:val="00F85C0A"/>
    <w:rsid w:val="00F85C62"/>
    <w:rsid w:val="00F85CA9"/>
    <w:rsid w:val="00F85CB5"/>
    <w:rsid w:val="00F85D10"/>
    <w:rsid w:val="00F85D65"/>
    <w:rsid w:val="00F85DAA"/>
    <w:rsid w:val="00F85DAE"/>
    <w:rsid w:val="00F85DE9"/>
    <w:rsid w:val="00F85E74"/>
    <w:rsid w:val="00F85EBC"/>
    <w:rsid w:val="00F85EFF"/>
    <w:rsid w:val="00F85F0C"/>
    <w:rsid w:val="00F85F15"/>
    <w:rsid w:val="00F85FEA"/>
    <w:rsid w:val="00F85FF7"/>
    <w:rsid w:val="00F860AA"/>
    <w:rsid w:val="00F860D7"/>
    <w:rsid w:val="00F8625C"/>
    <w:rsid w:val="00F8630E"/>
    <w:rsid w:val="00F86335"/>
    <w:rsid w:val="00F86375"/>
    <w:rsid w:val="00F863C2"/>
    <w:rsid w:val="00F863E6"/>
    <w:rsid w:val="00F8641D"/>
    <w:rsid w:val="00F864AB"/>
    <w:rsid w:val="00F8654A"/>
    <w:rsid w:val="00F86671"/>
    <w:rsid w:val="00F8675F"/>
    <w:rsid w:val="00F8677C"/>
    <w:rsid w:val="00F86785"/>
    <w:rsid w:val="00F86787"/>
    <w:rsid w:val="00F867ED"/>
    <w:rsid w:val="00F868D3"/>
    <w:rsid w:val="00F86955"/>
    <w:rsid w:val="00F86A11"/>
    <w:rsid w:val="00F86A23"/>
    <w:rsid w:val="00F86B43"/>
    <w:rsid w:val="00F86B60"/>
    <w:rsid w:val="00F86BCF"/>
    <w:rsid w:val="00F86C0F"/>
    <w:rsid w:val="00F86C64"/>
    <w:rsid w:val="00F86CA5"/>
    <w:rsid w:val="00F86CA7"/>
    <w:rsid w:val="00F86CC3"/>
    <w:rsid w:val="00F86F1C"/>
    <w:rsid w:val="00F86F5E"/>
    <w:rsid w:val="00F8710B"/>
    <w:rsid w:val="00F8717B"/>
    <w:rsid w:val="00F8730F"/>
    <w:rsid w:val="00F8751F"/>
    <w:rsid w:val="00F875B6"/>
    <w:rsid w:val="00F8763C"/>
    <w:rsid w:val="00F87659"/>
    <w:rsid w:val="00F878C9"/>
    <w:rsid w:val="00F878D6"/>
    <w:rsid w:val="00F8791F"/>
    <w:rsid w:val="00F8799A"/>
    <w:rsid w:val="00F87A2C"/>
    <w:rsid w:val="00F87B26"/>
    <w:rsid w:val="00F87BDA"/>
    <w:rsid w:val="00F87C29"/>
    <w:rsid w:val="00F87C83"/>
    <w:rsid w:val="00F87D11"/>
    <w:rsid w:val="00F87E27"/>
    <w:rsid w:val="00F87F4E"/>
    <w:rsid w:val="00F9002F"/>
    <w:rsid w:val="00F90096"/>
    <w:rsid w:val="00F9016A"/>
    <w:rsid w:val="00F9018A"/>
    <w:rsid w:val="00F9019C"/>
    <w:rsid w:val="00F901B9"/>
    <w:rsid w:val="00F905C6"/>
    <w:rsid w:val="00F905EE"/>
    <w:rsid w:val="00F905F4"/>
    <w:rsid w:val="00F905FF"/>
    <w:rsid w:val="00F90612"/>
    <w:rsid w:val="00F9070F"/>
    <w:rsid w:val="00F907D7"/>
    <w:rsid w:val="00F90878"/>
    <w:rsid w:val="00F90897"/>
    <w:rsid w:val="00F908EE"/>
    <w:rsid w:val="00F90988"/>
    <w:rsid w:val="00F909D6"/>
    <w:rsid w:val="00F909EA"/>
    <w:rsid w:val="00F90A5F"/>
    <w:rsid w:val="00F90AF7"/>
    <w:rsid w:val="00F90C30"/>
    <w:rsid w:val="00F90CEF"/>
    <w:rsid w:val="00F90D4A"/>
    <w:rsid w:val="00F90DAB"/>
    <w:rsid w:val="00F90E17"/>
    <w:rsid w:val="00F90F0C"/>
    <w:rsid w:val="00F91097"/>
    <w:rsid w:val="00F911C4"/>
    <w:rsid w:val="00F9122B"/>
    <w:rsid w:val="00F912B2"/>
    <w:rsid w:val="00F912B6"/>
    <w:rsid w:val="00F91312"/>
    <w:rsid w:val="00F91344"/>
    <w:rsid w:val="00F913FE"/>
    <w:rsid w:val="00F91445"/>
    <w:rsid w:val="00F91470"/>
    <w:rsid w:val="00F91546"/>
    <w:rsid w:val="00F9156A"/>
    <w:rsid w:val="00F91579"/>
    <w:rsid w:val="00F916C3"/>
    <w:rsid w:val="00F91735"/>
    <w:rsid w:val="00F9190F"/>
    <w:rsid w:val="00F91944"/>
    <w:rsid w:val="00F91967"/>
    <w:rsid w:val="00F919A1"/>
    <w:rsid w:val="00F91AEF"/>
    <w:rsid w:val="00F91B60"/>
    <w:rsid w:val="00F91BA7"/>
    <w:rsid w:val="00F91C90"/>
    <w:rsid w:val="00F91E7E"/>
    <w:rsid w:val="00F91E91"/>
    <w:rsid w:val="00F91ED0"/>
    <w:rsid w:val="00F91EE2"/>
    <w:rsid w:val="00F91FED"/>
    <w:rsid w:val="00F92088"/>
    <w:rsid w:val="00F9212A"/>
    <w:rsid w:val="00F92299"/>
    <w:rsid w:val="00F922CF"/>
    <w:rsid w:val="00F92320"/>
    <w:rsid w:val="00F92325"/>
    <w:rsid w:val="00F9232F"/>
    <w:rsid w:val="00F9248D"/>
    <w:rsid w:val="00F925AB"/>
    <w:rsid w:val="00F925B8"/>
    <w:rsid w:val="00F925E0"/>
    <w:rsid w:val="00F9263E"/>
    <w:rsid w:val="00F92694"/>
    <w:rsid w:val="00F926B1"/>
    <w:rsid w:val="00F926C6"/>
    <w:rsid w:val="00F9279F"/>
    <w:rsid w:val="00F928F0"/>
    <w:rsid w:val="00F9292E"/>
    <w:rsid w:val="00F929E8"/>
    <w:rsid w:val="00F92A67"/>
    <w:rsid w:val="00F92AF7"/>
    <w:rsid w:val="00F92B37"/>
    <w:rsid w:val="00F92BC4"/>
    <w:rsid w:val="00F92BF7"/>
    <w:rsid w:val="00F92DB9"/>
    <w:rsid w:val="00F92EB0"/>
    <w:rsid w:val="00F92EB3"/>
    <w:rsid w:val="00F92F31"/>
    <w:rsid w:val="00F92F3F"/>
    <w:rsid w:val="00F930BD"/>
    <w:rsid w:val="00F93176"/>
    <w:rsid w:val="00F93270"/>
    <w:rsid w:val="00F932B9"/>
    <w:rsid w:val="00F932D8"/>
    <w:rsid w:val="00F93499"/>
    <w:rsid w:val="00F93561"/>
    <w:rsid w:val="00F9359A"/>
    <w:rsid w:val="00F93652"/>
    <w:rsid w:val="00F93658"/>
    <w:rsid w:val="00F9366D"/>
    <w:rsid w:val="00F93747"/>
    <w:rsid w:val="00F9382D"/>
    <w:rsid w:val="00F9386C"/>
    <w:rsid w:val="00F93883"/>
    <w:rsid w:val="00F9392E"/>
    <w:rsid w:val="00F93962"/>
    <w:rsid w:val="00F939AE"/>
    <w:rsid w:val="00F93BAE"/>
    <w:rsid w:val="00F93CA4"/>
    <w:rsid w:val="00F93F42"/>
    <w:rsid w:val="00F93F47"/>
    <w:rsid w:val="00F93F6D"/>
    <w:rsid w:val="00F9400B"/>
    <w:rsid w:val="00F94057"/>
    <w:rsid w:val="00F94117"/>
    <w:rsid w:val="00F9414E"/>
    <w:rsid w:val="00F94160"/>
    <w:rsid w:val="00F94223"/>
    <w:rsid w:val="00F9426F"/>
    <w:rsid w:val="00F94310"/>
    <w:rsid w:val="00F9432D"/>
    <w:rsid w:val="00F94358"/>
    <w:rsid w:val="00F9438B"/>
    <w:rsid w:val="00F943AC"/>
    <w:rsid w:val="00F943F5"/>
    <w:rsid w:val="00F945C4"/>
    <w:rsid w:val="00F946FB"/>
    <w:rsid w:val="00F94741"/>
    <w:rsid w:val="00F94743"/>
    <w:rsid w:val="00F947B4"/>
    <w:rsid w:val="00F94853"/>
    <w:rsid w:val="00F948FE"/>
    <w:rsid w:val="00F94953"/>
    <w:rsid w:val="00F9496C"/>
    <w:rsid w:val="00F9497C"/>
    <w:rsid w:val="00F949B9"/>
    <w:rsid w:val="00F949C8"/>
    <w:rsid w:val="00F949E6"/>
    <w:rsid w:val="00F94ABD"/>
    <w:rsid w:val="00F94B47"/>
    <w:rsid w:val="00F94B96"/>
    <w:rsid w:val="00F94C01"/>
    <w:rsid w:val="00F94CD4"/>
    <w:rsid w:val="00F94D36"/>
    <w:rsid w:val="00F94D3B"/>
    <w:rsid w:val="00F94DCB"/>
    <w:rsid w:val="00F94EFE"/>
    <w:rsid w:val="00F94F51"/>
    <w:rsid w:val="00F94FFA"/>
    <w:rsid w:val="00F95068"/>
    <w:rsid w:val="00F9507D"/>
    <w:rsid w:val="00F95082"/>
    <w:rsid w:val="00F95121"/>
    <w:rsid w:val="00F951F2"/>
    <w:rsid w:val="00F9525D"/>
    <w:rsid w:val="00F95281"/>
    <w:rsid w:val="00F9529C"/>
    <w:rsid w:val="00F9541A"/>
    <w:rsid w:val="00F95479"/>
    <w:rsid w:val="00F9551E"/>
    <w:rsid w:val="00F95557"/>
    <w:rsid w:val="00F9559F"/>
    <w:rsid w:val="00F955A1"/>
    <w:rsid w:val="00F955EE"/>
    <w:rsid w:val="00F956A0"/>
    <w:rsid w:val="00F956B3"/>
    <w:rsid w:val="00F9571F"/>
    <w:rsid w:val="00F95724"/>
    <w:rsid w:val="00F95836"/>
    <w:rsid w:val="00F9590B"/>
    <w:rsid w:val="00F9590E"/>
    <w:rsid w:val="00F95A2E"/>
    <w:rsid w:val="00F95AA0"/>
    <w:rsid w:val="00F95AC5"/>
    <w:rsid w:val="00F95B16"/>
    <w:rsid w:val="00F95B4E"/>
    <w:rsid w:val="00F95D2B"/>
    <w:rsid w:val="00F95D86"/>
    <w:rsid w:val="00F95DA7"/>
    <w:rsid w:val="00F95DE0"/>
    <w:rsid w:val="00F95E55"/>
    <w:rsid w:val="00F95EC0"/>
    <w:rsid w:val="00F95F28"/>
    <w:rsid w:val="00F95F4E"/>
    <w:rsid w:val="00F95F79"/>
    <w:rsid w:val="00F95FB9"/>
    <w:rsid w:val="00F95FF2"/>
    <w:rsid w:val="00F9604F"/>
    <w:rsid w:val="00F96062"/>
    <w:rsid w:val="00F96090"/>
    <w:rsid w:val="00F961BE"/>
    <w:rsid w:val="00F96210"/>
    <w:rsid w:val="00F96240"/>
    <w:rsid w:val="00F96284"/>
    <w:rsid w:val="00F962DC"/>
    <w:rsid w:val="00F96327"/>
    <w:rsid w:val="00F9641A"/>
    <w:rsid w:val="00F964AA"/>
    <w:rsid w:val="00F964C8"/>
    <w:rsid w:val="00F96580"/>
    <w:rsid w:val="00F965CF"/>
    <w:rsid w:val="00F966CF"/>
    <w:rsid w:val="00F96889"/>
    <w:rsid w:val="00F968E8"/>
    <w:rsid w:val="00F9690E"/>
    <w:rsid w:val="00F969CD"/>
    <w:rsid w:val="00F96AE4"/>
    <w:rsid w:val="00F96B55"/>
    <w:rsid w:val="00F96CB5"/>
    <w:rsid w:val="00F96E8F"/>
    <w:rsid w:val="00F96EBC"/>
    <w:rsid w:val="00F96EFA"/>
    <w:rsid w:val="00F970C0"/>
    <w:rsid w:val="00F97196"/>
    <w:rsid w:val="00F9719C"/>
    <w:rsid w:val="00F97269"/>
    <w:rsid w:val="00F97332"/>
    <w:rsid w:val="00F973B3"/>
    <w:rsid w:val="00F973C7"/>
    <w:rsid w:val="00F97437"/>
    <w:rsid w:val="00F9745A"/>
    <w:rsid w:val="00F9748B"/>
    <w:rsid w:val="00F97498"/>
    <w:rsid w:val="00F9749B"/>
    <w:rsid w:val="00F9749F"/>
    <w:rsid w:val="00F974EA"/>
    <w:rsid w:val="00F97555"/>
    <w:rsid w:val="00F97656"/>
    <w:rsid w:val="00F977BB"/>
    <w:rsid w:val="00F977CE"/>
    <w:rsid w:val="00F97820"/>
    <w:rsid w:val="00F97840"/>
    <w:rsid w:val="00F978CD"/>
    <w:rsid w:val="00F97961"/>
    <w:rsid w:val="00F979F2"/>
    <w:rsid w:val="00F97B16"/>
    <w:rsid w:val="00F97C58"/>
    <w:rsid w:val="00F97C61"/>
    <w:rsid w:val="00F97CF6"/>
    <w:rsid w:val="00F97E92"/>
    <w:rsid w:val="00F97FC4"/>
    <w:rsid w:val="00F9AA72"/>
    <w:rsid w:val="00FA0075"/>
    <w:rsid w:val="00FA00C4"/>
    <w:rsid w:val="00FA0112"/>
    <w:rsid w:val="00FA01BB"/>
    <w:rsid w:val="00FA01E0"/>
    <w:rsid w:val="00FA01EE"/>
    <w:rsid w:val="00FA0227"/>
    <w:rsid w:val="00FA0287"/>
    <w:rsid w:val="00FA034F"/>
    <w:rsid w:val="00FA03B6"/>
    <w:rsid w:val="00FA04DD"/>
    <w:rsid w:val="00FA0529"/>
    <w:rsid w:val="00FA0637"/>
    <w:rsid w:val="00FA0677"/>
    <w:rsid w:val="00FA0724"/>
    <w:rsid w:val="00FA081D"/>
    <w:rsid w:val="00FA083D"/>
    <w:rsid w:val="00FA0A1D"/>
    <w:rsid w:val="00FA0BAA"/>
    <w:rsid w:val="00FA0C76"/>
    <w:rsid w:val="00FA0F19"/>
    <w:rsid w:val="00FA0F1C"/>
    <w:rsid w:val="00FA0F4A"/>
    <w:rsid w:val="00FA0FAD"/>
    <w:rsid w:val="00FA1028"/>
    <w:rsid w:val="00FA1039"/>
    <w:rsid w:val="00FA10AB"/>
    <w:rsid w:val="00FA10DC"/>
    <w:rsid w:val="00FA11EA"/>
    <w:rsid w:val="00FA12B1"/>
    <w:rsid w:val="00FA12D6"/>
    <w:rsid w:val="00FA1337"/>
    <w:rsid w:val="00FA136C"/>
    <w:rsid w:val="00FA14C1"/>
    <w:rsid w:val="00FA14CE"/>
    <w:rsid w:val="00FA150F"/>
    <w:rsid w:val="00FA1539"/>
    <w:rsid w:val="00FA16C3"/>
    <w:rsid w:val="00FA1785"/>
    <w:rsid w:val="00FA1789"/>
    <w:rsid w:val="00FA1810"/>
    <w:rsid w:val="00FA1897"/>
    <w:rsid w:val="00FA18D0"/>
    <w:rsid w:val="00FA1902"/>
    <w:rsid w:val="00FA193A"/>
    <w:rsid w:val="00FA19D9"/>
    <w:rsid w:val="00FA1A0D"/>
    <w:rsid w:val="00FA1A15"/>
    <w:rsid w:val="00FA1A43"/>
    <w:rsid w:val="00FA1A78"/>
    <w:rsid w:val="00FA1ABE"/>
    <w:rsid w:val="00FA1B69"/>
    <w:rsid w:val="00FA1BB9"/>
    <w:rsid w:val="00FA1C4A"/>
    <w:rsid w:val="00FA1C72"/>
    <w:rsid w:val="00FA1F7A"/>
    <w:rsid w:val="00FA1F81"/>
    <w:rsid w:val="00FA1F8F"/>
    <w:rsid w:val="00FA1FA3"/>
    <w:rsid w:val="00FA20CF"/>
    <w:rsid w:val="00FA2146"/>
    <w:rsid w:val="00FA218A"/>
    <w:rsid w:val="00FA21BB"/>
    <w:rsid w:val="00FA21F3"/>
    <w:rsid w:val="00FA220A"/>
    <w:rsid w:val="00FA2290"/>
    <w:rsid w:val="00FA22C5"/>
    <w:rsid w:val="00FA23C2"/>
    <w:rsid w:val="00FA245E"/>
    <w:rsid w:val="00FA24B2"/>
    <w:rsid w:val="00FA251F"/>
    <w:rsid w:val="00FA25CE"/>
    <w:rsid w:val="00FA25F9"/>
    <w:rsid w:val="00FA267D"/>
    <w:rsid w:val="00FA26B5"/>
    <w:rsid w:val="00FA26B8"/>
    <w:rsid w:val="00FA2753"/>
    <w:rsid w:val="00FA2788"/>
    <w:rsid w:val="00FA2799"/>
    <w:rsid w:val="00FA27A6"/>
    <w:rsid w:val="00FA282D"/>
    <w:rsid w:val="00FA2997"/>
    <w:rsid w:val="00FA29BE"/>
    <w:rsid w:val="00FA2A15"/>
    <w:rsid w:val="00FA2A5A"/>
    <w:rsid w:val="00FA2A8E"/>
    <w:rsid w:val="00FA2BA9"/>
    <w:rsid w:val="00FA2D1E"/>
    <w:rsid w:val="00FA2DB5"/>
    <w:rsid w:val="00FA2F03"/>
    <w:rsid w:val="00FA2FF9"/>
    <w:rsid w:val="00FA307A"/>
    <w:rsid w:val="00FA31A4"/>
    <w:rsid w:val="00FA31EC"/>
    <w:rsid w:val="00FA32C8"/>
    <w:rsid w:val="00FA343B"/>
    <w:rsid w:val="00FA34A4"/>
    <w:rsid w:val="00FA3510"/>
    <w:rsid w:val="00FA3614"/>
    <w:rsid w:val="00FA364A"/>
    <w:rsid w:val="00FA36EA"/>
    <w:rsid w:val="00FA3707"/>
    <w:rsid w:val="00FA377E"/>
    <w:rsid w:val="00FA3820"/>
    <w:rsid w:val="00FA3826"/>
    <w:rsid w:val="00FA39A7"/>
    <w:rsid w:val="00FA39D4"/>
    <w:rsid w:val="00FA39E3"/>
    <w:rsid w:val="00FA3A61"/>
    <w:rsid w:val="00FA3C6F"/>
    <w:rsid w:val="00FA3CFB"/>
    <w:rsid w:val="00FA3D83"/>
    <w:rsid w:val="00FA3D96"/>
    <w:rsid w:val="00FA3DF1"/>
    <w:rsid w:val="00FA3ED9"/>
    <w:rsid w:val="00FA3EF3"/>
    <w:rsid w:val="00FA3F06"/>
    <w:rsid w:val="00FA3F1E"/>
    <w:rsid w:val="00FA3F94"/>
    <w:rsid w:val="00FA4103"/>
    <w:rsid w:val="00FA414E"/>
    <w:rsid w:val="00FA41D7"/>
    <w:rsid w:val="00FA41E4"/>
    <w:rsid w:val="00FA421A"/>
    <w:rsid w:val="00FA424B"/>
    <w:rsid w:val="00FA425F"/>
    <w:rsid w:val="00FA42C8"/>
    <w:rsid w:val="00FA42EB"/>
    <w:rsid w:val="00FA4391"/>
    <w:rsid w:val="00FA453B"/>
    <w:rsid w:val="00FA45FF"/>
    <w:rsid w:val="00FA4604"/>
    <w:rsid w:val="00FA468C"/>
    <w:rsid w:val="00FA4703"/>
    <w:rsid w:val="00FA4725"/>
    <w:rsid w:val="00FA4808"/>
    <w:rsid w:val="00FA4860"/>
    <w:rsid w:val="00FA486C"/>
    <w:rsid w:val="00FA4953"/>
    <w:rsid w:val="00FA4993"/>
    <w:rsid w:val="00FA49FD"/>
    <w:rsid w:val="00FA4A0D"/>
    <w:rsid w:val="00FA4B2F"/>
    <w:rsid w:val="00FA4B45"/>
    <w:rsid w:val="00FA4BA2"/>
    <w:rsid w:val="00FA4BA3"/>
    <w:rsid w:val="00FA4BB9"/>
    <w:rsid w:val="00FA4C5E"/>
    <w:rsid w:val="00FA4C60"/>
    <w:rsid w:val="00FA4CB6"/>
    <w:rsid w:val="00FA4D9B"/>
    <w:rsid w:val="00FA4E9D"/>
    <w:rsid w:val="00FA4ECC"/>
    <w:rsid w:val="00FA4F1E"/>
    <w:rsid w:val="00FA4F6D"/>
    <w:rsid w:val="00FA5017"/>
    <w:rsid w:val="00FA503A"/>
    <w:rsid w:val="00FA50CC"/>
    <w:rsid w:val="00FA512F"/>
    <w:rsid w:val="00FA51D8"/>
    <w:rsid w:val="00FA52BF"/>
    <w:rsid w:val="00FA53C0"/>
    <w:rsid w:val="00FA53F5"/>
    <w:rsid w:val="00FA548F"/>
    <w:rsid w:val="00FA558D"/>
    <w:rsid w:val="00FA56C4"/>
    <w:rsid w:val="00FA5843"/>
    <w:rsid w:val="00FA5883"/>
    <w:rsid w:val="00FA5906"/>
    <w:rsid w:val="00FA592F"/>
    <w:rsid w:val="00FA5938"/>
    <w:rsid w:val="00FA59F9"/>
    <w:rsid w:val="00FA5A29"/>
    <w:rsid w:val="00FA5ADA"/>
    <w:rsid w:val="00FA5CE0"/>
    <w:rsid w:val="00FA5D72"/>
    <w:rsid w:val="00FA5DB2"/>
    <w:rsid w:val="00FA5EBA"/>
    <w:rsid w:val="00FA5F5B"/>
    <w:rsid w:val="00FA5FCC"/>
    <w:rsid w:val="00FA601A"/>
    <w:rsid w:val="00FA60EA"/>
    <w:rsid w:val="00FA610E"/>
    <w:rsid w:val="00FA618F"/>
    <w:rsid w:val="00FA6285"/>
    <w:rsid w:val="00FA6287"/>
    <w:rsid w:val="00FA62E2"/>
    <w:rsid w:val="00FA6375"/>
    <w:rsid w:val="00FA63D3"/>
    <w:rsid w:val="00FA63E1"/>
    <w:rsid w:val="00FA63F0"/>
    <w:rsid w:val="00FA6421"/>
    <w:rsid w:val="00FA65C3"/>
    <w:rsid w:val="00FA6602"/>
    <w:rsid w:val="00FA67D6"/>
    <w:rsid w:val="00FA6824"/>
    <w:rsid w:val="00FA6913"/>
    <w:rsid w:val="00FA692A"/>
    <w:rsid w:val="00FA6A1D"/>
    <w:rsid w:val="00FA6C81"/>
    <w:rsid w:val="00FA6CF6"/>
    <w:rsid w:val="00FA6D07"/>
    <w:rsid w:val="00FA6D0D"/>
    <w:rsid w:val="00FA6D8F"/>
    <w:rsid w:val="00FA6E99"/>
    <w:rsid w:val="00FA6EB8"/>
    <w:rsid w:val="00FA6EBF"/>
    <w:rsid w:val="00FA6EFE"/>
    <w:rsid w:val="00FA6F04"/>
    <w:rsid w:val="00FA6FCA"/>
    <w:rsid w:val="00FA7126"/>
    <w:rsid w:val="00FA713F"/>
    <w:rsid w:val="00FA716B"/>
    <w:rsid w:val="00FA72A9"/>
    <w:rsid w:val="00FA733D"/>
    <w:rsid w:val="00FA752B"/>
    <w:rsid w:val="00FA759F"/>
    <w:rsid w:val="00FA75B0"/>
    <w:rsid w:val="00FA75D5"/>
    <w:rsid w:val="00FA75DC"/>
    <w:rsid w:val="00FA77D9"/>
    <w:rsid w:val="00FA77FE"/>
    <w:rsid w:val="00FA7855"/>
    <w:rsid w:val="00FA789B"/>
    <w:rsid w:val="00FA78DE"/>
    <w:rsid w:val="00FA7955"/>
    <w:rsid w:val="00FA7A0F"/>
    <w:rsid w:val="00FA7A7B"/>
    <w:rsid w:val="00FA7A84"/>
    <w:rsid w:val="00FA7A9B"/>
    <w:rsid w:val="00FA7AD7"/>
    <w:rsid w:val="00FA7B42"/>
    <w:rsid w:val="00FA7B55"/>
    <w:rsid w:val="00FA7B86"/>
    <w:rsid w:val="00FA7C19"/>
    <w:rsid w:val="00FA7C7E"/>
    <w:rsid w:val="00FA7CFB"/>
    <w:rsid w:val="00FA7D16"/>
    <w:rsid w:val="00FA7D19"/>
    <w:rsid w:val="00FA7D27"/>
    <w:rsid w:val="00FA7DA8"/>
    <w:rsid w:val="00FA7DAE"/>
    <w:rsid w:val="00FA7DBF"/>
    <w:rsid w:val="00FA7DC8"/>
    <w:rsid w:val="00FA7E28"/>
    <w:rsid w:val="00FA7EF1"/>
    <w:rsid w:val="00FA7F5D"/>
    <w:rsid w:val="00FA7F78"/>
    <w:rsid w:val="00FB0094"/>
    <w:rsid w:val="00FB01EC"/>
    <w:rsid w:val="00FB024B"/>
    <w:rsid w:val="00FB02A4"/>
    <w:rsid w:val="00FB03AF"/>
    <w:rsid w:val="00FB0423"/>
    <w:rsid w:val="00FB04B1"/>
    <w:rsid w:val="00FB04BC"/>
    <w:rsid w:val="00FB04E3"/>
    <w:rsid w:val="00FB04F6"/>
    <w:rsid w:val="00FB05D7"/>
    <w:rsid w:val="00FB05E8"/>
    <w:rsid w:val="00FB0630"/>
    <w:rsid w:val="00FB064A"/>
    <w:rsid w:val="00FB069A"/>
    <w:rsid w:val="00FB069E"/>
    <w:rsid w:val="00FB06B0"/>
    <w:rsid w:val="00FB0753"/>
    <w:rsid w:val="00FB0AF2"/>
    <w:rsid w:val="00FB0B4C"/>
    <w:rsid w:val="00FB0B8F"/>
    <w:rsid w:val="00FB0B9E"/>
    <w:rsid w:val="00FB0C2D"/>
    <w:rsid w:val="00FB0C39"/>
    <w:rsid w:val="00FB0CCB"/>
    <w:rsid w:val="00FB0DEE"/>
    <w:rsid w:val="00FB0E2A"/>
    <w:rsid w:val="00FB0ED5"/>
    <w:rsid w:val="00FB0EE9"/>
    <w:rsid w:val="00FB0F11"/>
    <w:rsid w:val="00FB1110"/>
    <w:rsid w:val="00FB111E"/>
    <w:rsid w:val="00FB113A"/>
    <w:rsid w:val="00FB11EC"/>
    <w:rsid w:val="00FB11F1"/>
    <w:rsid w:val="00FB11FE"/>
    <w:rsid w:val="00FB125B"/>
    <w:rsid w:val="00FB1265"/>
    <w:rsid w:val="00FB131B"/>
    <w:rsid w:val="00FB140E"/>
    <w:rsid w:val="00FB149C"/>
    <w:rsid w:val="00FB1555"/>
    <w:rsid w:val="00FB15A0"/>
    <w:rsid w:val="00FB1648"/>
    <w:rsid w:val="00FB1660"/>
    <w:rsid w:val="00FB171F"/>
    <w:rsid w:val="00FB1752"/>
    <w:rsid w:val="00FB1776"/>
    <w:rsid w:val="00FB1820"/>
    <w:rsid w:val="00FB18EB"/>
    <w:rsid w:val="00FB1902"/>
    <w:rsid w:val="00FB1904"/>
    <w:rsid w:val="00FB1A1F"/>
    <w:rsid w:val="00FB1B51"/>
    <w:rsid w:val="00FB1C9E"/>
    <w:rsid w:val="00FB1D23"/>
    <w:rsid w:val="00FB1DE5"/>
    <w:rsid w:val="00FB1DF6"/>
    <w:rsid w:val="00FB1EA1"/>
    <w:rsid w:val="00FB2069"/>
    <w:rsid w:val="00FB208B"/>
    <w:rsid w:val="00FB20A5"/>
    <w:rsid w:val="00FB214B"/>
    <w:rsid w:val="00FB2151"/>
    <w:rsid w:val="00FB216E"/>
    <w:rsid w:val="00FB2190"/>
    <w:rsid w:val="00FB21B9"/>
    <w:rsid w:val="00FB2240"/>
    <w:rsid w:val="00FB23CC"/>
    <w:rsid w:val="00FB24C0"/>
    <w:rsid w:val="00FB24FF"/>
    <w:rsid w:val="00FB25DD"/>
    <w:rsid w:val="00FB25E3"/>
    <w:rsid w:val="00FB261A"/>
    <w:rsid w:val="00FB26CF"/>
    <w:rsid w:val="00FB273C"/>
    <w:rsid w:val="00FB27D1"/>
    <w:rsid w:val="00FB2808"/>
    <w:rsid w:val="00FB29E1"/>
    <w:rsid w:val="00FB2A7E"/>
    <w:rsid w:val="00FB2ABB"/>
    <w:rsid w:val="00FB2C94"/>
    <w:rsid w:val="00FB2CC0"/>
    <w:rsid w:val="00FB2D72"/>
    <w:rsid w:val="00FB2E16"/>
    <w:rsid w:val="00FB2EBD"/>
    <w:rsid w:val="00FB305B"/>
    <w:rsid w:val="00FB30CA"/>
    <w:rsid w:val="00FB3101"/>
    <w:rsid w:val="00FB317A"/>
    <w:rsid w:val="00FB3188"/>
    <w:rsid w:val="00FB328E"/>
    <w:rsid w:val="00FB335F"/>
    <w:rsid w:val="00FB33DB"/>
    <w:rsid w:val="00FB3423"/>
    <w:rsid w:val="00FB3481"/>
    <w:rsid w:val="00FB3577"/>
    <w:rsid w:val="00FB364D"/>
    <w:rsid w:val="00FB36D6"/>
    <w:rsid w:val="00FB3737"/>
    <w:rsid w:val="00FB3742"/>
    <w:rsid w:val="00FB37D3"/>
    <w:rsid w:val="00FB386E"/>
    <w:rsid w:val="00FB39ED"/>
    <w:rsid w:val="00FB3A74"/>
    <w:rsid w:val="00FB3AD2"/>
    <w:rsid w:val="00FB3B45"/>
    <w:rsid w:val="00FB3BD0"/>
    <w:rsid w:val="00FB3C5C"/>
    <w:rsid w:val="00FB3C70"/>
    <w:rsid w:val="00FB3CF2"/>
    <w:rsid w:val="00FB3D98"/>
    <w:rsid w:val="00FB3DCF"/>
    <w:rsid w:val="00FB3EB9"/>
    <w:rsid w:val="00FB3F41"/>
    <w:rsid w:val="00FB41D0"/>
    <w:rsid w:val="00FB4232"/>
    <w:rsid w:val="00FB42DB"/>
    <w:rsid w:val="00FB432E"/>
    <w:rsid w:val="00FB4397"/>
    <w:rsid w:val="00FB4447"/>
    <w:rsid w:val="00FB453D"/>
    <w:rsid w:val="00FB4658"/>
    <w:rsid w:val="00FB4673"/>
    <w:rsid w:val="00FB46BC"/>
    <w:rsid w:val="00FB46E0"/>
    <w:rsid w:val="00FB4778"/>
    <w:rsid w:val="00FB47B7"/>
    <w:rsid w:val="00FB48EB"/>
    <w:rsid w:val="00FB4BF1"/>
    <w:rsid w:val="00FB4C9B"/>
    <w:rsid w:val="00FB4CE1"/>
    <w:rsid w:val="00FB4D03"/>
    <w:rsid w:val="00FB4D37"/>
    <w:rsid w:val="00FB4E14"/>
    <w:rsid w:val="00FB4EB9"/>
    <w:rsid w:val="00FB5015"/>
    <w:rsid w:val="00FB504C"/>
    <w:rsid w:val="00FB50CF"/>
    <w:rsid w:val="00FB5149"/>
    <w:rsid w:val="00FB51A2"/>
    <w:rsid w:val="00FB51B9"/>
    <w:rsid w:val="00FB51C8"/>
    <w:rsid w:val="00FB520C"/>
    <w:rsid w:val="00FB5216"/>
    <w:rsid w:val="00FB52A3"/>
    <w:rsid w:val="00FB5303"/>
    <w:rsid w:val="00FB5330"/>
    <w:rsid w:val="00FB534E"/>
    <w:rsid w:val="00FB5469"/>
    <w:rsid w:val="00FB54A2"/>
    <w:rsid w:val="00FB5571"/>
    <w:rsid w:val="00FB56F2"/>
    <w:rsid w:val="00FB5999"/>
    <w:rsid w:val="00FB5B8D"/>
    <w:rsid w:val="00FB5C2A"/>
    <w:rsid w:val="00FB5CD2"/>
    <w:rsid w:val="00FB5CE8"/>
    <w:rsid w:val="00FB5D40"/>
    <w:rsid w:val="00FB5DF7"/>
    <w:rsid w:val="00FB5DFF"/>
    <w:rsid w:val="00FB5F28"/>
    <w:rsid w:val="00FB5F4E"/>
    <w:rsid w:val="00FB5F53"/>
    <w:rsid w:val="00FB5F61"/>
    <w:rsid w:val="00FB5FB3"/>
    <w:rsid w:val="00FB5FFC"/>
    <w:rsid w:val="00FB6033"/>
    <w:rsid w:val="00FB605D"/>
    <w:rsid w:val="00FB6063"/>
    <w:rsid w:val="00FB61D3"/>
    <w:rsid w:val="00FB63B3"/>
    <w:rsid w:val="00FB6464"/>
    <w:rsid w:val="00FB649A"/>
    <w:rsid w:val="00FB66E4"/>
    <w:rsid w:val="00FB67DF"/>
    <w:rsid w:val="00FB684A"/>
    <w:rsid w:val="00FB6855"/>
    <w:rsid w:val="00FB68B6"/>
    <w:rsid w:val="00FB68C5"/>
    <w:rsid w:val="00FB6951"/>
    <w:rsid w:val="00FB6A7C"/>
    <w:rsid w:val="00FB6B62"/>
    <w:rsid w:val="00FB6BB2"/>
    <w:rsid w:val="00FB6BD1"/>
    <w:rsid w:val="00FB6C89"/>
    <w:rsid w:val="00FB6CE2"/>
    <w:rsid w:val="00FB6E36"/>
    <w:rsid w:val="00FB6FB1"/>
    <w:rsid w:val="00FB7009"/>
    <w:rsid w:val="00FB7044"/>
    <w:rsid w:val="00FB7063"/>
    <w:rsid w:val="00FB7095"/>
    <w:rsid w:val="00FB71EC"/>
    <w:rsid w:val="00FB7333"/>
    <w:rsid w:val="00FB7422"/>
    <w:rsid w:val="00FB749C"/>
    <w:rsid w:val="00FB7626"/>
    <w:rsid w:val="00FB764D"/>
    <w:rsid w:val="00FB776E"/>
    <w:rsid w:val="00FB77D5"/>
    <w:rsid w:val="00FB7828"/>
    <w:rsid w:val="00FB790A"/>
    <w:rsid w:val="00FB792D"/>
    <w:rsid w:val="00FB7A80"/>
    <w:rsid w:val="00FB7B65"/>
    <w:rsid w:val="00FB7B7D"/>
    <w:rsid w:val="00FB7BCA"/>
    <w:rsid w:val="00FB7C2D"/>
    <w:rsid w:val="00FB7C5A"/>
    <w:rsid w:val="00FB7D30"/>
    <w:rsid w:val="00FB7D8C"/>
    <w:rsid w:val="00FB7DB2"/>
    <w:rsid w:val="00FB7DEE"/>
    <w:rsid w:val="00FB7E98"/>
    <w:rsid w:val="00FB7F36"/>
    <w:rsid w:val="00FB7FD1"/>
    <w:rsid w:val="00FC0072"/>
    <w:rsid w:val="00FC019E"/>
    <w:rsid w:val="00FC01E5"/>
    <w:rsid w:val="00FC021E"/>
    <w:rsid w:val="00FC02BE"/>
    <w:rsid w:val="00FC0426"/>
    <w:rsid w:val="00FC054C"/>
    <w:rsid w:val="00FC0550"/>
    <w:rsid w:val="00FC0551"/>
    <w:rsid w:val="00FC062A"/>
    <w:rsid w:val="00FC06E7"/>
    <w:rsid w:val="00FC06E9"/>
    <w:rsid w:val="00FC0749"/>
    <w:rsid w:val="00FC075F"/>
    <w:rsid w:val="00FC082A"/>
    <w:rsid w:val="00FC082E"/>
    <w:rsid w:val="00FC088F"/>
    <w:rsid w:val="00FC099B"/>
    <w:rsid w:val="00FC0B03"/>
    <w:rsid w:val="00FC0BA5"/>
    <w:rsid w:val="00FC0C4E"/>
    <w:rsid w:val="00FC0C81"/>
    <w:rsid w:val="00FC0CA4"/>
    <w:rsid w:val="00FC1111"/>
    <w:rsid w:val="00FC1191"/>
    <w:rsid w:val="00FC119D"/>
    <w:rsid w:val="00FC11D2"/>
    <w:rsid w:val="00FC1201"/>
    <w:rsid w:val="00FC138B"/>
    <w:rsid w:val="00FC140B"/>
    <w:rsid w:val="00FC1459"/>
    <w:rsid w:val="00FC15CD"/>
    <w:rsid w:val="00FC1663"/>
    <w:rsid w:val="00FC1683"/>
    <w:rsid w:val="00FC16C2"/>
    <w:rsid w:val="00FC172C"/>
    <w:rsid w:val="00FC18D7"/>
    <w:rsid w:val="00FC19F8"/>
    <w:rsid w:val="00FC1BBB"/>
    <w:rsid w:val="00FC1BFA"/>
    <w:rsid w:val="00FC1C30"/>
    <w:rsid w:val="00FC1C3B"/>
    <w:rsid w:val="00FC1CB4"/>
    <w:rsid w:val="00FC1DD4"/>
    <w:rsid w:val="00FC1E3B"/>
    <w:rsid w:val="00FC1E7E"/>
    <w:rsid w:val="00FC1EDC"/>
    <w:rsid w:val="00FC1EFA"/>
    <w:rsid w:val="00FC1F6C"/>
    <w:rsid w:val="00FC1F8E"/>
    <w:rsid w:val="00FC1FFF"/>
    <w:rsid w:val="00FC20C9"/>
    <w:rsid w:val="00FC2119"/>
    <w:rsid w:val="00FC2151"/>
    <w:rsid w:val="00FC220C"/>
    <w:rsid w:val="00FC221D"/>
    <w:rsid w:val="00FC23BD"/>
    <w:rsid w:val="00FC2531"/>
    <w:rsid w:val="00FC2538"/>
    <w:rsid w:val="00FC2542"/>
    <w:rsid w:val="00FC25FA"/>
    <w:rsid w:val="00FC2692"/>
    <w:rsid w:val="00FC2718"/>
    <w:rsid w:val="00FC278C"/>
    <w:rsid w:val="00FC27D7"/>
    <w:rsid w:val="00FC282D"/>
    <w:rsid w:val="00FC28D0"/>
    <w:rsid w:val="00FC2954"/>
    <w:rsid w:val="00FC29C9"/>
    <w:rsid w:val="00FC2A0E"/>
    <w:rsid w:val="00FC2A14"/>
    <w:rsid w:val="00FC2A90"/>
    <w:rsid w:val="00FC2BF2"/>
    <w:rsid w:val="00FC2CB6"/>
    <w:rsid w:val="00FC2CCF"/>
    <w:rsid w:val="00FC2CEE"/>
    <w:rsid w:val="00FC2EC4"/>
    <w:rsid w:val="00FC2F53"/>
    <w:rsid w:val="00FC302C"/>
    <w:rsid w:val="00FC31B8"/>
    <w:rsid w:val="00FC31BE"/>
    <w:rsid w:val="00FC330C"/>
    <w:rsid w:val="00FC332D"/>
    <w:rsid w:val="00FC33A4"/>
    <w:rsid w:val="00FC33F1"/>
    <w:rsid w:val="00FC341D"/>
    <w:rsid w:val="00FC3436"/>
    <w:rsid w:val="00FC35CB"/>
    <w:rsid w:val="00FC3753"/>
    <w:rsid w:val="00FC37AF"/>
    <w:rsid w:val="00FC37C6"/>
    <w:rsid w:val="00FC38C4"/>
    <w:rsid w:val="00FC391B"/>
    <w:rsid w:val="00FC395D"/>
    <w:rsid w:val="00FC39AF"/>
    <w:rsid w:val="00FC3A3A"/>
    <w:rsid w:val="00FC3AEC"/>
    <w:rsid w:val="00FC3B89"/>
    <w:rsid w:val="00FC3D64"/>
    <w:rsid w:val="00FC3E81"/>
    <w:rsid w:val="00FC3E86"/>
    <w:rsid w:val="00FC3F61"/>
    <w:rsid w:val="00FC4041"/>
    <w:rsid w:val="00FC4082"/>
    <w:rsid w:val="00FC425D"/>
    <w:rsid w:val="00FC42FA"/>
    <w:rsid w:val="00FC435A"/>
    <w:rsid w:val="00FC43D2"/>
    <w:rsid w:val="00FC44C0"/>
    <w:rsid w:val="00FC44D1"/>
    <w:rsid w:val="00FC44E4"/>
    <w:rsid w:val="00FC4536"/>
    <w:rsid w:val="00FC45AC"/>
    <w:rsid w:val="00FC45C0"/>
    <w:rsid w:val="00FC4645"/>
    <w:rsid w:val="00FC4827"/>
    <w:rsid w:val="00FC483F"/>
    <w:rsid w:val="00FC4840"/>
    <w:rsid w:val="00FC4851"/>
    <w:rsid w:val="00FC4873"/>
    <w:rsid w:val="00FC48BA"/>
    <w:rsid w:val="00FC4942"/>
    <w:rsid w:val="00FC4A33"/>
    <w:rsid w:val="00FC4AD9"/>
    <w:rsid w:val="00FC4B0B"/>
    <w:rsid w:val="00FC4B13"/>
    <w:rsid w:val="00FC4C4C"/>
    <w:rsid w:val="00FC4D1E"/>
    <w:rsid w:val="00FC4D41"/>
    <w:rsid w:val="00FC4D8C"/>
    <w:rsid w:val="00FC4DB5"/>
    <w:rsid w:val="00FC4DF2"/>
    <w:rsid w:val="00FC4E38"/>
    <w:rsid w:val="00FC4F12"/>
    <w:rsid w:val="00FC4F6D"/>
    <w:rsid w:val="00FC503E"/>
    <w:rsid w:val="00FC5129"/>
    <w:rsid w:val="00FC5177"/>
    <w:rsid w:val="00FC525C"/>
    <w:rsid w:val="00FC534F"/>
    <w:rsid w:val="00FC53CD"/>
    <w:rsid w:val="00FC5486"/>
    <w:rsid w:val="00FC54AD"/>
    <w:rsid w:val="00FC54AE"/>
    <w:rsid w:val="00FC54C7"/>
    <w:rsid w:val="00FC54E3"/>
    <w:rsid w:val="00FC54F1"/>
    <w:rsid w:val="00FC55E1"/>
    <w:rsid w:val="00FC5602"/>
    <w:rsid w:val="00FC5673"/>
    <w:rsid w:val="00FC569D"/>
    <w:rsid w:val="00FC5751"/>
    <w:rsid w:val="00FC575B"/>
    <w:rsid w:val="00FC5779"/>
    <w:rsid w:val="00FC57BE"/>
    <w:rsid w:val="00FC585D"/>
    <w:rsid w:val="00FC5867"/>
    <w:rsid w:val="00FC5895"/>
    <w:rsid w:val="00FC592F"/>
    <w:rsid w:val="00FC59B4"/>
    <w:rsid w:val="00FC5B64"/>
    <w:rsid w:val="00FC5B88"/>
    <w:rsid w:val="00FC5C0A"/>
    <w:rsid w:val="00FC5C0D"/>
    <w:rsid w:val="00FC5C66"/>
    <w:rsid w:val="00FC5D2D"/>
    <w:rsid w:val="00FC5EA8"/>
    <w:rsid w:val="00FC5ED6"/>
    <w:rsid w:val="00FC5EE1"/>
    <w:rsid w:val="00FC5F30"/>
    <w:rsid w:val="00FC5FDF"/>
    <w:rsid w:val="00FC600B"/>
    <w:rsid w:val="00FC608E"/>
    <w:rsid w:val="00FC60DF"/>
    <w:rsid w:val="00FC6117"/>
    <w:rsid w:val="00FC6157"/>
    <w:rsid w:val="00FC638F"/>
    <w:rsid w:val="00FC63AC"/>
    <w:rsid w:val="00FC63D2"/>
    <w:rsid w:val="00FC640D"/>
    <w:rsid w:val="00FC6437"/>
    <w:rsid w:val="00FC6439"/>
    <w:rsid w:val="00FC64BA"/>
    <w:rsid w:val="00FC64D2"/>
    <w:rsid w:val="00FC64D8"/>
    <w:rsid w:val="00FC651A"/>
    <w:rsid w:val="00FC6533"/>
    <w:rsid w:val="00FC6609"/>
    <w:rsid w:val="00FC6696"/>
    <w:rsid w:val="00FC686B"/>
    <w:rsid w:val="00FC6898"/>
    <w:rsid w:val="00FC68EF"/>
    <w:rsid w:val="00FC6A82"/>
    <w:rsid w:val="00FC6B10"/>
    <w:rsid w:val="00FC6B50"/>
    <w:rsid w:val="00FC6B73"/>
    <w:rsid w:val="00FC6C0D"/>
    <w:rsid w:val="00FC6C1A"/>
    <w:rsid w:val="00FC6C4B"/>
    <w:rsid w:val="00FC6C59"/>
    <w:rsid w:val="00FC6CD5"/>
    <w:rsid w:val="00FC6D54"/>
    <w:rsid w:val="00FC6DD8"/>
    <w:rsid w:val="00FC6DD9"/>
    <w:rsid w:val="00FC6F88"/>
    <w:rsid w:val="00FC6FBA"/>
    <w:rsid w:val="00FC7059"/>
    <w:rsid w:val="00FC7076"/>
    <w:rsid w:val="00FC718B"/>
    <w:rsid w:val="00FC71B9"/>
    <w:rsid w:val="00FC7252"/>
    <w:rsid w:val="00FC72D5"/>
    <w:rsid w:val="00FC73B6"/>
    <w:rsid w:val="00FC754E"/>
    <w:rsid w:val="00FC75BD"/>
    <w:rsid w:val="00FC75E5"/>
    <w:rsid w:val="00FC75FF"/>
    <w:rsid w:val="00FC76E9"/>
    <w:rsid w:val="00FC77A2"/>
    <w:rsid w:val="00FC77C0"/>
    <w:rsid w:val="00FC782C"/>
    <w:rsid w:val="00FC78E5"/>
    <w:rsid w:val="00FC79D5"/>
    <w:rsid w:val="00FC79DE"/>
    <w:rsid w:val="00FC7B07"/>
    <w:rsid w:val="00FC7B1A"/>
    <w:rsid w:val="00FC7B65"/>
    <w:rsid w:val="00FC7C35"/>
    <w:rsid w:val="00FC7C7A"/>
    <w:rsid w:val="00FC7CA5"/>
    <w:rsid w:val="00FC7D62"/>
    <w:rsid w:val="00FC7E53"/>
    <w:rsid w:val="00FC7EDE"/>
    <w:rsid w:val="00FC7F56"/>
    <w:rsid w:val="00FC7F95"/>
    <w:rsid w:val="00FD0072"/>
    <w:rsid w:val="00FD00F1"/>
    <w:rsid w:val="00FD01FA"/>
    <w:rsid w:val="00FD020D"/>
    <w:rsid w:val="00FD023F"/>
    <w:rsid w:val="00FD02DC"/>
    <w:rsid w:val="00FD0322"/>
    <w:rsid w:val="00FD032D"/>
    <w:rsid w:val="00FD0356"/>
    <w:rsid w:val="00FD039E"/>
    <w:rsid w:val="00FD03F0"/>
    <w:rsid w:val="00FD041F"/>
    <w:rsid w:val="00FD04E2"/>
    <w:rsid w:val="00FD057A"/>
    <w:rsid w:val="00FD0621"/>
    <w:rsid w:val="00FD0719"/>
    <w:rsid w:val="00FD076C"/>
    <w:rsid w:val="00FD07B5"/>
    <w:rsid w:val="00FD0884"/>
    <w:rsid w:val="00FD089A"/>
    <w:rsid w:val="00FD08E3"/>
    <w:rsid w:val="00FD09D9"/>
    <w:rsid w:val="00FD0AFC"/>
    <w:rsid w:val="00FD0BD5"/>
    <w:rsid w:val="00FD0BE3"/>
    <w:rsid w:val="00FD0D4A"/>
    <w:rsid w:val="00FD0D97"/>
    <w:rsid w:val="00FD0DA8"/>
    <w:rsid w:val="00FD0E25"/>
    <w:rsid w:val="00FD0EEF"/>
    <w:rsid w:val="00FD0F00"/>
    <w:rsid w:val="00FD0F81"/>
    <w:rsid w:val="00FD0FCC"/>
    <w:rsid w:val="00FD0FD4"/>
    <w:rsid w:val="00FD0FE8"/>
    <w:rsid w:val="00FD1051"/>
    <w:rsid w:val="00FD10A8"/>
    <w:rsid w:val="00FD11DF"/>
    <w:rsid w:val="00FD11E6"/>
    <w:rsid w:val="00FD12AB"/>
    <w:rsid w:val="00FD1438"/>
    <w:rsid w:val="00FD163C"/>
    <w:rsid w:val="00FD166B"/>
    <w:rsid w:val="00FD16B9"/>
    <w:rsid w:val="00FD1750"/>
    <w:rsid w:val="00FD177A"/>
    <w:rsid w:val="00FD1796"/>
    <w:rsid w:val="00FD17F5"/>
    <w:rsid w:val="00FD183F"/>
    <w:rsid w:val="00FD187D"/>
    <w:rsid w:val="00FD18D9"/>
    <w:rsid w:val="00FD1938"/>
    <w:rsid w:val="00FD1C92"/>
    <w:rsid w:val="00FD1D7F"/>
    <w:rsid w:val="00FD1DAB"/>
    <w:rsid w:val="00FD1DC0"/>
    <w:rsid w:val="00FD1DC9"/>
    <w:rsid w:val="00FD1DCC"/>
    <w:rsid w:val="00FD1E9A"/>
    <w:rsid w:val="00FD1EDC"/>
    <w:rsid w:val="00FD1EFB"/>
    <w:rsid w:val="00FD1F01"/>
    <w:rsid w:val="00FD2049"/>
    <w:rsid w:val="00FD210E"/>
    <w:rsid w:val="00FD222F"/>
    <w:rsid w:val="00FD22C5"/>
    <w:rsid w:val="00FD22E5"/>
    <w:rsid w:val="00FD2308"/>
    <w:rsid w:val="00FD2316"/>
    <w:rsid w:val="00FD2506"/>
    <w:rsid w:val="00FD2556"/>
    <w:rsid w:val="00FD2591"/>
    <w:rsid w:val="00FD2701"/>
    <w:rsid w:val="00FD274C"/>
    <w:rsid w:val="00FD2754"/>
    <w:rsid w:val="00FD2764"/>
    <w:rsid w:val="00FD27E1"/>
    <w:rsid w:val="00FD280A"/>
    <w:rsid w:val="00FD2A6A"/>
    <w:rsid w:val="00FD2B42"/>
    <w:rsid w:val="00FD2B52"/>
    <w:rsid w:val="00FD2B95"/>
    <w:rsid w:val="00FD2BEE"/>
    <w:rsid w:val="00FD2E0D"/>
    <w:rsid w:val="00FD2E90"/>
    <w:rsid w:val="00FD3024"/>
    <w:rsid w:val="00FD302F"/>
    <w:rsid w:val="00FD309A"/>
    <w:rsid w:val="00FD30B3"/>
    <w:rsid w:val="00FD3182"/>
    <w:rsid w:val="00FD3245"/>
    <w:rsid w:val="00FD3338"/>
    <w:rsid w:val="00FD348E"/>
    <w:rsid w:val="00FD35F2"/>
    <w:rsid w:val="00FD3707"/>
    <w:rsid w:val="00FD372A"/>
    <w:rsid w:val="00FD385B"/>
    <w:rsid w:val="00FD3916"/>
    <w:rsid w:val="00FD3931"/>
    <w:rsid w:val="00FD397E"/>
    <w:rsid w:val="00FD3A4F"/>
    <w:rsid w:val="00FD3A82"/>
    <w:rsid w:val="00FD3A97"/>
    <w:rsid w:val="00FD3ACB"/>
    <w:rsid w:val="00FD3B57"/>
    <w:rsid w:val="00FD3D2B"/>
    <w:rsid w:val="00FD3D67"/>
    <w:rsid w:val="00FD3DD1"/>
    <w:rsid w:val="00FD3E76"/>
    <w:rsid w:val="00FD3E99"/>
    <w:rsid w:val="00FD3EF7"/>
    <w:rsid w:val="00FD3FF9"/>
    <w:rsid w:val="00FD40A4"/>
    <w:rsid w:val="00FD4239"/>
    <w:rsid w:val="00FD425F"/>
    <w:rsid w:val="00FD43AC"/>
    <w:rsid w:val="00FD43BC"/>
    <w:rsid w:val="00FD4421"/>
    <w:rsid w:val="00FD4424"/>
    <w:rsid w:val="00FD44B4"/>
    <w:rsid w:val="00FD453F"/>
    <w:rsid w:val="00FD4741"/>
    <w:rsid w:val="00FD4751"/>
    <w:rsid w:val="00FD488D"/>
    <w:rsid w:val="00FD4892"/>
    <w:rsid w:val="00FD48F3"/>
    <w:rsid w:val="00FD497F"/>
    <w:rsid w:val="00FD49D7"/>
    <w:rsid w:val="00FD4A40"/>
    <w:rsid w:val="00FD4A66"/>
    <w:rsid w:val="00FD4B82"/>
    <w:rsid w:val="00FD4BE4"/>
    <w:rsid w:val="00FD4C38"/>
    <w:rsid w:val="00FD4CCB"/>
    <w:rsid w:val="00FD4CE9"/>
    <w:rsid w:val="00FD4D9B"/>
    <w:rsid w:val="00FD4E9C"/>
    <w:rsid w:val="00FD4F0D"/>
    <w:rsid w:val="00FD4F74"/>
    <w:rsid w:val="00FD4FBC"/>
    <w:rsid w:val="00FD500A"/>
    <w:rsid w:val="00FD505A"/>
    <w:rsid w:val="00FD50C6"/>
    <w:rsid w:val="00FD5108"/>
    <w:rsid w:val="00FD51DF"/>
    <w:rsid w:val="00FD521A"/>
    <w:rsid w:val="00FD526B"/>
    <w:rsid w:val="00FD5276"/>
    <w:rsid w:val="00FD52EE"/>
    <w:rsid w:val="00FD53A5"/>
    <w:rsid w:val="00FD5400"/>
    <w:rsid w:val="00FD543D"/>
    <w:rsid w:val="00FD5444"/>
    <w:rsid w:val="00FD547C"/>
    <w:rsid w:val="00FD5493"/>
    <w:rsid w:val="00FD554E"/>
    <w:rsid w:val="00FD555F"/>
    <w:rsid w:val="00FD5653"/>
    <w:rsid w:val="00FD5806"/>
    <w:rsid w:val="00FD588B"/>
    <w:rsid w:val="00FD588F"/>
    <w:rsid w:val="00FD589B"/>
    <w:rsid w:val="00FD5971"/>
    <w:rsid w:val="00FD59E9"/>
    <w:rsid w:val="00FD5A2D"/>
    <w:rsid w:val="00FD5A69"/>
    <w:rsid w:val="00FD5A75"/>
    <w:rsid w:val="00FD5B7A"/>
    <w:rsid w:val="00FD5C1C"/>
    <w:rsid w:val="00FD5C6D"/>
    <w:rsid w:val="00FD5C86"/>
    <w:rsid w:val="00FD5CAA"/>
    <w:rsid w:val="00FD5D39"/>
    <w:rsid w:val="00FD5D44"/>
    <w:rsid w:val="00FD5D67"/>
    <w:rsid w:val="00FD5DEC"/>
    <w:rsid w:val="00FD5E0E"/>
    <w:rsid w:val="00FD5E29"/>
    <w:rsid w:val="00FD5E74"/>
    <w:rsid w:val="00FD5EA5"/>
    <w:rsid w:val="00FD5F65"/>
    <w:rsid w:val="00FD5F9C"/>
    <w:rsid w:val="00FD6091"/>
    <w:rsid w:val="00FD636A"/>
    <w:rsid w:val="00FD63D7"/>
    <w:rsid w:val="00FD643B"/>
    <w:rsid w:val="00FD65F6"/>
    <w:rsid w:val="00FD6609"/>
    <w:rsid w:val="00FD660C"/>
    <w:rsid w:val="00FD6616"/>
    <w:rsid w:val="00FD66D7"/>
    <w:rsid w:val="00FD6757"/>
    <w:rsid w:val="00FD6814"/>
    <w:rsid w:val="00FD6887"/>
    <w:rsid w:val="00FD68CB"/>
    <w:rsid w:val="00FD68FB"/>
    <w:rsid w:val="00FD69CC"/>
    <w:rsid w:val="00FD69E8"/>
    <w:rsid w:val="00FD69F5"/>
    <w:rsid w:val="00FD6A11"/>
    <w:rsid w:val="00FD6A7E"/>
    <w:rsid w:val="00FD6A94"/>
    <w:rsid w:val="00FD6B90"/>
    <w:rsid w:val="00FD6B99"/>
    <w:rsid w:val="00FD6C2D"/>
    <w:rsid w:val="00FD6C39"/>
    <w:rsid w:val="00FD6E62"/>
    <w:rsid w:val="00FD6E8A"/>
    <w:rsid w:val="00FD6F18"/>
    <w:rsid w:val="00FD6F1B"/>
    <w:rsid w:val="00FD6FDF"/>
    <w:rsid w:val="00FD7025"/>
    <w:rsid w:val="00FD708C"/>
    <w:rsid w:val="00FD709B"/>
    <w:rsid w:val="00FD7120"/>
    <w:rsid w:val="00FD7160"/>
    <w:rsid w:val="00FD72DE"/>
    <w:rsid w:val="00FD72EF"/>
    <w:rsid w:val="00FD73B5"/>
    <w:rsid w:val="00FD7426"/>
    <w:rsid w:val="00FD7476"/>
    <w:rsid w:val="00FD762F"/>
    <w:rsid w:val="00FD77B4"/>
    <w:rsid w:val="00FD7815"/>
    <w:rsid w:val="00FD782F"/>
    <w:rsid w:val="00FD7839"/>
    <w:rsid w:val="00FD7884"/>
    <w:rsid w:val="00FD79C7"/>
    <w:rsid w:val="00FD79F6"/>
    <w:rsid w:val="00FD7A45"/>
    <w:rsid w:val="00FD7A5C"/>
    <w:rsid w:val="00FD7AF1"/>
    <w:rsid w:val="00FD7BCD"/>
    <w:rsid w:val="00FD7C92"/>
    <w:rsid w:val="00FD7CC4"/>
    <w:rsid w:val="00FD7F19"/>
    <w:rsid w:val="00FD7F2F"/>
    <w:rsid w:val="00FD7F32"/>
    <w:rsid w:val="00FD7F8E"/>
    <w:rsid w:val="00FE0000"/>
    <w:rsid w:val="00FE016F"/>
    <w:rsid w:val="00FE0204"/>
    <w:rsid w:val="00FE043F"/>
    <w:rsid w:val="00FE04AC"/>
    <w:rsid w:val="00FE0509"/>
    <w:rsid w:val="00FE0661"/>
    <w:rsid w:val="00FE0684"/>
    <w:rsid w:val="00FE089F"/>
    <w:rsid w:val="00FE0948"/>
    <w:rsid w:val="00FE096E"/>
    <w:rsid w:val="00FE0991"/>
    <w:rsid w:val="00FE09BB"/>
    <w:rsid w:val="00FE09EE"/>
    <w:rsid w:val="00FE0A0C"/>
    <w:rsid w:val="00FE0A26"/>
    <w:rsid w:val="00FE0B19"/>
    <w:rsid w:val="00FE0B51"/>
    <w:rsid w:val="00FE0B5E"/>
    <w:rsid w:val="00FE0BA5"/>
    <w:rsid w:val="00FE0C05"/>
    <w:rsid w:val="00FE0CE6"/>
    <w:rsid w:val="00FE0DEA"/>
    <w:rsid w:val="00FE0EAB"/>
    <w:rsid w:val="00FE0F0B"/>
    <w:rsid w:val="00FE0F61"/>
    <w:rsid w:val="00FE0FCE"/>
    <w:rsid w:val="00FE101E"/>
    <w:rsid w:val="00FE1065"/>
    <w:rsid w:val="00FE1099"/>
    <w:rsid w:val="00FE113C"/>
    <w:rsid w:val="00FE1386"/>
    <w:rsid w:val="00FE13DC"/>
    <w:rsid w:val="00FE1427"/>
    <w:rsid w:val="00FE153D"/>
    <w:rsid w:val="00FE1668"/>
    <w:rsid w:val="00FE168F"/>
    <w:rsid w:val="00FE1774"/>
    <w:rsid w:val="00FE1786"/>
    <w:rsid w:val="00FE179C"/>
    <w:rsid w:val="00FE181B"/>
    <w:rsid w:val="00FE184A"/>
    <w:rsid w:val="00FE1860"/>
    <w:rsid w:val="00FE1883"/>
    <w:rsid w:val="00FE1B42"/>
    <w:rsid w:val="00FE1BCA"/>
    <w:rsid w:val="00FE1BCE"/>
    <w:rsid w:val="00FE1C43"/>
    <w:rsid w:val="00FE1C9C"/>
    <w:rsid w:val="00FE1CB0"/>
    <w:rsid w:val="00FE1D86"/>
    <w:rsid w:val="00FE1DB3"/>
    <w:rsid w:val="00FE1DBC"/>
    <w:rsid w:val="00FE1E1C"/>
    <w:rsid w:val="00FE1E77"/>
    <w:rsid w:val="00FE1F64"/>
    <w:rsid w:val="00FE1FAF"/>
    <w:rsid w:val="00FE1FC1"/>
    <w:rsid w:val="00FE2042"/>
    <w:rsid w:val="00FE206A"/>
    <w:rsid w:val="00FE20A8"/>
    <w:rsid w:val="00FE20D4"/>
    <w:rsid w:val="00FE218C"/>
    <w:rsid w:val="00FE22FB"/>
    <w:rsid w:val="00FE2341"/>
    <w:rsid w:val="00FE2388"/>
    <w:rsid w:val="00FE23CC"/>
    <w:rsid w:val="00FE2429"/>
    <w:rsid w:val="00FE24EF"/>
    <w:rsid w:val="00FE2531"/>
    <w:rsid w:val="00FE26DA"/>
    <w:rsid w:val="00FE26E4"/>
    <w:rsid w:val="00FE2765"/>
    <w:rsid w:val="00FE27DF"/>
    <w:rsid w:val="00FE280F"/>
    <w:rsid w:val="00FE2928"/>
    <w:rsid w:val="00FE29A6"/>
    <w:rsid w:val="00FE29BB"/>
    <w:rsid w:val="00FE29E6"/>
    <w:rsid w:val="00FE2A25"/>
    <w:rsid w:val="00FE2A46"/>
    <w:rsid w:val="00FE2A57"/>
    <w:rsid w:val="00FE2A80"/>
    <w:rsid w:val="00FE2B2E"/>
    <w:rsid w:val="00FE2BC7"/>
    <w:rsid w:val="00FE2C1E"/>
    <w:rsid w:val="00FE2C62"/>
    <w:rsid w:val="00FE2C65"/>
    <w:rsid w:val="00FE2D26"/>
    <w:rsid w:val="00FE2DEF"/>
    <w:rsid w:val="00FE2E93"/>
    <w:rsid w:val="00FE2ED4"/>
    <w:rsid w:val="00FE2EE8"/>
    <w:rsid w:val="00FE2F36"/>
    <w:rsid w:val="00FE2F45"/>
    <w:rsid w:val="00FE316A"/>
    <w:rsid w:val="00FE3214"/>
    <w:rsid w:val="00FE3267"/>
    <w:rsid w:val="00FE32B9"/>
    <w:rsid w:val="00FE3386"/>
    <w:rsid w:val="00FE349B"/>
    <w:rsid w:val="00FE3582"/>
    <w:rsid w:val="00FE3591"/>
    <w:rsid w:val="00FE3639"/>
    <w:rsid w:val="00FE36DB"/>
    <w:rsid w:val="00FE3726"/>
    <w:rsid w:val="00FE3810"/>
    <w:rsid w:val="00FE386B"/>
    <w:rsid w:val="00FE38F1"/>
    <w:rsid w:val="00FE3908"/>
    <w:rsid w:val="00FE3988"/>
    <w:rsid w:val="00FE39BC"/>
    <w:rsid w:val="00FE3A3A"/>
    <w:rsid w:val="00FE3A3E"/>
    <w:rsid w:val="00FE3A3F"/>
    <w:rsid w:val="00FE3B74"/>
    <w:rsid w:val="00FE3B94"/>
    <w:rsid w:val="00FE3BCC"/>
    <w:rsid w:val="00FE3C74"/>
    <w:rsid w:val="00FE3CF3"/>
    <w:rsid w:val="00FE3DC9"/>
    <w:rsid w:val="00FE3DD9"/>
    <w:rsid w:val="00FE3E2D"/>
    <w:rsid w:val="00FE3E34"/>
    <w:rsid w:val="00FE3FB7"/>
    <w:rsid w:val="00FE4027"/>
    <w:rsid w:val="00FE40FB"/>
    <w:rsid w:val="00FE413D"/>
    <w:rsid w:val="00FE41CB"/>
    <w:rsid w:val="00FE426D"/>
    <w:rsid w:val="00FE42AB"/>
    <w:rsid w:val="00FE436A"/>
    <w:rsid w:val="00FE4417"/>
    <w:rsid w:val="00FE444D"/>
    <w:rsid w:val="00FE4499"/>
    <w:rsid w:val="00FE449F"/>
    <w:rsid w:val="00FE44B0"/>
    <w:rsid w:val="00FE44B7"/>
    <w:rsid w:val="00FE44C1"/>
    <w:rsid w:val="00FE44C9"/>
    <w:rsid w:val="00FE44D8"/>
    <w:rsid w:val="00FE4573"/>
    <w:rsid w:val="00FE45A4"/>
    <w:rsid w:val="00FE495D"/>
    <w:rsid w:val="00FE498B"/>
    <w:rsid w:val="00FE49FC"/>
    <w:rsid w:val="00FE4AAA"/>
    <w:rsid w:val="00FE4B48"/>
    <w:rsid w:val="00FE4BBB"/>
    <w:rsid w:val="00FE4C80"/>
    <w:rsid w:val="00FE4CA7"/>
    <w:rsid w:val="00FE4D07"/>
    <w:rsid w:val="00FE4D69"/>
    <w:rsid w:val="00FE4D6B"/>
    <w:rsid w:val="00FE4DF8"/>
    <w:rsid w:val="00FE4F70"/>
    <w:rsid w:val="00FE5030"/>
    <w:rsid w:val="00FE507D"/>
    <w:rsid w:val="00FE50AD"/>
    <w:rsid w:val="00FE515F"/>
    <w:rsid w:val="00FE5197"/>
    <w:rsid w:val="00FE5236"/>
    <w:rsid w:val="00FE5285"/>
    <w:rsid w:val="00FE537D"/>
    <w:rsid w:val="00FE5403"/>
    <w:rsid w:val="00FE540E"/>
    <w:rsid w:val="00FE543A"/>
    <w:rsid w:val="00FE547F"/>
    <w:rsid w:val="00FE54AA"/>
    <w:rsid w:val="00FE5602"/>
    <w:rsid w:val="00FE5605"/>
    <w:rsid w:val="00FE56F4"/>
    <w:rsid w:val="00FE5721"/>
    <w:rsid w:val="00FE5749"/>
    <w:rsid w:val="00FE5769"/>
    <w:rsid w:val="00FE5781"/>
    <w:rsid w:val="00FE578B"/>
    <w:rsid w:val="00FE589D"/>
    <w:rsid w:val="00FE58F4"/>
    <w:rsid w:val="00FE593F"/>
    <w:rsid w:val="00FE5982"/>
    <w:rsid w:val="00FE5A3F"/>
    <w:rsid w:val="00FE5A6B"/>
    <w:rsid w:val="00FE5AB8"/>
    <w:rsid w:val="00FE5B39"/>
    <w:rsid w:val="00FE5B48"/>
    <w:rsid w:val="00FE5B9C"/>
    <w:rsid w:val="00FE5BCD"/>
    <w:rsid w:val="00FE5D5D"/>
    <w:rsid w:val="00FE5E05"/>
    <w:rsid w:val="00FE5E79"/>
    <w:rsid w:val="00FE5ED6"/>
    <w:rsid w:val="00FE5F3E"/>
    <w:rsid w:val="00FE5F42"/>
    <w:rsid w:val="00FE611B"/>
    <w:rsid w:val="00FE61EF"/>
    <w:rsid w:val="00FE645D"/>
    <w:rsid w:val="00FE6472"/>
    <w:rsid w:val="00FE652D"/>
    <w:rsid w:val="00FE6562"/>
    <w:rsid w:val="00FE6598"/>
    <w:rsid w:val="00FE65C3"/>
    <w:rsid w:val="00FE6643"/>
    <w:rsid w:val="00FE6674"/>
    <w:rsid w:val="00FE66B9"/>
    <w:rsid w:val="00FE66DB"/>
    <w:rsid w:val="00FE66DC"/>
    <w:rsid w:val="00FE6710"/>
    <w:rsid w:val="00FE671B"/>
    <w:rsid w:val="00FE6881"/>
    <w:rsid w:val="00FE6916"/>
    <w:rsid w:val="00FE6943"/>
    <w:rsid w:val="00FE69DF"/>
    <w:rsid w:val="00FE6A25"/>
    <w:rsid w:val="00FE6A5C"/>
    <w:rsid w:val="00FE6C8B"/>
    <w:rsid w:val="00FE6C96"/>
    <w:rsid w:val="00FE6D76"/>
    <w:rsid w:val="00FE6D84"/>
    <w:rsid w:val="00FE6DA4"/>
    <w:rsid w:val="00FE6EC6"/>
    <w:rsid w:val="00FE6F53"/>
    <w:rsid w:val="00FE6FA7"/>
    <w:rsid w:val="00FE7024"/>
    <w:rsid w:val="00FE7055"/>
    <w:rsid w:val="00FE710B"/>
    <w:rsid w:val="00FE7120"/>
    <w:rsid w:val="00FE7128"/>
    <w:rsid w:val="00FE713B"/>
    <w:rsid w:val="00FE7187"/>
    <w:rsid w:val="00FE729B"/>
    <w:rsid w:val="00FE72B2"/>
    <w:rsid w:val="00FE72CA"/>
    <w:rsid w:val="00FE7354"/>
    <w:rsid w:val="00FE737F"/>
    <w:rsid w:val="00FE743A"/>
    <w:rsid w:val="00FE75C1"/>
    <w:rsid w:val="00FE7634"/>
    <w:rsid w:val="00FE7663"/>
    <w:rsid w:val="00FE766D"/>
    <w:rsid w:val="00FE7722"/>
    <w:rsid w:val="00FE7780"/>
    <w:rsid w:val="00FE7787"/>
    <w:rsid w:val="00FE7853"/>
    <w:rsid w:val="00FE78F6"/>
    <w:rsid w:val="00FE7B9A"/>
    <w:rsid w:val="00FE7CCE"/>
    <w:rsid w:val="00FE7D65"/>
    <w:rsid w:val="00FE7D7A"/>
    <w:rsid w:val="00FE7DA5"/>
    <w:rsid w:val="00FE7E15"/>
    <w:rsid w:val="00FE7ECC"/>
    <w:rsid w:val="00FE7F16"/>
    <w:rsid w:val="00FE7FB1"/>
    <w:rsid w:val="00FF01D0"/>
    <w:rsid w:val="00FF028F"/>
    <w:rsid w:val="00FF0336"/>
    <w:rsid w:val="00FF03B5"/>
    <w:rsid w:val="00FF041D"/>
    <w:rsid w:val="00FF04C8"/>
    <w:rsid w:val="00FF04CE"/>
    <w:rsid w:val="00FF04FB"/>
    <w:rsid w:val="00FF051E"/>
    <w:rsid w:val="00FF0555"/>
    <w:rsid w:val="00FF0573"/>
    <w:rsid w:val="00FF05D9"/>
    <w:rsid w:val="00FF064E"/>
    <w:rsid w:val="00FF0709"/>
    <w:rsid w:val="00FF077C"/>
    <w:rsid w:val="00FF08AE"/>
    <w:rsid w:val="00FF0958"/>
    <w:rsid w:val="00FF096E"/>
    <w:rsid w:val="00FF0982"/>
    <w:rsid w:val="00FF09B7"/>
    <w:rsid w:val="00FF09F3"/>
    <w:rsid w:val="00FF0B2A"/>
    <w:rsid w:val="00FF0B67"/>
    <w:rsid w:val="00FF0B9E"/>
    <w:rsid w:val="00FF0BC1"/>
    <w:rsid w:val="00FF0BC3"/>
    <w:rsid w:val="00FF0BE6"/>
    <w:rsid w:val="00FF0BFE"/>
    <w:rsid w:val="00FF0C14"/>
    <w:rsid w:val="00FF0C38"/>
    <w:rsid w:val="00FF0C3A"/>
    <w:rsid w:val="00FF0CD1"/>
    <w:rsid w:val="00FF0D7C"/>
    <w:rsid w:val="00FF0D7E"/>
    <w:rsid w:val="00FF0DA5"/>
    <w:rsid w:val="00FF0DF2"/>
    <w:rsid w:val="00FF0E10"/>
    <w:rsid w:val="00FF0EA2"/>
    <w:rsid w:val="00FF0F10"/>
    <w:rsid w:val="00FF0F27"/>
    <w:rsid w:val="00FF0F75"/>
    <w:rsid w:val="00FF0F9E"/>
    <w:rsid w:val="00FF0FCB"/>
    <w:rsid w:val="00FF10A8"/>
    <w:rsid w:val="00FF10BF"/>
    <w:rsid w:val="00FF1147"/>
    <w:rsid w:val="00FF116D"/>
    <w:rsid w:val="00FF1173"/>
    <w:rsid w:val="00FF11C2"/>
    <w:rsid w:val="00FF12C2"/>
    <w:rsid w:val="00FF13D0"/>
    <w:rsid w:val="00FF140C"/>
    <w:rsid w:val="00FF155E"/>
    <w:rsid w:val="00FF15BE"/>
    <w:rsid w:val="00FF163D"/>
    <w:rsid w:val="00FF167A"/>
    <w:rsid w:val="00FF1682"/>
    <w:rsid w:val="00FF1901"/>
    <w:rsid w:val="00FF1A17"/>
    <w:rsid w:val="00FF1A77"/>
    <w:rsid w:val="00FF1B20"/>
    <w:rsid w:val="00FF1C76"/>
    <w:rsid w:val="00FF1D02"/>
    <w:rsid w:val="00FF1DDA"/>
    <w:rsid w:val="00FF1E29"/>
    <w:rsid w:val="00FF1E2A"/>
    <w:rsid w:val="00FF1EB6"/>
    <w:rsid w:val="00FF1F15"/>
    <w:rsid w:val="00FF1F5F"/>
    <w:rsid w:val="00FF20C0"/>
    <w:rsid w:val="00FF2108"/>
    <w:rsid w:val="00FF2115"/>
    <w:rsid w:val="00FF21E0"/>
    <w:rsid w:val="00FF227C"/>
    <w:rsid w:val="00FF236D"/>
    <w:rsid w:val="00FF239D"/>
    <w:rsid w:val="00FF246E"/>
    <w:rsid w:val="00FF249E"/>
    <w:rsid w:val="00FF24CF"/>
    <w:rsid w:val="00FF252F"/>
    <w:rsid w:val="00FF25EC"/>
    <w:rsid w:val="00FF2625"/>
    <w:rsid w:val="00FF2638"/>
    <w:rsid w:val="00FF26BB"/>
    <w:rsid w:val="00FF26E8"/>
    <w:rsid w:val="00FF26FA"/>
    <w:rsid w:val="00FF2717"/>
    <w:rsid w:val="00FF2746"/>
    <w:rsid w:val="00FF2774"/>
    <w:rsid w:val="00FF279F"/>
    <w:rsid w:val="00FF2825"/>
    <w:rsid w:val="00FF28B6"/>
    <w:rsid w:val="00FF28B9"/>
    <w:rsid w:val="00FF2AA0"/>
    <w:rsid w:val="00FF2AC0"/>
    <w:rsid w:val="00FF2B68"/>
    <w:rsid w:val="00FF2B92"/>
    <w:rsid w:val="00FF2BA9"/>
    <w:rsid w:val="00FF2BDA"/>
    <w:rsid w:val="00FF2BE2"/>
    <w:rsid w:val="00FF2BEA"/>
    <w:rsid w:val="00FF2D30"/>
    <w:rsid w:val="00FF2D4B"/>
    <w:rsid w:val="00FF2DE2"/>
    <w:rsid w:val="00FF2E85"/>
    <w:rsid w:val="00FF2EA1"/>
    <w:rsid w:val="00FF2ED9"/>
    <w:rsid w:val="00FF2FC2"/>
    <w:rsid w:val="00FF316F"/>
    <w:rsid w:val="00FF31D6"/>
    <w:rsid w:val="00FF327F"/>
    <w:rsid w:val="00FF3286"/>
    <w:rsid w:val="00FF3315"/>
    <w:rsid w:val="00FF3333"/>
    <w:rsid w:val="00FF3434"/>
    <w:rsid w:val="00FF348B"/>
    <w:rsid w:val="00FF3527"/>
    <w:rsid w:val="00FF3609"/>
    <w:rsid w:val="00FF3703"/>
    <w:rsid w:val="00FF3720"/>
    <w:rsid w:val="00FF373A"/>
    <w:rsid w:val="00FF37EF"/>
    <w:rsid w:val="00FF38BE"/>
    <w:rsid w:val="00FF3900"/>
    <w:rsid w:val="00FF3909"/>
    <w:rsid w:val="00FF397E"/>
    <w:rsid w:val="00FF3A77"/>
    <w:rsid w:val="00FF3AD7"/>
    <w:rsid w:val="00FF3B14"/>
    <w:rsid w:val="00FF3C83"/>
    <w:rsid w:val="00FF3CA2"/>
    <w:rsid w:val="00FF3CD2"/>
    <w:rsid w:val="00FF3CE6"/>
    <w:rsid w:val="00FF3D38"/>
    <w:rsid w:val="00FF3D84"/>
    <w:rsid w:val="00FF3DB0"/>
    <w:rsid w:val="00FF3DFF"/>
    <w:rsid w:val="00FF3EF1"/>
    <w:rsid w:val="00FF3FAB"/>
    <w:rsid w:val="00FF3FB3"/>
    <w:rsid w:val="00FF3FB7"/>
    <w:rsid w:val="00FF404B"/>
    <w:rsid w:val="00FF40DA"/>
    <w:rsid w:val="00FF416F"/>
    <w:rsid w:val="00FF42AF"/>
    <w:rsid w:val="00FF4615"/>
    <w:rsid w:val="00FF46BA"/>
    <w:rsid w:val="00FF473B"/>
    <w:rsid w:val="00FF48F1"/>
    <w:rsid w:val="00FF4907"/>
    <w:rsid w:val="00FF49B8"/>
    <w:rsid w:val="00FF49C5"/>
    <w:rsid w:val="00FF4AD6"/>
    <w:rsid w:val="00FF4B8F"/>
    <w:rsid w:val="00FF4BAE"/>
    <w:rsid w:val="00FF4C81"/>
    <w:rsid w:val="00FF4CE5"/>
    <w:rsid w:val="00FF4D35"/>
    <w:rsid w:val="00FF4D69"/>
    <w:rsid w:val="00FF4FD4"/>
    <w:rsid w:val="00FF50C7"/>
    <w:rsid w:val="00FF512F"/>
    <w:rsid w:val="00FF526B"/>
    <w:rsid w:val="00FF5354"/>
    <w:rsid w:val="00FF5404"/>
    <w:rsid w:val="00FF546A"/>
    <w:rsid w:val="00FF5545"/>
    <w:rsid w:val="00FF557E"/>
    <w:rsid w:val="00FF55BC"/>
    <w:rsid w:val="00FF5679"/>
    <w:rsid w:val="00FF5777"/>
    <w:rsid w:val="00FF57DA"/>
    <w:rsid w:val="00FF5849"/>
    <w:rsid w:val="00FF58C5"/>
    <w:rsid w:val="00FF597C"/>
    <w:rsid w:val="00FF597D"/>
    <w:rsid w:val="00FF597F"/>
    <w:rsid w:val="00FF5A07"/>
    <w:rsid w:val="00FF5A8B"/>
    <w:rsid w:val="00FF5AF2"/>
    <w:rsid w:val="00FF5C21"/>
    <w:rsid w:val="00FF5CC7"/>
    <w:rsid w:val="00FF5CDB"/>
    <w:rsid w:val="00FF5D0D"/>
    <w:rsid w:val="00FF5D47"/>
    <w:rsid w:val="00FF5E89"/>
    <w:rsid w:val="00FF6001"/>
    <w:rsid w:val="00FF6104"/>
    <w:rsid w:val="00FF61B7"/>
    <w:rsid w:val="00FF61BD"/>
    <w:rsid w:val="00FF61D5"/>
    <w:rsid w:val="00FF62AE"/>
    <w:rsid w:val="00FF62BB"/>
    <w:rsid w:val="00FF635E"/>
    <w:rsid w:val="00FF6391"/>
    <w:rsid w:val="00FF63F2"/>
    <w:rsid w:val="00FF6477"/>
    <w:rsid w:val="00FF655A"/>
    <w:rsid w:val="00FF65DD"/>
    <w:rsid w:val="00FF66EA"/>
    <w:rsid w:val="00FF670E"/>
    <w:rsid w:val="00FF6781"/>
    <w:rsid w:val="00FF67D9"/>
    <w:rsid w:val="00FF683F"/>
    <w:rsid w:val="00FF6849"/>
    <w:rsid w:val="00FF689F"/>
    <w:rsid w:val="00FF6923"/>
    <w:rsid w:val="00FF699A"/>
    <w:rsid w:val="00FF69AC"/>
    <w:rsid w:val="00FF6A40"/>
    <w:rsid w:val="00FF6ABE"/>
    <w:rsid w:val="00FF6B62"/>
    <w:rsid w:val="00FF6C58"/>
    <w:rsid w:val="00FF6C7E"/>
    <w:rsid w:val="00FF6CAD"/>
    <w:rsid w:val="00FF6CFD"/>
    <w:rsid w:val="00FF6D53"/>
    <w:rsid w:val="00FF6DBD"/>
    <w:rsid w:val="00FF6DDD"/>
    <w:rsid w:val="00FF6EC1"/>
    <w:rsid w:val="00FF6FB7"/>
    <w:rsid w:val="00FF6FC8"/>
    <w:rsid w:val="00FF7036"/>
    <w:rsid w:val="00FF70B3"/>
    <w:rsid w:val="00FF70C0"/>
    <w:rsid w:val="00FF7195"/>
    <w:rsid w:val="00FF71F5"/>
    <w:rsid w:val="00FF7294"/>
    <w:rsid w:val="00FF72C2"/>
    <w:rsid w:val="00FF72C9"/>
    <w:rsid w:val="00FF735E"/>
    <w:rsid w:val="00FF735F"/>
    <w:rsid w:val="00FF73F6"/>
    <w:rsid w:val="00FF741C"/>
    <w:rsid w:val="00FF74CB"/>
    <w:rsid w:val="00FF7508"/>
    <w:rsid w:val="00FF7527"/>
    <w:rsid w:val="00FF75CC"/>
    <w:rsid w:val="00FF7641"/>
    <w:rsid w:val="00FF76C7"/>
    <w:rsid w:val="00FF781E"/>
    <w:rsid w:val="00FF785F"/>
    <w:rsid w:val="00FF78B4"/>
    <w:rsid w:val="00FF78E6"/>
    <w:rsid w:val="00FF7A32"/>
    <w:rsid w:val="00FF7A55"/>
    <w:rsid w:val="00FF7ACB"/>
    <w:rsid w:val="00FF7AF8"/>
    <w:rsid w:val="00FF7B39"/>
    <w:rsid w:val="00FF7DC2"/>
    <w:rsid w:val="00FF7E56"/>
    <w:rsid w:val="00FF7EF5"/>
    <w:rsid w:val="00FF7F13"/>
    <w:rsid w:val="00FF7F3A"/>
    <w:rsid w:val="00FF7F81"/>
    <w:rsid w:val="010553A2"/>
    <w:rsid w:val="0107F16F"/>
    <w:rsid w:val="010B85B0"/>
    <w:rsid w:val="010CB120"/>
    <w:rsid w:val="0115043F"/>
    <w:rsid w:val="011509F2"/>
    <w:rsid w:val="011649F5"/>
    <w:rsid w:val="0117BEEE"/>
    <w:rsid w:val="0117D5CC"/>
    <w:rsid w:val="011BD631"/>
    <w:rsid w:val="011C7E23"/>
    <w:rsid w:val="0120DA45"/>
    <w:rsid w:val="0125E13D"/>
    <w:rsid w:val="0127DCF3"/>
    <w:rsid w:val="012A6B3D"/>
    <w:rsid w:val="01309E1A"/>
    <w:rsid w:val="0131C9B2"/>
    <w:rsid w:val="0139AB15"/>
    <w:rsid w:val="013D0B58"/>
    <w:rsid w:val="013E0833"/>
    <w:rsid w:val="01400C35"/>
    <w:rsid w:val="014522F5"/>
    <w:rsid w:val="0147556F"/>
    <w:rsid w:val="01493CFB"/>
    <w:rsid w:val="014A1640"/>
    <w:rsid w:val="014C5374"/>
    <w:rsid w:val="014E93F3"/>
    <w:rsid w:val="014F5DB6"/>
    <w:rsid w:val="0153175D"/>
    <w:rsid w:val="01536569"/>
    <w:rsid w:val="015BC83F"/>
    <w:rsid w:val="015DF9C2"/>
    <w:rsid w:val="01644523"/>
    <w:rsid w:val="016801CE"/>
    <w:rsid w:val="016955AF"/>
    <w:rsid w:val="016AD465"/>
    <w:rsid w:val="016DD616"/>
    <w:rsid w:val="016EB344"/>
    <w:rsid w:val="016EF9AD"/>
    <w:rsid w:val="0170DAE1"/>
    <w:rsid w:val="017200B8"/>
    <w:rsid w:val="0173E47C"/>
    <w:rsid w:val="017479FD"/>
    <w:rsid w:val="017E6408"/>
    <w:rsid w:val="017ED5FF"/>
    <w:rsid w:val="0183C202"/>
    <w:rsid w:val="018449C7"/>
    <w:rsid w:val="0184CE14"/>
    <w:rsid w:val="0191A997"/>
    <w:rsid w:val="01939C48"/>
    <w:rsid w:val="0194857F"/>
    <w:rsid w:val="0197618B"/>
    <w:rsid w:val="01A2AC57"/>
    <w:rsid w:val="01A62D74"/>
    <w:rsid w:val="01AA1676"/>
    <w:rsid w:val="01AA2E7F"/>
    <w:rsid w:val="01AA2F6D"/>
    <w:rsid w:val="01ACBDAA"/>
    <w:rsid w:val="01AD5D04"/>
    <w:rsid w:val="01AEED75"/>
    <w:rsid w:val="01B211E8"/>
    <w:rsid w:val="01C03EF4"/>
    <w:rsid w:val="01C63B27"/>
    <w:rsid w:val="01CA7E4A"/>
    <w:rsid w:val="01CBC105"/>
    <w:rsid w:val="01CFE5F1"/>
    <w:rsid w:val="01D45EE7"/>
    <w:rsid w:val="01D4EF17"/>
    <w:rsid w:val="01D96379"/>
    <w:rsid w:val="01DA522E"/>
    <w:rsid w:val="01DAEC88"/>
    <w:rsid w:val="01DCE0DF"/>
    <w:rsid w:val="01DF5B62"/>
    <w:rsid w:val="01E3A366"/>
    <w:rsid w:val="01EC8086"/>
    <w:rsid w:val="01ECBCEF"/>
    <w:rsid w:val="01ED840F"/>
    <w:rsid w:val="01F874AB"/>
    <w:rsid w:val="0200D1F9"/>
    <w:rsid w:val="02074EC2"/>
    <w:rsid w:val="020AF11C"/>
    <w:rsid w:val="020CD6A8"/>
    <w:rsid w:val="020D4AAB"/>
    <w:rsid w:val="0210C6E7"/>
    <w:rsid w:val="021C523C"/>
    <w:rsid w:val="021D7352"/>
    <w:rsid w:val="021DEE86"/>
    <w:rsid w:val="02220B22"/>
    <w:rsid w:val="02226120"/>
    <w:rsid w:val="02232423"/>
    <w:rsid w:val="02249E74"/>
    <w:rsid w:val="022BC0B9"/>
    <w:rsid w:val="022EB7FA"/>
    <w:rsid w:val="0233391A"/>
    <w:rsid w:val="023691B4"/>
    <w:rsid w:val="0239B8C5"/>
    <w:rsid w:val="023F60DE"/>
    <w:rsid w:val="0240EC76"/>
    <w:rsid w:val="0242DA96"/>
    <w:rsid w:val="02468236"/>
    <w:rsid w:val="0247116B"/>
    <w:rsid w:val="024C3010"/>
    <w:rsid w:val="0257A58C"/>
    <w:rsid w:val="0257B403"/>
    <w:rsid w:val="025AE243"/>
    <w:rsid w:val="025D87A3"/>
    <w:rsid w:val="025FA0E5"/>
    <w:rsid w:val="0260D108"/>
    <w:rsid w:val="0262A20F"/>
    <w:rsid w:val="0264A925"/>
    <w:rsid w:val="0265A6E9"/>
    <w:rsid w:val="02684981"/>
    <w:rsid w:val="0268DEFA"/>
    <w:rsid w:val="026BFF78"/>
    <w:rsid w:val="026D2C6F"/>
    <w:rsid w:val="026DBFD8"/>
    <w:rsid w:val="0271377B"/>
    <w:rsid w:val="02718139"/>
    <w:rsid w:val="0275BFC5"/>
    <w:rsid w:val="0279D636"/>
    <w:rsid w:val="0279E253"/>
    <w:rsid w:val="027A4F07"/>
    <w:rsid w:val="027A990E"/>
    <w:rsid w:val="027CBEC2"/>
    <w:rsid w:val="027E20D5"/>
    <w:rsid w:val="027EC89B"/>
    <w:rsid w:val="028007B2"/>
    <w:rsid w:val="0284F600"/>
    <w:rsid w:val="028BC6FF"/>
    <w:rsid w:val="028D66D0"/>
    <w:rsid w:val="02917C75"/>
    <w:rsid w:val="02924290"/>
    <w:rsid w:val="029780B0"/>
    <w:rsid w:val="029AF4A5"/>
    <w:rsid w:val="029BA36D"/>
    <w:rsid w:val="029CCD70"/>
    <w:rsid w:val="029DC112"/>
    <w:rsid w:val="029F24D0"/>
    <w:rsid w:val="029FD6E6"/>
    <w:rsid w:val="02A178AA"/>
    <w:rsid w:val="02AAF589"/>
    <w:rsid w:val="02B930E1"/>
    <w:rsid w:val="02BBD6B4"/>
    <w:rsid w:val="02BF153B"/>
    <w:rsid w:val="02BF4371"/>
    <w:rsid w:val="02C0F42E"/>
    <w:rsid w:val="02C1857C"/>
    <w:rsid w:val="02CAC0DD"/>
    <w:rsid w:val="02D2E5DD"/>
    <w:rsid w:val="02D36EF8"/>
    <w:rsid w:val="02DA2FBA"/>
    <w:rsid w:val="02DC70C0"/>
    <w:rsid w:val="02E01F7A"/>
    <w:rsid w:val="02E28851"/>
    <w:rsid w:val="02E9527C"/>
    <w:rsid w:val="02E9869E"/>
    <w:rsid w:val="02E9D415"/>
    <w:rsid w:val="02EA6454"/>
    <w:rsid w:val="02EF8308"/>
    <w:rsid w:val="02F3457C"/>
    <w:rsid w:val="02F7B280"/>
    <w:rsid w:val="03007687"/>
    <w:rsid w:val="0300C06D"/>
    <w:rsid w:val="03026AFF"/>
    <w:rsid w:val="030498A6"/>
    <w:rsid w:val="03076BF9"/>
    <w:rsid w:val="0307E40B"/>
    <w:rsid w:val="030ACFED"/>
    <w:rsid w:val="030AEB55"/>
    <w:rsid w:val="030AEEA6"/>
    <w:rsid w:val="030E6E9D"/>
    <w:rsid w:val="030EBA42"/>
    <w:rsid w:val="03136581"/>
    <w:rsid w:val="031643FE"/>
    <w:rsid w:val="031A66DE"/>
    <w:rsid w:val="0326E9E2"/>
    <w:rsid w:val="032A9D94"/>
    <w:rsid w:val="032B24E1"/>
    <w:rsid w:val="0334145E"/>
    <w:rsid w:val="033571EE"/>
    <w:rsid w:val="033D4D22"/>
    <w:rsid w:val="0344F9E7"/>
    <w:rsid w:val="034E8CD0"/>
    <w:rsid w:val="03580BDC"/>
    <w:rsid w:val="035EEE05"/>
    <w:rsid w:val="035FE3EA"/>
    <w:rsid w:val="03632541"/>
    <w:rsid w:val="03677BE4"/>
    <w:rsid w:val="0371513B"/>
    <w:rsid w:val="03720FCB"/>
    <w:rsid w:val="0384C624"/>
    <w:rsid w:val="0386E9FB"/>
    <w:rsid w:val="0389AE06"/>
    <w:rsid w:val="038F6D45"/>
    <w:rsid w:val="03907F97"/>
    <w:rsid w:val="03926E62"/>
    <w:rsid w:val="03946525"/>
    <w:rsid w:val="03992B4D"/>
    <w:rsid w:val="039AEF25"/>
    <w:rsid w:val="039D0AAA"/>
    <w:rsid w:val="039D8D02"/>
    <w:rsid w:val="039E37F7"/>
    <w:rsid w:val="039EB904"/>
    <w:rsid w:val="039F7CDF"/>
    <w:rsid w:val="039FBB7C"/>
    <w:rsid w:val="03A43CB5"/>
    <w:rsid w:val="03A44126"/>
    <w:rsid w:val="03A5771A"/>
    <w:rsid w:val="03A60A43"/>
    <w:rsid w:val="03A97243"/>
    <w:rsid w:val="03AA759A"/>
    <w:rsid w:val="03B210FF"/>
    <w:rsid w:val="03B4FE25"/>
    <w:rsid w:val="03B794EE"/>
    <w:rsid w:val="03B93C36"/>
    <w:rsid w:val="03C5E5E8"/>
    <w:rsid w:val="03C9B586"/>
    <w:rsid w:val="03CE325B"/>
    <w:rsid w:val="03D6CD4D"/>
    <w:rsid w:val="03D9AF9E"/>
    <w:rsid w:val="03DAD77E"/>
    <w:rsid w:val="03DB4740"/>
    <w:rsid w:val="03E6F10D"/>
    <w:rsid w:val="03EEA7A4"/>
    <w:rsid w:val="03F24020"/>
    <w:rsid w:val="03F5BE5B"/>
    <w:rsid w:val="03F6131B"/>
    <w:rsid w:val="03F95804"/>
    <w:rsid w:val="03FCE7A8"/>
    <w:rsid w:val="0400653C"/>
    <w:rsid w:val="0401679F"/>
    <w:rsid w:val="040646A4"/>
    <w:rsid w:val="040782E5"/>
    <w:rsid w:val="04179FD9"/>
    <w:rsid w:val="0419F29E"/>
    <w:rsid w:val="041B42C7"/>
    <w:rsid w:val="041F0759"/>
    <w:rsid w:val="041FE0F9"/>
    <w:rsid w:val="042614CA"/>
    <w:rsid w:val="0428D077"/>
    <w:rsid w:val="0429E3EC"/>
    <w:rsid w:val="04309FDB"/>
    <w:rsid w:val="0438B776"/>
    <w:rsid w:val="043BED34"/>
    <w:rsid w:val="043D5A93"/>
    <w:rsid w:val="043D9F5F"/>
    <w:rsid w:val="043E1A02"/>
    <w:rsid w:val="04443BE1"/>
    <w:rsid w:val="0448893D"/>
    <w:rsid w:val="044B7BC4"/>
    <w:rsid w:val="044F471D"/>
    <w:rsid w:val="0452F457"/>
    <w:rsid w:val="04559EC4"/>
    <w:rsid w:val="0459B3F3"/>
    <w:rsid w:val="045F3FD6"/>
    <w:rsid w:val="0465D95F"/>
    <w:rsid w:val="0470C6C4"/>
    <w:rsid w:val="04713DF5"/>
    <w:rsid w:val="04714456"/>
    <w:rsid w:val="0476041D"/>
    <w:rsid w:val="047C1B46"/>
    <w:rsid w:val="047E7218"/>
    <w:rsid w:val="048034B6"/>
    <w:rsid w:val="0482C615"/>
    <w:rsid w:val="0487040C"/>
    <w:rsid w:val="04891C3C"/>
    <w:rsid w:val="048C541C"/>
    <w:rsid w:val="0491E0DD"/>
    <w:rsid w:val="04921F17"/>
    <w:rsid w:val="04922F91"/>
    <w:rsid w:val="0492C00C"/>
    <w:rsid w:val="049402A5"/>
    <w:rsid w:val="04940F36"/>
    <w:rsid w:val="049D15A5"/>
    <w:rsid w:val="049E028B"/>
    <w:rsid w:val="049F1648"/>
    <w:rsid w:val="04A129AE"/>
    <w:rsid w:val="04AB4736"/>
    <w:rsid w:val="04B1636E"/>
    <w:rsid w:val="04B67F32"/>
    <w:rsid w:val="04B82010"/>
    <w:rsid w:val="04C04E2B"/>
    <w:rsid w:val="04C47024"/>
    <w:rsid w:val="04C61969"/>
    <w:rsid w:val="04C8895F"/>
    <w:rsid w:val="04C95215"/>
    <w:rsid w:val="04C96CCB"/>
    <w:rsid w:val="04C9E922"/>
    <w:rsid w:val="04CFD5BF"/>
    <w:rsid w:val="04D1CDA9"/>
    <w:rsid w:val="04D87FBD"/>
    <w:rsid w:val="04DDEF13"/>
    <w:rsid w:val="04E29AEE"/>
    <w:rsid w:val="04E70369"/>
    <w:rsid w:val="04E8675D"/>
    <w:rsid w:val="04E87489"/>
    <w:rsid w:val="04F5F5B1"/>
    <w:rsid w:val="04F9EBE7"/>
    <w:rsid w:val="04FF8F3C"/>
    <w:rsid w:val="05012300"/>
    <w:rsid w:val="0503E74D"/>
    <w:rsid w:val="0504D2F5"/>
    <w:rsid w:val="05094233"/>
    <w:rsid w:val="050B4249"/>
    <w:rsid w:val="051EFFBF"/>
    <w:rsid w:val="051F74B8"/>
    <w:rsid w:val="052299A8"/>
    <w:rsid w:val="0524313D"/>
    <w:rsid w:val="0529AEC7"/>
    <w:rsid w:val="05322780"/>
    <w:rsid w:val="0534420A"/>
    <w:rsid w:val="053498CD"/>
    <w:rsid w:val="053D8751"/>
    <w:rsid w:val="0543743A"/>
    <w:rsid w:val="05448B27"/>
    <w:rsid w:val="054794D4"/>
    <w:rsid w:val="054B0959"/>
    <w:rsid w:val="0550035C"/>
    <w:rsid w:val="05523547"/>
    <w:rsid w:val="0554CA0C"/>
    <w:rsid w:val="0555F309"/>
    <w:rsid w:val="055874B1"/>
    <w:rsid w:val="055B0A72"/>
    <w:rsid w:val="055B2CF8"/>
    <w:rsid w:val="055E7091"/>
    <w:rsid w:val="056360BA"/>
    <w:rsid w:val="05659E0D"/>
    <w:rsid w:val="05676729"/>
    <w:rsid w:val="05677DC1"/>
    <w:rsid w:val="05697064"/>
    <w:rsid w:val="056B01B0"/>
    <w:rsid w:val="056B5695"/>
    <w:rsid w:val="056FF986"/>
    <w:rsid w:val="057172F0"/>
    <w:rsid w:val="0574F381"/>
    <w:rsid w:val="05757945"/>
    <w:rsid w:val="057AE21A"/>
    <w:rsid w:val="057D1754"/>
    <w:rsid w:val="057F0224"/>
    <w:rsid w:val="057F7073"/>
    <w:rsid w:val="0581CC1F"/>
    <w:rsid w:val="0583AFB3"/>
    <w:rsid w:val="0585561F"/>
    <w:rsid w:val="05873630"/>
    <w:rsid w:val="05876081"/>
    <w:rsid w:val="05896E8C"/>
    <w:rsid w:val="058B9D39"/>
    <w:rsid w:val="058DE206"/>
    <w:rsid w:val="05903818"/>
    <w:rsid w:val="059246D8"/>
    <w:rsid w:val="0592CCE8"/>
    <w:rsid w:val="0596953F"/>
    <w:rsid w:val="059854CA"/>
    <w:rsid w:val="059A081E"/>
    <w:rsid w:val="059B472E"/>
    <w:rsid w:val="059BA613"/>
    <w:rsid w:val="05A14DE8"/>
    <w:rsid w:val="05A39A11"/>
    <w:rsid w:val="05A8F2F2"/>
    <w:rsid w:val="05A99CE3"/>
    <w:rsid w:val="05AC02BF"/>
    <w:rsid w:val="05B3FC68"/>
    <w:rsid w:val="05B55E3F"/>
    <w:rsid w:val="05B99575"/>
    <w:rsid w:val="05BA687B"/>
    <w:rsid w:val="05BE21E6"/>
    <w:rsid w:val="05BFF447"/>
    <w:rsid w:val="05C03F24"/>
    <w:rsid w:val="05C070A9"/>
    <w:rsid w:val="05C2F65E"/>
    <w:rsid w:val="05C79118"/>
    <w:rsid w:val="05C9BE39"/>
    <w:rsid w:val="05CB9E53"/>
    <w:rsid w:val="05CCA464"/>
    <w:rsid w:val="05D2464E"/>
    <w:rsid w:val="05D37C1D"/>
    <w:rsid w:val="05D7EC5A"/>
    <w:rsid w:val="05DEF287"/>
    <w:rsid w:val="05E96109"/>
    <w:rsid w:val="05EA8FCC"/>
    <w:rsid w:val="05EB492A"/>
    <w:rsid w:val="05EF358B"/>
    <w:rsid w:val="05EF7B04"/>
    <w:rsid w:val="05F06F2B"/>
    <w:rsid w:val="05F1BF81"/>
    <w:rsid w:val="05F26F3A"/>
    <w:rsid w:val="05F5E3B6"/>
    <w:rsid w:val="05FCB337"/>
    <w:rsid w:val="05FD035F"/>
    <w:rsid w:val="05FE38F7"/>
    <w:rsid w:val="05FEC183"/>
    <w:rsid w:val="0600D460"/>
    <w:rsid w:val="0601F987"/>
    <w:rsid w:val="060449C2"/>
    <w:rsid w:val="06065CE1"/>
    <w:rsid w:val="06089FBE"/>
    <w:rsid w:val="060A3A33"/>
    <w:rsid w:val="060BA4E1"/>
    <w:rsid w:val="060F6094"/>
    <w:rsid w:val="06145446"/>
    <w:rsid w:val="06162CB5"/>
    <w:rsid w:val="061726A0"/>
    <w:rsid w:val="06183B55"/>
    <w:rsid w:val="06198A52"/>
    <w:rsid w:val="061A4575"/>
    <w:rsid w:val="061E1929"/>
    <w:rsid w:val="062744A6"/>
    <w:rsid w:val="0627A10A"/>
    <w:rsid w:val="0629827E"/>
    <w:rsid w:val="062AA3DA"/>
    <w:rsid w:val="062B607F"/>
    <w:rsid w:val="062CEB9F"/>
    <w:rsid w:val="062F0526"/>
    <w:rsid w:val="06337FD0"/>
    <w:rsid w:val="06369739"/>
    <w:rsid w:val="0636ACF0"/>
    <w:rsid w:val="0636AE15"/>
    <w:rsid w:val="06431F12"/>
    <w:rsid w:val="0644B3E6"/>
    <w:rsid w:val="064949D1"/>
    <w:rsid w:val="064DD72E"/>
    <w:rsid w:val="0650255A"/>
    <w:rsid w:val="06511ABF"/>
    <w:rsid w:val="0651A042"/>
    <w:rsid w:val="0651BF57"/>
    <w:rsid w:val="06532032"/>
    <w:rsid w:val="065587A1"/>
    <w:rsid w:val="0655EAA3"/>
    <w:rsid w:val="06593BD8"/>
    <w:rsid w:val="065C6BE1"/>
    <w:rsid w:val="065E92FD"/>
    <w:rsid w:val="065F64E6"/>
    <w:rsid w:val="0661AFDB"/>
    <w:rsid w:val="0662F023"/>
    <w:rsid w:val="06649A26"/>
    <w:rsid w:val="0666F018"/>
    <w:rsid w:val="066969B6"/>
    <w:rsid w:val="066E3232"/>
    <w:rsid w:val="066EDB02"/>
    <w:rsid w:val="067567E4"/>
    <w:rsid w:val="067621B5"/>
    <w:rsid w:val="067788D4"/>
    <w:rsid w:val="067E809B"/>
    <w:rsid w:val="067FCC05"/>
    <w:rsid w:val="0687B881"/>
    <w:rsid w:val="068A9B7F"/>
    <w:rsid w:val="068B74EC"/>
    <w:rsid w:val="068BCA5F"/>
    <w:rsid w:val="069184FD"/>
    <w:rsid w:val="069357A3"/>
    <w:rsid w:val="06945155"/>
    <w:rsid w:val="0696A6B7"/>
    <w:rsid w:val="06976B97"/>
    <w:rsid w:val="0697E4E9"/>
    <w:rsid w:val="069817DA"/>
    <w:rsid w:val="06994E39"/>
    <w:rsid w:val="069A1EFD"/>
    <w:rsid w:val="069CD006"/>
    <w:rsid w:val="06A53D65"/>
    <w:rsid w:val="06B0972E"/>
    <w:rsid w:val="06B4024D"/>
    <w:rsid w:val="06B5EFC0"/>
    <w:rsid w:val="06B7CA00"/>
    <w:rsid w:val="06BC52E4"/>
    <w:rsid w:val="06BEC399"/>
    <w:rsid w:val="06CBA828"/>
    <w:rsid w:val="06CC4E6F"/>
    <w:rsid w:val="06CD0141"/>
    <w:rsid w:val="06CF181D"/>
    <w:rsid w:val="06D343D3"/>
    <w:rsid w:val="06D41D56"/>
    <w:rsid w:val="06DFEE37"/>
    <w:rsid w:val="06E09D6C"/>
    <w:rsid w:val="06E7041F"/>
    <w:rsid w:val="06E8B9E3"/>
    <w:rsid w:val="06E9733D"/>
    <w:rsid w:val="06ECCE07"/>
    <w:rsid w:val="06EF9556"/>
    <w:rsid w:val="06F501ED"/>
    <w:rsid w:val="06F56D4A"/>
    <w:rsid w:val="06F8584B"/>
    <w:rsid w:val="06FE22B9"/>
    <w:rsid w:val="07095188"/>
    <w:rsid w:val="070A59F0"/>
    <w:rsid w:val="070C3B4D"/>
    <w:rsid w:val="070C69D6"/>
    <w:rsid w:val="0711906E"/>
    <w:rsid w:val="0711CB6D"/>
    <w:rsid w:val="07148CAC"/>
    <w:rsid w:val="071F8014"/>
    <w:rsid w:val="0721A678"/>
    <w:rsid w:val="07227CC4"/>
    <w:rsid w:val="072D2971"/>
    <w:rsid w:val="0733A95E"/>
    <w:rsid w:val="07381147"/>
    <w:rsid w:val="0738DB99"/>
    <w:rsid w:val="073C15DC"/>
    <w:rsid w:val="073CCB4C"/>
    <w:rsid w:val="073D4446"/>
    <w:rsid w:val="07409AE7"/>
    <w:rsid w:val="074218CC"/>
    <w:rsid w:val="0742B6B3"/>
    <w:rsid w:val="0743D102"/>
    <w:rsid w:val="0744132C"/>
    <w:rsid w:val="074B1580"/>
    <w:rsid w:val="074BC488"/>
    <w:rsid w:val="0753258F"/>
    <w:rsid w:val="0753FFB2"/>
    <w:rsid w:val="07544488"/>
    <w:rsid w:val="0754C341"/>
    <w:rsid w:val="075866B3"/>
    <w:rsid w:val="075A6175"/>
    <w:rsid w:val="075B762F"/>
    <w:rsid w:val="075EAC29"/>
    <w:rsid w:val="076371D1"/>
    <w:rsid w:val="07644EE3"/>
    <w:rsid w:val="07655526"/>
    <w:rsid w:val="0765C0DB"/>
    <w:rsid w:val="0767F153"/>
    <w:rsid w:val="0769B0E6"/>
    <w:rsid w:val="076C8635"/>
    <w:rsid w:val="0773FB7E"/>
    <w:rsid w:val="077D7BA0"/>
    <w:rsid w:val="0783D902"/>
    <w:rsid w:val="078B229F"/>
    <w:rsid w:val="078C6DF6"/>
    <w:rsid w:val="078CDC3B"/>
    <w:rsid w:val="078ED159"/>
    <w:rsid w:val="078ED358"/>
    <w:rsid w:val="07904F7F"/>
    <w:rsid w:val="079108FB"/>
    <w:rsid w:val="07921480"/>
    <w:rsid w:val="0793409F"/>
    <w:rsid w:val="079432D2"/>
    <w:rsid w:val="0799582F"/>
    <w:rsid w:val="079BB5FE"/>
    <w:rsid w:val="07A1F759"/>
    <w:rsid w:val="07A30AE9"/>
    <w:rsid w:val="07A99617"/>
    <w:rsid w:val="07AAC899"/>
    <w:rsid w:val="07AE1EFC"/>
    <w:rsid w:val="07AE44AD"/>
    <w:rsid w:val="07AF4DF6"/>
    <w:rsid w:val="07B7F100"/>
    <w:rsid w:val="07B8E531"/>
    <w:rsid w:val="07BBBA8A"/>
    <w:rsid w:val="07BEEEB1"/>
    <w:rsid w:val="07C6A13F"/>
    <w:rsid w:val="07CCB2B9"/>
    <w:rsid w:val="07CEC77D"/>
    <w:rsid w:val="07D0D850"/>
    <w:rsid w:val="07D2F6ED"/>
    <w:rsid w:val="07D40AB9"/>
    <w:rsid w:val="07D6AC6C"/>
    <w:rsid w:val="07D792C0"/>
    <w:rsid w:val="07DAE985"/>
    <w:rsid w:val="07DBA72B"/>
    <w:rsid w:val="07DCE1C7"/>
    <w:rsid w:val="07E4BD49"/>
    <w:rsid w:val="07EAE25B"/>
    <w:rsid w:val="07EBB5C0"/>
    <w:rsid w:val="07EE205E"/>
    <w:rsid w:val="07F19B20"/>
    <w:rsid w:val="07F77700"/>
    <w:rsid w:val="07FB708D"/>
    <w:rsid w:val="07FEB589"/>
    <w:rsid w:val="07FEC2BF"/>
    <w:rsid w:val="08002843"/>
    <w:rsid w:val="080254DF"/>
    <w:rsid w:val="08071A34"/>
    <w:rsid w:val="08077EF8"/>
    <w:rsid w:val="08079B1A"/>
    <w:rsid w:val="08083A5E"/>
    <w:rsid w:val="080A8F9F"/>
    <w:rsid w:val="080ABD97"/>
    <w:rsid w:val="080BF331"/>
    <w:rsid w:val="081163AF"/>
    <w:rsid w:val="0814D6F5"/>
    <w:rsid w:val="0816D6EE"/>
    <w:rsid w:val="0817C156"/>
    <w:rsid w:val="081858BC"/>
    <w:rsid w:val="081C6976"/>
    <w:rsid w:val="081DBD73"/>
    <w:rsid w:val="081ED714"/>
    <w:rsid w:val="0822ED32"/>
    <w:rsid w:val="0824A597"/>
    <w:rsid w:val="08263A02"/>
    <w:rsid w:val="08299065"/>
    <w:rsid w:val="082CF247"/>
    <w:rsid w:val="082D2C6B"/>
    <w:rsid w:val="082F7F5E"/>
    <w:rsid w:val="08307C54"/>
    <w:rsid w:val="0830B904"/>
    <w:rsid w:val="083FD729"/>
    <w:rsid w:val="08405A5F"/>
    <w:rsid w:val="0843C850"/>
    <w:rsid w:val="0846B698"/>
    <w:rsid w:val="0846C5FD"/>
    <w:rsid w:val="0846F122"/>
    <w:rsid w:val="084B25D9"/>
    <w:rsid w:val="084E225C"/>
    <w:rsid w:val="0853671E"/>
    <w:rsid w:val="0853C960"/>
    <w:rsid w:val="0869BAD0"/>
    <w:rsid w:val="0873C1C2"/>
    <w:rsid w:val="0874C72C"/>
    <w:rsid w:val="087503CA"/>
    <w:rsid w:val="0877403A"/>
    <w:rsid w:val="087923D9"/>
    <w:rsid w:val="0879973B"/>
    <w:rsid w:val="087BB3DC"/>
    <w:rsid w:val="087C901E"/>
    <w:rsid w:val="0882DCEC"/>
    <w:rsid w:val="088DECC8"/>
    <w:rsid w:val="0890514A"/>
    <w:rsid w:val="08906FBC"/>
    <w:rsid w:val="089725FB"/>
    <w:rsid w:val="0899EBC0"/>
    <w:rsid w:val="08A87891"/>
    <w:rsid w:val="08A8D3D7"/>
    <w:rsid w:val="08A94AF5"/>
    <w:rsid w:val="08AC0DF9"/>
    <w:rsid w:val="08ADE637"/>
    <w:rsid w:val="08AFF2E1"/>
    <w:rsid w:val="08B30952"/>
    <w:rsid w:val="08B496C3"/>
    <w:rsid w:val="08B525C3"/>
    <w:rsid w:val="08B7980A"/>
    <w:rsid w:val="08B889EB"/>
    <w:rsid w:val="08B8FF1B"/>
    <w:rsid w:val="08BDAF5E"/>
    <w:rsid w:val="08BF7FE6"/>
    <w:rsid w:val="08C090C9"/>
    <w:rsid w:val="08C3AEA8"/>
    <w:rsid w:val="08C72193"/>
    <w:rsid w:val="08CB6DDD"/>
    <w:rsid w:val="08CBF06E"/>
    <w:rsid w:val="08CE5471"/>
    <w:rsid w:val="08DCCDDE"/>
    <w:rsid w:val="08DCEC46"/>
    <w:rsid w:val="08E112BA"/>
    <w:rsid w:val="08EA8A21"/>
    <w:rsid w:val="08F04B33"/>
    <w:rsid w:val="08F36B41"/>
    <w:rsid w:val="08F55A3F"/>
    <w:rsid w:val="08F9405B"/>
    <w:rsid w:val="090138E6"/>
    <w:rsid w:val="09042C87"/>
    <w:rsid w:val="0904F4C1"/>
    <w:rsid w:val="09051BD3"/>
    <w:rsid w:val="09076C1D"/>
    <w:rsid w:val="090CBA84"/>
    <w:rsid w:val="090F5F26"/>
    <w:rsid w:val="0910BE43"/>
    <w:rsid w:val="0910D911"/>
    <w:rsid w:val="09165140"/>
    <w:rsid w:val="091905C4"/>
    <w:rsid w:val="0919E247"/>
    <w:rsid w:val="092087C0"/>
    <w:rsid w:val="09236EE3"/>
    <w:rsid w:val="092466F8"/>
    <w:rsid w:val="09256D1B"/>
    <w:rsid w:val="09261EC8"/>
    <w:rsid w:val="092A1276"/>
    <w:rsid w:val="092A9F8B"/>
    <w:rsid w:val="092C8FD7"/>
    <w:rsid w:val="09333695"/>
    <w:rsid w:val="0938DAC4"/>
    <w:rsid w:val="0939F7C9"/>
    <w:rsid w:val="093A1FE0"/>
    <w:rsid w:val="093A441D"/>
    <w:rsid w:val="093F5B1B"/>
    <w:rsid w:val="094410CA"/>
    <w:rsid w:val="09458035"/>
    <w:rsid w:val="09458314"/>
    <w:rsid w:val="094612AB"/>
    <w:rsid w:val="09464E7E"/>
    <w:rsid w:val="0948925B"/>
    <w:rsid w:val="094ACC6C"/>
    <w:rsid w:val="094CEFBC"/>
    <w:rsid w:val="09529752"/>
    <w:rsid w:val="0955F34B"/>
    <w:rsid w:val="09569E93"/>
    <w:rsid w:val="09578AEB"/>
    <w:rsid w:val="095809ED"/>
    <w:rsid w:val="095A6890"/>
    <w:rsid w:val="095F36C8"/>
    <w:rsid w:val="095F7883"/>
    <w:rsid w:val="09628598"/>
    <w:rsid w:val="0965B33F"/>
    <w:rsid w:val="0965E4CE"/>
    <w:rsid w:val="0967003F"/>
    <w:rsid w:val="0969D094"/>
    <w:rsid w:val="0969F124"/>
    <w:rsid w:val="096BAA4D"/>
    <w:rsid w:val="09799FB9"/>
    <w:rsid w:val="097C6C0F"/>
    <w:rsid w:val="097C6D45"/>
    <w:rsid w:val="0980EDC5"/>
    <w:rsid w:val="098439DB"/>
    <w:rsid w:val="09867D83"/>
    <w:rsid w:val="09880DF9"/>
    <w:rsid w:val="0988174D"/>
    <w:rsid w:val="0989A862"/>
    <w:rsid w:val="0989C500"/>
    <w:rsid w:val="098A8EE1"/>
    <w:rsid w:val="09982EAE"/>
    <w:rsid w:val="099ECCBD"/>
    <w:rsid w:val="09A3F47E"/>
    <w:rsid w:val="09A61D29"/>
    <w:rsid w:val="09A99A38"/>
    <w:rsid w:val="09AF2287"/>
    <w:rsid w:val="09B16014"/>
    <w:rsid w:val="09B852DA"/>
    <w:rsid w:val="09BA81B6"/>
    <w:rsid w:val="09BFD67E"/>
    <w:rsid w:val="09C2038C"/>
    <w:rsid w:val="09C5D1BD"/>
    <w:rsid w:val="09C83C03"/>
    <w:rsid w:val="09CA2D8D"/>
    <w:rsid w:val="09CAC1F5"/>
    <w:rsid w:val="09CD5A2B"/>
    <w:rsid w:val="09CDA38E"/>
    <w:rsid w:val="09D41374"/>
    <w:rsid w:val="09DBA7F7"/>
    <w:rsid w:val="09DD961C"/>
    <w:rsid w:val="09DE1241"/>
    <w:rsid w:val="09DF4019"/>
    <w:rsid w:val="09DFF4E9"/>
    <w:rsid w:val="09E13BE0"/>
    <w:rsid w:val="09E17873"/>
    <w:rsid w:val="09E21CF2"/>
    <w:rsid w:val="09E57C62"/>
    <w:rsid w:val="09E8CD2A"/>
    <w:rsid w:val="09E8EB38"/>
    <w:rsid w:val="09E9238E"/>
    <w:rsid w:val="09EDCB39"/>
    <w:rsid w:val="09F06911"/>
    <w:rsid w:val="09F10946"/>
    <w:rsid w:val="09F18FAA"/>
    <w:rsid w:val="09F28949"/>
    <w:rsid w:val="09FF64A3"/>
    <w:rsid w:val="0A011F2F"/>
    <w:rsid w:val="0A053374"/>
    <w:rsid w:val="0A05F369"/>
    <w:rsid w:val="0A0BCB90"/>
    <w:rsid w:val="0A0C5102"/>
    <w:rsid w:val="0A147C22"/>
    <w:rsid w:val="0A151E0C"/>
    <w:rsid w:val="0A1804BB"/>
    <w:rsid w:val="0A1899B9"/>
    <w:rsid w:val="0A1C55AA"/>
    <w:rsid w:val="0A1CE41A"/>
    <w:rsid w:val="0A21C357"/>
    <w:rsid w:val="0A22478B"/>
    <w:rsid w:val="0A2CBED2"/>
    <w:rsid w:val="0A2DFD88"/>
    <w:rsid w:val="0A2F8035"/>
    <w:rsid w:val="0A351A8B"/>
    <w:rsid w:val="0A35E563"/>
    <w:rsid w:val="0A391CF0"/>
    <w:rsid w:val="0A3B1CB9"/>
    <w:rsid w:val="0A3F565E"/>
    <w:rsid w:val="0A40E03C"/>
    <w:rsid w:val="0A42C4EE"/>
    <w:rsid w:val="0A44F0FF"/>
    <w:rsid w:val="0A461B9E"/>
    <w:rsid w:val="0A462978"/>
    <w:rsid w:val="0A49E03C"/>
    <w:rsid w:val="0A4E443D"/>
    <w:rsid w:val="0A5687CC"/>
    <w:rsid w:val="0A5ABBAB"/>
    <w:rsid w:val="0A62C9AC"/>
    <w:rsid w:val="0A640200"/>
    <w:rsid w:val="0A65B7FB"/>
    <w:rsid w:val="0A67497A"/>
    <w:rsid w:val="0A6CED32"/>
    <w:rsid w:val="0A6D405B"/>
    <w:rsid w:val="0A6F315D"/>
    <w:rsid w:val="0A737B67"/>
    <w:rsid w:val="0A7675BB"/>
    <w:rsid w:val="0A7920CC"/>
    <w:rsid w:val="0A7B0644"/>
    <w:rsid w:val="0A7F9FF0"/>
    <w:rsid w:val="0A80B2D4"/>
    <w:rsid w:val="0A80FE2B"/>
    <w:rsid w:val="0A828ACC"/>
    <w:rsid w:val="0A866A86"/>
    <w:rsid w:val="0A86BD21"/>
    <w:rsid w:val="0A875AEF"/>
    <w:rsid w:val="0A88D8DC"/>
    <w:rsid w:val="0A8BA39E"/>
    <w:rsid w:val="0A8BD3CB"/>
    <w:rsid w:val="0A93E6B7"/>
    <w:rsid w:val="0A945DC6"/>
    <w:rsid w:val="0A989069"/>
    <w:rsid w:val="0A997437"/>
    <w:rsid w:val="0A9A7924"/>
    <w:rsid w:val="0A9A85AA"/>
    <w:rsid w:val="0A9C3566"/>
    <w:rsid w:val="0A9DA791"/>
    <w:rsid w:val="0AA2DC9A"/>
    <w:rsid w:val="0AA5E322"/>
    <w:rsid w:val="0AA77EFF"/>
    <w:rsid w:val="0AAA0E7F"/>
    <w:rsid w:val="0AAC59F8"/>
    <w:rsid w:val="0AB2E2AF"/>
    <w:rsid w:val="0AB2F4C3"/>
    <w:rsid w:val="0ABC28BA"/>
    <w:rsid w:val="0ABC7270"/>
    <w:rsid w:val="0ABD50E9"/>
    <w:rsid w:val="0ABD5D9E"/>
    <w:rsid w:val="0ABFEAA6"/>
    <w:rsid w:val="0AC1A846"/>
    <w:rsid w:val="0AC7E67C"/>
    <w:rsid w:val="0ACB9CBE"/>
    <w:rsid w:val="0ACD6828"/>
    <w:rsid w:val="0ACFA719"/>
    <w:rsid w:val="0AD0313F"/>
    <w:rsid w:val="0ADC7B3D"/>
    <w:rsid w:val="0ADE92EB"/>
    <w:rsid w:val="0ADF9DC2"/>
    <w:rsid w:val="0AE0F817"/>
    <w:rsid w:val="0AE77333"/>
    <w:rsid w:val="0AE9061A"/>
    <w:rsid w:val="0AEA6C8B"/>
    <w:rsid w:val="0AEABF11"/>
    <w:rsid w:val="0AEB2DEA"/>
    <w:rsid w:val="0AF37161"/>
    <w:rsid w:val="0AF78E60"/>
    <w:rsid w:val="0AFE710D"/>
    <w:rsid w:val="0AFF51FF"/>
    <w:rsid w:val="0AFFA87A"/>
    <w:rsid w:val="0B009B90"/>
    <w:rsid w:val="0B02FD0F"/>
    <w:rsid w:val="0B03DD07"/>
    <w:rsid w:val="0B0482ED"/>
    <w:rsid w:val="0B096FF1"/>
    <w:rsid w:val="0B0A97AF"/>
    <w:rsid w:val="0B0E085A"/>
    <w:rsid w:val="0B10D780"/>
    <w:rsid w:val="0B12EF16"/>
    <w:rsid w:val="0B16F999"/>
    <w:rsid w:val="0B192DDB"/>
    <w:rsid w:val="0B1A7448"/>
    <w:rsid w:val="0B1C1092"/>
    <w:rsid w:val="0B1C51CA"/>
    <w:rsid w:val="0B1C579A"/>
    <w:rsid w:val="0B21C568"/>
    <w:rsid w:val="0B26429A"/>
    <w:rsid w:val="0B2936F7"/>
    <w:rsid w:val="0B2CEFF0"/>
    <w:rsid w:val="0B300CB5"/>
    <w:rsid w:val="0B316B3A"/>
    <w:rsid w:val="0B34CA9A"/>
    <w:rsid w:val="0B36225A"/>
    <w:rsid w:val="0B4029F1"/>
    <w:rsid w:val="0B438A59"/>
    <w:rsid w:val="0B461335"/>
    <w:rsid w:val="0B47B379"/>
    <w:rsid w:val="0B494C3C"/>
    <w:rsid w:val="0B4A27E9"/>
    <w:rsid w:val="0B4ADD6E"/>
    <w:rsid w:val="0B4D4554"/>
    <w:rsid w:val="0B551797"/>
    <w:rsid w:val="0B56B23F"/>
    <w:rsid w:val="0B5AA9E6"/>
    <w:rsid w:val="0B5D68DF"/>
    <w:rsid w:val="0B604A5D"/>
    <w:rsid w:val="0B61DACA"/>
    <w:rsid w:val="0B66A7CF"/>
    <w:rsid w:val="0B681DC1"/>
    <w:rsid w:val="0B69D7A8"/>
    <w:rsid w:val="0B6B97B5"/>
    <w:rsid w:val="0B6CDB06"/>
    <w:rsid w:val="0B79C20F"/>
    <w:rsid w:val="0B7A7581"/>
    <w:rsid w:val="0B803A47"/>
    <w:rsid w:val="0B86CC40"/>
    <w:rsid w:val="0B8BAC67"/>
    <w:rsid w:val="0B8BD014"/>
    <w:rsid w:val="0B908F86"/>
    <w:rsid w:val="0B943D1A"/>
    <w:rsid w:val="0B991C6A"/>
    <w:rsid w:val="0B9BF814"/>
    <w:rsid w:val="0BA1267C"/>
    <w:rsid w:val="0BA299FB"/>
    <w:rsid w:val="0BA62F64"/>
    <w:rsid w:val="0BA7AE3F"/>
    <w:rsid w:val="0BAC5CFA"/>
    <w:rsid w:val="0BAFBFE1"/>
    <w:rsid w:val="0BB3F29D"/>
    <w:rsid w:val="0BB9106F"/>
    <w:rsid w:val="0BBBEE0B"/>
    <w:rsid w:val="0BBC34E4"/>
    <w:rsid w:val="0BBE845A"/>
    <w:rsid w:val="0BC0DF14"/>
    <w:rsid w:val="0BC12B6D"/>
    <w:rsid w:val="0BC1585A"/>
    <w:rsid w:val="0BC2ECD8"/>
    <w:rsid w:val="0BC34C12"/>
    <w:rsid w:val="0BC9E07C"/>
    <w:rsid w:val="0BCBB9AA"/>
    <w:rsid w:val="0BCBEF8E"/>
    <w:rsid w:val="0BCD8F7C"/>
    <w:rsid w:val="0BCF468F"/>
    <w:rsid w:val="0BD56012"/>
    <w:rsid w:val="0BDB2CEE"/>
    <w:rsid w:val="0BDB479C"/>
    <w:rsid w:val="0BDFB435"/>
    <w:rsid w:val="0BE34E1D"/>
    <w:rsid w:val="0BE417EB"/>
    <w:rsid w:val="0BE4D31B"/>
    <w:rsid w:val="0BE72F0C"/>
    <w:rsid w:val="0BE9D1E0"/>
    <w:rsid w:val="0BEC0DD9"/>
    <w:rsid w:val="0BEED8F2"/>
    <w:rsid w:val="0BF41B14"/>
    <w:rsid w:val="0BF6562A"/>
    <w:rsid w:val="0BFAFBE0"/>
    <w:rsid w:val="0C01A3C4"/>
    <w:rsid w:val="0C043AC8"/>
    <w:rsid w:val="0C0A6905"/>
    <w:rsid w:val="0C0A6C73"/>
    <w:rsid w:val="0C0B5A3F"/>
    <w:rsid w:val="0C0BBC45"/>
    <w:rsid w:val="0C0C9C5D"/>
    <w:rsid w:val="0C0FB004"/>
    <w:rsid w:val="0C1EC977"/>
    <w:rsid w:val="0C21F037"/>
    <w:rsid w:val="0C23777D"/>
    <w:rsid w:val="0C243E12"/>
    <w:rsid w:val="0C2A388E"/>
    <w:rsid w:val="0C2E06DB"/>
    <w:rsid w:val="0C353ABB"/>
    <w:rsid w:val="0C3C3651"/>
    <w:rsid w:val="0C3C5D19"/>
    <w:rsid w:val="0C3D4ACE"/>
    <w:rsid w:val="0C3E2247"/>
    <w:rsid w:val="0C40B8D0"/>
    <w:rsid w:val="0C43E80E"/>
    <w:rsid w:val="0C4500A3"/>
    <w:rsid w:val="0C450EEE"/>
    <w:rsid w:val="0C5A833D"/>
    <w:rsid w:val="0C5B5959"/>
    <w:rsid w:val="0C5F215C"/>
    <w:rsid w:val="0C64BB3C"/>
    <w:rsid w:val="0C677ED9"/>
    <w:rsid w:val="0C683470"/>
    <w:rsid w:val="0C699D3F"/>
    <w:rsid w:val="0C6CFEE5"/>
    <w:rsid w:val="0C6D85DF"/>
    <w:rsid w:val="0C6F0187"/>
    <w:rsid w:val="0C715018"/>
    <w:rsid w:val="0C7ADFEA"/>
    <w:rsid w:val="0C7CC371"/>
    <w:rsid w:val="0C7D8177"/>
    <w:rsid w:val="0C7F04B9"/>
    <w:rsid w:val="0C81548D"/>
    <w:rsid w:val="0C85B6C2"/>
    <w:rsid w:val="0C85C382"/>
    <w:rsid w:val="0C87917B"/>
    <w:rsid w:val="0C8BDA8A"/>
    <w:rsid w:val="0C8EC77B"/>
    <w:rsid w:val="0C96884D"/>
    <w:rsid w:val="0CA0D6B0"/>
    <w:rsid w:val="0CA29C42"/>
    <w:rsid w:val="0CA39536"/>
    <w:rsid w:val="0CAC8C55"/>
    <w:rsid w:val="0CAC908F"/>
    <w:rsid w:val="0CB02840"/>
    <w:rsid w:val="0CB80001"/>
    <w:rsid w:val="0CB88F10"/>
    <w:rsid w:val="0CB8DC98"/>
    <w:rsid w:val="0CB9DE48"/>
    <w:rsid w:val="0CBFA9E5"/>
    <w:rsid w:val="0CBFD1E0"/>
    <w:rsid w:val="0CC14924"/>
    <w:rsid w:val="0CC35232"/>
    <w:rsid w:val="0CC42BFF"/>
    <w:rsid w:val="0CC5A199"/>
    <w:rsid w:val="0CC6E797"/>
    <w:rsid w:val="0CC98687"/>
    <w:rsid w:val="0CC9B46C"/>
    <w:rsid w:val="0CCB7EA6"/>
    <w:rsid w:val="0CCF114C"/>
    <w:rsid w:val="0CD08F1B"/>
    <w:rsid w:val="0CD191EB"/>
    <w:rsid w:val="0CD22F53"/>
    <w:rsid w:val="0CD9BE3D"/>
    <w:rsid w:val="0CD9E2E4"/>
    <w:rsid w:val="0CD9FCB3"/>
    <w:rsid w:val="0CE0F0DE"/>
    <w:rsid w:val="0CE1B0C5"/>
    <w:rsid w:val="0CE46A87"/>
    <w:rsid w:val="0CE6FE2D"/>
    <w:rsid w:val="0CEC809A"/>
    <w:rsid w:val="0CECD330"/>
    <w:rsid w:val="0CEF4B5F"/>
    <w:rsid w:val="0CF028B5"/>
    <w:rsid w:val="0CF2201A"/>
    <w:rsid w:val="0CF37463"/>
    <w:rsid w:val="0CF871F8"/>
    <w:rsid w:val="0CF8ACD1"/>
    <w:rsid w:val="0CFD99EA"/>
    <w:rsid w:val="0CFF62B7"/>
    <w:rsid w:val="0CFF8CDF"/>
    <w:rsid w:val="0D014790"/>
    <w:rsid w:val="0D05EE47"/>
    <w:rsid w:val="0D07751E"/>
    <w:rsid w:val="0D09DCB8"/>
    <w:rsid w:val="0D0AE0E7"/>
    <w:rsid w:val="0D0C0AA0"/>
    <w:rsid w:val="0D0C84C5"/>
    <w:rsid w:val="0D0EE26A"/>
    <w:rsid w:val="0D0FF562"/>
    <w:rsid w:val="0D107C0A"/>
    <w:rsid w:val="0D173D0F"/>
    <w:rsid w:val="0D231416"/>
    <w:rsid w:val="0D29C6A0"/>
    <w:rsid w:val="0D2B5BB7"/>
    <w:rsid w:val="0D2F63C8"/>
    <w:rsid w:val="0D34FCED"/>
    <w:rsid w:val="0D359C4E"/>
    <w:rsid w:val="0D3768BD"/>
    <w:rsid w:val="0D3BD6BC"/>
    <w:rsid w:val="0D4559AF"/>
    <w:rsid w:val="0D478366"/>
    <w:rsid w:val="0D4B99F4"/>
    <w:rsid w:val="0D4C3F0B"/>
    <w:rsid w:val="0D4E4580"/>
    <w:rsid w:val="0D503E3D"/>
    <w:rsid w:val="0D51E9A9"/>
    <w:rsid w:val="0D559B99"/>
    <w:rsid w:val="0D5F54B1"/>
    <w:rsid w:val="0D60DEE4"/>
    <w:rsid w:val="0D6205F8"/>
    <w:rsid w:val="0D62CD59"/>
    <w:rsid w:val="0D641E2D"/>
    <w:rsid w:val="0D65A78E"/>
    <w:rsid w:val="0D66A9F3"/>
    <w:rsid w:val="0D67E945"/>
    <w:rsid w:val="0D699BF7"/>
    <w:rsid w:val="0D73839B"/>
    <w:rsid w:val="0D743CEE"/>
    <w:rsid w:val="0D801C29"/>
    <w:rsid w:val="0D8062C6"/>
    <w:rsid w:val="0D80C80B"/>
    <w:rsid w:val="0D82C0F2"/>
    <w:rsid w:val="0D854EE1"/>
    <w:rsid w:val="0D872726"/>
    <w:rsid w:val="0D8729D8"/>
    <w:rsid w:val="0D887EC7"/>
    <w:rsid w:val="0D8B3187"/>
    <w:rsid w:val="0D8E8E2D"/>
    <w:rsid w:val="0D8E9B4D"/>
    <w:rsid w:val="0D947372"/>
    <w:rsid w:val="0D95AF23"/>
    <w:rsid w:val="0D968C0E"/>
    <w:rsid w:val="0D9B49FD"/>
    <w:rsid w:val="0DA01CA7"/>
    <w:rsid w:val="0DA1583D"/>
    <w:rsid w:val="0DA90E45"/>
    <w:rsid w:val="0DA94317"/>
    <w:rsid w:val="0DAD6123"/>
    <w:rsid w:val="0DB07CE1"/>
    <w:rsid w:val="0DB7D05C"/>
    <w:rsid w:val="0DB806C7"/>
    <w:rsid w:val="0DB96FF0"/>
    <w:rsid w:val="0DBDC120"/>
    <w:rsid w:val="0DBE95B5"/>
    <w:rsid w:val="0DBF4D32"/>
    <w:rsid w:val="0DC014C6"/>
    <w:rsid w:val="0DC141C7"/>
    <w:rsid w:val="0DC6DEC2"/>
    <w:rsid w:val="0DCAE49B"/>
    <w:rsid w:val="0DCDB288"/>
    <w:rsid w:val="0DCDD70F"/>
    <w:rsid w:val="0DCDD940"/>
    <w:rsid w:val="0DD5A634"/>
    <w:rsid w:val="0DD6A71E"/>
    <w:rsid w:val="0DDE0F25"/>
    <w:rsid w:val="0DE0E6D1"/>
    <w:rsid w:val="0DE0F0B9"/>
    <w:rsid w:val="0DF2CB17"/>
    <w:rsid w:val="0DF84144"/>
    <w:rsid w:val="0DFA4B39"/>
    <w:rsid w:val="0E005E0E"/>
    <w:rsid w:val="0E00E11F"/>
    <w:rsid w:val="0E01F8E4"/>
    <w:rsid w:val="0E028979"/>
    <w:rsid w:val="0E115294"/>
    <w:rsid w:val="0E15017A"/>
    <w:rsid w:val="0E15CB8F"/>
    <w:rsid w:val="0E19C996"/>
    <w:rsid w:val="0E1C9973"/>
    <w:rsid w:val="0E22086B"/>
    <w:rsid w:val="0E25D7D0"/>
    <w:rsid w:val="0E26DC7E"/>
    <w:rsid w:val="0E27C49E"/>
    <w:rsid w:val="0E2968EE"/>
    <w:rsid w:val="0E29CC07"/>
    <w:rsid w:val="0E2F6280"/>
    <w:rsid w:val="0E31C726"/>
    <w:rsid w:val="0E33B98A"/>
    <w:rsid w:val="0E34D627"/>
    <w:rsid w:val="0E35427C"/>
    <w:rsid w:val="0E3977E2"/>
    <w:rsid w:val="0E3AAFEE"/>
    <w:rsid w:val="0E3E9FA8"/>
    <w:rsid w:val="0E3EDD74"/>
    <w:rsid w:val="0E404ACB"/>
    <w:rsid w:val="0E423034"/>
    <w:rsid w:val="0E436E38"/>
    <w:rsid w:val="0E4399F9"/>
    <w:rsid w:val="0E43F257"/>
    <w:rsid w:val="0E4667C5"/>
    <w:rsid w:val="0E499630"/>
    <w:rsid w:val="0E49FF4D"/>
    <w:rsid w:val="0E4A2D28"/>
    <w:rsid w:val="0E4A366D"/>
    <w:rsid w:val="0E4A3B67"/>
    <w:rsid w:val="0E4AC8A6"/>
    <w:rsid w:val="0E4AF170"/>
    <w:rsid w:val="0E4C56C3"/>
    <w:rsid w:val="0E4DD0A1"/>
    <w:rsid w:val="0E4E4255"/>
    <w:rsid w:val="0E557974"/>
    <w:rsid w:val="0E5D0BB2"/>
    <w:rsid w:val="0E5EEF3D"/>
    <w:rsid w:val="0E61EBF4"/>
    <w:rsid w:val="0E62C4AC"/>
    <w:rsid w:val="0E6308F4"/>
    <w:rsid w:val="0E632FDB"/>
    <w:rsid w:val="0E644953"/>
    <w:rsid w:val="0E66B696"/>
    <w:rsid w:val="0E6A2A0F"/>
    <w:rsid w:val="0E730E62"/>
    <w:rsid w:val="0E76579B"/>
    <w:rsid w:val="0E7C7F4A"/>
    <w:rsid w:val="0E7F7DAE"/>
    <w:rsid w:val="0E80AFE8"/>
    <w:rsid w:val="0E8416CB"/>
    <w:rsid w:val="0E85E693"/>
    <w:rsid w:val="0E8B33C6"/>
    <w:rsid w:val="0E8F9A06"/>
    <w:rsid w:val="0E90DCF2"/>
    <w:rsid w:val="0E926504"/>
    <w:rsid w:val="0E977393"/>
    <w:rsid w:val="0E99E4CF"/>
    <w:rsid w:val="0E9D7D5C"/>
    <w:rsid w:val="0E9E2648"/>
    <w:rsid w:val="0EA63A8D"/>
    <w:rsid w:val="0EAAC203"/>
    <w:rsid w:val="0EAC616A"/>
    <w:rsid w:val="0EAE61CD"/>
    <w:rsid w:val="0EC014DD"/>
    <w:rsid w:val="0EC04BDA"/>
    <w:rsid w:val="0EC271F1"/>
    <w:rsid w:val="0EC74880"/>
    <w:rsid w:val="0ECDF85A"/>
    <w:rsid w:val="0ECE9B77"/>
    <w:rsid w:val="0ED8E7AD"/>
    <w:rsid w:val="0ED9EF67"/>
    <w:rsid w:val="0EDD844D"/>
    <w:rsid w:val="0EE2F601"/>
    <w:rsid w:val="0EE83746"/>
    <w:rsid w:val="0EEDCB16"/>
    <w:rsid w:val="0EF42E3F"/>
    <w:rsid w:val="0EF6963E"/>
    <w:rsid w:val="0EF72527"/>
    <w:rsid w:val="0EF8AD4F"/>
    <w:rsid w:val="0EFB5D64"/>
    <w:rsid w:val="0EFCF713"/>
    <w:rsid w:val="0F05BBB7"/>
    <w:rsid w:val="0F0670D8"/>
    <w:rsid w:val="0F0A2EAC"/>
    <w:rsid w:val="0F0CC256"/>
    <w:rsid w:val="0F0F268D"/>
    <w:rsid w:val="0F11B8A9"/>
    <w:rsid w:val="0F1514B2"/>
    <w:rsid w:val="0F1F5369"/>
    <w:rsid w:val="0F2115C3"/>
    <w:rsid w:val="0F228B5C"/>
    <w:rsid w:val="0F234751"/>
    <w:rsid w:val="0F2626D2"/>
    <w:rsid w:val="0F27FE99"/>
    <w:rsid w:val="0F2EC603"/>
    <w:rsid w:val="0F32A025"/>
    <w:rsid w:val="0F347705"/>
    <w:rsid w:val="0F34CB09"/>
    <w:rsid w:val="0F3ACAFD"/>
    <w:rsid w:val="0F3B51E0"/>
    <w:rsid w:val="0F3C0CD5"/>
    <w:rsid w:val="0F430724"/>
    <w:rsid w:val="0F44AA63"/>
    <w:rsid w:val="0F48A4EF"/>
    <w:rsid w:val="0F48D6DA"/>
    <w:rsid w:val="0F4A32A2"/>
    <w:rsid w:val="0F4BC0B7"/>
    <w:rsid w:val="0F509D0D"/>
    <w:rsid w:val="0F59D5F2"/>
    <w:rsid w:val="0F5BB473"/>
    <w:rsid w:val="0F604B74"/>
    <w:rsid w:val="0F609286"/>
    <w:rsid w:val="0F6170B3"/>
    <w:rsid w:val="0F61A246"/>
    <w:rsid w:val="0F655853"/>
    <w:rsid w:val="0F693FCF"/>
    <w:rsid w:val="0F69F6A8"/>
    <w:rsid w:val="0F6C94C4"/>
    <w:rsid w:val="0F70FC99"/>
    <w:rsid w:val="0F7448ED"/>
    <w:rsid w:val="0F767DC1"/>
    <w:rsid w:val="0F7D8721"/>
    <w:rsid w:val="0F7EC294"/>
    <w:rsid w:val="0F85450E"/>
    <w:rsid w:val="0F87787B"/>
    <w:rsid w:val="0F89336F"/>
    <w:rsid w:val="0F8963D5"/>
    <w:rsid w:val="0F8AFEC8"/>
    <w:rsid w:val="0F8E1CE0"/>
    <w:rsid w:val="0F925D1E"/>
    <w:rsid w:val="0F9A4ABA"/>
    <w:rsid w:val="0F9B3845"/>
    <w:rsid w:val="0F9B50D0"/>
    <w:rsid w:val="0F9BC6C5"/>
    <w:rsid w:val="0FA031E3"/>
    <w:rsid w:val="0FA74107"/>
    <w:rsid w:val="0FA992C5"/>
    <w:rsid w:val="0FAA3DB2"/>
    <w:rsid w:val="0FABAD14"/>
    <w:rsid w:val="0FB9B3AA"/>
    <w:rsid w:val="0FBA62A0"/>
    <w:rsid w:val="0FBC29C9"/>
    <w:rsid w:val="0FBD8BA9"/>
    <w:rsid w:val="0FC27B80"/>
    <w:rsid w:val="0FC89332"/>
    <w:rsid w:val="0FCAC754"/>
    <w:rsid w:val="0FCB8BEB"/>
    <w:rsid w:val="0FCD1123"/>
    <w:rsid w:val="0FD121F4"/>
    <w:rsid w:val="0FDA42F6"/>
    <w:rsid w:val="0FDC4963"/>
    <w:rsid w:val="0FDC7572"/>
    <w:rsid w:val="0FE337BC"/>
    <w:rsid w:val="0FE6BE3B"/>
    <w:rsid w:val="0FE8D615"/>
    <w:rsid w:val="0FE8E7F6"/>
    <w:rsid w:val="0FE8F38B"/>
    <w:rsid w:val="0FE9D5AF"/>
    <w:rsid w:val="0FEB51F7"/>
    <w:rsid w:val="0FEF1ADE"/>
    <w:rsid w:val="0FF613F9"/>
    <w:rsid w:val="0FF6A2D4"/>
    <w:rsid w:val="0FF74117"/>
    <w:rsid w:val="0FFA4716"/>
    <w:rsid w:val="0FFD3564"/>
    <w:rsid w:val="10032D4C"/>
    <w:rsid w:val="10053C9B"/>
    <w:rsid w:val="100A0334"/>
    <w:rsid w:val="100FD869"/>
    <w:rsid w:val="10194C6E"/>
    <w:rsid w:val="101E54EC"/>
    <w:rsid w:val="101F083F"/>
    <w:rsid w:val="10280B22"/>
    <w:rsid w:val="10299FDA"/>
    <w:rsid w:val="102A8C6C"/>
    <w:rsid w:val="1038191C"/>
    <w:rsid w:val="103BB215"/>
    <w:rsid w:val="103C3C0E"/>
    <w:rsid w:val="103C9E42"/>
    <w:rsid w:val="103F6F65"/>
    <w:rsid w:val="104119A2"/>
    <w:rsid w:val="1042EDC3"/>
    <w:rsid w:val="10430E08"/>
    <w:rsid w:val="10435EF6"/>
    <w:rsid w:val="1046CBEF"/>
    <w:rsid w:val="1048D89B"/>
    <w:rsid w:val="1048D96A"/>
    <w:rsid w:val="1055B936"/>
    <w:rsid w:val="10578890"/>
    <w:rsid w:val="10595492"/>
    <w:rsid w:val="105C181F"/>
    <w:rsid w:val="105C6FA3"/>
    <w:rsid w:val="105D7164"/>
    <w:rsid w:val="105E12FF"/>
    <w:rsid w:val="1061B232"/>
    <w:rsid w:val="1063B215"/>
    <w:rsid w:val="10644313"/>
    <w:rsid w:val="1067419C"/>
    <w:rsid w:val="106DAD27"/>
    <w:rsid w:val="106EB9AA"/>
    <w:rsid w:val="1070A05C"/>
    <w:rsid w:val="107178F0"/>
    <w:rsid w:val="107404FD"/>
    <w:rsid w:val="107583C7"/>
    <w:rsid w:val="107E3419"/>
    <w:rsid w:val="1083D666"/>
    <w:rsid w:val="1086A08E"/>
    <w:rsid w:val="108C046A"/>
    <w:rsid w:val="1090F632"/>
    <w:rsid w:val="109B0AF4"/>
    <w:rsid w:val="109C85FB"/>
    <w:rsid w:val="10A03991"/>
    <w:rsid w:val="10A310DE"/>
    <w:rsid w:val="10A61831"/>
    <w:rsid w:val="10A62253"/>
    <w:rsid w:val="10AB7950"/>
    <w:rsid w:val="10B63270"/>
    <w:rsid w:val="10BA1C18"/>
    <w:rsid w:val="10BA3AED"/>
    <w:rsid w:val="10BAB9FA"/>
    <w:rsid w:val="10BF2F22"/>
    <w:rsid w:val="10C2484E"/>
    <w:rsid w:val="10C47CB9"/>
    <w:rsid w:val="10CE7D22"/>
    <w:rsid w:val="10D3961D"/>
    <w:rsid w:val="10D9FCD2"/>
    <w:rsid w:val="10E027FB"/>
    <w:rsid w:val="10E459E3"/>
    <w:rsid w:val="10E4797A"/>
    <w:rsid w:val="10E87A99"/>
    <w:rsid w:val="10EDB092"/>
    <w:rsid w:val="10EDE73B"/>
    <w:rsid w:val="10F3D3E2"/>
    <w:rsid w:val="10F7AC7A"/>
    <w:rsid w:val="10F82444"/>
    <w:rsid w:val="10F9B0EA"/>
    <w:rsid w:val="10F9EA3D"/>
    <w:rsid w:val="10FDD15B"/>
    <w:rsid w:val="10FE75A6"/>
    <w:rsid w:val="10FF48D2"/>
    <w:rsid w:val="10FFC7C1"/>
    <w:rsid w:val="110215F1"/>
    <w:rsid w:val="110257A4"/>
    <w:rsid w:val="1103422A"/>
    <w:rsid w:val="11042BE9"/>
    <w:rsid w:val="11055509"/>
    <w:rsid w:val="1106001F"/>
    <w:rsid w:val="1106A2FD"/>
    <w:rsid w:val="110B4586"/>
    <w:rsid w:val="110D680E"/>
    <w:rsid w:val="11138B7A"/>
    <w:rsid w:val="1114A4A6"/>
    <w:rsid w:val="1119F099"/>
    <w:rsid w:val="111AE32C"/>
    <w:rsid w:val="111E7E83"/>
    <w:rsid w:val="1125752A"/>
    <w:rsid w:val="112605B2"/>
    <w:rsid w:val="112942A5"/>
    <w:rsid w:val="112B3ECF"/>
    <w:rsid w:val="112EAECC"/>
    <w:rsid w:val="112EE8E5"/>
    <w:rsid w:val="112F58D2"/>
    <w:rsid w:val="113B9216"/>
    <w:rsid w:val="113FDCAD"/>
    <w:rsid w:val="11417B27"/>
    <w:rsid w:val="11418D9A"/>
    <w:rsid w:val="1141B79A"/>
    <w:rsid w:val="1146A414"/>
    <w:rsid w:val="114EB93C"/>
    <w:rsid w:val="11507D2F"/>
    <w:rsid w:val="115425E6"/>
    <w:rsid w:val="11542928"/>
    <w:rsid w:val="115B4BBB"/>
    <w:rsid w:val="115E7C67"/>
    <w:rsid w:val="1163B500"/>
    <w:rsid w:val="11653CCA"/>
    <w:rsid w:val="1165D307"/>
    <w:rsid w:val="1165D95E"/>
    <w:rsid w:val="1167D09F"/>
    <w:rsid w:val="11689FB0"/>
    <w:rsid w:val="116A832D"/>
    <w:rsid w:val="117C7F23"/>
    <w:rsid w:val="117D5DDB"/>
    <w:rsid w:val="117E512E"/>
    <w:rsid w:val="1182E674"/>
    <w:rsid w:val="118BF2B3"/>
    <w:rsid w:val="118C9713"/>
    <w:rsid w:val="11924C8D"/>
    <w:rsid w:val="1194D477"/>
    <w:rsid w:val="11952C02"/>
    <w:rsid w:val="1195591A"/>
    <w:rsid w:val="119631DE"/>
    <w:rsid w:val="119D6C27"/>
    <w:rsid w:val="119FD76A"/>
    <w:rsid w:val="11A69FE3"/>
    <w:rsid w:val="11A83DD3"/>
    <w:rsid w:val="11AD0F98"/>
    <w:rsid w:val="11ADCCD6"/>
    <w:rsid w:val="11B2EE85"/>
    <w:rsid w:val="11B5AF48"/>
    <w:rsid w:val="11BC8D84"/>
    <w:rsid w:val="11BD9F70"/>
    <w:rsid w:val="11C52CAE"/>
    <w:rsid w:val="11C76C0E"/>
    <w:rsid w:val="11CA9A54"/>
    <w:rsid w:val="11D077AA"/>
    <w:rsid w:val="11D29D37"/>
    <w:rsid w:val="11D5DA63"/>
    <w:rsid w:val="11DC0E77"/>
    <w:rsid w:val="11E2E843"/>
    <w:rsid w:val="11E7F9C0"/>
    <w:rsid w:val="11EC8443"/>
    <w:rsid w:val="11EC9620"/>
    <w:rsid w:val="11ECE7D0"/>
    <w:rsid w:val="11F0DF96"/>
    <w:rsid w:val="11F7CB96"/>
    <w:rsid w:val="11F7D393"/>
    <w:rsid w:val="11F7E5F5"/>
    <w:rsid w:val="11F94F9D"/>
    <w:rsid w:val="11FC160D"/>
    <w:rsid w:val="12011F84"/>
    <w:rsid w:val="12018ABA"/>
    <w:rsid w:val="1203C40F"/>
    <w:rsid w:val="1205B619"/>
    <w:rsid w:val="120AA96B"/>
    <w:rsid w:val="120D5036"/>
    <w:rsid w:val="120E76F3"/>
    <w:rsid w:val="120FAC2C"/>
    <w:rsid w:val="1212354A"/>
    <w:rsid w:val="12128110"/>
    <w:rsid w:val="1218E6AC"/>
    <w:rsid w:val="121D7DAE"/>
    <w:rsid w:val="121EFC93"/>
    <w:rsid w:val="121F9604"/>
    <w:rsid w:val="1226FCAB"/>
    <w:rsid w:val="12297FBC"/>
    <w:rsid w:val="122A5E80"/>
    <w:rsid w:val="122A859E"/>
    <w:rsid w:val="122DD586"/>
    <w:rsid w:val="1237D11E"/>
    <w:rsid w:val="12387EE5"/>
    <w:rsid w:val="12390E79"/>
    <w:rsid w:val="123A591E"/>
    <w:rsid w:val="123C4D6C"/>
    <w:rsid w:val="123D5D2B"/>
    <w:rsid w:val="123F8A98"/>
    <w:rsid w:val="12430C6C"/>
    <w:rsid w:val="12487C95"/>
    <w:rsid w:val="1251239B"/>
    <w:rsid w:val="1252912D"/>
    <w:rsid w:val="1256F332"/>
    <w:rsid w:val="1258189E"/>
    <w:rsid w:val="12582E0C"/>
    <w:rsid w:val="125B47CE"/>
    <w:rsid w:val="1264747B"/>
    <w:rsid w:val="126874AF"/>
    <w:rsid w:val="12728A04"/>
    <w:rsid w:val="12737886"/>
    <w:rsid w:val="1276AFC1"/>
    <w:rsid w:val="127A0180"/>
    <w:rsid w:val="127C94A0"/>
    <w:rsid w:val="1280969B"/>
    <w:rsid w:val="1285BCEF"/>
    <w:rsid w:val="12863638"/>
    <w:rsid w:val="1291C1E2"/>
    <w:rsid w:val="12932367"/>
    <w:rsid w:val="1293B74E"/>
    <w:rsid w:val="129798B3"/>
    <w:rsid w:val="1299C8FB"/>
    <w:rsid w:val="12A085E5"/>
    <w:rsid w:val="12A219C6"/>
    <w:rsid w:val="12A22E26"/>
    <w:rsid w:val="12A3BF44"/>
    <w:rsid w:val="12A8DBAD"/>
    <w:rsid w:val="12B5DD88"/>
    <w:rsid w:val="12B75DC2"/>
    <w:rsid w:val="12B98385"/>
    <w:rsid w:val="12BA56F7"/>
    <w:rsid w:val="12C1AB4E"/>
    <w:rsid w:val="12C6333E"/>
    <w:rsid w:val="12CACB99"/>
    <w:rsid w:val="12CD3168"/>
    <w:rsid w:val="12CFF940"/>
    <w:rsid w:val="12D1832A"/>
    <w:rsid w:val="12D1A838"/>
    <w:rsid w:val="12D506D3"/>
    <w:rsid w:val="12E1363D"/>
    <w:rsid w:val="12E1FCD2"/>
    <w:rsid w:val="12E20FCE"/>
    <w:rsid w:val="12EA55AA"/>
    <w:rsid w:val="12F15AE8"/>
    <w:rsid w:val="12F2A178"/>
    <w:rsid w:val="12F35962"/>
    <w:rsid w:val="12F3E2D2"/>
    <w:rsid w:val="12F45D9A"/>
    <w:rsid w:val="12F6084F"/>
    <w:rsid w:val="12F74889"/>
    <w:rsid w:val="12FF5314"/>
    <w:rsid w:val="13005A8D"/>
    <w:rsid w:val="130671EF"/>
    <w:rsid w:val="130F4972"/>
    <w:rsid w:val="13113609"/>
    <w:rsid w:val="1315B213"/>
    <w:rsid w:val="131C8798"/>
    <w:rsid w:val="131D37A6"/>
    <w:rsid w:val="132043C3"/>
    <w:rsid w:val="1320980E"/>
    <w:rsid w:val="1321CA52"/>
    <w:rsid w:val="13250100"/>
    <w:rsid w:val="132958F7"/>
    <w:rsid w:val="132A8F6E"/>
    <w:rsid w:val="132E2D3A"/>
    <w:rsid w:val="132F1BB1"/>
    <w:rsid w:val="1330448D"/>
    <w:rsid w:val="13327F3A"/>
    <w:rsid w:val="1333FDAD"/>
    <w:rsid w:val="1343AA1E"/>
    <w:rsid w:val="1344BAD7"/>
    <w:rsid w:val="13492750"/>
    <w:rsid w:val="134CD76B"/>
    <w:rsid w:val="134D566C"/>
    <w:rsid w:val="13501231"/>
    <w:rsid w:val="135020AA"/>
    <w:rsid w:val="13521DEF"/>
    <w:rsid w:val="13525C44"/>
    <w:rsid w:val="135580D2"/>
    <w:rsid w:val="135D3843"/>
    <w:rsid w:val="135E6C1F"/>
    <w:rsid w:val="13662DCE"/>
    <w:rsid w:val="136B80AC"/>
    <w:rsid w:val="136BB25A"/>
    <w:rsid w:val="136EB9A2"/>
    <w:rsid w:val="13708EAC"/>
    <w:rsid w:val="137377BC"/>
    <w:rsid w:val="1373FC6D"/>
    <w:rsid w:val="13799DF7"/>
    <w:rsid w:val="137D6EA5"/>
    <w:rsid w:val="137E60B7"/>
    <w:rsid w:val="13867F5B"/>
    <w:rsid w:val="138DF12D"/>
    <w:rsid w:val="138FA694"/>
    <w:rsid w:val="13940BB1"/>
    <w:rsid w:val="1397FB90"/>
    <w:rsid w:val="139F333B"/>
    <w:rsid w:val="13A44EAC"/>
    <w:rsid w:val="13A64F6C"/>
    <w:rsid w:val="13A674C8"/>
    <w:rsid w:val="13A8D697"/>
    <w:rsid w:val="13A9E717"/>
    <w:rsid w:val="13AB1C14"/>
    <w:rsid w:val="13AD9B25"/>
    <w:rsid w:val="13B058A4"/>
    <w:rsid w:val="13B24CFD"/>
    <w:rsid w:val="13B4A7AE"/>
    <w:rsid w:val="13B51970"/>
    <w:rsid w:val="13B87D1E"/>
    <w:rsid w:val="13BCCC7A"/>
    <w:rsid w:val="13BD2C99"/>
    <w:rsid w:val="13C07DA4"/>
    <w:rsid w:val="13C45691"/>
    <w:rsid w:val="13C899F5"/>
    <w:rsid w:val="13C90EFA"/>
    <w:rsid w:val="13CF32D3"/>
    <w:rsid w:val="13D081C1"/>
    <w:rsid w:val="13D13330"/>
    <w:rsid w:val="13D83DBB"/>
    <w:rsid w:val="13DBDA15"/>
    <w:rsid w:val="13DD7776"/>
    <w:rsid w:val="13DF364E"/>
    <w:rsid w:val="13E40DD8"/>
    <w:rsid w:val="13E93C0C"/>
    <w:rsid w:val="13ECB6C0"/>
    <w:rsid w:val="13F3FE6D"/>
    <w:rsid w:val="13F56AC3"/>
    <w:rsid w:val="13F59251"/>
    <w:rsid w:val="13F6D277"/>
    <w:rsid w:val="13FF868F"/>
    <w:rsid w:val="14019A12"/>
    <w:rsid w:val="1403BD3B"/>
    <w:rsid w:val="140592CA"/>
    <w:rsid w:val="1405F0A2"/>
    <w:rsid w:val="1408EA44"/>
    <w:rsid w:val="140B499B"/>
    <w:rsid w:val="140EBD94"/>
    <w:rsid w:val="14112147"/>
    <w:rsid w:val="14135089"/>
    <w:rsid w:val="14166733"/>
    <w:rsid w:val="1416A4C7"/>
    <w:rsid w:val="1417FD5D"/>
    <w:rsid w:val="14180A61"/>
    <w:rsid w:val="14196105"/>
    <w:rsid w:val="141BBF02"/>
    <w:rsid w:val="141CA448"/>
    <w:rsid w:val="14217CA0"/>
    <w:rsid w:val="14246771"/>
    <w:rsid w:val="14280646"/>
    <w:rsid w:val="1429DE34"/>
    <w:rsid w:val="142C1811"/>
    <w:rsid w:val="142E1A28"/>
    <w:rsid w:val="142E5EE8"/>
    <w:rsid w:val="14366FE6"/>
    <w:rsid w:val="143713CB"/>
    <w:rsid w:val="14394F55"/>
    <w:rsid w:val="143E7976"/>
    <w:rsid w:val="1440E8D2"/>
    <w:rsid w:val="1442CCB0"/>
    <w:rsid w:val="1444E6E2"/>
    <w:rsid w:val="1446778A"/>
    <w:rsid w:val="144682FF"/>
    <w:rsid w:val="14530A57"/>
    <w:rsid w:val="1457EBA2"/>
    <w:rsid w:val="145958DD"/>
    <w:rsid w:val="145A72AF"/>
    <w:rsid w:val="145B77BD"/>
    <w:rsid w:val="1462849D"/>
    <w:rsid w:val="14629A9D"/>
    <w:rsid w:val="146DA8EB"/>
    <w:rsid w:val="146F8E42"/>
    <w:rsid w:val="147394FB"/>
    <w:rsid w:val="1476BD65"/>
    <w:rsid w:val="1477FD92"/>
    <w:rsid w:val="1488D7CB"/>
    <w:rsid w:val="1488FEB2"/>
    <w:rsid w:val="1489586D"/>
    <w:rsid w:val="148EC297"/>
    <w:rsid w:val="149417B4"/>
    <w:rsid w:val="14966F4C"/>
    <w:rsid w:val="14985198"/>
    <w:rsid w:val="149894DF"/>
    <w:rsid w:val="1498BC20"/>
    <w:rsid w:val="1498EB58"/>
    <w:rsid w:val="14A44CC8"/>
    <w:rsid w:val="14A4CC01"/>
    <w:rsid w:val="14ABC861"/>
    <w:rsid w:val="14B67773"/>
    <w:rsid w:val="14B83DEF"/>
    <w:rsid w:val="14B84901"/>
    <w:rsid w:val="14B97CEB"/>
    <w:rsid w:val="14BE9C5B"/>
    <w:rsid w:val="14C30BF4"/>
    <w:rsid w:val="14C32215"/>
    <w:rsid w:val="14C616D0"/>
    <w:rsid w:val="14C8B707"/>
    <w:rsid w:val="14CB7571"/>
    <w:rsid w:val="14CBCE43"/>
    <w:rsid w:val="14CC1038"/>
    <w:rsid w:val="14CCF3AC"/>
    <w:rsid w:val="14D237B7"/>
    <w:rsid w:val="14D559B1"/>
    <w:rsid w:val="14D5FE35"/>
    <w:rsid w:val="14D62A5E"/>
    <w:rsid w:val="14D792DD"/>
    <w:rsid w:val="14DC7D36"/>
    <w:rsid w:val="14E11DB5"/>
    <w:rsid w:val="14E36B15"/>
    <w:rsid w:val="14E3C34C"/>
    <w:rsid w:val="14E5AC44"/>
    <w:rsid w:val="14E60D84"/>
    <w:rsid w:val="14EA29EE"/>
    <w:rsid w:val="14EB39D8"/>
    <w:rsid w:val="14ED08ED"/>
    <w:rsid w:val="14F3889B"/>
    <w:rsid w:val="14F556C1"/>
    <w:rsid w:val="14F717DA"/>
    <w:rsid w:val="14FBE97C"/>
    <w:rsid w:val="14FD2801"/>
    <w:rsid w:val="14FE30F9"/>
    <w:rsid w:val="150B7DEC"/>
    <w:rsid w:val="150B8820"/>
    <w:rsid w:val="150C6207"/>
    <w:rsid w:val="150EA532"/>
    <w:rsid w:val="151205A4"/>
    <w:rsid w:val="1518DEEA"/>
    <w:rsid w:val="15195C1F"/>
    <w:rsid w:val="151B675E"/>
    <w:rsid w:val="151DA11F"/>
    <w:rsid w:val="15203418"/>
    <w:rsid w:val="15216A65"/>
    <w:rsid w:val="15220994"/>
    <w:rsid w:val="1522BABA"/>
    <w:rsid w:val="1523D1A1"/>
    <w:rsid w:val="15278D3A"/>
    <w:rsid w:val="152A6B3E"/>
    <w:rsid w:val="152A9766"/>
    <w:rsid w:val="152C036B"/>
    <w:rsid w:val="152E328A"/>
    <w:rsid w:val="15323B10"/>
    <w:rsid w:val="15340F37"/>
    <w:rsid w:val="15397380"/>
    <w:rsid w:val="153D3B4C"/>
    <w:rsid w:val="153F5E2D"/>
    <w:rsid w:val="154446AD"/>
    <w:rsid w:val="154BDA4E"/>
    <w:rsid w:val="154C6E2B"/>
    <w:rsid w:val="154EEB73"/>
    <w:rsid w:val="154FDCD5"/>
    <w:rsid w:val="1553212A"/>
    <w:rsid w:val="15574509"/>
    <w:rsid w:val="15575E68"/>
    <w:rsid w:val="15586E52"/>
    <w:rsid w:val="15595F86"/>
    <w:rsid w:val="155A4787"/>
    <w:rsid w:val="155B91AB"/>
    <w:rsid w:val="15680043"/>
    <w:rsid w:val="1570A8C4"/>
    <w:rsid w:val="15755756"/>
    <w:rsid w:val="15784BA4"/>
    <w:rsid w:val="157BF8AE"/>
    <w:rsid w:val="157DD2F7"/>
    <w:rsid w:val="15804839"/>
    <w:rsid w:val="1580AC1F"/>
    <w:rsid w:val="15869CCF"/>
    <w:rsid w:val="158B54F6"/>
    <w:rsid w:val="159200C8"/>
    <w:rsid w:val="159667F9"/>
    <w:rsid w:val="15990342"/>
    <w:rsid w:val="159A7222"/>
    <w:rsid w:val="159AB516"/>
    <w:rsid w:val="159EDB44"/>
    <w:rsid w:val="15A3B365"/>
    <w:rsid w:val="15A428DC"/>
    <w:rsid w:val="15A4EEFA"/>
    <w:rsid w:val="15A534AB"/>
    <w:rsid w:val="15A6916A"/>
    <w:rsid w:val="15A9144F"/>
    <w:rsid w:val="15B8AC3A"/>
    <w:rsid w:val="15BA8A7D"/>
    <w:rsid w:val="15BBC9CE"/>
    <w:rsid w:val="15BED346"/>
    <w:rsid w:val="15CF7548"/>
    <w:rsid w:val="15D1439B"/>
    <w:rsid w:val="15D192FF"/>
    <w:rsid w:val="15D2CEFC"/>
    <w:rsid w:val="15D5D461"/>
    <w:rsid w:val="15D7AA4F"/>
    <w:rsid w:val="15DAED4F"/>
    <w:rsid w:val="15DB9830"/>
    <w:rsid w:val="15E04141"/>
    <w:rsid w:val="15E45B8E"/>
    <w:rsid w:val="15E68628"/>
    <w:rsid w:val="15E79B8E"/>
    <w:rsid w:val="15F41B28"/>
    <w:rsid w:val="15F56972"/>
    <w:rsid w:val="15F8912B"/>
    <w:rsid w:val="15F915F9"/>
    <w:rsid w:val="15FA770E"/>
    <w:rsid w:val="15FAA37D"/>
    <w:rsid w:val="15FBF693"/>
    <w:rsid w:val="15FC21A1"/>
    <w:rsid w:val="16065647"/>
    <w:rsid w:val="160ADAE0"/>
    <w:rsid w:val="160EEA7A"/>
    <w:rsid w:val="1619656B"/>
    <w:rsid w:val="161A79A5"/>
    <w:rsid w:val="161D1FB9"/>
    <w:rsid w:val="16277AA9"/>
    <w:rsid w:val="162BF3A2"/>
    <w:rsid w:val="162C8A49"/>
    <w:rsid w:val="162D9D3B"/>
    <w:rsid w:val="162E0765"/>
    <w:rsid w:val="162E1440"/>
    <w:rsid w:val="1630D222"/>
    <w:rsid w:val="163162C8"/>
    <w:rsid w:val="1638480F"/>
    <w:rsid w:val="1641DFD6"/>
    <w:rsid w:val="16431F9C"/>
    <w:rsid w:val="1646254E"/>
    <w:rsid w:val="164D4CDE"/>
    <w:rsid w:val="164D79FE"/>
    <w:rsid w:val="165107D1"/>
    <w:rsid w:val="1653E9E5"/>
    <w:rsid w:val="16543957"/>
    <w:rsid w:val="1654FD52"/>
    <w:rsid w:val="16554D4C"/>
    <w:rsid w:val="165C1C93"/>
    <w:rsid w:val="16608803"/>
    <w:rsid w:val="1661EFA2"/>
    <w:rsid w:val="166660FB"/>
    <w:rsid w:val="16682B6A"/>
    <w:rsid w:val="166F9AEF"/>
    <w:rsid w:val="1671B159"/>
    <w:rsid w:val="1671F21B"/>
    <w:rsid w:val="1674942F"/>
    <w:rsid w:val="1679C665"/>
    <w:rsid w:val="167D0165"/>
    <w:rsid w:val="167D455D"/>
    <w:rsid w:val="16833FA9"/>
    <w:rsid w:val="1684BCD7"/>
    <w:rsid w:val="16856A66"/>
    <w:rsid w:val="16881458"/>
    <w:rsid w:val="16924DCD"/>
    <w:rsid w:val="16951870"/>
    <w:rsid w:val="1698DC88"/>
    <w:rsid w:val="169A0B78"/>
    <w:rsid w:val="16A25C10"/>
    <w:rsid w:val="16A401C4"/>
    <w:rsid w:val="16A79DBD"/>
    <w:rsid w:val="16A91EA4"/>
    <w:rsid w:val="16AC17AB"/>
    <w:rsid w:val="16AC35FB"/>
    <w:rsid w:val="16ACDFAC"/>
    <w:rsid w:val="16ACF1EB"/>
    <w:rsid w:val="16AD71C4"/>
    <w:rsid w:val="16AEEC3C"/>
    <w:rsid w:val="16B597FB"/>
    <w:rsid w:val="16BE14CD"/>
    <w:rsid w:val="16C028D5"/>
    <w:rsid w:val="16C03413"/>
    <w:rsid w:val="16C1E624"/>
    <w:rsid w:val="16C8C7EC"/>
    <w:rsid w:val="16CBA09E"/>
    <w:rsid w:val="16CFEB05"/>
    <w:rsid w:val="16D00B6E"/>
    <w:rsid w:val="16DCF5F5"/>
    <w:rsid w:val="16DFE6CB"/>
    <w:rsid w:val="16E16FAC"/>
    <w:rsid w:val="16E19E04"/>
    <w:rsid w:val="16E8D5F0"/>
    <w:rsid w:val="16E91E8A"/>
    <w:rsid w:val="16EDBCB8"/>
    <w:rsid w:val="16EE48E0"/>
    <w:rsid w:val="16EFBBD2"/>
    <w:rsid w:val="16F45E2D"/>
    <w:rsid w:val="16F70345"/>
    <w:rsid w:val="16FA3CB2"/>
    <w:rsid w:val="16FA5C19"/>
    <w:rsid w:val="17016FCA"/>
    <w:rsid w:val="1702310E"/>
    <w:rsid w:val="1703DD36"/>
    <w:rsid w:val="1705956A"/>
    <w:rsid w:val="17062280"/>
    <w:rsid w:val="170623F0"/>
    <w:rsid w:val="170C7007"/>
    <w:rsid w:val="170D2BB0"/>
    <w:rsid w:val="170D4996"/>
    <w:rsid w:val="170DC678"/>
    <w:rsid w:val="170DE11C"/>
    <w:rsid w:val="17112782"/>
    <w:rsid w:val="171B4D12"/>
    <w:rsid w:val="171BC95F"/>
    <w:rsid w:val="171DA90E"/>
    <w:rsid w:val="171F7831"/>
    <w:rsid w:val="17200470"/>
    <w:rsid w:val="17202970"/>
    <w:rsid w:val="17228E6C"/>
    <w:rsid w:val="1725870F"/>
    <w:rsid w:val="1725E45E"/>
    <w:rsid w:val="172677C5"/>
    <w:rsid w:val="17267AED"/>
    <w:rsid w:val="1727B713"/>
    <w:rsid w:val="1729CCDD"/>
    <w:rsid w:val="172BBD4F"/>
    <w:rsid w:val="172C4E8F"/>
    <w:rsid w:val="17363352"/>
    <w:rsid w:val="1736D866"/>
    <w:rsid w:val="17370840"/>
    <w:rsid w:val="173AA4D3"/>
    <w:rsid w:val="17443DDE"/>
    <w:rsid w:val="174B35C7"/>
    <w:rsid w:val="174B9A83"/>
    <w:rsid w:val="174C2889"/>
    <w:rsid w:val="17500297"/>
    <w:rsid w:val="17515194"/>
    <w:rsid w:val="1752528E"/>
    <w:rsid w:val="175A6611"/>
    <w:rsid w:val="175F4670"/>
    <w:rsid w:val="1761B9AE"/>
    <w:rsid w:val="176B2282"/>
    <w:rsid w:val="176BC6BC"/>
    <w:rsid w:val="176DF983"/>
    <w:rsid w:val="177093D4"/>
    <w:rsid w:val="1771F65D"/>
    <w:rsid w:val="1776521C"/>
    <w:rsid w:val="17797F75"/>
    <w:rsid w:val="177B1CF7"/>
    <w:rsid w:val="177C4B1F"/>
    <w:rsid w:val="177D52A1"/>
    <w:rsid w:val="177DB52C"/>
    <w:rsid w:val="177F0FC0"/>
    <w:rsid w:val="17887860"/>
    <w:rsid w:val="1788EB6D"/>
    <w:rsid w:val="1788F217"/>
    <w:rsid w:val="178D3F0F"/>
    <w:rsid w:val="178DB22F"/>
    <w:rsid w:val="178EF954"/>
    <w:rsid w:val="17933542"/>
    <w:rsid w:val="179450E7"/>
    <w:rsid w:val="179D1875"/>
    <w:rsid w:val="179F44DE"/>
    <w:rsid w:val="179FC6F3"/>
    <w:rsid w:val="17A018C5"/>
    <w:rsid w:val="17A1A955"/>
    <w:rsid w:val="17A28821"/>
    <w:rsid w:val="17A874FB"/>
    <w:rsid w:val="17ACA525"/>
    <w:rsid w:val="17ACCD70"/>
    <w:rsid w:val="17ADF1B5"/>
    <w:rsid w:val="17AFCE90"/>
    <w:rsid w:val="17B0D385"/>
    <w:rsid w:val="17B4CD74"/>
    <w:rsid w:val="17B4F435"/>
    <w:rsid w:val="17BA66B3"/>
    <w:rsid w:val="17BAD057"/>
    <w:rsid w:val="17BEAEF3"/>
    <w:rsid w:val="17C337C5"/>
    <w:rsid w:val="17C34B0A"/>
    <w:rsid w:val="17C357BD"/>
    <w:rsid w:val="17C98391"/>
    <w:rsid w:val="17CA9EB4"/>
    <w:rsid w:val="17D2BEBC"/>
    <w:rsid w:val="17D2C504"/>
    <w:rsid w:val="17D4F797"/>
    <w:rsid w:val="17D50A84"/>
    <w:rsid w:val="17D56775"/>
    <w:rsid w:val="17D640B3"/>
    <w:rsid w:val="17D66C4A"/>
    <w:rsid w:val="17D8BB38"/>
    <w:rsid w:val="17DC3D6D"/>
    <w:rsid w:val="17DC6480"/>
    <w:rsid w:val="17E01E9B"/>
    <w:rsid w:val="17E0E3C8"/>
    <w:rsid w:val="17E33EF0"/>
    <w:rsid w:val="17EA0401"/>
    <w:rsid w:val="17ECD47A"/>
    <w:rsid w:val="17FA3909"/>
    <w:rsid w:val="17FB1073"/>
    <w:rsid w:val="17FD7A4D"/>
    <w:rsid w:val="18057A23"/>
    <w:rsid w:val="180AC46B"/>
    <w:rsid w:val="180CC70E"/>
    <w:rsid w:val="180D98BB"/>
    <w:rsid w:val="180E09D9"/>
    <w:rsid w:val="18108541"/>
    <w:rsid w:val="1812E022"/>
    <w:rsid w:val="1812E3EE"/>
    <w:rsid w:val="1815883A"/>
    <w:rsid w:val="1817114E"/>
    <w:rsid w:val="18189ECD"/>
    <w:rsid w:val="181A1181"/>
    <w:rsid w:val="181E733C"/>
    <w:rsid w:val="181EAD32"/>
    <w:rsid w:val="181F5097"/>
    <w:rsid w:val="1824D72F"/>
    <w:rsid w:val="182596B3"/>
    <w:rsid w:val="18271A8E"/>
    <w:rsid w:val="183BBDED"/>
    <w:rsid w:val="183F24A0"/>
    <w:rsid w:val="18460707"/>
    <w:rsid w:val="185155BC"/>
    <w:rsid w:val="18566AE6"/>
    <w:rsid w:val="18575A57"/>
    <w:rsid w:val="1858287A"/>
    <w:rsid w:val="185A3E4F"/>
    <w:rsid w:val="185A5650"/>
    <w:rsid w:val="185E4FDD"/>
    <w:rsid w:val="1861C9EA"/>
    <w:rsid w:val="18655FC8"/>
    <w:rsid w:val="18702B80"/>
    <w:rsid w:val="18724E40"/>
    <w:rsid w:val="18728369"/>
    <w:rsid w:val="1872DD75"/>
    <w:rsid w:val="1875B73B"/>
    <w:rsid w:val="1876F0D4"/>
    <w:rsid w:val="187ACE54"/>
    <w:rsid w:val="187CCA80"/>
    <w:rsid w:val="1883FEED"/>
    <w:rsid w:val="1886252B"/>
    <w:rsid w:val="188795DC"/>
    <w:rsid w:val="188910D8"/>
    <w:rsid w:val="188EE5C8"/>
    <w:rsid w:val="1895FEF3"/>
    <w:rsid w:val="1896AA2A"/>
    <w:rsid w:val="18981BE7"/>
    <w:rsid w:val="189C1E8B"/>
    <w:rsid w:val="189CD769"/>
    <w:rsid w:val="18A00E5E"/>
    <w:rsid w:val="18A0D2FA"/>
    <w:rsid w:val="18A0D868"/>
    <w:rsid w:val="18A4E5D7"/>
    <w:rsid w:val="18A68959"/>
    <w:rsid w:val="18A74A4E"/>
    <w:rsid w:val="18A96969"/>
    <w:rsid w:val="18AC6B2F"/>
    <w:rsid w:val="18B1342B"/>
    <w:rsid w:val="18B262B6"/>
    <w:rsid w:val="18B73D80"/>
    <w:rsid w:val="18B81297"/>
    <w:rsid w:val="18BCF94A"/>
    <w:rsid w:val="18BD7EDB"/>
    <w:rsid w:val="18BDEFC5"/>
    <w:rsid w:val="18BE1567"/>
    <w:rsid w:val="18C5A147"/>
    <w:rsid w:val="18CC9D87"/>
    <w:rsid w:val="18CD0693"/>
    <w:rsid w:val="18D392FC"/>
    <w:rsid w:val="18D4F024"/>
    <w:rsid w:val="18D51360"/>
    <w:rsid w:val="18D8CB34"/>
    <w:rsid w:val="18D99B4D"/>
    <w:rsid w:val="18DE8BB0"/>
    <w:rsid w:val="18DEFDE1"/>
    <w:rsid w:val="18E32556"/>
    <w:rsid w:val="18E8B324"/>
    <w:rsid w:val="18E90DA8"/>
    <w:rsid w:val="18F0226F"/>
    <w:rsid w:val="18F38CDA"/>
    <w:rsid w:val="18F4CD5A"/>
    <w:rsid w:val="18F82210"/>
    <w:rsid w:val="18FA9987"/>
    <w:rsid w:val="18FC6802"/>
    <w:rsid w:val="1902E74B"/>
    <w:rsid w:val="19043C8F"/>
    <w:rsid w:val="190A2B6D"/>
    <w:rsid w:val="190A5B4E"/>
    <w:rsid w:val="190AF64C"/>
    <w:rsid w:val="190C58EF"/>
    <w:rsid w:val="190CBD8E"/>
    <w:rsid w:val="190F1E8A"/>
    <w:rsid w:val="1910EA62"/>
    <w:rsid w:val="1911EE2E"/>
    <w:rsid w:val="19161FED"/>
    <w:rsid w:val="191BA5E0"/>
    <w:rsid w:val="191C9658"/>
    <w:rsid w:val="1925F460"/>
    <w:rsid w:val="19269F46"/>
    <w:rsid w:val="19289075"/>
    <w:rsid w:val="1929DBAF"/>
    <w:rsid w:val="192DEC57"/>
    <w:rsid w:val="192F96B9"/>
    <w:rsid w:val="193158A1"/>
    <w:rsid w:val="1931926B"/>
    <w:rsid w:val="193372F7"/>
    <w:rsid w:val="19361697"/>
    <w:rsid w:val="1937C7BD"/>
    <w:rsid w:val="193F0D06"/>
    <w:rsid w:val="1941B926"/>
    <w:rsid w:val="1942406D"/>
    <w:rsid w:val="1942C5CA"/>
    <w:rsid w:val="194599FB"/>
    <w:rsid w:val="1946036F"/>
    <w:rsid w:val="1946B8AB"/>
    <w:rsid w:val="194FED3B"/>
    <w:rsid w:val="19550435"/>
    <w:rsid w:val="1959E57E"/>
    <w:rsid w:val="195C7071"/>
    <w:rsid w:val="195F1B6B"/>
    <w:rsid w:val="19634C66"/>
    <w:rsid w:val="1963923E"/>
    <w:rsid w:val="19668AA1"/>
    <w:rsid w:val="1968F2C3"/>
    <w:rsid w:val="196D67EC"/>
    <w:rsid w:val="1973CB3B"/>
    <w:rsid w:val="1974A69D"/>
    <w:rsid w:val="19756561"/>
    <w:rsid w:val="1976FD12"/>
    <w:rsid w:val="1985E14F"/>
    <w:rsid w:val="198A6AE4"/>
    <w:rsid w:val="198D46FF"/>
    <w:rsid w:val="198E1F19"/>
    <w:rsid w:val="199021D2"/>
    <w:rsid w:val="1992F092"/>
    <w:rsid w:val="19935D9C"/>
    <w:rsid w:val="199CB7BE"/>
    <w:rsid w:val="199CC132"/>
    <w:rsid w:val="199D1821"/>
    <w:rsid w:val="199FCC2C"/>
    <w:rsid w:val="19A2A5DB"/>
    <w:rsid w:val="19A5012D"/>
    <w:rsid w:val="19A62E2D"/>
    <w:rsid w:val="19A9BA27"/>
    <w:rsid w:val="19A9BD7B"/>
    <w:rsid w:val="19ABD205"/>
    <w:rsid w:val="19ACDD14"/>
    <w:rsid w:val="19AD6C5C"/>
    <w:rsid w:val="19AFD7DE"/>
    <w:rsid w:val="19B27CE8"/>
    <w:rsid w:val="19B3FC5B"/>
    <w:rsid w:val="19B6B7AB"/>
    <w:rsid w:val="19B8F883"/>
    <w:rsid w:val="19B9129D"/>
    <w:rsid w:val="19B93E5A"/>
    <w:rsid w:val="19BF8B42"/>
    <w:rsid w:val="19C53E1B"/>
    <w:rsid w:val="19C690F7"/>
    <w:rsid w:val="19CADCDA"/>
    <w:rsid w:val="19CDADC1"/>
    <w:rsid w:val="19CF9CE0"/>
    <w:rsid w:val="19D1ADEC"/>
    <w:rsid w:val="19D23272"/>
    <w:rsid w:val="19D37AAF"/>
    <w:rsid w:val="19D509E2"/>
    <w:rsid w:val="19D790CD"/>
    <w:rsid w:val="19DCBCEC"/>
    <w:rsid w:val="19DD8F39"/>
    <w:rsid w:val="19DE6541"/>
    <w:rsid w:val="19E0AA21"/>
    <w:rsid w:val="19E1FF86"/>
    <w:rsid w:val="19E24948"/>
    <w:rsid w:val="19E3CCCD"/>
    <w:rsid w:val="19EBADBF"/>
    <w:rsid w:val="19ECA6F3"/>
    <w:rsid w:val="19ECCA3E"/>
    <w:rsid w:val="19EF502C"/>
    <w:rsid w:val="19F060F4"/>
    <w:rsid w:val="19FCBA8A"/>
    <w:rsid w:val="1A03EB4E"/>
    <w:rsid w:val="1A050852"/>
    <w:rsid w:val="1A0A027F"/>
    <w:rsid w:val="1A0D742F"/>
    <w:rsid w:val="1A11C658"/>
    <w:rsid w:val="1A11DF43"/>
    <w:rsid w:val="1A133A65"/>
    <w:rsid w:val="1A13EEFD"/>
    <w:rsid w:val="1A141B76"/>
    <w:rsid w:val="1A1C58B4"/>
    <w:rsid w:val="1A1D7C9E"/>
    <w:rsid w:val="1A1EBA16"/>
    <w:rsid w:val="1A2BD8EC"/>
    <w:rsid w:val="1A2DE413"/>
    <w:rsid w:val="1A30B4C8"/>
    <w:rsid w:val="1A35E12A"/>
    <w:rsid w:val="1A3A08EF"/>
    <w:rsid w:val="1A3A0DC6"/>
    <w:rsid w:val="1A3A75F6"/>
    <w:rsid w:val="1A3BF929"/>
    <w:rsid w:val="1A3CD24D"/>
    <w:rsid w:val="1A42AFF2"/>
    <w:rsid w:val="1A46BC46"/>
    <w:rsid w:val="1A484A87"/>
    <w:rsid w:val="1A4A5366"/>
    <w:rsid w:val="1A4AF2BE"/>
    <w:rsid w:val="1A51BEEC"/>
    <w:rsid w:val="1A523011"/>
    <w:rsid w:val="1A59E612"/>
    <w:rsid w:val="1A5B6218"/>
    <w:rsid w:val="1A5DBFBE"/>
    <w:rsid w:val="1A6300F1"/>
    <w:rsid w:val="1A6714D2"/>
    <w:rsid w:val="1A67D224"/>
    <w:rsid w:val="1A6C3BA2"/>
    <w:rsid w:val="1A6EBB7D"/>
    <w:rsid w:val="1A70FC60"/>
    <w:rsid w:val="1A723C76"/>
    <w:rsid w:val="1A76BC46"/>
    <w:rsid w:val="1A7781A3"/>
    <w:rsid w:val="1A7C67A1"/>
    <w:rsid w:val="1A85FDB9"/>
    <w:rsid w:val="1A868C3F"/>
    <w:rsid w:val="1A880E16"/>
    <w:rsid w:val="1A8A46F1"/>
    <w:rsid w:val="1A8BA819"/>
    <w:rsid w:val="1A8D9964"/>
    <w:rsid w:val="1A9B4E02"/>
    <w:rsid w:val="1AA1F967"/>
    <w:rsid w:val="1AA332FD"/>
    <w:rsid w:val="1AA3DA3D"/>
    <w:rsid w:val="1AA3DCA3"/>
    <w:rsid w:val="1AA9476D"/>
    <w:rsid w:val="1AA9BE4F"/>
    <w:rsid w:val="1AA9C3C6"/>
    <w:rsid w:val="1AAD7269"/>
    <w:rsid w:val="1AB28809"/>
    <w:rsid w:val="1AB34BBD"/>
    <w:rsid w:val="1AC2048C"/>
    <w:rsid w:val="1AC2ABED"/>
    <w:rsid w:val="1AC69402"/>
    <w:rsid w:val="1AC6C333"/>
    <w:rsid w:val="1AC6FCE3"/>
    <w:rsid w:val="1AD83FD8"/>
    <w:rsid w:val="1ADF6352"/>
    <w:rsid w:val="1AE07F53"/>
    <w:rsid w:val="1AE181CD"/>
    <w:rsid w:val="1AE27D2F"/>
    <w:rsid w:val="1AE77A69"/>
    <w:rsid w:val="1AE8CACC"/>
    <w:rsid w:val="1AEA8EAC"/>
    <w:rsid w:val="1AEE58B3"/>
    <w:rsid w:val="1AF33A94"/>
    <w:rsid w:val="1AF6134E"/>
    <w:rsid w:val="1AF6EE28"/>
    <w:rsid w:val="1AF75046"/>
    <w:rsid w:val="1AFC4482"/>
    <w:rsid w:val="1AFD2A54"/>
    <w:rsid w:val="1AFD7C59"/>
    <w:rsid w:val="1AFE1201"/>
    <w:rsid w:val="1B01679B"/>
    <w:rsid w:val="1B040C0A"/>
    <w:rsid w:val="1B0491A6"/>
    <w:rsid w:val="1B04F636"/>
    <w:rsid w:val="1B061687"/>
    <w:rsid w:val="1B06CFA1"/>
    <w:rsid w:val="1B08D406"/>
    <w:rsid w:val="1B0BEF9F"/>
    <w:rsid w:val="1B0F880C"/>
    <w:rsid w:val="1B16F73E"/>
    <w:rsid w:val="1B1803AF"/>
    <w:rsid w:val="1B1BAE56"/>
    <w:rsid w:val="1B2158CF"/>
    <w:rsid w:val="1B2F2C43"/>
    <w:rsid w:val="1B31F95B"/>
    <w:rsid w:val="1B339DD0"/>
    <w:rsid w:val="1B3641EE"/>
    <w:rsid w:val="1B36A45F"/>
    <w:rsid w:val="1B386A2E"/>
    <w:rsid w:val="1B3A886E"/>
    <w:rsid w:val="1B3ACE68"/>
    <w:rsid w:val="1B486C2F"/>
    <w:rsid w:val="1B4EBC9E"/>
    <w:rsid w:val="1B4FFAA3"/>
    <w:rsid w:val="1B522559"/>
    <w:rsid w:val="1B525AE6"/>
    <w:rsid w:val="1B53CE35"/>
    <w:rsid w:val="1B5862B1"/>
    <w:rsid w:val="1B5D6D0A"/>
    <w:rsid w:val="1B5D87CC"/>
    <w:rsid w:val="1B644342"/>
    <w:rsid w:val="1B652953"/>
    <w:rsid w:val="1B6BB8C5"/>
    <w:rsid w:val="1B6D3CD4"/>
    <w:rsid w:val="1B72DA68"/>
    <w:rsid w:val="1B77BB58"/>
    <w:rsid w:val="1B7A3D94"/>
    <w:rsid w:val="1B7AB5D2"/>
    <w:rsid w:val="1B845FC1"/>
    <w:rsid w:val="1B8D3E13"/>
    <w:rsid w:val="1B8DDA97"/>
    <w:rsid w:val="1B9194AB"/>
    <w:rsid w:val="1B9263C9"/>
    <w:rsid w:val="1B9C6BE0"/>
    <w:rsid w:val="1B9D371F"/>
    <w:rsid w:val="1B9F17D4"/>
    <w:rsid w:val="1BA2A67D"/>
    <w:rsid w:val="1BA4D4A1"/>
    <w:rsid w:val="1BA749C6"/>
    <w:rsid w:val="1BAED686"/>
    <w:rsid w:val="1BB338BF"/>
    <w:rsid w:val="1BBDF7EF"/>
    <w:rsid w:val="1BC0B6DA"/>
    <w:rsid w:val="1BC6868A"/>
    <w:rsid w:val="1BCE2A1D"/>
    <w:rsid w:val="1BCF80B0"/>
    <w:rsid w:val="1BD2D2D5"/>
    <w:rsid w:val="1BD503A2"/>
    <w:rsid w:val="1BD740BC"/>
    <w:rsid w:val="1BD9F46A"/>
    <w:rsid w:val="1BDCE835"/>
    <w:rsid w:val="1BE00313"/>
    <w:rsid w:val="1BE34AE4"/>
    <w:rsid w:val="1BE6BEE2"/>
    <w:rsid w:val="1BE8BA89"/>
    <w:rsid w:val="1BEC43E9"/>
    <w:rsid w:val="1BEC7347"/>
    <w:rsid w:val="1BEE2820"/>
    <w:rsid w:val="1BEE4F1C"/>
    <w:rsid w:val="1BF672A1"/>
    <w:rsid w:val="1BF810A6"/>
    <w:rsid w:val="1BFD5144"/>
    <w:rsid w:val="1C004AC9"/>
    <w:rsid w:val="1C0281A4"/>
    <w:rsid w:val="1C0DAA53"/>
    <w:rsid w:val="1C15464F"/>
    <w:rsid w:val="1C15541A"/>
    <w:rsid w:val="1C162DAB"/>
    <w:rsid w:val="1C1BF6A7"/>
    <w:rsid w:val="1C1CE7E1"/>
    <w:rsid w:val="1C20F05D"/>
    <w:rsid w:val="1C23B98C"/>
    <w:rsid w:val="1C259135"/>
    <w:rsid w:val="1C25C7A0"/>
    <w:rsid w:val="1C25E3D7"/>
    <w:rsid w:val="1C28A5A9"/>
    <w:rsid w:val="1C2949FE"/>
    <w:rsid w:val="1C2F6EAB"/>
    <w:rsid w:val="1C34BF62"/>
    <w:rsid w:val="1C3538A6"/>
    <w:rsid w:val="1C4632A1"/>
    <w:rsid w:val="1C46F085"/>
    <w:rsid w:val="1C48D217"/>
    <w:rsid w:val="1C4A390B"/>
    <w:rsid w:val="1C4CDD1D"/>
    <w:rsid w:val="1C5957E9"/>
    <w:rsid w:val="1C5EA8E2"/>
    <w:rsid w:val="1C60D03B"/>
    <w:rsid w:val="1C715329"/>
    <w:rsid w:val="1C73F641"/>
    <w:rsid w:val="1C7CC365"/>
    <w:rsid w:val="1C7D0CD1"/>
    <w:rsid w:val="1C7D86FF"/>
    <w:rsid w:val="1C7DA41C"/>
    <w:rsid w:val="1C814A66"/>
    <w:rsid w:val="1C85DB65"/>
    <w:rsid w:val="1C867912"/>
    <w:rsid w:val="1C87EB8D"/>
    <w:rsid w:val="1C891D6E"/>
    <w:rsid w:val="1C8EB7B5"/>
    <w:rsid w:val="1C955C8E"/>
    <w:rsid w:val="1C96164E"/>
    <w:rsid w:val="1C96A82A"/>
    <w:rsid w:val="1C97B0C4"/>
    <w:rsid w:val="1C9BA703"/>
    <w:rsid w:val="1C9CE38A"/>
    <w:rsid w:val="1CA2A04D"/>
    <w:rsid w:val="1CA4FDEE"/>
    <w:rsid w:val="1CA5618D"/>
    <w:rsid w:val="1CAC3529"/>
    <w:rsid w:val="1CB08304"/>
    <w:rsid w:val="1CB1ABB7"/>
    <w:rsid w:val="1CB4CF63"/>
    <w:rsid w:val="1CB92E64"/>
    <w:rsid w:val="1CBC8D4B"/>
    <w:rsid w:val="1CC0F5C4"/>
    <w:rsid w:val="1CC81B4A"/>
    <w:rsid w:val="1CCBAB41"/>
    <w:rsid w:val="1CCE2545"/>
    <w:rsid w:val="1CD2A954"/>
    <w:rsid w:val="1CD47186"/>
    <w:rsid w:val="1CD7F2E1"/>
    <w:rsid w:val="1CD95757"/>
    <w:rsid w:val="1CD9BC5A"/>
    <w:rsid w:val="1CDC7D6C"/>
    <w:rsid w:val="1CDCA27A"/>
    <w:rsid w:val="1CDCEFB2"/>
    <w:rsid w:val="1CDEAD82"/>
    <w:rsid w:val="1CDF9164"/>
    <w:rsid w:val="1CF205D2"/>
    <w:rsid w:val="1CF25BFA"/>
    <w:rsid w:val="1CF3CBC3"/>
    <w:rsid w:val="1CF3DB48"/>
    <w:rsid w:val="1CF42597"/>
    <w:rsid w:val="1CF5B4D5"/>
    <w:rsid w:val="1CF5F826"/>
    <w:rsid w:val="1CF64A2D"/>
    <w:rsid w:val="1CFB43BF"/>
    <w:rsid w:val="1CFB9DFA"/>
    <w:rsid w:val="1CFFDB2B"/>
    <w:rsid w:val="1D009596"/>
    <w:rsid w:val="1D0A5676"/>
    <w:rsid w:val="1D10B98D"/>
    <w:rsid w:val="1D12612F"/>
    <w:rsid w:val="1D15ED3A"/>
    <w:rsid w:val="1D19E4C8"/>
    <w:rsid w:val="1D1BCD98"/>
    <w:rsid w:val="1D1EB349"/>
    <w:rsid w:val="1D20E5CF"/>
    <w:rsid w:val="1D22DA0E"/>
    <w:rsid w:val="1D22F2F3"/>
    <w:rsid w:val="1D2369ED"/>
    <w:rsid w:val="1D25B3A6"/>
    <w:rsid w:val="1D25CE64"/>
    <w:rsid w:val="1D2AA2B9"/>
    <w:rsid w:val="1D394704"/>
    <w:rsid w:val="1D3C0A45"/>
    <w:rsid w:val="1D47635A"/>
    <w:rsid w:val="1D4C6577"/>
    <w:rsid w:val="1D534BE2"/>
    <w:rsid w:val="1D5805F9"/>
    <w:rsid w:val="1D58856D"/>
    <w:rsid w:val="1D5D3CBC"/>
    <w:rsid w:val="1D60269A"/>
    <w:rsid w:val="1D64B480"/>
    <w:rsid w:val="1D6DDA6C"/>
    <w:rsid w:val="1D6DE236"/>
    <w:rsid w:val="1D6E3D80"/>
    <w:rsid w:val="1D6E9C6D"/>
    <w:rsid w:val="1D7369C5"/>
    <w:rsid w:val="1D770B8F"/>
    <w:rsid w:val="1D8270F7"/>
    <w:rsid w:val="1D82C01C"/>
    <w:rsid w:val="1D82E2A8"/>
    <w:rsid w:val="1D84A089"/>
    <w:rsid w:val="1D8B8E54"/>
    <w:rsid w:val="1D8B9489"/>
    <w:rsid w:val="1D8C6557"/>
    <w:rsid w:val="1D8E3E52"/>
    <w:rsid w:val="1D91E958"/>
    <w:rsid w:val="1D925A71"/>
    <w:rsid w:val="1D97DF21"/>
    <w:rsid w:val="1D9AE0B3"/>
    <w:rsid w:val="1D9BFB31"/>
    <w:rsid w:val="1D9C0CBC"/>
    <w:rsid w:val="1D9CAE29"/>
    <w:rsid w:val="1D9D975E"/>
    <w:rsid w:val="1D9F7EAB"/>
    <w:rsid w:val="1DA14A48"/>
    <w:rsid w:val="1DA8E5C9"/>
    <w:rsid w:val="1DAB7F7D"/>
    <w:rsid w:val="1DAFD523"/>
    <w:rsid w:val="1DB2D15B"/>
    <w:rsid w:val="1DB564D7"/>
    <w:rsid w:val="1DB82B02"/>
    <w:rsid w:val="1DB8AAF3"/>
    <w:rsid w:val="1DBA892C"/>
    <w:rsid w:val="1DBED35C"/>
    <w:rsid w:val="1DC35D5F"/>
    <w:rsid w:val="1DC55917"/>
    <w:rsid w:val="1DCA782C"/>
    <w:rsid w:val="1DCAC298"/>
    <w:rsid w:val="1DCBB176"/>
    <w:rsid w:val="1DCF61B9"/>
    <w:rsid w:val="1DD21FDB"/>
    <w:rsid w:val="1DD38774"/>
    <w:rsid w:val="1DD8295A"/>
    <w:rsid w:val="1DDB15AD"/>
    <w:rsid w:val="1DDB24FB"/>
    <w:rsid w:val="1DDDD873"/>
    <w:rsid w:val="1DE26FC9"/>
    <w:rsid w:val="1DE337D7"/>
    <w:rsid w:val="1DE37730"/>
    <w:rsid w:val="1DE8349D"/>
    <w:rsid w:val="1DF18A04"/>
    <w:rsid w:val="1DF6F2F9"/>
    <w:rsid w:val="1DF7FB04"/>
    <w:rsid w:val="1DF80BBE"/>
    <w:rsid w:val="1E0DF7F8"/>
    <w:rsid w:val="1E0FD16F"/>
    <w:rsid w:val="1E14321D"/>
    <w:rsid w:val="1E18D570"/>
    <w:rsid w:val="1E19A880"/>
    <w:rsid w:val="1E1AAE27"/>
    <w:rsid w:val="1E1FBD53"/>
    <w:rsid w:val="1E2532F1"/>
    <w:rsid w:val="1E26D8CF"/>
    <w:rsid w:val="1E27446F"/>
    <w:rsid w:val="1E2F7210"/>
    <w:rsid w:val="1E2FC90B"/>
    <w:rsid w:val="1E30AF34"/>
    <w:rsid w:val="1E30FA73"/>
    <w:rsid w:val="1E367D66"/>
    <w:rsid w:val="1E37C307"/>
    <w:rsid w:val="1E3828E4"/>
    <w:rsid w:val="1E3A4917"/>
    <w:rsid w:val="1E3CCE1B"/>
    <w:rsid w:val="1E3EF0C0"/>
    <w:rsid w:val="1E403E81"/>
    <w:rsid w:val="1E460FB6"/>
    <w:rsid w:val="1E48A903"/>
    <w:rsid w:val="1E494969"/>
    <w:rsid w:val="1E4D18F3"/>
    <w:rsid w:val="1E4D6B47"/>
    <w:rsid w:val="1E50B316"/>
    <w:rsid w:val="1E570DE6"/>
    <w:rsid w:val="1E573021"/>
    <w:rsid w:val="1E686A49"/>
    <w:rsid w:val="1E6D1D04"/>
    <w:rsid w:val="1E730388"/>
    <w:rsid w:val="1E7455DC"/>
    <w:rsid w:val="1E77E3AB"/>
    <w:rsid w:val="1E78C174"/>
    <w:rsid w:val="1E7A5F6F"/>
    <w:rsid w:val="1E7B5011"/>
    <w:rsid w:val="1E7E1742"/>
    <w:rsid w:val="1E80BDB6"/>
    <w:rsid w:val="1E818425"/>
    <w:rsid w:val="1E81E183"/>
    <w:rsid w:val="1E8223C3"/>
    <w:rsid w:val="1E8D7C0C"/>
    <w:rsid w:val="1E8D8897"/>
    <w:rsid w:val="1E95BD49"/>
    <w:rsid w:val="1E9868E8"/>
    <w:rsid w:val="1E9BAC9B"/>
    <w:rsid w:val="1E9BBDD1"/>
    <w:rsid w:val="1E9ECF6B"/>
    <w:rsid w:val="1EA262ED"/>
    <w:rsid w:val="1EA73DB2"/>
    <w:rsid w:val="1EA7C8ED"/>
    <w:rsid w:val="1EA9C5A4"/>
    <w:rsid w:val="1EACB270"/>
    <w:rsid w:val="1EB03A0C"/>
    <w:rsid w:val="1EB13F7D"/>
    <w:rsid w:val="1EB3BADB"/>
    <w:rsid w:val="1EB64DCD"/>
    <w:rsid w:val="1EB75B88"/>
    <w:rsid w:val="1EB9146A"/>
    <w:rsid w:val="1EBF835D"/>
    <w:rsid w:val="1EC2753D"/>
    <w:rsid w:val="1EC40195"/>
    <w:rsid w:val="1EC77161"/>
    <w:rsid w:val="1EC8EBDA"/>
    <w:rsid w:val="1ECCC381"/>
    <w:rsid w:val="1EDB463F"/>
    <w:rsid w:val="1EDD6056"/>
    <w:rsid w:val="1EDE33BF"/>
    <w:rsid w:val="1EE074E6"/>
    <w:rsid w:val="1EE145BD"/>
    <w:rsid w:val="1EE1921F"/>
    <w:rsid w:val="1EE1E8A5"/>
    <w:rsid w:val="1EE452B9"/>
    <w:rsid w:val="1EE4DB7A"/>
    <w:rsid w:val="1EE527ED"/>
    <w:rsid w:val="1EE532B3"/>
    <w:rsid w:val="1EE8CD56"/>
    <w:rsid w:val="1EE9E691"/>
    <w:rsid w:val="1EEAAC67"/>
    <w:rsid w:val="1EEC4584"/>
    <w:rsid w:val="1EED162F"/>
    <w:rsid w:val="1EF43F2D"/>
    <w:rsid w:val="1EF489E4"/>
    <w:rsid w:val="1F00D6AE"/>
    <w:rsid w:val="1F046431"/>
    <w:rsid w:val="1F05AA32"/>
    <w:rsid w:val="1F066B59"/>
    <w:rsid w:val="1F09518C"/>
    <w:rsid w:val="1F0D6A0A"/>
    <w:rsid w:val="1F0D822E"/>
    <w:rsid w:val="1F120420"/>
    <w:rsid w:val="1F12CA4A"/>
    <w:rsid w:val="1F199119"/>
    <w:rsid w:val="1F1B0EF9"/>
    <w:rsid w:val="1F1BEB9A"/>
    <w:rsid w:val="1F1C0680"/>
    <w:rsid w:val="1F1E7BF8"/>
    <w:rsid w:val="1F1ED4B8"/>
    <w:rsid w:val="1F2D16FA"/>
    <w:rsid w:val="1F2DEC04"/>
    <w:rsid w:val="1F36D907"/>
    <w:rsid w:val="1F40A9B6"/>
    <w:rsid w:val="1F41B04D"/>
    <w:rsid w:val="1F42BE0D"/>
    <w:rsid w:val="1F449724"/>
    <w:rsid w:val="1F45DCE6"/>
    <w:rsid w:val="1F4910B0"/>
    <w:rsid w:val="1F4E0A44"/>
    <w:rsid w:val="1F4F0731"/>
    <w:rsid w:val="1F5196E7"/>
    <w:rsid w:val="1F5752C5"/>
    <w:rsid w:val="1F584492"/>
    <w:rsid w:val="1F59C8B5"/>
    <w:rsid w:val="1F62C0CD"/>
    <w:rsid w:val="1F68F33E"/>
    <w:rsid w:val="1F6C983E"/>
    <w:rsid w:val="1F74AED2"/>
    <w:rsid w:val="1F7AC6CA"/>
    <w:rsid w:val="1F85C768"/>
    <w:rsid w:val="1F899173"/>
    <w:rsid w:val="1F8E355B"/>
    <w:rsid w:val="1F9085EC"/>
    <w:rsid w:val="1F92B3AD"/>
    <w:rsid w:val="1F95EC5D"/>
    <w:rsid w:val="1F968F48"/>
    <w:rsid w:val="1F975F51"/>
    <w:rsid w:val="1F99872B"/>
    <w:rsid w:val="1F9FDB3D"/>
    <w:rsid w:val="1FA0423E"/>
    <w:rsid w:val="1FA04EF9"/>
    <w:rsid w:val="1FA0DDAB"/>
    <w:rsid w:val="1FA287B0"/>
    <w:rsid w:val="1FA514FC"/>
    <w:rsid w:val="1FA6CD88"/>
    <w:rsid w:val="1FAC18DC"/>
    <w:rsid w:val="1FAFCFAD"/>
    <w:rsid w:val="1FB35B82"/>
    <w:rsid w:val="1FB3B2FD"/>
    <w:rsid w:val="1FB6F965"/>
    <w:rsid w:val="1FBADFA2"/>
    <w:rsid w:val="1FBDB9CA"/>
    <w:rsid w:val="1FBE8E90"/>
    <w:rsid w:val="1FCB0D06"/>
    <w:rsid w:val="1FCC9608"/>
    <w:rsid w:val="1FCCA713"/>
    <w:rsid w:val="1FCCB1DB"/>
    <w:rsid w:val="1FDC4562"/>
    <w:rsid w:val="1FDEDB7C"/>
    <w:rsid w:val="1FE346C8"/>
    <w:rsid w:val="1FE9BE3B"/>
    <w:rsid w:val="1FED4EA9"/>
    <w:rsid w:val="1FEE27F4"/>
    <w:rsid w:val="1FEEECB3"/>
    <w:rsid w:val="1FF23062"/>
    <w:rsid w:val="1FF2A2D9"/>
    <w:rsid w:val="1FF4B01D"/>
    <w:rsid w:val="1FF9D6FB"/>
    <w:rsid w:val="200AE9F0"/>
    <w:rsid w:val="200C355F"/>
    <w:rsid w:val="200D82D4"/>
    <w:rsid w:val="201138BF"/>
    <w:rsid w:val="201438AF"/>
    <w:rsid w:val="2015FB11"/>
    <w:rsid w:val="201711CA"/>
    <w:rsid w:val="2019EFEF"/>
    <w:rsid w:val="2022A8C0"/>
    <w:rsid w:val="20248A45"/>
    <w:rsid w:val="2025C5B9"/>
    <w:rsid w:val="202D87D8"/>
    <w:rsid w:val="202E35E5"/>
    <w:rsid w:val="202F7B24"/>
    <w:rsid w:val="203170CC"/>
    <w:rsid w:val="20365BB3"/>
    <w:rsid w:val="203819B3"/>
    <w:rsid w:val="2039FA5F"/>
    <w:rsid w:val="203ED918"/>
    <w:rsid w:val="20402F08"/>
    <w:rsid w:val="20429753"/>
    <w:rsid w:val="20444532"/>
    <w:rsid w:val="20453D34"/>
    <w:rsid w:val="204BBAAF"/>
    <w:rsid w:val="2051768E"/>
    <w:rsid w:val="2053567A"/>
    <w:rsid w:val="2060A5BB"/>
    <w:rsid w:val="20616648"/>
    <w:rsid w:val="20623E76"/>
    <w:rsid w:val="20658EFE"/>
    <w:rsid w:val="20674C1B"/>
    <w:rsid w:val="206822C3"/>
    <w:rsid w:val="206A0E75"/>
    <w:rsid w:val="206B3D58"/>
    <w:rsid w:val="206D0774"/>
    <w:rsid w:val="206EEF42"/>
    <w:rsid w:val="2071D43E"/>
    <w:rsid w:val="207427F5"/>
    <w:rsid w:val="2074E52D"/>
    <w:rsid w:val="207DB077"/>
    <w:rsid w:val="207F5402"/>
    <w:rsid w:val="208593E4"/>
    <w:rsid w:val="2088CF6A"/>
    <w:rsid w:val="20893DB1"/>
    <w:rsid w:val="208D6305"/>
    <w:rsid w:val="2090655D"/>
    <w:rsid w:val="20907F85"/>
    <w:rsid w:val="20930A7D"/>
    <w:rsid w:val="20948221"/>
    <w:rsid w:val="209988AC"/>
    <w:rsid w:val="2099D41A"/>
    <w:rsid w:val="209BD037"/>
    <w:rsid w:val="20A6F93F"/>
    <w:rsid w:val="20A9B3F0"/>
    <w:rsid w:val="20AD7E8F"/>
    <w:rsid w:val="20AFC6FE"/>
    <w:rsid w:val="20AFF3AE"/>
    <w:rsid w:val="20B11B73"/>
    <w:rsid w:val="20B19560"/>
    <w:rsid w:val="20B31CE2"/>
    <w:rsid w:val="20C10677"/>
    <w:rsid w:val="20C4594C"/>
    <w:rsid w:val="20C52443"/>
    <w:rsid w:val="20C84B53"/>
    <w:rsid w:val="20CA6A58"/>
    <w:rsid w:val="20CE3764"/>
    <w:rsid w:val="20CED1CA"/>
    <w:rsid w:val="20CFB257"/>
    <w:rsid w:val="20CFB6E7"/>
    <w:rsid w:val="20D0855D"/>
    <w:rsid w:val="20DC7876"/>
    <w:rsid w:val="20DFE212"/>
    <w:rsid w:val="20E25030"/>
    <w:rsid w:val="20E43DF3"/>
    <w:rsid w:val="20E88FF6"/>
    <w:rsid w:val="20EA520F"/>
    <w:rsid w:val="20F26BFF"/>
    <w:rsid w:val="20F6CC16"/>
    <w:rsid w:val="20F78B14"/>
    <w:rsid w:val="20FE8F72"/>
    <w:rsid w:val="2108D68C"/>
    <w:rsid w:val="210ABE29"/>
    <w:rsid w:val="210D8C28"/>
    <w:rsid w:val="2110AC95"/>
    <w:rsid w:val="211192C5"/>
    <w:rsid w:val="21135B24"/>
    <w:rsid w:val="21185D1B"/>
    <w:rsid w:val="2118DED7"/>
    <w:rsid w:val="211B4857"/>
    <w:rsid w:val="211BC0D0"/>
    <w:rsid w:val="2120F827"/>
    <w:rsid w:val="2125D7F7"/>
    <w:rsid w:val="21260A21"/>
    <w:rsid w:val="21292D0A"/>
    <w:rsid w:val="212ABD65"/>
    <w:rsid w:val="2136154F"/>
    <w:rsid w:val="2137EC8C"/>
    <w:rsid w:val="21389109"/>
    <w:rsid w:val="213A23DB"/>
    <w:rsid w:val="213F6777"/>
    <w:rsid w:val="213F6EF1"/>
    <w:rsid w:val="21457B4E"/>
    <w:rsid w:val="2145F30A"/>
    <w:rsid w:val="214E6099"/>
    <w:rsid w:val="214FBEB0"/>
    <w:rsid w:val="21536111"/>
    <w:rsid w:val="215C1624"/>
    <w:rsid w:val="2168310E"/>
    <w:rsid w:val="21684F39"/>
    <w:rsid w:val="216A6151"/>
    <w:rsid w:val="217BBA1D"/>
    <w:rsid w:val="217CD7E8"/>
    <w:rsid w:val="217EBF25"/>
    <w:rsid w:val="2180B658"/>
    <w:rsid w:val="21826952"/>
    <w:rsid w:val="2183ADAB"/>
    <w:rsid w:val="21881D65"/>
    <w:rsid w:val="218CCAA0"/>
    <w:rsid w:val="219014CB"/>
    <w:rsid w:val="21953E47"/>
    <w:rsid w:val="21955354"/>
    <w:rsid w:val="219F84B2"/>
    <w:rsid w:val="219F8F5A"/>
    <w:rsid w:val="21A017FF"/>
    <w:rsid w:val="21A8E9FC"/>
    <w:rsid w:val="21A93EE9"/>
    <w:rsid w:val="21A97E0C"/>
    <w:rsid w:val="21AA1451"/>
    <w:rsid w:val="21B108E6"/>
    <w:rsid w:val="21B1D3A6"/>
    <w:rsid w:val="21B71420"/>
    <w:rsid w:val="21BF0E40"/>
    <w:rsid w:val="21C2A356"/>
    <w:rsid w:val="21C2C6EF"/>
    <w:rsid w:val="21C35B37"/>
    <w:rsid w:val="21C4291E"/>
    <w:rsid w:val="21C47636"/>
    <w:rsid w:val="21CB217B"/>
    <w:rsid w:val="21CB92D2"/>
    <w:rsid w:val="21DF030B"/>
    <w:rsid w:val="21E05D7E"/>
    <w:rsid w:val="21E20A10"/>
    <w:rsid w:val="21E9E9C0"/>
    <w:rsid w:val="21EAF940"/>
    <w:rsid w:val="21EE6022"/>
    <w:rsid w:val="21F09F4C"/>
    <w:rsid w:val="21F563E7"/>
    <w:rsid w:val="21F6F41F"/>
    <w:rsid w:val="21F8A9FD"/>
    <w:rsid w:val="21FE301D"/>
    <w:rsid w:val="21FE5289"/>
    <w:rsid w:val="22053C52"/>
    <w:rsid w:val="22069592"/>
    <w:rsid w:val="220769C9"/>
    <w:rsid w:val="22105399"/>
    <w:rsid w:val="2213F72C"/>
    <w:rsid w:val="221C5A16"/>
    <w:rsid w:val="22225294"/>
    <w:rsid w:val="2222C5C6"/>
    <w:rsid w:val="22277C7C"/>
    <w:rsid w:val="222D6DB1"/>
    <w:rsid w:val="222F3909"/>
    <w:rsid w:val="223263FD"/>
    <w:rsid w:val="2234DC11"/>
    <w:rsid w:val="2234EB07"/>
    <w:rsid w:val="223B2A7B"/>
    <w:rsid w:val="223B9CC5"/>
    <w:rsid w:val="2241A820"/>
    <w:rsid w:val="2242B140"/>
    <w:rsid w:val="2242CDEE"/>
    <w:rsid w:val="224311CA"/>
    <w:rsid w:val="22437F4D"/>
    <w:rsid w:val="2244697E"/>
    <w:rsid w:val="2245D52A"/>
    <w:rsid w:val="2246B421"/>
    <w:rsid w:val="2249B5A3"/>
    <w:rsid w:val="224BFF3B"/>
    <w:rsid w:val="22506995"/>
    <w:rsid w:val="22522837"/>
    <w:rsid w:val="225319CB"/>
    <w:rsid w:val="22562629"/>
    <w:rsid w:val="2256878D"/>
    <w:rsid w:val="22578955"/>
    <w:rsid w:val="225B8932"/>
    <w:rsid w:val="2260A39D"/>
    <w:rsid w:val="2264D78F"/>
    <w:rsid w:val="22652D31"/>
    <w:rsid w:val="226596A4"/>
    <w:rsid w:val="226E8C15"/>
    <w:rsid w:val="2270421D"/>
    <w:rsid w:val="2272929A"/>
    <w:rsid w:val="2274F5C8"/>
    <w:rsid w:val="227D482F"/>
    <w:rsid w:val="227DD938"/>
    <w:rsid w:val="227EC0BE"/>
    <w:rsid w:val="2281A4EB"/>
    <w:rsid w:val="2282A5EA"/>
    <w:rsid w:val="2282E778"/>
    <w:rsid w:val="22862525"/>
    <w:rsid w:val="228704F4"/>
    <w:rsid w:val="2287AEAA"/>
    <w:rsid w:val="228886A9"/>
    <w:rsid w:val="228F3BB5"/>
    <w:rsid w:val="2290AA6B"/>
    <w:rsid w:val="229CA385"/>
    <w:rsid w:val="229D074E"/>
    <w:rsid w:val="229DDF20"/>
    <w:rsid w:val="229E458A"/>
    <w:rsid w:val="22A0D430"/>
    <w:rsid w:val="22A24233"/>
    <w:rsid w:val="22A61A71"/>
    <w:rsid w:val="22AF5670"/>
    <w:rsid w:val="22AFDF1B"/>
    <w:rsid w:val="22AFF977"/>
    <w:rsid w:val="22B050BF"/>
    <w:rsid w:val="22B18932"/>
    <w:rsid w:val="22B61D57"/>
    <w:rsid w:val="22B72BAA"/>
    <w:rsid w:val="22B8792F"/>
    <w:rsid w:val="22B964E7"/>
    <w:rsid w:val="22BBED41"/>
    <w:rsid w:val="22BD6BB5"/>
    <w:rsid w:val="22BDBD25"/>
    <w:rsid w:val="22C1E7FA"/>
    <w:rsid w:val="22C54A0B"/>
    <w:rsid w:val="22C83790"/>
    <w:rsid w:val="22CA8A3A"/>
    <w:rsid w:val="22CB1082"/>
    <w:rsid w:val="22D2FADF"/>
    <w:rsid w:val="22D7397E"/>
    <w:rsid w:val="22D829E3"/>
    <w:rsid w:val="22DA21D8"/>
    <w:rsid w:val="22DA6080"/>
    <w:rsid w:val="22E0ED5B"/>
    <w:rsid w:val="22E44CEE"/>
    <w:rsid w:val="22E729EB"/>
    <w:rsid w:val="22E8D6F5"/>
    <w:rsid w:val="22E9320E"/>
    <w:rsid w:val="22EC81DB"/>
    <w:rsid w:val="22EE3BB8"/>
    <w:rsid w:val="22F0B8D0"/>
    <w:rsid w:val="22F42CC7"/>
    <w:rsid w:val="22F7BC3A"/>
    <w:rsid w:val="22F97187"/>
    <w:rsid w:val="22FC1333"/>
    <w:rsid w:val="22FC1873"/>
    <w:rsid w:val="22FD7F81"/>
    <w:rsid w:val="22FDF939"/>
    <w:rsid w:val="22FE3679"/>
    <w:rsid w:val="22FF6857"/>
    <w:rsid w:val="23006322"/>
    <w:rsid w:val="230ABBAA"/>
    <w:rsid w:val="230C33E0"/>
    <w:rsid w:val="231174B0"/>
    <w:rsid w:val="2312A501"/>
    <w:rsid w:val="23130877"/>
    <w:rsid w:val="231852FA"/>
    <w:rsid w:val="231AA08A"/>
    <w:rsid w:val="2320155F"/>
    <w:rsid w:val="232437AA"/>
    <w:rsid w:val="2327B668"/>
    <w:rsid w:val="2327F968"/>
    <w:rsid w:val="232897BA"/>
    <w:rsid w:val="232BF4D3"/>
    <w:rsid w:val="232CE265"/>
    <w:rsid w:val="232E3021"/>
    <w:rsid w:val="232EF19D"/>
    <w:rsid w:val="232F2E6C"/>
    <w:rsid w:val="23300029"/>
    <w:rsid w:val="23303A28"/>
    <w:rsid w:val="23323E23"/>
    <w:rsid w:val="233B5974"/>
    <w:rsid w:val="233EE9AB"/>
    <w:rsid w:val="233F5CAF"/>
    <w:rsid w:val="2340F293"/>
    <w:rsid w:val="23446962"/>
    <w:rsid w:val="2344DA14"/>
    <w:rsid w:val="23476C75"/>
    <w:rsid w:val="23497DF4"/>
    <w:rsid w:val="23499740"/>
    <w:rsid w:val="2349CAD8"/>
    <w:rsid w:val="234BF6AA"/>
    <w:rsid w:val="234D8A34"/>
    <w:rsid w:val="23569F88"/>
    <w:rsid w:val="2357EE57"/>
    <w:rsid w:val="2358834E"/>
    <w:rsid w:val="235B2CAB"/>
    <w:rsid w:val="235C2156"/>
    <w:rsid w:val="235D0E29"/>
    <w:rsid w:val="235F7980"/>
    <w:rsid w:val="23668D73"/>
    <w:rsid w:val="23685739"/>
    <w:rsid w:val="23699D31"/>
    <w:rsid w:val="236CB1DA"/>
    <w:rsid w:val="236ED809"/>
    <w:rsid w:val="236F9A43"/>
    <w:rsid w:val="23769019"/>
    <w:rsid w:val="23788C9D"/>
    <w:rsid w:val="237C8E1F"/>
    <w:rsid w:val="237E6823"/>
    <w:rsid w:val="23800A05"/>
    <w:rsid w:val="238047B5"/>
    <w:rsid w:val="2380E117"/>
    <w:rsid w:val="23838F32"/>
    <w:rsid w:val="23883F35"/>
    <w:rsid w:val="238BD66B"/>
    <w:rsid w:val="238CFE23"/>
    <w:rsid w:val="239539D4"/>
    <w:rsid w:val="2397906A"/>
    <w:rsid w:val="23982169"/>
    <w:rsid w:val="239C2C78"/>
    <w:rsid w:val="23A176F5"/>
    <w:rsid w:val="23A57893"/>
    <w:rsid w:val="23A8D4C1"/>
    <w:rsid w:val="23B7F5FB"/>
    <w:rsid w:val="23B85180"/>
    <w:rsid w:val="23BF3194"/>
    <w:rsid w:val="23BFBC7B"/>
    <w:rsid w:val="23C3A464"/>
    <w:rsid w:val="23CA14B7"/>
    <w:rsid w:val="23D9AB9E"/>
    <w:rsid w:val="23E0ACA6"/>
    <w:rsid w:val="23E0D34F"/>
    <w:rsid w:val="23ED2CA8"/>
    <w:rsid w:val="23EEEB18"/>
    <w:rsid w:val="23EF6F12"/>
    <w:rsid w:val="23F48CA6"/>
    <w:rsid w:val="23F734EE"/>
    <w:rsid w:val="23F8B0E2"/>
    <w:rsid w:val="23F91E37"/>
    <w:rsid w:val="23FCE797"/>
    <w:rsid w:val="23FE846C"/>
    <w:rsid w:val="24074993"/>
    <w:rsid w:val="24078A8A"/>
    <w:rsid w:val="24093138"/>
    <w:rsid w:val="240DEB93"/>
    <w:rsid w:val="241121F4"/>
    <w:rsid w:val="241430E4"/>
    <w:rsid w:val="24146326"/>
    <w:rsid w:val="2415D19B"/>
    <w:rsid w:val="2417C37D"/>
    <w:rsid w:val="241BDF99"/>
    <w:rsid w:val="241CF5EB"/>
    <w:rsid w:val="241DEFFF"/>
    <w:rsid w:val="24248EEA"/>
    <w:rsid w:val="2425881E"/>
    <w:rsid w:val="242B3587"/>
    <w:rsid w:val="242C0D44"/>
    <w:rsid w:val="242C7CB1"/>
    <w:rsid w:val="242FAEA8"/>
    <w:rsid w:val="24326D73"/>
    <w:rsid w:val="2433F1EA"/>
    <w:rsid w:val="2437139D"/>
    <w:rsid w:val="243965E9"/>
    <w:rsid w:val="2439E4E1"/>
    <w:rsid w:val="244283DD"/>
    <w:rsid w:val="244B4EED"/>
    <w:rsid w:val="244F9330"/>
    <w:rsid w:val="245433C0"/>
    <w:rsid w:val="24568F9B"/>
    <w:rsid w:val="24578B7E"/>
    <w:rsid w:val="245A993F"/>
    <w:rsid w:val="245D0ACC"/>
    <w:rsid w:val="2461197F"/>
    <w:rsid w:val="24641B3F"/>
    <w:rsid w:val="2468425D"/>
    <w:rsid w:val="246888EA"/>
    <w:rsid w:val="2468A725"/>
    <w:rsid w:val="246A423E"/>
    <w:rsid w:val="246B6349"/>
    <w:rsid w:val="246CE243"/>
    <w:rsid w:val="247093D1"/>
    <w:rsid w:val="2472BBD0"/>
    <w:rsid w:val="24782763"/>
    <w:rsid w:val="2478B50F"/>
    <w:rsid w:val="2488F83B"/>
    <w:rsid w:val="248FB524"/>
    <w:rsid w:val="249060F0"/>
    <w:rsid w:val="2491FD33"/>
    <w:rsid w:val="2493FCF8"/>
    <w:rsid w:val="24940184"/>
    <w:rsid w:val="249A5056"/>
    <w:rsid w:val="249E1C1C"/>
    <w:rsid w:val="24A4102E"/>
    <w:rsid w:val="24A73406"/>
    <w:rsid w:val="24AF8795"/>
    <w:rsid w:val="24B22FEF"/>
    <w:rsid w:val="24B5CDCB"/>
    <w:rsid w:val="24BBE566"/>
    <w:rsid w:val="24BF2FDF"/>
    <w:rsid w:val="24C097C6"/>
    <w:rsid w:val="24C21676"/>
    <w:rsid w:val="24C920D7"/>
    <w:rsid w:val="24CB8E9F"/>
    <w:rsid w:val="24CBF3BD"/>
    <w:rsid w:val="24CF8946"/>
    <w:rsid w:val="24DBDAE1"/>
    <w:rsid w:val="24DD051A"/>
    <w:rsid w:val="24DF3772"/>
    <w:rsid w:val="24E03E22"/>
    <w:rsid w:val="24EA0B9A"/>
    <w:rsid w:val="24EAF4E5"/>
    <w:rsid w:val="24EB45B9"/>
    <w:rsid w:val="24EDA1C3"/>
    <w:rsid w:val="24EE7606"/>
    <w:rsid w:val="24EFAA02"/>
    <w:rsid w:val="24F1C965"/>
    <w:rsid w:val="24F3E4B6"/>
    <w:rsid w:val="24F6FEAA"/>
    <w:rsid w:val="24F77CE5"/>
    <w:rsid w:val="24FD5011"/>
    <w:rsid w:val="2501F05A"/>
    <w:rsid w:val="250222BC"/>
    <w:rsid w:val="2503432D"/>
    <w:rsid w:val="25042E87"/>
    <w:rsid w:val="250B61B2"/>
    <w:rsid w:val="2516919A"/>
    <w:rsid w:val="2516C3EF"/>
    <w:rsid w:val="2517301D"/>
    <w:rsid w:val="251738A8"/>
    <w:rsid w:val="251762EE"/>
    <w:rsid w:val="251C1F48"/>
    <w:rsid w:val="251CD759"/>
    <w:rsid w:val="2521CF5D"/>
    <w:rsid w:val="2522BA74"/>
    <w:rsid w:val="25257876"/>
    <w:rsid w:val="2525A968"/>
    <w:rsid w:val="252B3E49"/>
    <w:rsid w:val="253B656D"/>
    <w:rsid w:val="2541847A"/>
    <w:rsid w:val="254215BE"/>
    <w:rsid w:val="25440127"/>
    <w:rsid w:val="2546DEE6"/>
    <w:rsid w:val="2547F860"/>
    <w:rsid w:val="2554CCAA"/>
    <w:rsid w:val="2558D5A9"/>
    <w:rsid w:val="25599AED"/>
    <w:rsid w:val="255CE73F"/>
    <w:rsid w:val="2567A091"/>
    <w:rsid w:val="256BEE41"/>
    <w:rsid w:val="256E0909"/>
    <w:rsid w:val="2573BBAC"/>
    <w:rsid w:val="2574006E"/>
    <w:rsid w:val="257AD8EB"/>
    <w:rsid w:val="257B6FC1"/>
    <w:rsid w:val="257BDB2E"/>
    <w:rsid w:val="257C5D71"/>
    <w:rsid w:val="257ED67A"/>
    <w:rsid w:val="25814F86"/>
    <w:rsid w:val="2582B5E6"/>
    <w:rsid w:val="2586D24C"/>
    <w:rsid w:val="258BDB12"/>
    <w:rsid w:val="258C948B"/>
    <w:rsid w:val="258D8641"/>
    <w:rsid w:val="259572A3"/>
    <w:rsid w:val="25975826"/>
    <w:rsid w:val="2597D539"/>
    <w:rsid w:val="2598FFEF"/>
    <w:rsid w:val="25A3976F"/>
    <w:rsid w:val="25A3C3DC"/>
    <w:rsid w:val="25A8851C"/>
    <w:rsid w:val="25AAD189"/>
    <w:rsid w:val="25B7B084"/>
    <w:rsid w:val="25B81388"/>
    <w:rsid w:val="25BA675F"/>
    <w:rsid w:val="25BDAB9F"/>
    <w:rsid w:val="25C5E913"/>
    <w:rsid w:val="25C68D7D"/>
    <w:rsid w:val="25C6C776"/>
    <w:rsid w:val="25CCC8E6"/>
    <w:rsid w:val="25CE6BEA"/>
    <w:rsid w:val="25D68BEA"/>
    <w:rsid w:val="25D7C75E"/>
    <w:rsid w:val="25D8C958"/>
    <w:rsid w:val="25D908C6"/>
    <w:rsid w:val="25DE8C3A"/>
    <w:rsid w:val="25E93BCE"/>
    <w:rsid w:val="25ED524F"/>
    <w:rsid w:val="25F50CFA"/>
    <w:rsid w:val="25F57FB7"/>
    <w:rsid w:val="25F88205"/>
    <w:rsid w:val="25F8D4BF"/>
    <w:rsid w:val="260058F9"/>
    <w:rsid w:val="26051CB5"/>
    <w:rsid w:val="26093471"/>
    <w:rsid w:val="260D5A58"/>
    <w:rsid w:val="260E84A6"/>
    <w:rsid w:val="260FDBCC"/>
    <w:rsid w:val="26111723"/>
    <w:rsid w:val="26147FF8"/>
    <w:rsid w:val="261A6195"/>
    <w:rsid w:val="261AA07E"/>
    <w:rsid w:val="261C6168"/>
    <w:rsid w:val="2620DF80"/>
    <w:rsid w:val="262162AF"/>
    <w:rsid w:val="2629A0F3"/>
    <w:rsid w:val="262E80FD"/>
    <w:rsid w:val="2634DF2E"/>
    <w:rsid w:val="263D1707"/>
    <w:rsid w:val="263DC839"/>
    <w:rsid w:val="263F3048"/>
    <w:rsid w:val="26434D0B"/>
    <w:rsid w:val="264A45C3"/>
    <w:rsid w:val="264D3686"/>
    <w:rsid w:val="264F5219"/>
    <w:rsid w:val="2650DF76"/>
    <w:rsid w:val="26544720"/>
    <w:rsid w:val="265615F9"/>
    <w:rsid w:val="265FDC09"/>
    <w:rsid w:val="2665E7D1"/>
    <w:rsid w:val="2666052E"/>
    <w:rsid w:val="266B22F2"/>
    <w:rsid w:val="266F2445"/>
    <w:rsid w:val="26703517"/>
    <w:rsid w:val="26795706"/>
    <w:rsid w:val="267C15F4"/>
    <w:rsid w:val="267C4882"/>
    <w:rsid w:val="2682F7AD"/>
    <w:rsid w:val="26838971"/>
    <w:rsid w:val="2684CCA8"/>
    <w:rsid w:val="2685DF6B"/>
    <w:rsid w:val="26867961"/>
    <w:rsid w:val="268E1F85"/>
    <w:rsid w:val="268EC468"/>
    <w:rsid w:val="268F3790"/>
    <w:rsid w:val="2696C83D"/>
    <w:rsid w:val="26980095"/>
    <w:rsid w:val="269EA5DD"/>
    <w:rsid w:val="26A46DCB"/>
    <w:rsid w:val="26A9805C"/>
    <w:rsid w:val="26ABA0CB"/>
    <w:rsid w:val="26B4D155"/>
    <w:rsid w:val="26B60B06"/>
    <w:rsid w:val="26B80CF2"/>
    <w:rsid w:val="26B9FDB2"/>
    <w:rsid w:val="26BCE64C"/>
    <w:rsid w:val="26BEA1A6"/>
    <w:rsid w:val="26C2ABD7"/>
    <w:rsid w:val="26C3BE83"/>
    <w:rsid w:val="26CF0429"/>
    <w:rsid w:val="26D038A6"/>
    <w:rsid w:val="26D33F33"/>
    <w:rsid w:val="26D4AB77"/>
    <w:rsid w:val="26DCFFBB"/>
    <w:rsid w:val="26E57798"/>
    <w:rsid w:val="26EB54FE"/>
    <w:rsid w:val="26ECF8E4"/>
    <w:rsid w:val="26EEBBC4"/>
    <w:rsid w:val="26EF47E3"/>
    <w:rsid w:val="26F19D9B"/>
    <w:rsid w:val="26F71CEF"/>
    <w:rsid w:val="26F86117"/>
    <w:rsid w:val="26FCDF96"/>
    <w:rsid w:val="26FEDF0D"/>
    <w:rsid w:val="27010160"/>
    <w:rsid w:val="2702B46D"/>
    <w:rsid w:val="2702DFB4"/>
    <w:rsid w:val="2704D6E6"/>
    <w:rsid w:val="270532EE"/>
    <w:rsid w:val="27067CE4"/>
    <w:rsid w:val="270EE67F"/>
    <w:rsid w:val="271062F5"/>
    <w:rsid w:val="2710F861"/>
    <w:rsid w:val="2717504E"/>
    <w:rsid w:val="27178038"/>
    <w:rsid w:val="2717F89C"/>
    <w:rsid w:val="271801EB"/>
    <w:rsid w:val="271EECDF"/>
    <w:rsid w:val="2722B0E0"/>
    <w:rsid w:val="27262F45"/>
    <w:rsid w:val="2726D0AC"/>
    <w:rsid w:val="2728766C"/>
    <w:rsid w:val="27291D27"/>
    <w:rsid w:val="272E1BCB"/>
    <w:rsid w:val="272FA501"/>
    <w:rsid w:val="27355EF1"/>
    <w:rsid w:val="2736094B"/>
    <w:rsid w:val="27383B77"/>
    <w:rsid w:val="27397F0B"/>
    <w:rsid w:val="273A558E"/>
    <w:rsid w:val="273B0248"/>
    <w:rsid w:val="273D89A1"/>
    <w:rsid w:val="27428968"/>
    <w:rsid w:val="274618F2"/>
    <w:rsid w:val="274C3545"/>
    <w:rsid w:val="275012ED"/>
    <w:rsid w:val="275085FF"/>
    <w:rsid w:val="275BCD86"/>
    <w:rsid w:val="275EC38F"/>
    <w:rsid w:val="2760D750"/>
    <w:rsid w:val="2764291C"/>
    <w:rsid w:val="27648491"/>
    <w:rsid w:val="27649F06"/>
    <w:rsid w:val="276A742D"/>
    <w:rsid w:val="276C3B5D"/>
    <w:rsid w:val="2771EFB6"/>
    <w:rsid w:val="27722CA7"/>
    <w:rsid w:val="27799048"/>
    <w:rsid w:val="2779F385"/>
    <w:rsid w:val="277A7D40"/>
    <w:rsid w:val="277D09ED"/>
    <w:rsid w:val="2781CBFB"/>
    <w:rsid w:val="2784CEA1"/>
    <w:rsid w:val="2785A1EA"/>
    <w:rsid w:val="2786ED93"/>
    <w:rsid w:val="2798C15A"/>
    <w:rsid w:val="279D6C22"/>
    <w:rsid w:val="27A063A5"/>
    <w:rsid w:val="27A80EDA"/>
    <w:rsid w:val="27A9623D"/>
    <w:rsid w:val="27AFBB0A"/>
    <w:rsid w:val="27B1DCF4"/>
    <w:rsid w:val="27B74A2A"/>
    <w:rsid w:val="27B7A9BB"/>
    <w:rsid w:val="27B8F1A7"/>
    <w:rsid w:val="27BAFB87"/>
    <w:rsid w:val="27BC2EDE"/>
    <w:rsid w:val="27BE08C0"/>
    <w:rsid w:val="27C200DC"/>
    <w:rsid w:val="27C32665"/>
    <w:rsid w:val="27CD5E40"/>
    <w:rsid w:val="27CDD321"/>
    <w:rsid w:val="27CE8E80"/>
    <w:rsid w:val="27CF99D1"/>
    <w:rsid w:val="27D07F7E"/>
    <w:rsid w:val="27D2BA6B"/>
    <w:rsid w:val="27D2FBEC"/>
    <w:rsid w:val="27D610DF"/>
    <w:rsid w:val="27DA6865"/>
    <w:rsid w:val="27DF0B2E"/>
    <w:rsid w:val="27EFDDD2"/>
    <w:rsid w:val="27F3AC00"/>
    <w:rsid w:val="27F49720"/>
    <w:rsid w:val="27F716E8"/>
    <w:rsid w:val="27FB31D9"/>
    <w:rsid w:val="27FCD14D"/>
    <w:rsid w:val="2801DCB2"/>
    <w:rsid w:val="28023827"/>
    <w:rsid w:val="2807F1CC"/>
    <w:rsid w:val="280A3C27"/>
    <w:rsid w:val="280B7DA8"/>
    <w:rsid w:val="280DBD17"/>
    <w:rsid w:val="280F8F01"/>
    <w:rsid w:val="2810CFD7"/>
    <w:rsid w:val="2814B986"/>
    <w:rsid w:val="281515B5"/>
    <w:rsid w:val="2816AD21"/>
    <w:rsid w:val="2818D352"/>
    <w:rsid w:val="281C8405"/>
    <w:rsid w:val="281CD0C4"/>
    <w:rsid w:val="281D0E20"/>
    <w:rsid w:val="2827C955"/>
    <w:rsid w:val="2828CB97"/>
    <w:rsid w:val="2828E55D"/>
    <w:rsid w:val="28296114"/>
    <w:rsid w:val="28298A49"/>
    <w:rsid w:val="282DE820"/>
    <w:rsid w:val="28389237"/>
    <w:rsid w:val="283B4246"/>
    <w:rsid w:val="283DF56F"/>
    <w:rsid w:val="283F3B51"/>
    <w:rsid w:val="2843F31B"/>
    <w:rsid w:val="28486909"/>
    <w:rsid w:val="284E76C3"/>
    <w:rsid w:val="284FA27A"/>
    <w:rsid w:val="28514F07"/>
    <w:rsid w:val="28525653"/>
    <w:rsid w:val="28536705"/>
    <w:rsid w:val="2855B389"/>
    <w:rsid w:val="285755F8"/>
    <w:rsid w:val="285C04D5"/>
    <w:rsid w:val="285D3D7E"/>
    <w:rsid w:val="285D6BFD"/>
    <w:rsid w:val="285E3CC7"/>
    <w:rsid w:val="286A1F42"/>
    <w:rsid w:val="2871CBFE"/>
    <w:rsid w:val="28732493"/>
    <w:rsid w:val="287434F7"/>
    <w:rsid w:val="2875C737"/>
    <w:rsid w:val="2876BC0E"/>
    <w:rsid w:val="2877D485"/>
    <w:rsid w:val="287BDE26"/>
    <w:rsid w:val="287BF27A"/>
    <w:rsid w:val="287D7A81"/>
    <w:rsid w:val="287F0BBA"/>
    <w:rsid w:val="2882D756"/>
    <w:rsid w:val="2882F54B"/>
    <w:rsid w:val="28853848"/>
    <w:rsid w:val="28903958"/>
    <w:rsid w:val="2890897C"/>
    <w:rsid w:val="28913014"/>
    <w:rsid w:val="28998B71"/>
    <w:rsid w:val="289B2307"/>
    <w:rsid w:val="289B5D04"/>
    <w:rsid w:val="289B9732"/>
    <w:rsid w:val="28AD2397"/>
    <w:rsid w:val="28B23185"/>
    <w:rsid w:val="28B3F83B"/>
    <w:rsid w:val="28B62555"/>
    <w:rsid w:val="28B906C1"/>
    <w:rsid w:val="28B99C66"/>
    <w:rsid w:val="28BDC9AF"/>
    <w:rsid w:val="28BE2E56"/>
    <w:rsid w:val="28BFE772"/>
    <w:rsid w:val="28C00250"/>
    <w:rsid w:val="28C4260C"/>
    <w:rsid w:val="28C607B5"/>
    <w:rsid w:val="28CEB66D"/>
    <w:rsid w:val="28D2E2AF"/>
    <w:rsid w:val="28D377E6"/>
    <w:rsid w:val="28DAAB11"/>
    <w:rsid w:val="28DDE0E0"/>
    <w:rsid w:val="28E67DD9"/>
    <w:rsid w:val="28E6D4A7"/>
    <w:rsid w:val="28E73E31"/>
    <w:rsid w:val="28E76715"/>
    <w:rsid w:val="28E80FA3"/>
    <w:rsid w:val="28E87E86"/>
    <w:rsid w:val="28E880DF"/>
    <w:rsid w:val="28EAE19D"/>
    <w:rsid w:val="28F2BE6D"/>
    <w:rsid w:val="28F66672"/>
    <w:rsid w:val="28F82243"/>
    <w:rsid w:val="28FEC114"/>
    <w:rsid w:val="2900AA6C"/>
    <w:rsid w:val="29055B60"/>
    <w:rsid w:val="29090090"/>
    <w:rsid w:val="290A99F3"/>
    <w:rsid w:val="290BF988"/>
    <w:rsid w:val="290E0E3F"/>
    <w:rsid w:val="29122E06"/>
    <w:rsid w:val="29156F95"/>
    <w:rsid w:val="29175C9C"/>
    <w:rsid w:val="29203653"/>
    <w:rsid w:val="2922492E"/>
    <w:rsid w:val="2922FE47"/>
    <w:rsid w:val="29249699"/>
    <w:rsid w:val="292782CD"/>
    <w:rsid w:val="29295945"/>
    <w:rsid w:val="292A1354"/>
    <w:rsid w:val="292E1692"/>
    <w:rsid w:val="292E3CB9"/>
    <w:rsid w:val="292FC422"/>
    <w:rsid w:val="292FF392"/>
    <w:rsid w:val="2931840F"/>
    <w:rsid w:val="2935EB26"/>
    <w:rsid w:val="29375271"/>
    <w:rsid w:val="29392B3E"/>
    <w:rsid w:val="293BFBAC"/>
    <w:rsid w:val="293F5354"/>
    <w:rsid w:val="29456B89"/>
    <w:rsid w:val="29462CA6"/>
    <w:rsid w:val="294B9E43"/>
    <w:rsid w:val="294D2893"/>
    <w:rsid w:val="2952F872"/>
    <w:rsid w:val="29547F98"/>
    <w:rsid w:val="295C022F"/>
    <w:rsid w:val="295E34C1"/>
    <w:rsid w:val="2963F5BF"/>
    <w:rsid w:val="2966FCE4"/>
    <w:rsid w:val="29687E96"/>
    <w:rsid w:val="29736826"/>
    <w:rsid w:val="2973C42A"/>
    <w:rsid w:val="297868C9"/>
    <w:rsid w:val="297CFDCD"/>
    <w:rsid w:val="298299BC"/>
    <w:rsid w:val="2984988D"/>
    <w:rsid w:val="2987EE59"/>
    <w:rsid w:val="298A6AE4"/>
    <w:rsid w:val="2992C54B"/>
    <w:rsid w:val="2993FC90"/>
    <w:rsid w:val="2994F48C"/>
    <w:rsid w:val="299D0574"/>
    <w:rsid w:val="299F6788"/>
    <w:rsid w:val="29A512A8"/>
    <w:rsid w:val="29A7A2BE"/>
    <w:rsid w:val="29A8DDC5"/>
    <w:rsid w:val="29ABB20A"/>
    <w:rsid w:val="29AD54A9"/>
    <w:rsid w:val="29C4B320"/>
    <w:rsid w:val="29CC50E6"/>
    <w:rsid w:val="29CC8EA3"/>
    <w:rsid w:val="29D71B65"/>
    <w:rsid w:val="29D7D69D"/>
    <w:rsid w:val="29DAFDAD"/>
    <w:rsid w:val="29E06103"/>
    <w:rsid w:val="29E7B503"/>
    <w:rsid w:val="29EE3736"/>
    <w:rsid w:val="29EF16A9"/>
    <w:rsid w:val="29F0D2FA"/>
    <w:rsid w:val="29F1DFA7"/>
    <w:rsid w:val="29F883C3"/>
    <w:rsid w:val="29FBB734"/>
    <w:rsid w:val="29FE85A5"/>
    <w:rsid w:val="29FF8D24"/>
    <w:rsid w:val="2A094E99"/>
    <w:rsid w:val="2A0FD43C"/>
    <w:rsid w:val="2A103A94"/>
    <w:rsid w:val="2A117D2F"/>
    <w:rsid w:val="2A11F978"/>
    <w:rsid w:val="2A223FCA"/>
    <w:rsid w:val="2A22ACCE"/>
    <w:rsid w:val="2A25D532"/>
    <w:rsid w:val="2A2AC701"/>
    <w:rsid w:val="2A2FBE1B"/>
    <w:rsid w:val="2A30AD44"/>
    <w:rsid w:val="2A31F61D"/>
    <w:rsid w:val="2A3207C8"/>
    <w:rsid w:val="2A32991E"/>
    <w:rsid w:val="2A3973F5"/>
    <w:rsid w:val="2A3EC5E9"/>
    <w:rsid w:val="2A3F427E"/>
    <w:rsid w:val="2A451F26"/>
    <w:rsid w:val="2A454204"/>
    <w:rsid w:val="2A459EE9"/>
    <w:rsid w:val="2A47EFEF"/>
    <w:rsid w:val="2A499EE4"/>
    <w:rsid w:val="2A543BFD"/>
    <w:rsid w:val="2A59F1C1"/>
    <w:rsid w:val="2A5E6189"/>
    <w:rsid w:val="2A5E6DA8"/>
    <w:rsid w:val="2A634307"/>
    <w:rsid w:val="2A65E9CC"/>
    <w:rsid w:val="2A6734B2"/>
    <w:rsid w:val="2A683597"/>
    <w:rsid w:val="2A6D15A3"/>
    <w:rsid w:val="2A6E9E7E"/>
    <w:rsid w:val="2A7C13DD"/>
    <w:rsid w:val="2A802EBE"/>
    <w:rsid w:val="2A812DB1"/>
    <w:rsid w:val="2A8417DF"/>
    <w:rsid w:val="2A86F6F2"/>
    <w:rsid w:val="2A8EA807"/>
    <w:rsid w:val="2A92FA3D"/>
    <w:rsid w:val="2A95214D"/>
    <w:rsid w:val="2A989C80"/>
    <w:rsid w:val="2A99D41A"/>
    <w:rsid w:val="2A99E300"/>
    <w:rsid w:val="2A9AAA7C"/>
    <w:rsid w:val="2A9CDA8B"/>
    <w:rsid w:val="2A9FB42C"/>
    <w:rsid w:val="2AA53032"/>
    <w:rsid w:val="2AA80740"/>
    <w:rsid w:val="2AACAE07"/>
    <w:rsid w:val="2AACF1FD"/>
    <w:rsid w:val="2AB0B272"/>
    <w:rsid w:val="2AB5D3F2"/>
    <w:rsid w:val="2AB5F250"/>
    <w:rsid w:val="2AB93A43"/>
    <w:rsid w:val="2ABA50CB"/>
    <w:rsid w:val="2AC4D9CF"/>
    <w:rsid w:val="2AD295C8"/>
    <w:rsid w:val="2AD478A8"/>
    <w:rsid w:val="2AD66B4C"/>
    <w:rsid w:val="2ADB40A6"/>
    <w:rsid w:val="2ADF8F33"/>
    <w:rsid w:val="2ADF9BE2"/>
    <w:rsid w:val="2AE2193B"/>
    <w:rsid w:val="2AE7CEF8"/>
    <w:rsid w:val="2AE89719"/>
    <w:rsid w:val="2AEB4865"/>
    <w:rsid w:val="2AF7C6A0"/>
    <w:rsid w:val="2AFA49FF"/>
    <w:rsid w:val="2AFA80ED"/>
    <w:rsid w:val="2B007E9C"/>
    <w:rsid w:val="2B0797AB"/>
    <w:rsid w:val="2B0A07E4"/>
    <w:rsid w:val="2B0C788B"/>
    <w:rsid w:val="2B1783AF"/>
    <w:rsid w:val="2B1D0E1F"/>
    <w:rsid w:val="2B1ECC3E"/>
    <w:rsid w:val="2B20616A"/>
    <w:rsid w:val="2B20BB27"/>
    <w:rsid w:val="2B245099"/>
    <w:rsid w:val="2B32CB6E"/>
    <w:rsid w:val="2B348FE8"/>
    <w:rsid w:val="2B369FC9"/>
    <w:rsid w:val="2B38A116"/>
    <w:rsid w:val="2B3EBCFB"/>
    <w:rsid w:val="2B45CB3D"/>
    <w:rsid w:val="2B4D1D4E"/>
    <w:rsid w:val="2B4F6051"/>
    <w:rsid w:val="2B4F78FE"/>
    <w:rsid w:val="2B50E812"/>
    <w:rsid w:val="2B520071"/>
    <w:rsid w:val="2B54D13F"/>
    <w:rsid w:val="2B609EFF"/>
    <w:rsid w:val="2B62FE81"/>
    <w:rsid w:val="2B653601"/>
    <w:rsid w:val="2B68F7B8"/>
    <w:rsid w:val="2B6D62A1"/>
    <w:rsid w:val="2B6F0F88"/>
    <w:rsid w:val="2B6F1B58"/>
    <w:rsid w:val="2B726F9C"/>
    <w:rsid w:val="2B73DCC9"/>
    <w:rsid w:val="2B7ED0C4"/>
    <w:rsid w:val="2B7F8C9B"/>
    <w:rsid w:val="2B8270D4"/>
    <w:rsid w:val="2B831B08"/>
    <w:rsid w:val="2B8AF924"/>
    <w:rsid w:val="2B8D4015"/>
    <w:rsid w:val="2B8D6BF8"/>
    <w:rsid w:val="2B8E190F"/>
    <w:rsid w:val="2B91DAB0"/>
    <w:rsid w:val="2B9A2056"/>
    <w:rsid w:val="2B9A7039"/>
    <w:rsid w:val="2B9CAA9E"/>
    <w:rsid w:val="2B9D4784"/>
    <w:rsid w:val="2B9E0717"/>
    <w:rsid w:val="2BA1CB0F"/>
    <w:rsid w:val="2BA4D97F"/>
    <w:rsid w:val="2BA76EE2"/>
    <w:rsid w:val="2BA77549"/>
    <w:rsid w:val="2BA7A318"/>
    <w:rsid w:val="2BA85B3D"/>
    <w:rsid w:val="2BA97922"/>
    <w:rsid w:val="2BAB2F52"/>
    <w:rsid w:val="2BAEA874"/>
    <w:rsid w:val="2BB2B812"/>
    <w:rsid w:val="2BB4937B"/>
    <w:rsid w:val="2BB7F5A8"/>
    <w:rsid w:val="2BB8B12B"/>
    <w:rsid w:val="2BBA5808"/>
    <w:rsid w:val="2BBCF6B8"/>
    <w:rsid w:val="2BC819E3"/>
    <w:rsid w:val="2BCED250"/>
    <w:rsid w:val="2BD2D560"/>
    <w:rsid w:val="2BD6545B"/>
    <w:rsid w:val="2BD9077F"/>
    <w:rsid w:val="2BDC54BE"/>
    <w:rsid w:val="2BDCB43E"/>
    <w:rsid w:val="2BDD4F9F"/>
    <w:rsid w:val="2BDDC3F6"/>
    <w:rsid w:val="2BE1C730"/>
    <w:rsid w:val="2BE325C9"/>
    <w:rsid w:val="2BE38C4C"/>
    <w:rsid w:val="2BE6F391"/>
    <w:rsid w:val="2BE78382"/>
    <w:rsid w:val="2BEA977E"/>
    <w:rsid w:val="2BED0B4E"/>
    <w:rsid w:val="2BF0D731"/>
    <w:rsid w:val="2BF705BC"/>
    <w:rsid w:val="2BFBB663"/>
    <w:rsid w:val="2C0017D9"/>
    <w:rsid w:val="2C057301"/>
    <w:rsid w:val="2C06AB64"/>
    <w:rsid w:val="2C0B29E8"/>
    <w:rsid w:val="2C15149B"/>
    <w:rsid w:val="2C1679F1"/>
    <w:rsid w:val="2C178852"/>
    <w:rsid w:val="2C182926"/>
    <w:rsid w:val="2C1B07B0"/>
    <w:rsid w:val="2C1F6972"/>
    <w:rsid w:val="2C1FD05C"/>
    <w:rsid w:val="2C29D7D2"/>
    <w:rsid w:val="2C2D1A2C"/>
    <w:rsid w:val="2C2DD641"/>
    <w:rsid w:val="2C30546D"/>
    <w:rsid w:val="2C33BDD2"/>
    <w:rsid w:val="2C35FC9B"/>
    <w:rsid w:val="2C391AB5"/>
    <w:rsid w:val="2C392DAA"/>
    <w:rsid w:val="2C3E6B17"/>
    <w:rsid w:val="2C412A1B"/>
    <w:rsid w:val="2C519FF5"/>
    <w:rsid w:val="2C559D6B"/>
    <w:rsid w:val="2C5773CA"/>
    <w:rsid w:val="2C63C572"/>
    <w:rsid w:val="2C694A2A"/>
    <w:rsid w:val="2C69E12B"/>
    <w:rsid w:val="2C705BF5"/>
    <w:rsid w:val="2C781072"/>
    <w:rsid w:val="2C7DD153"/>
    <w:rsid w:val="2C7E9FCF"/>
    <w:rsid w:val="2C8038FB"/>
    <w:rsid w:val="2C820978"/>
    <w:rsid w:val="2C876249"/>
    <w:rsid w:val="2C87CE61"/>
    <w:rsid w:val="2C92344F"/>
    <w:rsid w:val="2C93F0FC"/>
    <w:rsid w:val="2C93F519"/>
    <w:rsid w:val="2C977217"/>
    <w:rsid w:val="2C9CBDE5"/>
    <w:rsid w:val="2CB1064D"/>
    <w:rsid w:val="2CBAE03E"/>
    <w:rsid w:val="2CBB627C"/>
    <w:rsid w:val="2CBBEB71"/>
    <w:rsid w:val="2CBD2993"/>
    <w:rsid w:val="2CC2838E"/>
    <w:rsid w:val="2CC8B7B0"/>
    <w:rsid w:val="2CD43068"/>
    <w:rsid w:val="2CD5EBE3"/>
    <w:rsid w:val="2CD8046B"/>
    <w:rsid w:val="2CD860D3"/>
    <w:rsid w:val="2CD8EC40"/>
    <w:rsid w:val="2CDF02C3"/>
    <w:rsid w:val="2CDF668C"/>
    <w:rsid w:val="2CEC79EB"/>
    <w:rsid w:val="2CEDDF39"/>
    <w:rsid w:val="2CF1C029"/>
    <w:rsid w:val="2CF79EAE"/>
    <w:rsid w:val="2CF969A9"/>
    <w:rsid w:val="2CFC63A0"/>
    <w:rsid w:val="2CFE6544"/>
    <w:rsid w:val="2D0003AB"/>
    <w:rsid w:val="2D00E85F"/>
    <w:rsid w:val="2D061399"/>
    <w:rsid w:val="2D07B1F4"/>
    <w:rsid w:val="2D09E5FC"/>
    <w:rsid w:val="2D0E839F"/>
    <w:rsid w:val="2D0F854D"/>
    <w:rsid w:val="2D154235"/>
    <w:rsid w:val="2D1B1010"/>
    <w:rsid w:val="2D1F6ED1"/>
    <w:rsid w:val="2D20C496"/>
    <w:rsid w:val="2D2786F3"/>
    <w:rsid w:val="2D29260D"/>
    <w:rsid w:val="2D29FE5F"/>
    <w:rsid w:val="2D3431C5"/>
    <w:rsid w:val="2D352CA7"/>
    <w:rsid w:val="2D407CC4"/>
    <w:rsid w:val="2D493080"/>
    <w:rsid w:val="2D494E8B"/>
    <w:rsid w:val="2D4F7B3A"/>
    <w:rsid w:val="2D5098D6"/>
    <w:rsid w:val="2D530293"/>
    <w:rsid w:val="2D571BCA"/>
    <w:rsid w:val="2D57DB44"/>
    <w:rsid w:val="2D5BECF5"/>
    <w:rsid w:val="2D5F5D78"/>
    <w:rsid w:val="2D601C45"/>
    <w:rsid w:val="2D619AD7"/>
    <w:rsid w:val="2D6246B8"/>
    <w:rsid w:val="2D66E5C3"/>
    <w:rsid w:val="2D6F22E9"/>
    <w:rsid w:val="2D7279A9"/>
    <w:rsid w:val="2D7450AC"/>
    <w:rsid w:val="2D7616A2"/>
    <w:rsid w:val="2D77083D"/>
    <w:rsid w:val="2D773772"/>
    <w:rsid w:val="2D7785F4"/>
    <w:rsid w:val="2D780FD8"/>
    <w:rsid w:val="2D793589"/>
    <w:rsid w:val="2D7D4B1C"/>
    <w:rsid w:val="2D7FDFD4"/>
    <w:rsid w:val="2D802DB1"/>
    <w:rsid w:val="2D861B43"/>
    <w:rsid w:val="2D87C817"/>
    <w:rsid w:val="2D8CC8C1"/>
    <w:rsid w:val="2D91A411"/>
    <w:rsid w:val="2D9F1F9F"/>
    <w:rsid w:val="2DA2132E"/>
    <w:rsid w:val="2DA35F80"/>
    <w:rsid w:val="2DA4A764"/>
    <w:rsid w:val="2DAAB0FD"/>
    <w:rsid w:val="2DAB9BBC"/>
    <w:rsid w:val="2DB385A0"/>
    <w:rsid w:val="2DBDA478"/>
    <w:rsid w:val="2DBF265A"/>
    <w:rsid w:val="2DBF5D48"/>
    <w:rsid w:val="2DC27AF8"/>
    <w:rsid w:val="2DC76329"/>
    <w:rsid w:val="2DC9576F"/>
    <w:rsid w:val="2DCA4668"/>
    <w:rsid w:val="2DCFBB85"/>
    <w:rsid w:val="2DD06131"/>
    <w:rsid w:val="2DD19ED6"/>
    <w:rsid w:val="2DDD0F92"/>
    <w:rsid w:val="2DE7A28D"/>
    <w:rsid w:val="2DEA5D74"/>
    <w:rsid w:val="2DEB2AC1"/>
    <w:rsid w:val="2DECA25F"/>
    <w:rsid w:val="2DED0CF6"/>
    <w:rsid w:val="2DEF6983"/>
    <w:rsid w:val="2DF68FBA"/>
    <w:rsid w:val="2DFA88AA"/>
    <w:rsid w:val="2DFB1378"/>
    <w:rsid w:val="2DFCDAF0"/>
    <w:rsid w:val="2DFD5F76"/>
    <w:rsid w:val="2DFE5C50"/>
    <w:rsid w:val="2E036119"/>
    <w:rsid w:val="2E0A368A"/>
    <w:rsid w:val="2E0A645C"/>
    <w:rsid w:val="2E104562"/>
    <w:rsid w:val="2E113507"/>
    <w:rsid w:val="2E17AA6D"/>
    <w:rsid w:val="2E17FEDF"/>
    <w:rsid w:val="2E18F535"/>
    <w:rsid w:val="2E1A89C6"/>
    <w:rsid w:val="2E1B459F"/>
    <w:rsid w:val="2E1CAEF5"/>
    <w:rsid w:val="2E39F39B"/>
    <w:rsid w:val="2E3FACF0"/>
    <w:rsid w:val="2E4200D9"/>
    <w:rsid w:val="2E45114E"/>
    <w:rsid w:val="2E4C0CB2"/>
    <w:rsid w:val="2E4EC8AA"/>
    <w:rsid w:val="2E52C040"/>
    <w:rsid w:val="2E54A971"/>
    <w:rsid w:val="2E55D9F1"/>
    <w:rsid w:val="2E5696DD"/>
    <w:rsid w:val="2E586586"/>
    <w:rsid w:val="2E5B5F39"/>
    <w:rsid w:val="2E5DAD2B"/>
    <w:rsid w:val="2E6410B7"/>
    <w:rsid w:val="2E648E7E"/>
    <w:rsid w:val="2E65006E"/>
    <w:rsid w:val="2E6ACD86"/>
    <w:rsid w:val="2E6D8931"/>
    <w:rsid w:val="2E73142B"/>
    <w:rsid w:val="2E7A3AB4"/>
    <w:rsid w:val="2E7BDECB"/>
    <w:rsid w:val="2E7D08EA"/>
    <w:rsid w:val="2E83C099"/>
    <w:rsid w:val="2E853A60"/>
    <w:rsid w:val="2E875E4A"/>
    <w:rsid w:val="2E88A166"/>
    <w:rsid w:val="2E8F25A6"/>
    <w:rsid w:val="2E8F562A"/>
    <w:rsid w:val="2E9CE2A9"/>
    <w:rsid w:val="2E9E178C"/>
    <w:rsid w:val="2EA5E836"/>
    <w:rsid w:val="2EA86442"/>
    <w:rsid w:val="2EAB2E98"/>
    <w:rsid w:val="2EACE957"/>
    <w:rsid w:val="2EADBAB2"/>
    <w:rsid w:val="2EAE5F8A"/>
    <w:rsid w:val="2EB02AE3"/>
    <w:rsid w:val="2EB4D9EB"/>
    <w:rsid w:val="2EB56DBC"/>
    <w:rsid w:val="2EBB2454"/>
    <w:rsid w:val="2EC7CD09"/>
    <w:rsid w:val="2EC8F148"/>
    <w:rsid w:val="2ECE9A17"/>
    <w:rsid w:val="2ECF24AA"/>
    <w:rsid w:val="2ED0278E"/>
    <w:rsid w:val="2ED232E2"/>
    <w:rsid w:val="2ED85F42"/>
    <w:rsid w:val="2EDEA83B"/>
    <w:rsid w:val="2EDF4394"/>
    <w:rsid w:val="2EE273A9"/>
    <w:rsid w:val="2EE2B76F"/>
    <w:rsid w:val="2EE30F86"/>
    <w:rsid w:val="2EE418D1"/>
    <w:rsid w:val="2EEAABEE"/>
    <w:rsid w:val="2EEBD25F"/>
    <w:rsid w:val="2EED46FC"/>
    <w:rsid w:val="2EEF43EE"/>
    <w:rsid w:val="2EF236CF"/>
    <w:rsid w:val="2EF6D81D"/>
    <w:rsid w:val="2EF827C9"/>
    <w:rsid w:val="2EFA9980"/>
    <w:rsid w:val="2EFC9EE8"/>
    <w:rsid w:val="2F00992C"/>
    <w:rsid w:val="2F0220F8"/>
    <w:rsid w:val="2F038424"/>
    <w:rsid w:val="2F078DC7"/>
    <w:rsid w:val="2F08F7FB"/>
    <w:rsid w:val="2F0CD9EF"/>
    <w:rsid w:val="2F0DC627"/>
    <w:rsid w:val="2F0F39B8"/>
    <w:rsid w:val="2F10078C"/>
    <w:rsid w:val="2F10378A"/>
    <w:rsid w:val="2F136175"/>
    <w:rsid w:val="2F1854AE"/>
    <w:rsid w:val="2F1C0117"/>
    <w:rsid w:val="2F207694"/>
    <w:rsid w:val="2F20E2D6"/>
    <w:rsid w:val="2F230E3A"/>
    <w:rsid w:val="2F275CE7"/>
    <w:rsid w:val="2F2D57ED"/>
    <w:rsid w:val="2F2D587F"/>
    <w:rsid w:val="2F2FEB6E"/>
    <w:rsid w:val="2F3024FD"/>
    <w:rsid w:val="2F337094"/>
    <w:rsid w:val="2F37F442"/>
    <w:rsid w:val="2F39C474"/>
    <w:rsid w:val="2F3B0403"/>
    <w:rsid w:val="2F3BAC5A"/>
    <w:rsid w:val="2F3F6D1D"/>
    <w:rsid w:val="2F3FCFA8"/>
    <w:rsid w:val="2F41311F"/>
    <w:rsid w:val="2F47DF51"/>
    <w:rsid w:val="2F4B42EE"/>
    <w:rsid w:val="2F4BF0BD"/>
    <w:rsid w:val="2F4ED92A"/>
    <w:rsid w:val="2F5558CB"/>
    <w:rsid w:val="2F5571DA"/>
    <w:rsid w:val="2F569F62"/>
    <w:rsid w:val="2F5B78AD"/>
    <w:rsid w:val="2F5C7E25"/>
    <w:rsid w:val="2F5E4D77"/>
    <w:rsid w:val="2F613EC4"/>
    <w:rsid w:val="2F61A3B0"/>
    <w:rsid w:val="2F63379E"/>
    <w:rsid w:val="2F64057D"/>
    <w:rsid w:val="2F650759"/>
    <w:rsid w:val="2F666AAB"/>
    <w:rsid w:val="2F6690A7"/>
    <w:rsid w:val="2F6BAC5C"/>
    <w:rsid w:val="2F6D5C97"/>
    <w:rsid w:val="2F6DDE34"/>
    <w:rsid w:val="2F70EE1C"/>
    <w:rsid w:val="2F712594"/>
    <w:rsid w:val="2F72DB4E"/>
    <w:rsid w:val="2F753684"/>
    <w:rsid w:val="2F76B966"/>
    <w:rsid w:val="2F77AEE5"/>
    <w:rsid w:val="2F784637"/>
    <w:rsid w:val="2F78D374"/>
    <w:rsid w:val="2F7D1336"/>
    <w:rsid w:val="2F809F52"/>
    <w:rsid w:val="2F8198BC"/>
    <w:rsid w:val="2F82B340"/>
    <w:rsid w:val="2F85F1D9"/>
    <w:rsid w:val="2F89C534"/>
    <w:rsid w:val="2F90A472"/>
    <w:rsid w:val="2F97AB5C"/>
    <w:rsid w:val="2F98866F"/>
    <w:rsid w:val="2FA3DC61"/>
    <w:rsid w:val="2FA5919B"/>
    <w:rsid w:val="2FA646F5"/>
    <w:rsid w:val="2FADA259"/>
    <w:rsid w:val="2FB0032E"/>
    <w:rsid w:val="2FB0CB16"/>
    <w:rsid w:val="2FB1E5F9"/>
    <w:rsid w:val="2FB2350C"/>
    <w:rsid w:val="2FB32075"/>
    <w:rsid w:val="2FB5C198"/>
    <w:rsid w:val="2FB735DB"/>
    <w:rsid w:val="2FB8C1A4"/>
    <w:rsid w:val="2FB9367F"/>
    <w:rsid w:val="2FBD9735"/>
    <w:rsid w:val="2FC1598F"/>
    <w:rsid w:val="2FC31A6E"/>
    <w:rsid w:val="2FC4069F"/>
    <w:rsid w:val="2FC4ABD2"/>
    <w:rsid w:val="2FC6A8E1"/>
    <w:rsid w:val="2FCA0817"/>
    <w:rsid w:val="2FCD1D02"/>
    <w:rsid w:val="2FD3806F"/>
    <w:rsid w:val="2FD8F7C6"/>
    <w:rsid w:val="2FD945A6"/>
    <w:rsid w:val="2FDC2029"/>
    <w:rsid w:val="2FDF9D10"/>
    <w:rsid w:val="2FE6CA38"/>
    <w:rsid w:val="2FE73AD4"/>
    <w:rsid w:val="2FEBCDBC"/>
    <w:rsid w:val="2FEEF733"/>
    <w:rsid w:val="2FF1D2AD"/>
    <w:rsid w:val="2FF25A04"/>
    <w:rsid w:val="2FFA0A77"/>
    <w:rsid w:val="2FFA3234"/>
    <w:rsid w:val="2FFB18C1"/>
    <w:rsid w:val="2FFE7F28"/>
    <w:rsid w:val="3008E718"/>
    <w:rsid w:val="3009502F"/>
    <w:rsid w:val="30110AE9"/>
    <w:rsid w:val="30135654"/>
    <w:rsid w:val="301423D9"/>
    <w:rsid w:val="301633BD"/>
    <w:rsid w:val="301D1BE8"/>
    <w:rsid w:val="301FE466"/>
    <w:rsid w:val="30228D73"/>
    <w:rsid w:val="3027A93E"/>
    <w:rsid w:val="3032F03B"/>
    <w:rsid w:val="30335B8A"/>
    <w:rsid w:val="3033C7F1"/>
    <w:rsid w:val="30340310"/>
    <w:rsid w:val="3034D916"/>
    <w:rsid w:val="30391C4D"/>
    <w:rsid w:val="30399263"/>
    <w:rsid w:val="303B6256"/>
    <w:rsid w:val="303C1AFD"/>
    <w:rsid w:val="303CE826"/>
    <w:rsid w:val="30488F84"/>
    <w:rsid w:val="304B3FC1"/>
    <w:rsid w:val="304C0216"/>
    <w:rsid w:val="304CA67D"/>
    <w:rsid w:val="30503CD8"/>
    <w:rsid w:val="3051E7D8"/>
    <w:rsid w:val="30597906"/>
    <w:rsid w:val="3059FA2A"/>
    <w:rsid w:val="305F1424"/>
    <w:rsid w:val="305FAC28"/>
    <w:rsid w:val="30607504"/>
    <w:rsid w:val="3065EFA6"/>
    <w:rsid w:val="30670F3B"/>
    <w:rsid w:val="30692708"/>
    <w:rsid w:val="306F4B68"/>
    <w:rsid w:val="307096E9"/>
    <w:rsid w:val="3070E6FF"/>
    <w:rsid w:val="30763EAA"/>
    <w:rsid w:val="307CD3C0"/>
    <w:rsid w:val="3082023E"/>
    <w:rsid w:val="30822F49"/>
    <w:rsid w:val="30824BF1"/>
    <w:rsid w:val="30889224"/>
    <w:rsid w:val="308B75D4"/>
    <w:rsid w:val="308BE407"/>
    <w:rsid w:val="3093520D"/>
    <w:rsid w:val="309609E6"/>
    <w:rsid w:val="3096A1E7"/>
    <w:rsid w:val="3096C5BD"/>
    <w:rsid w:val="309E9925"/>
    <w:rsid w:val="309F59FB"/>
    <w:rsid w:val="30A06649"/>
    <w:rsid w:val="30A13104"/>
    <w:rsid w:val="30A497BA"/>
    <w:rsid w:val="30AC7775"/>
    <w:rsid w:val="30B617E1"/>
    <w:rsid w:val="30B9A6F4"/>
    <w:rsid w:val="30BF159D"/>
    <w:rsid w:val="30C15D09"/>
    <w:rsid w:val="30C5971E"/>
    <w:rsid w:val="30CB970F"/>
    <w:rsid w:val="30CC0461"/>
    <w:rsid w:val="30CF92BF"/>
    <w:rsid w:val="30D60EAC"/>
    <w:rsid w:val="30D887A9"/>
    <w:rsid w:val="30D93305"/>
    <w:rsid w:val="30D9BC5C"/>
    <w:rsid w:val="30DA531B"/>
    <w:rsid w:val="30DAB1BA"/>
    <w:rsid w:val="30DB2DEC"/>
    <w:rsid w:val="30DB525B"/>
    <w:rsid w:val="30DC0478"/>
    <w:rsid w:val="30E11227"/>
    <w:rsid w:val="30E357DF"/>
    <w:rsid w:val="30E5D725"/>
    <w:rsid w:val="30E76963"/>
    <w:rsid w:val="30E9868B"/>
    <w:rsid w:val="30EAE4C6"/>
    <w:rsid w:val="30EDCE0C"/>
    <w:rsid w:val="30EF193B"/>
    <w:rsid w:val="30F5AA94"/>
    <w:rsid w:val="30F71206"/>
    <w:rsid w:val="30F75E94"/>
    <w:rsid w:val="30FEEC25"/>
    <w:rsid w:val="3103AAB0"/>
    <w:rsid w:val="31073D7B"/>
    <w:rsid w:val="3108CEBB"/>
    <w:rsid w:val="310C1EB3"/>
    <w:rsid w:val="310F2369"/>
    <w:rsid w:val="310F4AA7"/>
    <w:rsid w:val="3119967D"/>
    <w:rsid w:val="311CFD07"/>
    <w:rsid w:val="312247C8"/>
    <w:rsid w:val="3122C6FE"/>
    <w:rsid w:val="31285B6D"/>
    <w:rsid w:val="31297B9E"/>
    <w:rsid w:val="312BE71E"/>
    <w:rsid w:val="312D7791"/>
    <w:rsid w:val="3138115D"/>
    <w:rsid w:val="3139EDE7"/>
    <w:rsid w:val="313A159D"/>
    <w:rsid w:val="313C4682"/>
    <w:rsid w:val="31437A91"/>
    <w:rsid w:val="31476147"/>
    <w:rsid w:val="31478882"/>
    <w:rsid w:val="314BE9BF"/>
    <w:rsid w:val="31527EB1"/>
    <w:rsid w:val="31537FB1"/>
    <w:rsid w:val="31574CAA"/>
    <w:rsid w:val="315BB387"/>
    <w:rsid w:val="315E1E25"/>
    <w:rsid w:val="315E3737"/>
    <w:rsid w:val="31624114"/>
    <w:rsid w:val="3163E422"/>
    <w:rsid w:val="3167663C"/>
    <w:rsid w:val="3168C959"/>
    <w:rsid w:val="3169CB8F"/>
    <w:rsid w:val="316BD46D"/>
    <w:rsid w:val="316CD442"/>
    <w:rsid w:val="316EA80E"/>
    <w:rsid w:val="317BD64B"/>
    <w:rsid w:val="317C69E5"/>
    <w:rsid w:val="317F37C5"/>
    <w:rsid w:val="31821009"/>
    <w:rsid w:val="31871E37"/>
    <w:rsid w:val="318AA488"/>
    <w:rsid w:val="318DEEDF"/>
    <w:rsid w:val="31966DC4"/>
    <w:rsid w:val="3197CD56"/>
    <w:rsid w:val="31981940"/>
    <w:rsid w:val="3199544D"/>
    <w:rsid w:val="31A12351"/>
    <w:rsid w:val="31A19F90"/>
    <w:rsid w:val="31A3E502"/>
    <w:rsid w:val="31A67F0B"/>
    <w:rsid w:val="31ABE8BC"/>
    <w:rsid w:val="31AC4E48"/>
    <w:rsid w:val="31B4A3C2"/>
    <w:rsid w:val="31BB08AC"/>
    <w:rsid w:val="31BD3C98"/>
    <w:rsid w:val="31BFB053"/>
    <w:rsid w:val="31C39B3E"/>
    <w:rsid w:val="31C475B0"/>
    <w:rsid w:val="31C93207"/>
    <w:rsid w:val="31CDA22A"/>
    <w:rsid w:val="31D3F28B"/>
    <w:rsid w:val="31D754D5"/>
    <w:rsid w:val="31DA14F7"/>
    <w:rsid w:val="31DA8AF5"/>
    <w:rsid w:val="31DB2197"/>
    <w:rsid w:val="31DC11B6"/>
    <w:rsid w:val="31DCC3CB"/>
    <w:rsid w:val="31DE7FC4"/>
    <w:rsid w:val="31DFBD44"/>
    <w:rsid w:val="31E553AA"/>
    <w:rsid w:val="31E64A6A"/>
    <w:rsid w:val="31E6C14F"/>
    <w:rsid w:val="31E76139"/>
    <w:rsid w:val="31E7F4EC"/>
    <w:rsid w:val="31F14052"/>
    <w:rsid w:val="31F19945"/>
    <w:rsid w:val="31F375F3"/>
    <w:rsid w:val="31F48DCC"/>
    <w:rsid w:val="31F5B704"/>
    <w:rsid w:val="31FB1F3A"/>
    <w:rsid w:val="31FB2E9F"/>
    <w:rsid w:val="3202BD83"/>
    <w:rsid w:val="320640B0"/>
    <w:rsid w:val="3208795D"/>
    <w:rsid w:val="320A672A"/>
    <w:rsid w:val="320B438A"/>
    <w:rsid w:val="320D6126"/>
    <w:rsid w:val="320EE361"/>
    <w:rsid w:val="320F0761"/>
    <w:rsid w:val="320F1D17"/>
    <w:rsid w:val="3210B8AB"/>
    <w:rsid w:val="321EAEEB"/>
    <w:rsid w:val="3220703B"/>
    <w:rsid w:val="322201EA"/>
    <w:rsid w:val="32225253"/>
    <w:rsid w:val="32274580"/>
    <w:rsid w:val="3227F8D1"/>
    <w:rsid w:val="32280E32"/>
    <w:rsid w:val="322C4613"/>
    <w:rsid w:val="322C945A"/>
    <w:rsid w:val="322F9766"/>
    <w:rsid w:val="323048CB"/>
    <w:rsid w:val="3230C077"/>
    <w:rsid w:val="32326178"/>
    <w:rsid w:val="32339CD5"/>
    <w:rsid w:val="3233D1B4"/>
    <w:rsid w:val="3237F2F3"/>
    <w:rsid w:val="323DF978"/>
    <w:rsid w:val="323E6482"/>
    <w:rsid w:val="32431A33"/>
    <w:rsid w:val="324A1734"/>
    <w:rsid w:val="324AC34D"/>
    <w:rsid w:val="32511296"/>
    <w:rsid w:val="3253B1CD"/>
    <w:rsid w:val="3255EB72"/>
    <w:rsid w:val="3257FE29"/>
    <w:rsid w:val="32584BFE"/>
    <w:rsid w:val="325A4F7E"/>
    <w:rsid w:val="325FEA3F"/>
    <w:rsid w:val="32627466"/>
    <w:rsid w:val="32654837"/>
    <w:rsid w:val="326B5529"/>
    <w:rsid w:val="326CCD2D"/>
    <w:rsid w:val="327145F3"/>
    <w:rsid w:val="32746CF9"/>
    <w:rsid w:val="327C42E5"/>
    <w:rsid w:val="327DD8A0"/>
    <w:rsid w:val="3281B234"/>
    <w:rsid w:val="328260DD"/>
    <w:rsid w:val="3282A7D3"/>
    <w:rsid w:val="32834AA3"/>
    <w:rsid w:val="328B72E7"/>
    <w:rsid w:val="328FA9C3"/>
    <w:rsid w:val="32945EC8"/>
    <w:rsid w:val="3296023E"/>
    <w:rsid w:val="32998490"/>
    <w:rsid w:val="32A08EB6"/>
    <w:rsid w:val="32A21D08"/>
    <w:rsid w:val="32A389F7"/>
    <w:rsid w:val="32A6A255"/>
    <w:rsid w:val="32A9AC8B"/>
    <w:rsid w:val="32AB878A"/>
    <w:rsid w:val="32AF6C72"/>
    <w:rsid w:val="32B29FE1"/>
    <w:rsid w:val="32B6FB42"/>
    <w:rsid w:val="32B871C2"/>
    <w:rsid w:val="32BFE256"/>
    <w:rsid w:val="32C0337B"/>
    <w:rsid w:val="32C45B14"/>
    <w:rsid w:val="32C6211B"/>
    <w:rsid w:val="32C8DBC2"/>
    <w:rsid w:val="32CF231A"/>
    <w:rsid w:val="32D9EC67"/>
    <w:rsid w:val="32DF8D9C"/>
    <w:rsid w:val="32E04568"/>
    <w:rsid w:val="32E1E234"/>
    <w:rsid w:val="32E2C66D"/>
    <w:rsid w:val="32E60241"/>
    <w:rsid w:val="32F0647C"/>
    <w:rsid w:val="32F4D2A0"/>
    <w:rsid w:val="32F874BE"/>
    <w:rsid w:val="32FA558E"/>
    <w:rsid w:val="32FC255D"/>
    <w:rsid w:val="32FC5E80"/>
    <w:rsid w:val="32FE3133"/>
    <w:rsid w:val="32FED851"/>
    <w:rsid w:val="32FF6EC5"/>
    <w:rsid w:val="3300390E"/>
    <w:rsid w:val="33027750"/>
    <w:rsid w:val="3306587A"/>
    <w:rsid w:val="330CB179"/>
    <w:rsid w:val="330DAF18"/>
    <w:rsid w:val="330F942A"/>
    <w:rsid w:val="330FB23D"/>
    <w:rsid w:val="3312B157"/>
    <w:rsid w:val="33151272"/>
    <w:rsid w:val="331ED466"/>
    <w:rsid w:val="332461EA"/>
    <w:rsid w:val="3324A1CA"/>
    <w:rsid w:val="33251903"/>
    <w:rsid w:val="3327755A"/>
    <w:rsid w:val="3327A75F"/>
    <w:rsid w:val="332EA9DF"/>
    <w:rsid w:val="332FA230"/>
    <w:rsid w:val="332FCE93"/>
    <w:rsid w:val="3331B8A5"/>
    <w:rsid w:val="3331FE34"/>
    <w:rsid w:val="33341523"/>
    <w:rsid w:val="33345474"/>
    <w:rsid w:val="3338DC7E"/>
    <w:rsid w:val="333B6A14"/>
    <w:rsid w:val="334115B0"/>
    <w:rsid w:val="3343B143"/>
    <w:rsid w:val="33454B37"/>
    <w:rsid w:val="3348585F"/>
    <w:rsid w:val="334A1AB7"/>
    <w:rsid w:val="334DD07F"/>
    <w:rsid w:val="334FB04D"/>
    <w:rsid w:val="335335D0"/>
    <w:rsid w:val="33577FA2"/>
    <w:rsid w:val="3357DA0E"/>
    <w:rsid w:val="335B0A80"/>
    <w:rsid w:val="335E1E71"/>
    <w:rsid w:val="33609E27"/>
    <w:rsid w:val="3366267A"/>
    <w:rsid w:val="336C5AC4"/>
    <w:rsid w:val="33734FD1"/>
    <w:rsid w:val="337405B8"/>
    <w:rsid w:val="3380A25F"/>
    <w:rsid w:val="33814B49"/>
    <w:rsid w:val="3383A378"/>
    <w:rsid w:val="3385226C"/>
    <w:rsid w:val="33858D9A"/>
    <w:rsid w:val="33863611"/>
    <w:rsid w:val="3390CC3D"/>
    <w:rsid w:val="339780CB"/>
    <w:rsid w:val="339B8EDC"/>
    <w:rsid w:val="339F8C65"/>
    <w:rsid w:val="33A08376"/>
    <w:rsid w:val="33A0F9C5"/>
    <w:rsid w:val="33A2BDE6"/>
    <w:rsid w:val="33A8AB36"/>
    <w:rsid w:val="33A92531"/>
    <w:rsid w:val="33AB5B93"/>
    <w:rsid w:val="33AFC41F"/>
    <w:rsid w:val="33B26E8A"/>
    <w:rsid w:val="33B47BB0"/>
    <w:rsid w:val="33B96EA8"/>
    <w:rsid w:val="33BFA39C"/>
    <w:rsid w:val="33C08A0E"/>
    <w:rsid w:val="33C0FB61"/>
    <w:rsid w:val="33C13052"/>
    <w:rsid w:val="33C3AB54"/>
    <w:rsid w:val="33C76708"/>
    <w:rsid w:val="33CAEDD0"/>
    <w:rsid w:val="33CE8DEA"/>
    <w:rsid w:val="33D30688"/>
    <w:rsid w:val="33D48430"/>
    <w:rsid w:val="33D50AC4"/>
    <w:rsid w:val="33D5353F"/>
    <w:rsid w:val="33D6A196"/>
    <w:rsid w:val="33D927BB"/>
    <w:rsid w:val="33D9AC13"/>
    <w:rsid w:val="33DE1183"/>
    <w:rsid w:val="33E3C580"/>
    <w:rsid w:val="33E57A19"/>
    <w:rsid w:val="33E67CBA"/>
    <w:rsid w:val="33EED8BC"/>
    <w:rsid w:val="33EFA9BF"/>
    <w:rsid w:val="33F106A9"/>
    <w:rsid w:val="33F2DC24"/>
    <w:rsid w:val="33F7CFB6"/>
    <w:rsid w:val="33F83491"/>
    <w:rsid w:val="33F8C2F2"/>
    <w:rsid w:val="33FB635E"/>
    <w:rsid w:val="33FEF4A7"/>
    <w:rsid w:val="340D6FBB"/>
    <w:rsid w:val="340DD391"/>
    <w:rsid w:val="340E0CC1"/>
    <w:rsid w:val="34100986"/>
    <w:rsid w:val="3414438F"/>
    <w:rsid w:val="341580C4"/>
    <w:rsid w:val="3422F609"/>
    <w:rsid w:val="34232E0B"/>
    <w:rsid w:val="34238609"/>
    <w:rsid w:val="3423B7FE"/>
    <w:rsid w:val="3425D4AC"/>
    <w:rsid w:val="3427A781"/>
    <w:rsid w:val="3429DE81"/>
    <w:rsid w:val="342AAFE0"/>
    <w:rsid w:val="342DAB6B"/>
    <w:rsid w:val="342F3B81"/>
    <w:rsid w:val="3431677E"/>
    <w:rsid w:val="34317D99"/>
    <w:rsid w:val="3434B347"/>
    <w:rsid w:val="3434FF20"/>
    <w:rsid w:val="343725C3"/>
    <w:rsid w:val="343E6EDA"/>
    <w:rsid w:val="3445C194"/>
    <w:rsid w:val="3446C3D5"/>
    <w:rsid w:val="3447E770"/>
    <w:rsid w:val="34483C15"/>
    <w:rsid w:val="344AFD2D"/>
    <w:rsid w:val="34507FF7"/>
    <w:rsid w:val="3450E311"/>
    <w:rsid w:val="3456D5F6"/>
    <w:rsid w:val="3456E736"/>
    <w:rsid w:val="34581CA1"/>
    <w:rsid w:val="345925E8"/>
    <w:rsid w:val="345E0468"/>
    <w:rsid w:val="345F1CB8"/>
    <w:rsid w:val="34636A4E"/>
    <w:rsid w:val="346477F3"/>
    <w:rsid w:val="346862CD"/>
    <w:rsid w:val="346A3D76"/>
    <w:rsid w:val="346A6A90"/>
    <w:rsid w:val="346D5F13"/>
    <w:rsid w:val="3474B228"/>
    <w:rsid w:val="34750621"/>
    <w:rsid w:val="347566BB"/>
    <w:rsid w:val="3476FC1A"/>
    <w:rsid w:val="3477A3C0"/>
    <w:rsid w:val="347A610F"/>
    <w:rsid w:val="347C0E2B"/>
    <w:rsid w:val="347E8019"/>
    <w:rsid w:val="3480064A"/>
    <w:rsid w:val="34826656"/>
    <w:rsid w:val="3486F766"/>
    <w:rsid w:val="348E8664"/>
    <w:rsid w:val="348F33F7"/>
    <w:rsid w:val="34978742"/>
    <w:rsid w:val="3498F0EC"/>
    <w:rsid w:val="3499DEA3"/>
    <w:rsid w:val="349BFDE1"/>
    <w:rsid w:val="349D31C1"/>
    <w:rsid w:val="34A09BC9"/>
    <w:rsid w:val="34A1C6A5"/>
    <w:rsid w:val="34A30D32"/>
    <w:rsid w:val="34AEBE0A"/>
    <w:rsid w:val="34AEE0B5"/>
    <w:rsid w:val="34B1BC4A"/>
    <w:rsid w:val="34B2C05F"/>
    <w:rsid w:val="34B53333"/>
    <w:rsid w:val="34B62BF3"/>
    <w:rsid w:val="34BB445A"/>
    <w:rsid w:val="34BF3661"/>
    <w:rsid w:val="34C15D62"/>
    <w:rsid w:val="34C1EF96"/>
    <w:rsid w:val="34C74E34"/>
    <w:rsid w:val="34C75D92"/>
    <w:rsid w:val="34CB54DA"/>
    <w:rsid w:val="34D04F85"/>
    <w:rsid w:val="34D6A656"/>
    <w:rsid w:val="34D73192"/>
    <w:rsid w:val="34D9B49F"/>
    <w:rsid w:val="34DB9CAF"/>
    <w:rsid w:val="34E2D14B"/>
    <w:rsid w:val="34E4105F"/>
    <w:rsid w:val="34E5101E"/>
    <w:rsid w:val="34ECE4CB"/>
    <w:rsid w:val="34EEB787"/>
    <w:rsid w:val="34EF023E"/>
    <w:rsid w:val="34EFCA01"/>
    <w:rsid w:val="34F59545"/>
    <w:rsid w:val="34F726B0"/>
    <w:rsid w:val="350269BF"/>
    <w:rsid w:val="3502D81F"/>
    <w:rsid w:val="35042550"/>
    <w:rsid w:val="3505571F"/>
    <w:rsid w:val="350DA335"/>
    <w:rsid w:val="350FE246"/>
    <w:rsid w:val="35146A76"/>
    <w:rsid w:val="351D0D47"/>
    <w:rsid w:val="351D4E4E"/>
    <w:rsid w:val="351DE028"/>
    <w:rsid w:val="3520A154"/>
    <w:rsid w:val="35220D5D"/>
    <w:rsid w:val="352581D0"/>
    <w:rsid w:val="352620F0"/>
    <w:rsid w:val="3526AEDB"/>
    <w:rsid w:val="35274616"/>
    <w:rsid w:val="3527C257"/>
    <w:rsid w:val="3527FBE2"/>
    <w:rsid w:val="352B3405"/>
    <w:rsid w:val="352DC775"/>
    <w:rsid w:val="352EE90B"/>
    <w:rsid w:val="352FD7E8"/>
    <w:rsid w:val="3530EBC6"/>
    <w:rsid w:val="35317ACB"/>
    <w:rsid w:val="35329E22"/>
    <w:rsid w:val="3535661F"/>
    <w:rsid w:val="35359DB1"/>
    <w:rsid w:val="35361B12"/>
    <w:rsid w:val="35374A3C"/>
    <w:rsid w:val="353DF9C6"/>
    <w:rsid w:val="35408545"/>
    <w:rsid w:val="3543C038"/>
    <w:rsid w:val="35447B84"/>
    <w:rsid w:val="3545B9DB"/>
    <w:rsid w:val="3549BFFF"/>
    <w:rsid w:val="3549F981"/>
    <w:rsid w:val="354D4E58"/>
    <w:rsid w:val="354DFEC0"/>
    <w:rsid w:val="354F96E7"/>
    <w:rsid w:val="35505959"/>
    <w:rsid w:val="35522077"/>
    <w:rsid w:val="3556AEEE"/>
    <w:rsid w:val="35572B09"/>
    <w:rsid w:val="355E26BD"/>
    <w:rsid w:val="355F3857"/>
    <w:rsid w:val="3563EEFF"/>
    <w:rsid w:val="356AB5FA"/>
    <w:rsid w:val="356C13B0"/>
    <w:rsid w:val="356F07D6"/>
    <w:rsid w:val="35717308"/>
    <w:rsid w:val="35726054"/>
    <w:rsid w:val="3577D648"/>
    <w:rsid w:val="35800E11"/>
    <w:rsid w:val="3582EB81"/>
    <w:rsid w:val="358AAAF1"/>
    <w:rsid w:val="3592BBBA"/>
    <w:rsid w:val="35961A84"/>
    <w:rsid w:val="3596AA0D"/>
    <w:rsid w:val="359D2529"/>
    <w:rsid w:val="359F30F9"/>
    <w:rsid w:val="35A18404"/>
    <w:rsid w:val="35A44A11"/>
    <w:rsid w:val="35A6CB4F"/>
    <w:rsid w:val="35AA354E"/>
    <w:rsid w:val="35B15125"/>
    <w:rsid w:val="35B2ACAD"/>
    <w:rsid w:val="35B38970"/>
    <w:rsid w:val="35B7FC07"/>
    <w:rsid w:val="35B986F4"/>
    <w:rsid w:val="35BC1903"/>
    <w:rsid w:val="35BF6BCA"/>
    <w:rsid w:val="35BFE07B"/>
    <w:rsid w:val="35C0FB1C"/>
    <w:rsid w:val="35C4CD20"/>
    <w:rsid w:val="35C75B9A"/>
    <w:rsid w:val="35CC4AC5"/>
    <w:rsid w:val="35CD6669"/>
    <w:rsid w:val="35CED31E"/>
    <w:rsid w:val="35D0D9AD"/>
    <w:rsid w:val="35D5420B"/>
    <w:rsid w:val="35D7A73C"/>
    <w:rsid w:val="35D94FDA"/>
    <w:rsid w:val="35DBC838"/>
    <w:rsid w:val="35DDF75C"/>
    <w:rsid w:val="35E09677"/>
    <w:rsid w:val="35E2C9C5"/>
    <w:rsid w:val="35E354E3"/>
    <w:rsid w:val="35EA8B46"/>
    <w:rsid w:val="35EB4EF1"/>
    <w:rsid w:val="35ECAC17"/>
    <w:rsid w:val="35ED2A75"/>
    <w:rsid w:val="35F6439B"/>
    <w:rsid w:val="35FA8904"/>
    <w:rsid w:val="35FC0937"/>
    <w:rsid w:val="35FCC1E1"/>
    <w:rsid w:val="35FEE1D8"/>
    <w:rsid w:val="35FF0470"/>
    <w:rsid w:val="35FF4459"/>
    <w:rsid w:val="35FFCE2C"/>
    <w:rsid w:val="3602953F"/>
    <w:rsid w:val="3603626B"/>
    <w:rsid w:val="3604E8A9"/>
    <w:rsid w:val="3604F6F6"/>
    <w:rsid w:val="3605E528"/>
    <w:rsid w:val="3609D5A6"/>
    <w:rsid w:val="360E372C"/>
    <w:rsid w:val="36161142"/>
    <w:rsid w:val="361A0090"/>
    <w:rsid w:val="361C8929"/>
    <w:rsid w:val="362595CB"/>
    <w:rsid w:val="36278D42"/>
    <w:rsid w:val="3628EBBE"/>
    <w:rsid w:val="3630F032"/>
    <w:rsid w:val="363239E5"/>
    <w:rsid w:val="363487A2"/>
    <w:rsid w:val="36370F87"/>
    <w:rsid w:val="3642FA83"/>
    <w:rsid w:val="3643384F"/>
    <w:rsid w:val="36445E29"/>
    <w:rsid w:val="36447F05"/>
    <w:rsid w:val="36464957"/>
    <w:rsid w:val="3646CA8A"/>
    <w:rsid w:val="3649A198"/>
    <w:rsid w:val="364C0165"/>
    <w:rsid w:val="364C5243"/>
    <w:rsid w:val="364F3946"/>
    <w:rsid w:val="3652366B"/>
    <w:rsid w:val="3653BA2D"/>
    <w:rsid w:val="365EDF1F"/>
    <w:rsid w:val="36695967"/>
    <w:rsid w:val="366D50D0"/>
    <w:rsid w:val="3671B481"/>
    <w:rsid w:val="36798C07"/>
    <w:rsid w:val="367EB1E6"/>
    <w:rsid w:val="36826B99"/>
    <w:rsid w:val="368719CB"/>
    <w:rsid w:val="36879835"/>
    <w:rsid w:val="3688C440"/>
    <w:rsid w:val="36891B3F"/>
    <w:rsid w:val="368CC122"/>
    <w:rsid w:val="3690BD47"/>
    <w:rsid w:val="36963754"/>
    <w:rsid w:val="36971FE0"/>
    <w:rsid w:val="3697B0B3"/>
    <w:rsid w:val="36984449"/>
    <w:rsid w:val="36A4212A"/>
    <w:rsid w:val="36A69EEA"/>
    <w:rsid w:val="36AD6091"/>
    <w:rsid w:val="36ADBDD4"/>
    <w:rsid w:val="36B00AA3"/>
    <w:rsid w:val="36B116A1"/>
    <w:rsid w:val="36B1497A"/>
    <w:rsid w:val="36B3BA3A"/>
    <w:rsid w:val="36B5D205"/>
    <w:rsid w:val="36B7CFB9"/>
    <w:rsid w:val="36BB17E8"/>
    <w:rsid w:val="36C2267A"/>
    <w:rsid w:val="36CA2F4E"/>
    <w:rsid w:val="36CBFD7D"/>
    <w:rsid w:val="36D691C4"/>
    <w:rsid w:val="36D6AE83"/>
    <w:rsid w:val="36D73CDC"/>
    <w:rsid w:val="36DB42B4"/>
    <w:rsid w:val="36DECCA4"/>
    <w:rsid w:val="36EA9A89"/>
    <w:rsid w:val="36EB2343"/>
    <w:rsid w:val="36EB767E"/>
    <w:rsid w:val="36EE0BA2"/>
    <w:rsid w:val="36F78F42"/>
    <w:rsid w:val="36FAB789"/>
    <w:rsid w:val="36FD7874"/>
    <w:rsid w:val="36FDDFCC"/>
    <w:rsid w:val="36FFFDFD"/>
    <w:rsid w:val="370189E5"/>
    <w:rsid w:val="3701D11F"/>
    <w:rsid w:val="37035C90"/>
    <w:rsid w:val="370CDCEC"/>
    <w:rsid w:val="37118D7B"/>
    <w:rsid w:val="3712275B"/>
    <w:rsid w:val="37135D8B"/>
    <w:rsid w:val="3719AD6F"/>
    <w:rsid w:val="371A5244"/>
    <w:rsid w:val="371E19B8"/>
    <w:rsid w:val="3722D018"/>
    <w:rsid w:val="37256EE1"/>
    <w:rsid w:val="3727F1CE"/>
    <w:rsid w:val="3729FBDA"/>
    <w:rsid w:val="372FBD29"/>
    <w:rsid w:val="373E6319"/>
    <w:rsid w:val="3741E9E4"/>
    <w:rsid w:val="37451342"/>
    <w:rsid w:val="3746D477"/>
    <w:rsid w:val="37500894"/>
    <w:rsid w:val="375489E5"/>
    <w:rsid w:val="3758DA5E"/>
    <w:rsid w:val="37608D79"/>
    <w:rsid w:val="376653F2"/>
    <w:rsid w:val="3767E3E2"/>
    <w:rsid w:val="3768E173"/>
    <w:rsid w:val="3772122A"/>
    <w:rsid w:val="37752683"/>
    <w:rsid w:val="37769DCB"/>
    <w:rsid w:val="3778C881"/>
    <w:rsid w:val="377D5345"/>
    <w:rsid w:val="377E04B7"/>
    <w:rsid w:val="3781378C"/>
    <w:rsid w:val="37816EBF"/>
    <w:rsid w:val="3788FFC9"/>
    <w:rsid w:val="3789A046"/>
    <w:rsid w:val="379046B0"/>
    <w:rsid w:val="3792FB31"/>
    <w:rsid w:val="37937A89"/>
    <w:rsid w:val="37952E45"/>
    <w:rsid w:val="37958DE8"/>
    <w:rsid w:val="379A0B49"/>
    <w:rsid w:val="379A0C46"/>
    <w:rsid w:val="379C386D"/>
    <w:rsid w:val="379F0F7F"/>
    <w:rsid w:val="37A1E09F"/>
    <w:rsid w:val="37A4AD14"/>
    <w:rsid w:val="37A4EF79"/>
    <w:rsid w:val="37A81102"/>
    <w:rsid w:val="37AD40EE"/>
    <w:rsid w:val="37B0F30C"/>
    <w:rsid w:val="37B19A05"/>
    <w:rsid w:val="37B313B0"/>
    <w:rsid w:val="37B9E204"/>
    <w:rsid w:val="37BC447B"/>
    <w:rsid w:val="37BD7502"/>
    <w:rsid w:val="37C0FEC9"/>
    <w:rsid w:val="37C5CBC0"/>
    <w:rsid w:val="37C843F0"/>
    <w:rsid w:val="37CE9B29"/>
    <w:rsid w:val="37D1F560"/>
    <w:rsid w:val="37DC15A7"/>
    <w:rsid w:val="37E209BA"/>
    <w:rsid w:val="37E3BA6A"/>
    <w:rsid w:val="37E475DA"/>
    <w:rsid w:val="37E8AE1F"/>
    <w:rsid w:val="37F02155"/>
    <w:rsid w:val="37F2362C"/>
    <w:rsid w:val="37F4D206"/>
    <w:rsid w:val="37FAE8DA"/>
    <w:rsid w:val="37FE3909"/>
    <w:rsid w:val="38002328"/>
    <w:rsid w:val="3800EBFB"/>
    <w:rsid w:val="3802FB25"/>
    <w:rsid w:val="38032F0A"/>
    <w:rsid w:val="38060A7B"/>
    <w:rsid w:val="3808DAAC"/>
    <w:rsid w:val="380EB034"/>
    <w:rsid w:val="3811CE3A"/>
    <w:rsid w:val="381573C6"/>
    <w:rsid w:val="38158000"/>
    <w:rsid w:val="38198F69"/>
    <w:rsid w:val="381D7AEF"/>
    <w:rsid w:val="381DC3F6"/>
    <w:rsid w:val="381FF99D"/>
    <w:rsid w:val="3820313B"/>
    <w:rsid w:val="3820F53C"/>
    <w:rsid w:val="3821D1DE"/>
    <w:rsid w:val="382D61ED"/>
    <w:rsid w:val="382EE210"/>
    <w:rsid w:val="38346428"/>
    <w:rsid w:val="383481AC"/>
    <w:rsid w:val="38360198"/>
    <w:rsid w:val="3836ECC0"/>
    <w:rsid w:val="383B4C05"/>
    <w:rsid w:val="383D5F62"/>
    <w:rsid w:val="383F429C"/>
    <w:rsid w:val="3844738E"/>
    <w:rsid w:val="3848F1C7"/>
    <w:rsid w:val="385293E6"/>
    <w:rsid w:val="38555C8C"/>
    <w:rsid w:val="3859EDDB"/>
    <w:rsid w:val="3859F36E"/>
    <w:rsid w:val="385C0BEF"/>
    <w:rsid w:val="385C5161"/>
    <w:rsid w:val="385DFD3A"/>
    <w:rsid w:val="386A83E9"/>
    <w:rsid w:val="386D58B7"/>
    <w:rsid w:val="386FB2CE"/>
    <w:rsid w:val="387086C3"/>
    <w:rsid w:val="38720C33"/>
    <w:rsid w:val="3877A73F"/>
    <w:rsid w:val="387986BB"/>
    <w:rsid w:val="387BAE63"/>
    <w:rsid w:val="387E4EC2"/>
    <w:rsid w:val="388C0FCB"/>
    <w:rsid w:val="389219F6"/>
    <w:rsid w:val="38924474"/>
    <w:rsid w:val="3893F528"/>
    <w:rsid w:val="3894A39F"/>
    <w:rsid w:val="389F592C"/>
    <w:rsid w:val="38A19354"/>
    <w:rsid w:val="38A34EEF"/>
    <w:rsid w:val="38A38013"/>
    <w:rsid w:val="38A4FBD3"/>
    <w:rsid w:val="38A5AD14"/>
    <w:rsid w:val="38A6DA95"/>
    <w:rsid w:val="38A7479F"/>
    <w:rsid w:val="38A9D89C"/>
    <w:rsid w:val="38ADDE55"/>
    <w:rsid w:val="38AE56F4"/>
    <w:rsid w:val="38B124C1"/>
    <w:rsid w:val="38B65CDD"/>
    <w:rsid w:val="38B74397"/>
    <w:rsid w:val="38BB8203"/>
    <w:rsid w:val="38BE2B2F"/>
    <w:rsid w:val="38C94DD4"/>
    <w:rsid w:val="38CA6078"/>
    <w:rsid w:val="38CF0087"/>
    <w:rsid w:val="38D85D77"/>
    <w:rsid w:val="38D97323"/>
    <w:rsid w:val="38E0A4B4"/>
    <w:rsid w:val="38E46037"/>
    <w:rsid w:val="38EA1640"/>
    <w:rsid w:val="38EB3C08"/>
    <w:rsid w:val="38ED2582"/>
    <w:rsid w:val="38EF46E0"/>
    <w:rsid w:val="38EF7D53"/>
    <w:rsid w:val="38FA54F2"/>
    <w:rsid w:val="38FC3793"/>
    <w:rsid w:val="38FD45D1"/>
    <w:rsid w:val="38FF0D1B"/>
    <w:rsid w:val="39002672"/>
    <w:rsid w:val="3902DCE7"/>
    <w:rsid w:val="390311BB"/>
    <w:rsid w:val="390314AB"/>
    <w:rsid w:val="39039C6A"/>
    <w:rsid w:val="390AFBE3"/>
    <w:rsid w:val="390F5196"/>
    <w:rsid w:val="3912CB7B"/>
    <w:rsid w:val="39132388"/>
    <w:rsid w:val="39142488"/>
    <w:rsid w:val="391971E4"/>
    <w:rsid w:val="391BBE4D"/>
    <w:rsid w:val="391E9D50"/>
    <w:rsid w:val="391F0E24"/>
    <w:rsid w:val="392730A9"/>
    <w:rsid w:val="392871FC"/>
    <w:rsid w:val="393045A5"/>
    <w:rsid w:val="393526CC"/>
    <w:rsid w:val="393612CA"/>
    <w:rsid w:val="393C4C22"/>
    <w:rsid w:val="393D7D58"/>
    <w:rsid w:val="393E86EC"/>
    <w:rsid w:val="39428CBA"/>
    <w:rsid w:val="3943900B"/>
    <w:rsid w:val="3945E901"/>
    <w:rsid w:val="394A17B8"/>
    <w:rsid w:val="394B3392"/>
    <w:rsid w:val="394C4172"/>
    <w:rsid w:val="394CD264"/>
    <w:rsid w:val="39539203"/>
    <w:rsid w:val="3959C80F"/>
    <w:rsid w:val="395A6998"/>
    <w:rsid w:val="395D1BFF"/>
    <w:rsid w:val="395DABD5"/>
    <w:rsid w:val="395E289F"/>
    <w:rsid w:val="39608C80"/>
    <w:rsid w:val="3965D2D1"/>
    <w:rsid w:val="39677A25"/>
    <w:rsid w:val="39682001"/>
    <w:rsid w:val="3968AF49"/>
    <w:rsid w:val="396A1A77"/>
    <w:rsid w:val="396C59FD"/>
    <w:rsid w:val="396C5F68"/>
    <w:rsid w:val="396D26DE"/>
    <w:rsid w:val="3971D149"/>
    <w:rsid w:val="3972534C"/>
    <w:rsid w:val="397A82AF"/>
    <w:rsid w:val="398281F2"/>
    <w:rsid w:val="3985362F"/>
    <w:rsid w:val="3985E161"/>
    <w:rsid w:val="398CFF99"/>
    <w:rsid w:val="398DA30E"/>
    <w:rsid w:val="398ED789"/>
    <w:rsid w:val="399064E5"/>
    <w:rsid w:val="399279E2"/>
    <w:rsid w:val="39935D78"/>
    <w:rsid w:val="39952D30"/>
    <w:rsid w:val="39964BCA"/>
    <w:rsid w:val="3996B1C3"/>
    <w:rsid w:val="399BCDDB"/>
    <w:rsid w:val="399CC466"/>
    <w:rsid w:val="39A1F81D"/>
    <w:rsid w:val="39A3E5C3"/>
    <w:rsid w:val="39B09E52"/>
    <w:rsid w:val="39B11C36"/>
    <w:rsid w:val="39B1D57A"/>
    <w:rsid w:val="39B4DC0D"/>
    <w:rsid w:val="39BAB4CC"/>
    <w:rsid w:val="39BF0189"/>
    <w:rsid w:val="39C5D29B"/>
    <w:rsid w:val="39C978BE"/>
    <w:rsid w:val="39D0927C"/>
    <w:rsid w:val="39D41783"/>
    <w:rsid w:val="39D5245E"/>
    <w:rsid w:val="39D8DD52"/>
    <w:rsid w:val="39D9546C"/>
    <w:rsid w:val="39E295CA"/>
    <w:rsid w:val="39E81444"/>
    <w:rsid w:val="39EB7D48"/>
    <w:rsid w:val="39F16E8D"/>
    <w:rsid w:val="39FBBBC9"/>
    <w:rsid w:val="39FE5101"/>
    <w:rsid w:val="39FEEF82"/>
    <w:rsid w:val="3A0002A1"/>
    <w:rsid w:val="3A089B24"/>
    <w:rsid w:val="3A0AF851"/>
    <w:rsid w:val="3A0DAABE"/>
    <w:rsid w:val="3A0F0F59"/>
    <w:rsid w:val="3A14095F"/>
    <w:rsid w:val="3A1474E8"/>
    <w:rsid w:val="3A1546CE"/>
    <w:rsid w:val="3A1650E1"/>
    <w:rsid w:val="3A18841F"/>
    <w:rsid w:val="3A18B4D5"/>
    <w:rsid w:val="3A1B77A7"/>
    <w:rsid w:val="3A254282"/>
    <w:rsid w:val="3A28CFE0"/>
    <w:rsid w:val="3A2D5C65"/>
    <w:rsid w:val="3A2E02F4"/>
    <w:rsid w:val="3A36007F"/>
    <w:rsid w:val="3A363066"/>
    <w:rsid w:val="3A374DC6"/>
    <w:rsid w:val="3A3C95E6"/>
    <w:rsid w:val="3A3D5F9C"/>
    <w:rsid w:val="3A428875"/>
    <w:rsid w:val="3A43425B"/>
    <w:rsid w:val="3A44B397"/>
    <w:rsid w:val="3A47FD33"/>
    <w:rsid w:val="3A481F3B"/>
    <w:rsid w:val="3A482CEA"/>
    <w:rsid w:val="3A4C1218"/>
    <w:rsid w:val="3A4CF7BF"/>
    <w:rsid w:val="3A4FDCAC"/>
    <w:rsid w:val="3A518555"/>
    <w:rsid w:val="3A52C6AC"/>
    <w:rsid w:val="3A563412"/>
    <w:rsid w:val="3A563F0A"/>
    <w:rsid w:val="3A579C04"/>
    <w:rsid w:val="3A57C2EE"/>
    <w:rsid w:val="3A5C12CE"/>
    <w:rsid w:val="3A62CA75"/>
    <w:rsid w:val="3A633636"/>
    <w:rsid w:val="3A6E3968"/>
    <w:rsid w:val="3A71CFC1"/>
    <w:rsid w:val="3A72A4E5"/>
    <w:rsid w:val="3A7439BC"/>
    <w:rsid w:val="3A750D7B"/>
    <w:rsid w:val="3A75E3FF"/>
    <w:rsid w:val="3A7A4366"/>
    <w:rsid w:val="3A8127C0"/>
    <w:rsid w:val="3A842D98"/>
    <w:rsid w:val="3A87072A"/>
    <w:rsid w:val="3A876F92"/>
    <w:rsid w:val="3A87C4C9"/>
    <w:rsid w:val="3A8A6A2E"/>
    <w:rsid w:val="3A92DC02"/>
    <w:rsid w:val="3A969D2A"/>
    <w:rsid w:val="3A9BC357"/>
    <w:rsid w:val="3AA31BF3"/>
    <w:rsid w:val="3AA352BD"/>
    <w:rsid w:val="3AA3B4A8"/>
    <w:rsid w:val="3AA849BF"/>
    <w:rsid w:val="3AAECE24"/>
    <w:rsid w:val="3AB3C1AF"/>
    <w:rsid w:val="3AB3F487"/>
    <w:rsid w:val="3AB66D40"/>
    <w:rsid w:val="3AB8A3A3"/>
    <w:rsid w:val="3AB8BACE"/>
    <w:rsid w:val="3AB957A7"/>
    <w:rsid w:val="3AB9C215"/>
    <w:rsid w:val="3ABAF541"/>
    <w:rsid w:val="3AC6BA2B"/>
    <w:rsid w:val="3AC80FE5"/>
    <w:rsid w:val="3ACA14D2"/>
    <w:rsid w:val="3ACE78DD"/>
    <w:rsid w:val="3AD3D77D"/>
    <w:rsid w:val="3AD42633"/>
    <w:rsid w:val="3AD48F98"/>
    <w:rsid w:val="3AD732D7"/>
    <w:rsid w:val="3AD95474"/>
    <w:rsid w:val="3ADEF2D4"/>
    <w:rsid w:val="3ADF9AAA"/>
    <w:rsid w:val="3AE7E959"/>
    <w:rsid w:val="3AEFC0DE"/>
    <w:rsid w:val="3AF12847"/>
    <w:rsid w:val="3AF1B1F3"/>
    <w:rsid w:val="3AF1F2EF"/>
    <w:rsid w:val="3AF68593"/>
    <w:rsid w:val="3AF76E9D"/>
    <w:rsid w:val="3AFBA6FD"/>
    <w:rsid w:val="3AFF3C27"/>
    <w:rsid w:val="3B09765C"/>
    <w:rsid w:val="3B0A09E8"/>
    <w:rsid w:val="3B142BB7"/>
    <w:rsid w:val="3B1639B5"/>
    <w:rsid w:val="3B1870FA"/>
    <w:rsid w:val="3B19BC15"/>
    <w:rsid w:val="3B1FC660"/>
    <w:rsid w:val="3B211DA5"/>
    <w:rsid w:val="3B234C4B"/>
    <w:rsid w:val="3B297E20"/>
    <w:rsid w:val="3B2C7261"/>
    <w:rsid w:val="3B2D967C"/>
    <w:rsid w:val="3B376A08"/>
    <w:rsid w:val="3B3C6A03"/>
    <w:rsid w:val="3B3F75EE"/>
    <w:rsid w:val="3B405C88"/>
    <w:rsid w:val="3B414581"/>
    <w:rsid w:val="3B45148A"/>
    <w:rsid w:val="3B48BD66"/>
    <w:rsid w:val="3B4EE7A8"/>
    <w:rsid w:val="3B4F9DB7"/>
    <w:rsid w:val="3B4FC863"/>
    <w:rsid w:val="3B4FCF4A"/>
    <w:rsid w:val="3B50BE4A"/>
    <w:rsid w:val="3B5107F2"/>
    <w:rsid w:val="3B52739E"/>
    <w:rsid w:val="3B5E96D0"/>
    <w:rsid w:val="3B631566"/>
    <w:rsid w:val="3B63B780"/>
    <w:rsid w:val="3B677D4A"/>
    <w:rsid w:val="3B6CE1F7"/>
    <w:rsid w:val="3B74E8F2"/>
    <w:rsid w:val="3B7D1621"/>
    <w:rsid w:val="3B81DE1F"/>
    <w:rsid w:val="3B869B70"/>
    <w:rsid w:val="3B8A9C61"/>
    <w:rsid w:val="3B8D4192"/>
    <w:rsid w:val="3B94C311"/>
    <w:rsid w:val="3B94FF3C"/>
    <w:rsid w:val="3B95B149"/>
    <w:rsid w:val="3B987F2C"/>
    <w:rsid w:val="3B988DA9"/>
    <w:rsid w:val="3B9BC28A"/>
    <w:rsid w:val="3B9D6D83"/>
    <w:rsid w:val="3BA0D99B"/>
    <w:rsid w:val="3BA2FE5E"/>
    <w:rsid w:val="3BA30B73"/>
    <w:rsid w:val="3BA30CF6"/>
    <w:rsid w:val="3BA41C83"/>
    <w:rsid w:val="3BB4FB5F"/>
    <w:rsid w:val="3BB7BE46"/>
    <w:rsid w:val="3BB9C590"/>
    <w:rsid w:val="3BBA916A"/>
    <w:rsid w:val="3BBAB376"/>
    <w:rsid w:val="3BBCB187"/>
    <w:rsid w:val="3BBD785D"/>
    <w:rsid w:val="3BBE39F2"/>
    <w:rsid w:val="3BC4436A"/>
    <w:rsid w:val="3BC9042C"/>
    <w:rsid w:val="3BCAD5C8"/>
    <w:rsid w:val="3BCBA8B5"/>
    <w:rsid w:val="3BCF3FCA"/>
    <w:rsid w:val="3BCFAF46"/>
    <w:rsid w:val="3BD3550A"/>
    <w:rsid w:val="3BD52DC3"/>
    <w:rsid w:val="3BDC9551"/>
    <w:rsid w:val="3BE19C65"/>
    <w:rsid w:val="3BE32B1B"/>
    <w:rsid w:val="3BE8EADB"/>
    <w:rsid w:val="3BEA9A33"/>
    <w:rsid w:val="3BF724C6"/>
    <w:rsid w:val="3C00F7BA"/>
    <w:rsid w:val="3C098D92"/>
    <w:rsid w:val="3C0B4933"/>
    <w:rsid w:val="3C0B80D5"/>
    <w:rsid w:val="3C166EF3"/>
    <w:rsid w:val="3C1A12D3"/>
    <w:rsid w:val="3C1CF4EF"/>
    <w:rsid w:val="3C1DF6AB"/>
    <w:rsid w:val="3C21C3E1"/>
    <w:rsid w:val="3C221751"/>
    <w:rsid w:val="3C2747E7"/>
    <w:rsid w:val="3C2D2384"/>
    <w:rsid w:val="3C2FD542"/>
    <w:rsid w:val="3C31BC1B"/>
    <w:rsid w:val="3C3578F2"/>
    <w:rsid w:val="3C36C174"/>
    <w:rsid w:val="3C36E03C"/>
    <w:rsid w:val="3C371770"/>
    <w:rsid w:val="3C3D39EC"/>
    <w:rsid w:val="3C3D79EF"/>
    <w:rsid w:val="3C470A32"/>
    <w:rsid w:val="3C47B567"/>
    <w:rsid w:val="3C485096"/>
    <w:rsid w:val="3C48E3F1"/>
    <w:rsid w:val="3C4A6C3D"/>
    <w:rsid w:val="3C4D08F0"/>
    <w:rsid w:val="3C508C6E"/>
    <w:rsid w:val="3C5170D3"/>
    <w:rsid w:val="3C56BF04"/>
    <w:rsid w:val="3C57E0CF"/>
    <w:rsid w:val="3C62BC22"/>
    <w:rsid w:val="3C65C345"/>
    <w:rsid w:val="3C6CCD64"/>
    <w:rsid w:val="3C6F8215"/>
    <w:rsid w:val="3C700E89"/>
    <w:rsid w:val="3C701585"/>
    <w:rsid w:val="3C708891"/>
    <w:rsid w:val="3C7128A6"/>
    <w:rsid w:val="3C7479DB"/>
    <w:rsid w:val="3C750F89"/>
    <w:rsid w:val="3C759E01"/>
    <w:rsid w:val="3C76BE7C"/>
    <w:rsid w:val="3C77D1AF"/>
    <w:rsid w:val="3C7A5BC1"/>
    <w:rsid w:val="3C7DDA01"/>
    <w:rsid w:val="3C7EF1FF"/>
    <w:rsid w:val="3C833124"/>
    <w:rsid w:val="3C875D30"/>
    <w:rsid w:val="3C879A89"/>
    <w:rsid w:val="3C892B65"/>
    <w:rsid w:val="3C89C50A"/>
    <w:rsid w:val="3C8AEB41"/>
    <w:rsid w:val="3C8BA4B0"/>
    <w:rsid w:val="3C8DAC85"/>
    <w:rsid w:val="3C8EBF87"/>
    <w:rsid w:val="3C9647F0"/>
    <w:rsid w:val="3C975013"/>
    <w:rsid w:val="3C99F753"/>
    <w:rsid w:val="3C9EBCC2"/>
    <w:rsid w:val="3C9F35B7"/>
    <w:rsid w:val="3CA15703"/>
    <w:rsid w:val="3CA30CA1"/>
    <w:rsid w:val="3CA501F7"/>
    <w:rsid w:val="3CA9194C"/>
    <w:rsid w:val="3CAC0E3F"/>
    <w:rsid w:val="3CAD6DBE"/>
    <w:rsid w:val="3CADAEA0"/>
    <w:rsid w:val="3CAE2BFB"/>
    <w:rsid w:val="3CB2A255"/>
    <w:rsid w:val="3CB3E124"/>
    <w:rsid w:val="3CB82BA4"/>
    <w:rsid w:val="3CC0924A"/>
    <w:rsid w:val="3CC47162"/>
    <w:rsid w:val="3CC55A28"/>
    <w:rsid w:val="3CC97472"/>
    <w:rsid w:val="3CCB4BE7"/>
    <w:rsid w:val="3CCD81BE"/>
    <w:rsid w:val="3CCD93CC"/>
    <w:rsid w:val="3CD4AE71"/>
    <w:rsid w:val="3CDDC21D"/>
    <w:rsid w:val="3CDFFE84"/>
    <w:rsid w:val="3CE0D98E"/>
    <w:rsid w:val="3CEBEAA6"/>
    <w:rsid w:val="3CECADD5"/>
    <w:rsid w:val="3CECFDEE"/>
    <w:rsid w:val="3CED47DE"/>
    <w:rsid w:val="3CEDD86B"/>
    <w:rsid w:val="3CEF4EE4"/>
    <w:rsid w:val="3CF0E6F6"/>
    <w:rsid w:val="3CF1D4DF"/>
    <w:rsid w:val="3CF2AA7C"/>
    <w:rsid w:val="3CF38A61"/>
    <w:rsid w:val="3CF40114"/>
    <w:rsid w:val="3CF4F7AF"/>
    <w:rsid w:val="3CF62051"/>
    <w:rsid w:val="3CF8E3CE"/>
    <w:rsid w:val="3CF93D7E"/>
    <w:rsid w:val="3CF9F12B"/>
    <w:rsid w:val="3CFE895C"/>
    <w:rsid w:val="3D00F52A"/>
    <w:rsid w:val="3D01A542"/>
    <w:rsid w:val="3D03B4DE"/>
    <w:rsid w:val="3D0D1CA4"/>
    <w:rsid w:val="3D0F2048"/>
    <w:rsid w:val="3D1165B7"/>
    <w:rsid w:val="3D11DB74"/>
    <w:rsid w:val="3D128400"/>
    <w:rsid w:val="3D164DC4"/>
    <w:rsid w:val="3D1A13A7"/>
    <w:rsid w:val="3D1BDAD0"/>
    <w:rsid w:val="3D212D5C"/>
    <w:rsid w:val="3D2185F2"/>
    <w:rsid w:val="3D21C778"/>
    <w:rsid w:val="3D23F0F4"/>
    <w:rsid w:val="3D2D9FE2"/>
    <w:rsid w:val="3D39CD3D"/>
    <w:rsid w:val="3D3ADC30"/>
    <w:rsid w:val="3D3F48C2"/>
    <w:rsid w:val="3D42C662"/>
    <w:rsid w:val="3D48DDF3"/>
    <w:rsid w:val="3D4CE740"/>
    <w:rsid w:val="3D52644D"/>
    <w:rsid w:val="3D552496"/>
    <w:rsid w:val="3D565408"/>
    <w:rsid w:val="3D60ECFC"/>
    <w:rsid w:val="3D6115DD"/>
    <w:rsid w:val="3D6291CC"/>
    <w:rsid w:val="3D66344F"/>
    <w:rsid w:val="3D6B63B1"/>
    <w:rsid w:val="3D6CA331"/>
    <w:rsid w:val="3D6CB372"/>
    <w:rsid w:val="3D6D8B59"/>
    <w:rsid w:val="3D702171"/>
    <w:rsid w:val="3D728221"/>
    <w:rsid w:val="3D74EB26"/>
    <w:rsid w:val="3D776610"/>
    <w:rsid w:val="3D7A6563"/>
    <w:rsid w:val="3D7F58A6"/>
    <w:rsid w:val="3D84A151"/>
    <w:rsid w:val="3D863815"/>
    <w:rsid w:val="3D8A9E40"/>
    <w:rsid w:val="3D8BD8EF"/>
    <w:rsid w:val="3D8E8653"/>
    <w:rsid w:val="3D923772"/>
    <w:rsid w:val="3D93EB64"/>
    <w:rsid w:val="3D94B442"/>
    <w:rsid w:val="3D9551F7"/>
    <w:rsid w:val="3D957212"/>
    <w:rsid w:val="3D9A76B9"/>
    <w:rsid w:val="3D9AEEFB"/>
    <w:rsid w:val="3D9EAE8F"/>
    <w:rsid w:val="3DA03571"/>
    <w:rsid w:val="3DA09495"/>
    <w:rsid w:val="3DA381DC"/>
    <w:rsid w:val="3DA657C2"/>
    <w:rsid w:val="3DA97B4A"/>
    <w:rsid w:val="3DAA354C"/>
    <w:rsid w:val="3DADC72D"/>
    <w:rsid w:val="3DAF7824"/>
    <w:rsid w:val="3DAF7DB5"/>
    <w:rsid w:val="3DB03CF5"/>
    <w:rsid w:val="3DB0480D"/>
    <w:rsid w:val="3DBFD39B"/>
    <w:rsid w:val="3DC17117"/>
    <w:rsid w:val="3DC65EC7"/>
    <w:rsid w:val="3DC6D0D9"/>
    <w:rsid w:val="3DC96B54"/>
    <w:rsid w:val="3DD5B876"/>
    <w:rsid w:val="3DD676CA"/>
    <w:rsid w:val="3DD8DA16"/>
    <w:rsid w:val="3DDB69F9"/>
    <w:rsid w:val="3DE203E4"/>
    <w:rsid w:val="3DE4A621"/>
    <w:rsid w:val="3DE5DE31"/>
    <w:rsid w:val="3DE9E8C4"/>
    <w:rsid w:val="3DEBD66F"/>
    <w:rsid w:val="3DF2B35C"/>
    <w:rsid w:val="3DF2DF2B"/>
    <w:rsid w:val="3DFA3DB6"/>
    <w:rsid w:val="3DFD86D3"/>
    <w:rsid w:val="3E0654F5"/>
    <w:rsid w:val="3E07B6EF"/>
    <w:rsid w:val="3E0E38E0"/>
    <w:rsid w:val="3E1343B7"/>
    <w:rsid w:val="3E14EE3F"/>
    <w:rsid w:val="3E14FAFA"/>
    <w:rsid w:val="3E157C55"/>
    <w:rsid w:val="3E1A9372"/>
    <w:rsid w:val="3E1CA646"/>
    <w:rsid w:val="3E1ED1D2"/>
    <w:rsid w:val="3E22B270"/>
    <w:rsid w:val="3E289554"/>
    <w:rsid w:val="3E297FB9"/>
    <w:rsid w:val="3E30C773"/>
    <w:rsid w:val="3E3180AA"/>
    <w:rsid w:val="3E33B8CB"/>
    <w:rsid w:val="3E3A0805"/>
    <w:rsid w:val="3E3A40BC"/>
    <w:rsid w:val="3E3BC77D"/>
    <w:rsid w:val="3E3D3576"/>
    <w:rsid w:val="3E40BEF1"/>
    <w:rsid w:val="3E446BF2"/>
    <w:rsid w:val="3E44A179"/>
    <w:rsid w:val="3E47821D"/>
    <w:rsid w:val="3E516375"/>
    <w:rsid w:val="3E53B285"/>
    <w:rsid w:val="3E5FD919"/>
    <w:rsid w:val="3E62CEC6"/>
    <w:rsid w:val="3E6864BD"/>
    <w:rsid w:val="3E72D4C7"/>
    <w:rsid w:val="3E79BB6E"/>
    <w:rsid w:val="3E7FC264"/>
    <w:rsid w:val="3E835C30"/>
    <w:rsid w:val="3E84F048"/>
    <w:rsid w:val="3E85E69A"/>
    <w:rsid w:val="3E8D4FED"/>
    <w:rsid w:val="3E9BF42E"/>
    <w:rsid w:val="3EA048EF"/>
    <w:rsid w:val="3EA05684"/>
    <w:rsid w:val="3EA2ED3F"/>
    <w:rsid w:val="3EA40DCA"/>
    <w:rsid w:val="3EA48E7B"/>
    <w:rsid w:val="3EAA0FBF"/>
    <w:rsid w:val="3EAB0403"/>
    <w:rsid w:val="3EAD2BA6"/>
    <w:rsid w:val="3EAE810D"/>
    <w:rsid w:val="3EB18A15"/>
    <w:rsid w:val="3EB7704A"/>
    <w:rsid w:val="3EBCFDE2"/>
    <w:rsid w:val="3EC39DAE"/>
    <w:rsid w:val="3EC5F6FC"/>
    <w:rsid w:val="3EC6FFFA"/>
    <w:rsid w:val="3ECD7AD3"/>
    <w:rsid w:val="3ED05548"/>
    <w:rsid w:val="3ED2120B"/>
    <w:rsid w:val="3ED28215"/>
    <w:rsid w:val="3ED70FE4"/>
    <w:rsid w:val="3EDA4627"/>
    <w:rsid w:val="3EDB902B"/>
    <w:rsid w:val="3EDBC89B"/>
    <w:rsid w:val="3EE445C1"/>
    <w:rsid w:val="3EEBF89A"/>
    <w:rsid w:val="3EEC20FE"/>
    <w:rsid w:val="3EF24F31"/>
    <w:rsid w:val="3EF8BB12"/>
    <w:rsid w:val="3EFC4ED4"/>
    <w:rsid w:val="3F0529A6"/>
    <w:rsid w:val="3F071C23"/>
    <w:rsid w:val="3F0A5689"/>
    <w:rsid w:val="3F111031"/>
    <w:rsid w:val="3F12176D"/>
    <w:rsid w:val="3F14D921"/>
    <w:rsid w:val="3F154739"/>
    <w:rsid w:val="3F187A90"/>
    <w:rsid w:val="3F215EB5"/>
    <w:rsid w:val="3F23835C"/>
    <w:rsid w:val="3F248E2A"/>
    <w:rsid w:val="3F25D6B6"/>
    <w:rsid w:val="3F27C2E0"/>
    <w:rsid w:val="3F35748A"/>
    <w:rsid w:val="3F35F26E"/>
    <w:rsid w:val="3F361F91"/>
    <w:rsid w:val="3F370B9B"/>
    <w:rsid w:val="3F39B17C"/>
    <w:rsid w:val="3F3B022C"/>
    <w:rsid w:val="3F3B82D5"/>
    <w:rsid w:val="3F3C8559"/>
    <w:rsid w:val="3F450F8F"/>
    <w:rsid w:val="3F479620"/>
    <w:rsid w:val="3F495C0A"/>
    <w:rsid w:val="3F4A3ABA"/>
    <w:rsid w:val="3F4A4989"/>
    <w:rsid w:val="3F525D32"/>
    <w:rsid w:val="3F5AE4AF"/>
    <w:rsid w:val="3F60D0DC"/>
    <w:rsid w:val="3F6A3F95"/>
    <w:rsid w:val="3F6AEE7C"/>
    <w:rsid w:val="3F6CBA4A"/>
    <w:rsid w:val="3F6D1887"/>
    <w:rsid w:val="3F6FA134"/>
    <w:rsid w:val="3F753980"/>
    <w:rsid w:val="3F820CFF"/>
    <w:rsid w:val="3F82FEFC"/>
    <w:rsid w:val="3F87743E"/>
    <w:rsid w:val="3F88980D"/>
    <w:rsid w:val="3F8A241C"/>
    <w:rsid w:val="3F92563F"/>
    <w:rsid w:val="3F9EE51B"/>
    <w:rsid w:val="3F9F2D30"/>
    <w:rsid w:val="3FA0CD09"/>
    <w:rsid w:val="3FA17DEB"/>
    <w:rsid w:val="3FA3BF51"/>
    <w:rsid w:val="3FA46AAD"/>
    <w:rsid w:val="3FA9B264"/>
    <w:rsid w:val="3FA9F9B9"/>
    <w:rsid w:val="3FB385D3"/>
    <w:rsid w:val="3FB47C16"/>
    <w:rsid w:val="3FB7D093"/>
    <w:rsid w:val="3FB945A2"/>
    <w:rsid w:val="3FBDC03D"/>
    <w:rsid w:val="3FC13318"/>
    <w:rsid w:val="3FC6C778"/>
    <w:rsid w:val="3FCCD745"/>
    <w:rsid w:val="3FCEDDEB"/>
    <w:rsid w:val="3FD15DA0"/>
    <w:rsid w:val="3FD95333"/>
    <w:rsid w:val="3FDA2674"/>
    <w:rsid w:val="3FDA2691"/>
    <w:rsid w:val="3FDEF7C7"/>
    <w:rsid w:val="3FE04786"/>
    <w:rsid w:val="3FE93710"/>
    <w:rsid w:val="3FEE8F48"/>
    <w:rsid w:val="3FF24E00"/>
    <w:rsid w:val="3FF54EEA"/>
    <w:rsid w:val="3FF6DAA6"/>
    <w:rsid w:val="3FFF65F7"/>
    <w:rsid w:val="40037316"/>
    <w:rsid w:val="4004B3DB"/>
    <w:rsid w:val="4006850D"/>
    <w:rsid w:val="40070EB6"/>
    <w:rsid w:val="400850FF"/>
    <w:rsid w:val="40095E7F"/>
    <w:rsid w:val="400C4755"/>
    <w:rsid w:val="400CF6FC"/>
    <w:rsid w:val="4014D54A"/>
    <w:rsid w:val="4015E6E9"/>
    <w:rsid w:val="401CADDD"/>
    <w:rsid w:val="4025229B"/>
    <w:rsid w:val="402767B3"/>
    <w:rsid w:val="40315F90"/>
    <w:rsid w:val="403545D9"/>
    <w:rsid w:val="403A1443"/>
    <w:rsid w:val="403B69AA"/>
    <w:rsid w:val="403D118C"/>
    <w:rsid w:val="403F44FB"/>
    <w:rsid w:val="403FBA73"/>
    <w:rsid w:val="4041678D"/>
    <w:rsid w:val="40468664"/>
    <w:rsid w:val="40484577"/>
    <w:rsid w:val="4049202C"/>
    <w:rsid w:val="404B2EE3"/>
    <w:rsid w:val="404D18CB"/>
    <w:rsid w:val="404D22FA"/>
    <w:rsid w:val="404FCFE7"/>
    <w:rsid w:val="404FFC87"/>
    <w:rsid w:val="405271DA"/>
    <w:rsid w:val="405BA064"/>
    <w:rsid w:val="405C96E9"/>
    <w:rsid w:val="4061F7E6"/>
    <w:rsid w:val="4062CDB0"/>
    <w:rsid w:val="40683434"/>
    <w:rsid w:val="4076AE97"/>
    <w:rsid w:val="4076B6D9"/>
    <w:rsid w:val="407942CC"/>
    <w:rsid w:val="407D78BB"/>
    <w:rsid w:val="407FC58B"/>
    <w:rsid w:val="40849E75"/>
    <w:rsid w:val="408641DB"/>
    <w:rsid w:val="40886C82"/>
    <w:rsid w:val="40895D9C"/>
    <w:rsid w:val="408B52D5"/>
    <w:rsid w:val="4092A3A8"/>
    <w:rsid w:val="4096BD54"/>
    <w:rsid w:val="40998E66"/>
    <w:rsid w:val="409A9D4B"/>
    <w:rsid w:val="409D9B54"/>
    <w:rsid w:val="409E397B"/>
    <w:rsid w:val="409E5045"/>
    <w:rsid w:val="409EE235"/>
    <w:rsid w:val="409EF1B6"/>
    <w:rsid w:val="409FED0B"/>
    <w:rsid w:val="40A0F9A4"/>
    <w:rsid w:val="40A61558"/>
    <w:rsid w:val="40A6C289"/>
    <w:rsid w:val="40AC588A"/>
    <w:rsid w:val="40B0AF28"/>
    <w:rsid w:val="40B5046A"/>
    <w:rsid w:val="40B69E28"/>
    <w:rsid w:val="40B733F2"/>
    <w:rsid w:val="40BF4140"/>
    <w:rsid w:val="40C297FC"/>
    <w:rsid w:val="40C7AE7C"/>
    <w:rsid w:val="40C8247E"/>
    <w:rsid w:val="40CBE32C"/>
    <w:rsid w:val="40D84FBC"/>
    <w:rsid w:val="40D98261"/>
    <w:rsid w:val="40D9C803"/>
    <w:rsid w:val="40DBF10D"/>
    <w:rsid w:val="40E1CF5E"/>
    <w:rsid w:val="40E1D11E"/>
    <w:rsid w:val="40E39AF9"/>
    <w:rsid w:val="40E776A9"/>
    <w:rsid w:val="40E84834"/>
    <w:rsid w:val="40E9F854"/>
    <w:rsid w:val="40EBA5C3"/>
    <w:rsid w:val="40EC3FD2"/>
    <w:rsid w:val="40F02202"/>
    <w:rsid w:val="40F109DD"/>
    <w:rsid w:val="40F1D0C9"/>
    <w:rsid w:val="40F307F0"/>
    <w:rsid w:val="40FA9BA5"/>
    <w:rsid w:val="40FC6280"/>
    <w:rsid w:val="40FF03F5"/>
    <w:rsid w:val="4104CF9F"/>
    <w:rsid w:val="4105F166"/>
    <w:rsid w:val="4107AF0C"/>
    <w:rsid w:val="4107DC95"/>
    <w:rsid w:val="4109C100"/>
    <w:rsid w:val="410C2DB9"/>
    <w:rsid w:val="410C8571"/>
    <w:rsid w:val="410CFC26"/>
    <w:rsid w:val="410EEB11"/>
    <w:rsid w:val="41100ACB"/>
    <w:rsid w:val="411100E9"/>
    <w:rsid w:val="4113B498"/>
    <w:rsid w:val="41182128"/>
    <w:rsid w:val="4119460E"/>
    <w:rsid w:val="41228534"/>
    <w:rsid w:val="41247AC1"/>
    <w:rsid w:val="4127C319"/>
    <w:rsid w:val="4130049A"/>
    <w:rsid w:val="41312720"/>
    <w:rsid w:val="4133E441"/>
    <w:rsid w:val="41382F02"/>
    <w:rsid w:val="41387CCC"/>
    <w:rsid w:val="413954BD"/>
    <w:rsid w:val="413D27B4"/>
    <w:rsid w:val="4142B56F"/>
    <w:rsid w:val="4144867D"/>
    <w:rsid w:val="41468D17"/>
    <w:rsid w:val="4146BC0E"/>
    <w:rsid w:val="41494166"/>
    <w:rsid w:val="414A6FFB"/>
    <w:rsid w:val="415046DE"/>
    <w:rsid w:val="415098F9"/>
    <w:rsid w:val="4150C58A"/>
    <w:rsid w:val="4151DD86"/>
    <w:rsid w:val="41559E66"/>
    <w:rsid w:val="4155A0D2"/>
    <w:rsid w:val="4155ABDA"/>
    <w:rsid w:val="41585A27"/>
    <w:rsid w:val="4158EF7E"/>
    <w:rsid w:val="415A6563"/>
    <w:rsid w:val="415BAC2C"/>
    <w:rsid w:val="415E2B7A"/>
    <w:rsid w:val="416099DC"/>
    <w:rsid w:val="41647724"/>
    <w:rsid w:val="4164B6BE"/>
    <w:rsid w:val="4164C1D7"/>
    <w:rsid w:val="416778DF"/>
    <w:rsid w:val="41741336"/>
    <w:rsid w:val="417B4523"/>
    <w:rsid w:val="4181B5E9"/>
    <w:rsid w:val="4181C3BC"/>
    <w:rsid w:val="4181ED0C"/>
    <w:rsid w:val="4182C985"/>
    <w:rsid w:val="4183567E"/>
    <w:rsid w:val="4184C260"/>
    <w:rsid w:val="418812D5"/>
    <w:rsid w:val="418946B6"/>
    <w:rsid w:val="418AEAE0"/>
    <w:rsid w:val="418FD2C4"/>
    <w:rsid w:val="4192EF18"/>
    <w:rsid w:val="4196E5E7"/>
    <w:rsid w:val="419D263B"/>
    <w:rsid w:val="419FD02E"/>
    <w:rsid w:val="41A160C0"/>
    <w:rsid w:val="41A3B544"/>
    <w:rsid w:val="41A681B9"/>
    <w:rsid w:val="41A693B4"/>
    <w:rsid w:val="41A71B3A"/>
    <w:rsid w:val="41A89005"/>
    <w:rsid w:val="41AB3E18"/>
    <w:rsid w:val="41AB4561"/>
    <w:rsid w:val="41B17FE7"/>
    <w:rsid w:val="41B1B6DE"/>
    <w:rsid w:val="41B30120"/>
    <w:rsid w:val="41B43B64"/>
    <w:rsid w:val="41B5CEF8"/>
    <w:rsid w:val="41BB1DAB"/>
    <w:rsid w:val="41BB8E07"/>
    <w:rsid w:val="41BF5BC9"/>
    <w:rsid w:val="41C1BC8F"/>
    <w:rsid w:val="41C1DC87"/>
    <w:rsid w:val="41C28732"/>
    <w:rsid w:val="41C3DFAB"/>
    <w:rsid w:val="41CA4947"/>
    <w:rsid w:val="41CD17C1"/>
    <w:rsid w:val="41CEADBB"/>
    <w:rsid w:val="41D2F99C"/>
    <w:rsid w:val="41D6D889"/>
    <w:rsid w:val="41DA0A0C"/>
    <w:rsid w:val="41DA43C0"/>
    <w:rsid w:val="41DD0CE5"/>
    <w:rsid w:val="41E03D7B"/>
    <w:rsid w:val="41E590B5"/>
    <w:rsid w:val="41E5F7B0"/>
    <w:rsid w:val="41E7737D"/>
    <w:rsid w:val="41EF48C8"/>
    <w:rsid w:val="41F5889B"/>
    <w:rsid w:val="41F83535"/>
    <w:rsid w:val="420112C2"/>
    <w:rsid w:val="4205F635"/>
    <w:rsid w:val="4207ECC8"/>
    <w:rsid w:val="421763E6"/>
    <w:rsid w:val="4219B436"/>
    <w:rsid w:val="42206105"/>
    <w:rsid w:val="4220A262"/>
    <w:rsid w:val="4221C15A"/>
    <w:rsid w:val="42231E88"/>
    <w:rsid w:val="42274ECB"/>
    <w:rsid w:val="42366129"/>
    <w:rsid w:val="4237C418"/>
    <w:rsid w:val="4237E9AF"/>
    <w:rsid w:val="423E2E6D"/>
    <w:rsid w:val="423ED7A5"/>
    <w:rsid w:val="423F1D20"/>
    <w:rsid w:val="424080DB"/>
    <w:rsid w:val="4240F056"/>
    <w:rsid w:val="4241B5D7"/>
    <w:rsid w:val="4245D8CC"/>
    <w:rsid w:val="424BBFE1"/>
    <w:rsid w:val="42534FD3"/>
    <w:rsid w:val="42542135"/>
    <w:rsid w:val="4254DFDB"/>
    <w:rsid w:val="4256C3AA"/>
    <w:rsid w:val="4257C7E9"/>
    <w:rsid w:val="425E9BBC"/>
    <w:rsid w:val="4260C76B"/>
    <w:rsid w:val="4266C3DD"/>
    <w:rsid w:val="426730D1"/>
    <w:rsid w:val="426878B3"/>
    <w:rsid w:val="426BF826"/>
    <w:rsid w:val="426ECDAA"/>
    <w:rsid w:val="4270CF65"/>
    <w:rsid w:val="427314B9"/>
    <w:rsid w:val="42782B0A"/>
    <w:rsid w:val="42834DBD"/>
    <w:rsid w:val="42862B14"/>
    <w:rsid w:val="42871F36"/>
    <w:rsid w:val="42879F16"/>
    <w:rsid w:val="4289621F"/>
    <w:rsid w:val="428F5581"/>
    <w:rsid w:val="42940A8E"/>
    <w:rsid w:val="429A5FD6"/>
    <w:rsid w:val="429DD304"/>
    <w:rsid w:val="42A05481"/>
    <w:rsid w:val="42A13B7A"/>
    <w:rsid w:val="42A1B0BB"/>
    <w:rsid w:val="42A47FB8"/>
    <w:rsid w:val="42A54FD0"/>
    <w:rsid w:val="42A88438"/>
    <w:rsid w:val="42AEC845"/>
    <w:rsid w:val="42B9E21B"/>
    <w:rsid w:val="42BC3AAF"/>
    <w:rsid w:val="42BDF04E"/>
    <w:rsid w:val="42C00C4E"/>
    <w:rsid w:val="42C26F49"/>
    <w:rsid w:val="42C2E6D5"/>
    <w:rsid w:val="42C44658"/>
    <w:rsid w:val="42C85D05"/>
    <w:rsid w:val="42CB1FDE"/>
    <w:rsid w:val="42D02C6C"/>
    <w:rsid w:val="42D19189"/>
    <w:rsid w:val="42D2444B"/>
    <w:rsid w:val="42D3A63B"/>
    <w:rsid w:val="42D61349"/>
    <w:rsid w:val="42D84F08"/>
    <w:rsid w:val="42D944EB"/>
    <w:rsid w:val="42D96D71"/>
    <w:rsid w:val="42DB43EC"/>
    <w:rsid w:val="42DE45C5"/>
    <w:rsid w:val="42DE8ED4"/>
    <w:rsid w:val="42E076FA"/>
    <w:rsid w:val="42E67C07"/>
    <w:rsid w:val="42E813DD"/>
    <w:rsid w:val="42E899DC"/>
    <w:rsid w:val="42E8D178"/>
    <w:rsid w:val="42E9D17C"/>
    <w:rsid w:val="42E9EDE7"/>
    <w:rsid w:val="42EB2A05"/>
    <w:rsid w:val="42ED2BE7"/>
    <w:rsid w:val="42F30890"/>
    <w:rsid w:val="42F6891A"/>
    <w:rsid w:val="42F9FCEA"/>
    <w:rsid w:val="42FA6FF3"/>
    <w:rsid w:val="42FEF3BE"/>
    <w:rsid w:val="43053FED"/>
    <w:rsid w:val="43072E65"/>
    <w:rsid w:val="430BA40D"/>
    <w:rsid w:val="430BD0E8"/>
    <w:rsid w:val="430EE90E"/>
    <w:rsid w:val="4311F132"/>
    <w:rsid w:val="43177D0D"/>
    <w:rsid w:val="432172B6"/>
    <w:rsid w:val="43238704"/>
    <w:rsid w:val="432476BC"/>
    <w:rsid w:val="4324F534"/>
    <w:rsid w:val="43303530"/>
    <w:rsid w:val="4331CE8D"/>
    <w:rsid w:val="4332F907"/>
    <w:rsid w:val="433586E7"/>
    <w:rsid w:val="433850DD"/>
    <w:rsid w:val="43402BB0"/>
    <w:rsid w:val="4342AC1A"/>
    <w:rsid w:val="43456CE4"/>
    <w:rsid w:val="43471235"/>
    <w:rsid w:val="434D5FBD"/>
    <w:rsid w:val="434DB755"/>
    <w:rsid w:val="43506F91"/>
    <w:rsid w:val="43563174"/>
    <w:rsid w:val="4356C8F3"/>
    <w:rsid w:val="435EFCD9"/>
    <w:rsid w:val="43611BB2"/>
    <w:rsid w:val="4362CB54"/>
    <w:rsid w:val="436336F1"/>
    <w:rsid w:val="436A7264"/>
    <w:rsid w:val="436E6EAB"/>
    <w:rsid w:val="437391F7"/>
    <w:rsid w:val="4376DC61"/>
    <w:rsid w:val="4379823D"/>
    <w:rsid w:val="437A1DC5"/>
    <w:rsid w:val="437B03DD"/>
    <w:rsid w:val="43810C18"/>
    <w:rsid w:val="4384C10E"/>
    <w:rsid w:val="438668AE"/>
    <w:rsid w:val="43963E93"/>
    <w:rsid w:val="43982F48"/>
    <w:rsid w:val="439B2E85"/>
    <w:rsid w:val="439D0BF1"/>
    <w:rsid w:val="43A08B00"/>
    <w:rsid w:val="43AB49AE"/>
    <w:rsid w:val="43AC6EB4"/>
    <w:rsid w:val="43AD64A0"/>
    <w:rsid w:val="43B29B28"/>
    <w:rsid w:val="43B46878"/>
    <w:rsid w:val="43B52EB1"/>
    <w:rsid w:val="43B63427"/>
    <w:rsid w:val="43B6C159"/>
    <w:rsid w:val="43B71DC9"/>
    <w:rsid w:val="43B78FA6"/>
    <w:rsid w:val="43B9A4EE"/>
    <w:rsid w:val="43C1DCA7"/>
    <w:rsid w:val="43C869C3"/>
    <w:rsid w:val="43C9EE7C"/>
    <w:rsid w:val="43CD90D5"/>
    <w:rsid w:val="43D6800E"/>
    <w:rsid w:val="43D72A04"/>
    <w:rsid w:val="43DC3F03"/>
    <w:rsid w:val="43DEC942"/>
    <w:rsid w:val="43DF5626"/>
    <w:rsid w:val="43E127C9"/>
    <w:rsid w:val="43E1E9E3"/>
    <w:rsid w:val="43E2095C"/>
    <w:rsid w:val="43E2EDA8"/>
    <w:rsid w:val="43E31E87"/>
    <w:rsid w:val="43E37463"/>
    <w:rsid w:val="43EB6F4F"/>
    <w:rsid w:val="43ECED86"/>
    <w:rsid w:val="43EEAD2B"/>
    <w:rsid w:val="43F127C7"/>
    <w:rsid w:val="43F39C99"/>
    <w:rsid w:val="43F97206"/>
    <w:rsid w:val="43FB25BA"/>
    <w:rsid w:val="43FC3145"/>
    <w:rsid w:val="43FC3F8F"/>
    <w:rsid w:val="43FEB0B0"/>
    <w:rsid w:val="44017BE4"/>
    <w:rsid w:val="4401B170"/>
    <w:rsid w:val="4409B31B"/>
    <w:rsid w:val="440B8557"/>
    <w:rsid w:val="440FD4A6"/>
    <w:rsid w:val="4411B2E3"/>
    <w:rsid w:val="44168FED"/>
    <w:rsid w:val="441976DE"/>
    <w:rsid w:val="441C02F1"/>
    <w:rsid w:val="44236910"/>
    <w:rsid w:val="44250A57"/>
    <w:rsid w:val="442D7E78"/>
    <w:rsid w:val="442F8E71"/>
    <w:rsid w:val="442FFA96"/>
    <w:rsid w:val="44306F65"/>
    <w:rsid w:val="44330234"/>
    <w:rsid w:val="4435277E"/>
    <w:rsid w:val="44386396"/>
    <w:rsid w:val="44431FA6"/>
    <w:rsid w:val="44480163"/>
    <w:rsid w:val="444940B6"/>
    <w:rsid w:val="444BF194"/>
    <w:rsid w:val="444C6CFF"/>
    <w:rsid w:val="445014A5"/>
    <w:rsid w:val="445032C1"/>
    <w:rsid w:val="44545E8D"/>
    <w:rsid w:val="44579171"/>
    <w:rsid w:val="445E4A82"/>
    <w:rsid w:val="44600B73"/>
    <w:rsid w:val="4461D27B"/>
    <w:rsid w:val="446312E8"/>
    <w:rsid w:val="4466155A"/>
    <w:rsid w:val="4466B1EA"/>
    <w:rsid w:val="446BF418"/>
    <w:rsid w:val="447057F0"/>
    <w:rsid w:val="447541B3"/>
    <w:rsid w:val="447B1750"/>
    <w:rsid w:val="447E996B"/>
    <w:rsid w:val="447ECC1E"/>
    <w:rsid w:val="44815177"/>
    <w:rsid w:val="4482A510"/>
    <w:rsid w:val="44838F31"/>
    <w:rsid w:val="448705D1"/>
    <w:rsid w:val="44875DBC"/>
    <w:rsid w:val="44884162"/>
    <w:rsid w:val="448B4C4E"/>
    <w:rsid w:val="448C709F"/>
    <w:rsid w:val="4491D5C3"/>
    <w:rsid w:val="4495CC3C"/>
    <w:rsid w:val="449F3689"/>
    <w:rsid w:val="44A6A763"/>
    <w:rsid w:val="44B92207"/>
    <w:rsid w:val="44BD71A8"/>
    <w:rsid w:val="44BF320E"/>
    <w:rsid w:val="44C0B964"/>
    <w:rsid w:val="44C24D58"/>
    <w:rsid w:val="44C570E3"/>
    <w:rsid w:val="44C72FD2"/>
    <w:rsid w:val="44D0647C"/>
    <w:rsid w:val="44D0AD52"/>
    <w:rsid w:val="44D4175C"/>
    <w:rsid w:val="44D58062"/>
    <w:rsid w:val="44D945EA"/>
    <w:rsid w:val="44DD4B00"/>
    <w:rsid w:val="44E12160"/>
    <w:rsid w:val="44E4D3DF"/>
    <w:rsid w:val="44E6FB59"/>
    <w:rsid w:val="44E75B55"/>
    <w:rsid w:val="44E95937"/>
    <w:rsid w:val="44EEC3F5"/>
    <w:rsid w:val="44F1E152"/>
    <w:rsid w:val="44FC2EF8"/>
    <w:rsid w:val="44FC59E8"/>
    <w:rsid w:val="44FD08D8"/>
    <w:rsid w:val="44FD9CB9"/>
    <w:rsid w:val="44FDD5AF"/>
    <w:rsid w:val="44FFE8FE"/>
    <w:rsid w:val="45021182"/>
    <w:rsid w:val="4503FFEC"/>
    <w:rsid w:val="45074B0E"/>
    <w:rsid w:val="4508CE3E"/>
    <w:rsid w:val="450F05B2"/>
    <w:rsid w:val="451E014A"/>
    <w:rsid w:val="4520267A"/>
    <w:rsid w:val="452114F9"/>
    <w:rsid w:val="45229413"/>
    <w:rsid w:val="4523BF68"/>
    <w:rsid w:val="45257610"/>
    <w:rsid w:val="4529CEFF"/>
    <w:rsid w:val="453251E7"/>
    <w:rsid w:val="453306F8"/>
    <w:rsid w:val="4533BFF5"/>
    <w:rsid w:val="45342F78"/>
    <w:rsid w:val="4534BB7D"/>
    <w:rsid w:val="453542D9"/>
    <w:rsid w:val="45369611"/>
    <w:rsid w:val="453BE642"/>
    <w:rsid w:val="453D998F"/>
    <w:rsid w:val="453F3F07"/>
    <w:rsid w:val="4542F7F6"/>
    <w:rsid w:val="45534FAF"/>
    <w:rsid w:val="455988B2"/>
    <w:rsid w:val="455B1502"/>
    <w:rsid w:val="45638678"/>
    <w:rsid w:val="45638C5D"/>
    <w:rsid w:val="45668B52"/>
    <w:rsid w:val="45696136"/>
    <w:rsid w:val="4569F3CF"/>
    <w:rsid w:val="456A9EB1"/>
    <w:rsid w:val="456DFFF3"/>
    <w:rsid w:val="4572D11B"/>
    <w:rsid w:val="4575568F"/>
    <w:rsid w:val="4579B8BB"/>
    <w:rsid w:val="457B8433"/>
    <w:rsid w:val="457C726C"/>
    <w:rsid w:val="4580BDE8"/>
    <w:rsid w:val="4587660D"/>
    <w:rsid w:val="4594A036"/>
    <w:rsid w:val="4599AB52"/>
    <w:rsid w:val="459A37EC"/>
    <w:rsid w:val="459BB8AE"/>
    <w:rsid w:val="459D2DF6"/>
    <w:rsid w:val="459E4CCD"/>
    <w:rsid w:val="45A006B5"/>
    <w:rsid w:val="45AEE979"/>
    <w:rsid w:val="45B00B30"/>
    <w:rsid w:val="45B41948"/>
    <w:rsid w:val="45BA399C"/>
    <w:rsid w:val="45BAD60C"/>
    <w:rsid w:val="45BCFCCB"/>
    <w:rsid w:val="45BD4512"/>
    <w:rsid w:val="45BFEC6F"/>
    <w:rsid w:val="45C67A8B"/>
    <w:rsid w:val="45C86A3C"/>
    <w:rsid w:val="45D0F9B2"/>
    <w:rsid w:val="45D2CE7A"/>
    <w:rsid w:val="45D82843"/>
    <w:rsid w:val="45DEA479"/>
    <w:rsid w:val="45E6AA7C"/>
    <w:rsid w:val="45E9EA0B"/>
    <w:rsid w:val="45EF46E7"/>
    <w:rsid w:val="45F0BC57"/>
    <w:rsid w:val="45F317CE"/>
    <w:rsid w:val="45F774E8"/>
    <w:rsid w:val="45F78C50"/>
    <w:rsid w:val="45F87B48"/>
    <w:rsid w:val="45FBD8CF"/>
    <w:rsid w:val="45FC66B5"/>
    <w:rsid w:val="45FF04C7"/>
    <w:rsid w:val="45FF453F"/>
    <w:rsid w:val="4602A02B"/>
    <w:rsid w:val="4608C923"/>
    <w:rsid w:val="46140901"/>
    <w:rsid w:val="461B0C9E"/>
    <w:rsid w:val="461C5F7B"/>
    <w:rsid w:val="461DF66A"/>
    <w:rsid w:val="461F4C9D"/>
    <w:rsid w:val="46219815"/>
    <w:rsid w:val="462226DF"/>
    <w:rsid w:val="46224E90"/>
    <w:rsid w:val="46283BD8"/>
    <w:rsid w:val="46292D5F"/>
    <w:rsid w:val="4629438A"/>
    <w:rsid w:val="462A4B26"/>
    <w:rsid w:val="462AFB1F"/>
    <w:rsid w:val="4635A0CB"/>
    <w:rsid w:val="4636FED0"/>
    <w:rsid w:val="463AC0CC"/>
    <w:rsid w:val="463B0B2B"/>
    <w:rsid w:val="463B85F6"/>
    <w:rsid w:val="463F5114"/>
    <w:rsid w:val="4643CD3C"/>
    <w:rsid w:val="4646FD0E"/>
    <w:rsid w:val="464DF794"/>
    <w:rsid w:val="46507CD8"/>
    <w:rsid w:val="4657C19F"/>
    <w:rsid w:val="465A80FB"/>
    <w:rsid w:val="465D7573"/>
    <w:rsid w:val="465F995D"/>
    <w:rsid w:val="466001C6"/>
    <w:rsid w:val="466488A8"/>
    <w:rsid w:val="4666C1B6"/>
    <w:rsid w:val="46733FA8"/>
    <w:rsid w:val="467507AE"/>
    <w:rsid w:val="4676F8B5"/>
    <w:rsid w:val="4677F96D"/>
    <w:rsid w:val="467B6B35"/>
    <w:rsid w:val="46806457"/>
    <w:rsid w:val="46883D4E"/>
    <w:rsid w:val="468A97BE"/>
    <w:rsid w:val="468D8AA0"/>
    <w:rsid w:val="468E0703"/>
    <w:rsid w:val="468F21B7"/>
    <w:rsid w:val="4695AAE0"/>
    <w:rsid w:val="4696E2EA"/>
    <w:rsid w:val="469F0BBF"/>
    <w:rsid w:val="469F4825"/>
    <w:rsid w:val="46A39F6F"/>
    <w:rsid w:val="46A4329D"/>
    <w:rsid w:val="46A78525"/>
    <w:rsid w:val="46A79B7E"/>
    <w:rsid w:val="46AA1CD3"/>
    <w:rsid w:val="46AB1DB1"/>
    <w:rsid w:val="46ADF26A"/>
    <w:rsid w:val="46AE0EA3"/>
    <w:rsid w:val="46B4E4B0"/>
    <w:rsid w:val="46B65A89"/>
    <w:rsid w:val="46B75F37"/>
    <w:rsid w:val="46BBC4A2"/>
    <w:rsid w:val="46BCF706"/>
    <w:rsid w:val="46C14C18"/>
    <w:rsid w:val="46C1809D"/>
    <w:rsid w:val="46C61424"/>
    <w:rsid w:val="46CAF0EC"/>
    <w:rsid w:val="46CBE919"/>
    <w:rsid w:val="46CD2D9A"/>
    <w:rsid w:val="46CE2CBC"/>
    <w:rsid w:val="46CE379D"/>
    <w:rsid w:val="46D31148"/>
    <w:rsid w:val="46D3708B"/>
    <w:rsid w:val="46D6511D"/>
    <w:rsid w:val="46D77464"/>
    <w:rsid w:val="46DB6569"/>
    <w:rsid w:val="46E8E8C4"/>
    <w:rsid w:val="46F63D4F"/>
    <w:rsid w:val="46FA7A8E"/>
    <w:rsid w:val="46FC4011"/>
    <w:rsid w:val="46FE6E97"/>
    <w:rsid w:val="46FEFFE1"/>
    <w:rsid w:val="4700F3A8"/>
    <w:rsid w:val="47010819"/>
    <w:rsid w:val="470406DE"/>
    <w:rsid w:val="470C3EC1"/>
    <w:rsid w:val="470D947A"/>
    <w:rsid w:val="470E35FA"/>
    <w:rsid w:val="4713D61E"/>
    <w:rsid w:val="471DA341"/>
    <w:rsid w:val="4721A958"/>
    <w:rsid w:val="4727D74F"/>
    <w:rsid w:val="4729C77A"/>
    <w:rsid w:val="473C97F6"/>
    <w:rsid w:val="473E1F99"/>
    <w:rsid w:val="47496A20"/>
    <w:rsid w:val="474D128E"/>
    <w:rsid w:val="474FEC69"/>
    <w:rsid w:val="4750F29B"/>
    <w:rsid w:val="4751C519"/>
    <w:rsid w:val="475276C5"/>
    <w:rsid w:val="4757EBA1"/>
    <w:rsid w:val="4759D6B1"/>
    <w:rsid w:val="475A531A"/>
    <w:rsid w:val="4761F9B7"/>
    <w:rsid w:val="4763D19D"/>
    <w:rsid w:val="47651353"/>
    <w:rsid w:val="4769128D"/>
    <w:rsid w:val="476B962A"/>
    <w:rsid w:val="476E3984"/>
    <w:rsid w:val="47718294"/>
    <w:rsid w:val="477213CD"/>
    <w:rsid w:val="4774DF7A"/>
    <w:rsid w:val="477AB4A0"/>
    <w:rsid w:val="477BB1A4"/>
    <w:rsid w:val="47851A2C"/>
    <w:rsid w:val="47870842"/>
    <w:rsid w:val="47890E9E"/>
    <w:rsid w:val="47961E15"/>
    <w:rsid w:val="4796879C"/>
    <w:rsid w:val="4798F946"/>
    <w:rsid w:val="479A0586"/>
    <w:rsid w:val="479A9261"/>
    <w:rsid w:val="479D7299"/>
    <w:rsid w:val="479E09A8"/>
    <w:rsid w:val="47A62F8F"/>
    <w:rsid w:val="47A8ADF5"/>
    <w:rsid w:val="47ACFEA6"/>
    <w:rsid w:val="47ADD667"/>
    <w:rsid w:val="47AF0A4B"/>
    <w:rsid w:val="47B33EC2"/>
    <w:rsid w:val="47B372DC"/>
    <w:rsid w:val="47B5A6B1"/>
    <w:rsid w:val="47B7A686"/>
    <w:rsid w:val="47BAECB5"/>
    <w:rsid w:val="47BC0F95"/>
    <w:rsid w:val="47BF40CE"/>
    <w:rsid w:val="47C286F4"/>
    <w:rsid w:val="47C9D40B"/>
    <w:rsid w:val="47CB76B4"/>
    <w:rsid w:val="47CD4D79"/>
    <w:rsid w:val="47CF468A"/>
    <w:rsid w:val="47D1ACF1"/>
    <w:rsid w:val="47DDC6DC"/>
    <w:rsid w:val="47E04C21"/>
    <w:rsid w:val="47E1DF84"/>
    <w:rsid w:val="47E4385E"/>
    <w:rsid w:val="47E8877B"/>
    <w:rsid w:val="47EB689A"/>
    <w:rsid w:val="47EFDA7B"/>
    <w:rsid w:val="47F2DFBD"/>
    <w:rsid w:val="47F4D6FB"/>
    <w:rsid w:val="47FC8AE3"/>
    <w:rsid w:val="47FD8437"/>
    <w:rsid w:val="47FEE084"/>
    <w:rsid w:val="47FF7ABD"/>
    <w:rsid w:val="4801B1EE"/>
    <w:rsid w:val="4807B9C9"/>
    <w:rsid w:val="480BC63C"/>
    <w:rsid w:val="480D0A6B"/>
    <w:rsid w:val="4812AF1E"/>
    <w:rsid w:val="481609B6"/>
    <w:rsid w:val="481666A8"/>
    <w:rsid w:val="481957F5"/>
    <w:rsid w:val="482508AB"/>
    <w:rsid w:val="48257D7F"/>
    <w:rsid w:val="48267A73"/>
    <w:rsid w:val="4826E711"/>
    <w:rsid w:val="4828CC91"/>
    <w:rsid w:val="482C2786"/>
    <w:rsid w:val="482FF211"/>
    <w:rsid w:val="4839352E"/>
    <w:rsid w:val="4839AE6B"/>
    <w:rsid w:val="483A160C"/>
    <w:rsid w:val="483B57E9"/>
    <w:rsid w:val="4842F4FA"/>
    <w:rsid w:val="4846D28C"/>
    <w:rsid w:val="4847E23A"/>
    <w:rsid w:val="484A8D2E"/>
    <w:rsid w:val="484EEC2A"/>
    <w:rsid w:val="4852CC14"/>
    <w:rsid w:val="485388DB"/>
    <w:rsid w:val="485C3D95"/>
    <w:rsid w:val="48604112"/>
    <w:rsid w:val="486240D2"/>
    <w:rsid w:val="4867B97A"/>
    <w:rsid w:val="486C5320"/>
    <w:rsid w:val="4874449A"/>
    <w:rsid w:val="4879D426"/>
    <w:rsid w:val="487DFC84"/>
    <w:rsid w:val="487FB2CC"/>
    <w:rsid w:val="4882AD23"/>
    <w:rsid w:val="48871546"/>
    <w:rsid w:val="488EB0F6"/>
    <w:rsid w:val="48946987"/>
    <w:rsid w:val="4899E9E6"/>
    <w:rsid w:val="489D582E"/>
    <w:rsid w:val="48A3E772"/>
    <w:rsid w:val="48A985F1"/>
    <w:rsid w:val="48ABE892"/>
    <w:rsid w:val="48AD2ADE"/>
    <w:rsid w:val="48AD6FA7"/>
    <w:rsid w:val="48AF0782"/>
    <w:rsid w:val="48AF6D2C"/>
    <w:rsid w:val="48B2275D"/>
    <w:rsid w:val="48B2F130"/>
    <w:rsid w:val="48BC843D"/>
    <w:rsid w:val="48BF327F"/>
    <w:rsid w:val="48C47761"/>
    <w:rsid w:val="48C66A01"/>
    <w:rsid w:val="48CB4CE9"/>
    <w:rsid w:val="48CC349B"/>
    <w:rsid w:val="48D0EC83"/>
    <w:rsid w:val="48D16AFC"/>
    <w:rsid w:val="48D3D5D2"/>
    <w:rsid w:val="48D88772"/>
    <w:rsid w:val="48DC2157"/>
    <w:rsid w:val="48DEF3D0"/>
    <w:rsid w:val="48E2BDF4"/>
    <w:rsid w:val="48F5E828"/>
    <w:rsid w:val="48F9EA29"/>
    <w:rsid w:val="48FD6939"/>
    <w:rsid w:val="48FEB6A8"/>
    <w:rsid w:val="49031182"/>
    <w:rsid w:val="490381E4"/>
    <w:rsid w:val="49052D8F"/>
    <w:rsid w:val="490E49D8"/>
    <w:rsid w:val="49196316"/>
    <w:rsid w:val="491B1729"/>
    <w:rsid w:val="491CADB2"/>
    <w:rsid w:val="491E143D"/>
    <w:rsid w:val="491E5FAE"/>
    <w:rsid w:val="491F7FC4"/>
    <w:rsid w:val="49225B03"/>
    <w:rsid w:val="492B685E"/>
    <w:rsid w:val="492EEC9C"/>
    <w:rsid w:val="49336AF8"/>
    <w:rsid w:val="493696E0"/>
    <w:rsid w:val="494B4D06"/>
    <w:rsid w:val="494FBE54"/>
    <w:rsid w:val="49565D27"/>
    <w:rsid w:val="4959007D"/>
    <w:rsid w:val="495A8C89"/>
    <w:rsid w:val="495B5398"/>
    <w:rsid w:val="49610DBC"/>
    <w:rsid w:val="4964E827"/>
    <w:rsid w:val="49666DCE"/>
    <w:rsid w:val="496A07FF"/>
    <w:rsid w:val="49785F21"/>
    <w:rsid w:val="49799507"/>
    <w:rsid w:val="497CE002"/>
    <w:rsid w:val="497E9DD0"/>
    <w:rsid w:val="49882486"/>
    <w:rsid w:val="49892F7F"/>
    <w:rsid w:val="498AFD82"/>
    <w:rsid w:val="498FD927"/>
    <w:rsid w:val="49905BA7"/>
    <w:rsid w:val="4991AF5F"/>
    <w:rsid w:val="499B1FB4"/>
    <w:rsid w:val="499B7075"/>
    <w:rsid w:val="499BA3E8"/>
    <w:rsid w:val="499EBE90"/>
    <w:rsid w:val="49A0D2CD"/>
    <w:rsid w:val="49A1A9E7"/>
    <w:rsid w:val="49A640A7"/>
    <w:rsid w:val="49A8F55E"/>
    <w:rsid w:val="49A9C085"/>
    <w:rsid w:val="49AB802B"/>
    <w:rsid w:val="49B52EFE"/>
    <w:rsid w:val="49BA4D73"/>
    <w:rsid w:val="49BAC6F7"/>
    <w:rsid w:val="49BC9FEB"/>
    <w:rsid w:val="49BDEBF9"/>
    <w:rsid w:val="49BF8F15"/>
    <w:rsid w:val="49C5C622"/>
    <w:rsid w:val="49CAFCCE"/>
    <w:rsid w:val="49CFB5E2"/>
    <w:rsid w:val="49D5D000"/>
    <w:rsid w:val="49D7A8C9"/>
    <w:rsid w:val="49DFA292"/>
    <w:rsid w:val="49E0017A"/>
    <w:rsid w:val="49E1BAE3"/>
    <w:rsid w:val="49E7C52E"/>
    <w:rsid w:val="49E9E61F"/>
    <w:rsid w:val="49EA8062"/>
    <w:rsid w:val="49EB5A50"/>
    <w:rsid w:val="49EF2C8F"/>
    <w:rsid w:val="49F6189E"/>
    <w:rsid w:val="49F95FC6"/>
    <w:rsid w:val="49FC9AE6"/>
    <w:rsid w:val="4A029F88"/>
    <w:rsid w:val="4A04C8F8"/>
    <w:rsid w:val="4A08331B"/>
    <w:rsid w:val="4A0ACBDF"/>
    <w:rsid w:val="4A0D1184"/>
    <w:rsid w:val="4A130434"/>
    <w:rsid w:val="4A16BBF5"/>
    <w:rsid w:val="4A1811DD"/>
    <w:rsid w:val="4A1C9FB8"/>
    <w:rsid w:val="4A1D97D1"/>
    <w:rsid w:val="4A1EAA26"/>
    <w:rsid w:val="4A2193C9"/>
    <w:rsid w:val="4A24EEE0"/>
    <w:rsid w:val="4A26C2E5"/>
    <w:rsid w:val="4A2C4D72"/>
    <w:rsid w:val="4A2EA4C1"/>
    <w:rsid w:val="4A330D6E"/>
    <w:rsid w:val="4A360474"/>
    <w:rsid w:val="4A365E9D"/>
    <w:rsid w:val="4A3B5048"/>
    <w:rsid w:val="4A42F958"/>
    <w:rsid w:val="4A4FBB39"/>
    <w:rsid w:val="4A51CBB0"/>
    <w:rsid w:val="4A56474E"/>
    <w:rsid w:val="4A585CC6"/>
    <w:rsid w:val="4A5EB9EC"/>
    <w:rsid w:val="4A5FF1FD"/>
    <w:rsid w:val="4A61DBF0"/>
    <w:rsid w:val="4A64E2CB"/>
    <w:rsid w:val="4A6A40EF"/>
    <w:rsid w:val="4A6B2AF3"/>
    <w:rsid w:val="4A6B73E4"/>
    <w:rsid w:val="4A6BDBD2"/>
    <w:rsid w:val="4A757415"/>
    <w:rsid w:val="4A77EA6F"/>
    <w:rsid w:val="4A796C2A"/>
    <w:rsid w:val="4A7A263A"/>
    <w:rsid w:val="4A7F6F04"/>
    <w:rsid w:val="4A805FBD"/>
    <w:rsid w:val="4A806A5F"/>
    <w:rsid w:val="4A80A919"/>
    <w:rsid w:val="4A813B91"/>
    <w:rsid w:val="4A813F1F"/>
    <w:rsid w:val="4A819ADA"/>
    <w:rsid w:val="4A855256"/>
    <w:rsid w:val="4A868E07"/>
    <w:rsid w:val="4A920027"/>
    <w:rsid w:val="4A931CEB"/>
    <w:rsid w:val="4A9720AA"/>
    <w:rsid w:val="4A97BAA2"/>
    <w:rsid w:val="4A97C022"/>
    <w:rsid w:val="4A97E39E"/>
    <w:rsid w:val="4A9A8340"/>
    <w:rsid w:val="4A9B8691"/>
    <w:rsid w:val="4A9FE512"/>
    <w:rsid w:val="4AA0299F"/>
    <w:rsid w:val="4AA09F64"/>
    <w:rsid w:val="4AA11631"/>
    <w:rsid w:val="4AA25BE8"/>
    <w:rsid w:val="4AB31E0B"/>
    <w:rsid w:val="4AB4AD8B"/>
    <w:rsid w:val="4AB61394"/>
    <w:rsid w:val="4ABABC15"/>
    <w:rsid w:val="4ABC41A9"/>
    <w:rsid w:val="4ABEA727"/>
    <w:rsid w:val="4AC1093B"/>
    <w:rsid w:val="4AC4D71A"/>
    <w:rsid w:val="4AC50C4D"/>
    <w:rsid w:val="4AC8F748"/>
    <w:rsid w:val="4ACE3040"/>
    <w:rsid w:val="4ACEB0F5"/>
    <w:rsid w:val="4ACF3CC5"/>
    <w:rsid w:val="4ACF5934"/>
    <w:rsid w:val="4AD1024F"/>
    <w:rsid w:val="4AD27321"/>
    <w:rsid w:val="4AD2938F"/>
    <w:rsid w:val="4AD2AF7A"/>
    <w:rsid w:val="4AD810C1"/>
    <w:rsid w:val="4AD90792"/>
    <w:rsid w:val="4AD92556"/>
    <w:rsid w:val="4AD97285"/>
    <w:rsid w:val="4ADC20FC"/>
    <w:rsid w:val="4ADC8B6B"/>
    <w:rsid w:val="4AE19BDC"/>
    <w:rsid w:val="4AE2C1BA"/>
    <w:rsid w:val="4AE677CD"/>
    <w:rsid w:val="4AE87513"/>
    <w:rsid w:val="4AE8774A"/>
    <w:rsid w:val="4AEDC191"/>
    <w:rsid w:val="4AEEA972"/>
    <w:rsid w:val="4AEFBA5B"/>
    <w:rsid w:val="4AF57607"/>
    <w:rsid w:val="4AF905D8"/>
    <w:rsid w:val="4AFB1801"/>
    <w:rsid w:val="4AFBA50D"/>
    <w:rsid w:val="4AFE3AC8"/>
    <w:rsid w:val="4AFF1589"/>
    <w:rsid w:val="4B06CAE2"/>
    <w:rsid w:val="4B08F0B8"/>
    <w:rsid w:val="4B0B2520"/>
    <w:rsid w:val="4B1606A2"/>
    <w:rsid w:val="4B1715AE"/>
    <w:rsid w:val="4B1813FA"/>
    <w:rsid w:val="4B18829E"/>
    <w:rsid w:val="4B1AC389"/>
    <w:rsid w:val="4B20F17B"/>
    <w:rsid w:val="4B21A498"/>
    <w:rsid w:val="4B225173"/>
    <w:rsid w:val="4B2495D3"/>
    <w:rsid w:val="4B286007"/>
    <w:rsid w:val="4B28C1C6"/>
    <w:rsid w:val="4B2A6C03"/>
    <w:rsid w:val="4B2DDD06"/>
    <w:rsid w:val="4B31375C"/>
    <w:rsid w:val="4B3C3FCA"/>
    <w:rsid w:val="4B3C6F74"/>
    <w:rsid w:val="4B3EBCD6"/>
    <w:rsid w:val="4B40561F"/>
    <w:rsid w:val="4B407D06"/>
    <w:rsid w:val="4B41D023"/>
    <w:rsid w:val="4B45EB72"/>
    <w:rsid w:val="4B4AEB45"/>
    <w:rsid w:val="4B5264F5"/>
    <w:rsid w:val="4B53523A"/>
    <w:rsid w:val="4B53AE91"/>
    <w:rsid w:val="4B546FE6"/>
    <w:rsid w:val="4B5474BF"/>
    <w:rsid w:val="4B549F2D"/>
    <w:rsid w:val="4B63BE3B"/>
    <w:rsid w:val="4B664612"/>
    <w:rsid w:val="4B678275"/>
    <w:rsid w:val="4B6C2B89"/>
    <w:rsid w:val="4B701628"/>
    <w:rsid w:val="4B73BB42"/>
    <w:rsid w:val="4B7DFE7E"/>
    <w:rsid w:val="4B7E7913"/>
    <w:rsid w:val="4B7F98E4"/>
    <w:rsid w:val="4B83CB42"/>
    <w:rsid w:val="4B84E118"/>
    <w:rsid w:val="4B8CA472"/>
    <w:rsid w:val="4B92FE33"/>
    <w:rsid w:val="4B94CA1B"/>
    <w:rsid w:val="4B96E02C"/>
    <w:rsid w:val="4B97875A"/>
    <w:rsid w:val="4B97E811"/>
    <w:rsid w:val="4B9C87D0"/>
    <w:rsid w:val="4BA0570F"/>
    <w:rsid w:val="4BA247DB"/>
    <w:rsid w:val="4BA33AC8"/>
    <w:rsid w:val="4BAB1CFC"/>
    <w:rsid w:val="4BAB8F9E"/>
    <w:rsid w:val="4BAFB943"/>
    <w:rsid w:val="4BB257E2"/>
    <w:rsid w:val="4BB2D6D6"/>
    <w:rsid w:val="4BB50F45"/>
    <w:rsid w:val="4BB657AA"/>
    <w:rsid w:val="4BBF7A5D"/>
    <w:rsid w:val="4BC195D5"/>
    <w:rsid w:val="4BCA4079"/>
    <w:rsid w:val="4BCBE170"/>
    <w:rsid w:val="4BCDDFEA"/>
    <w:rsid w:val="4BCFB134"/>
    <w:rsid w:val="4BD311B4"/>
    <w:rsid w:val="4BE04D57"/>
    <w:rsid w:val="4BE0CD21"/>
    <w:rsid w:val="4BED35DC"/>
    <w:rsid w:val="4BF2718E"/>
    <w:rsid w:val="4BF4F9B3"/>
    <w:rsid w:val="4BFA2402"/>
    <w:rsid w:val="4BFBBBC1"/>
    <w:rsid w:val="4C03E808"/>
    <w:rsid w:val="4C05B3F5"/>
    <w:rsid w:val="4C097970"/>
    <w:rsid w:val="4C09E67D"/>
    <w:rsid w:val="4C0AE4CE"/>
    <w:rsid w:val="4C0C6914"/>
    <w:rsid w:val="4C0F2C32"/>
    <w:rsid w:val="4C0F5206"/>
    <w:rsid w:val="4C122ECB"/>
    <w:rsid w:val="4C149FE4"/>
    <w:rsid w:val="4C14D80A"/>
    <w:rsid w:val="4C193EE5"/>
    <w:rsid w:val="4C259FFB"/>
    <w:rsid w:val="4C25F112"/>
    <w:rsid w:val="4C30845B"/>
    <w:rsid w:val="4C345F27"/>
    <w:rsid w:val="4C34C96E"/>
    <w:rsid w:val="4C35C770"/>
    <w:rsid w:val="4C36A898"/>
    <w:rsid w:val="4C39B72E"/>
    <w:rsid w:val="4C3BDF73"/>
    <w:rsid w:val="4C437948"/>
    <w:rsid w:val="4C469B1C"/>
    <w:rsid w:val="4C46FCE4"/>
    <w:rsid w:val="4C49186D"/>
    <w:rsid w:val="4C51A24F"/>
    <w:rsid w:val="4C581921"/>
    <w:rsid w:val="4C5AE07B"/>
    <w:rsid w:val="4C6014AE"/>
    <w:rsid w:val="4C648430"/>
    <w:rsid w:val="4C6549B7"/>
    <w:rsid w:val="4C6644F7"/>
    <w:rsid w:val="4C6C3810"/>
    <w:rsid w:val="4C6E7CE0"/>
    <w:rsid w:val="4C6E8420"/>
    <w:rsid w:val="4C70EAF3"/>
    <w:rsid w:val="4C717182"/>
    <w:rsid w:val="4C72AC5C"/>
    <w:rsid w:val="4C765DC6"/>
    <w:rsid w:val="4C768C0E"/>
    <w:rsid w:val="4C77582C"/>
    <w:rsid w:val="4C79D888"/>
    <w:rsid w:val="4C7ADF6C"/>
    <w:rsid w:val="4C7C7FA2"/>
    <w:rsid w:val="4C7D3033"/>
    <w:rsid w:val="4C7D30C0"/>
    <w:rsid w:val="4C8145FA"/>
    <w:rsid w:val="4C8754B9"/>
    <w:rsid w:val="4C8B25E3"/>
    <w:rsid w:val="4C8BD007"/>
    <w:rsid w:val="4C8CEF9F"/>
    <w:rsid w:val="4C8DCBC2"/>
    <w:rsid w:val="4C8DE059"/>
    <w:rsid w:val="4C909679"/>
    <w:rsid w:val="4C9903E7"/>
    <w:rsid w:val="4C9E59D7"/>
    <w:rsid w:val="4CA5B9BF"/>
    <w:rsid w:val="4CA8139F"/>
    <w:rsid w:val="4CAAE359"/>
    <w:rsid w:val="4CAC2874"/>
    <w:rsid w:val="4CB1C6A6"/>
    <w:rsid w:val="4CB2C90C"/>
    <w:rsid w:val="4CB32C37"/>
    <w:rsid w:val="4CB56A96"/>
    <w:rsid w:val="4CB7C5CD"/>
    <w:rsid w:val="4CBB0369"/>
    <w:rsid w:val="4CC947C8"/>
    <w:rsid w:val="4CCB78E9"/>
    <w:rsid w:val="4CCEF40D"/>
    <w:rsid w:val="4CCFB201"/>
    <w:rsid w:val="4CD251A7"/>
    <w:rsid w:val="4CD9126D"/>
    <w:rsid w:val="4CDB763E"/>
    <w:rsid w:val="4CDB7D2E"/>
    <w:rsid w:val="4CDBBC27"/>
    <w:rsid w:val="4CDE8CF9"/>
    <w:rsid w:val="4CE263F6"/>
    <w:rsid w:val="4CE270E5"/>
    <w:rsid w:val="4CE41367"/>
    <w:rsid w:val="4CE4EAFF"/>
    <w:rsid w:val="4CEF6F50"/>
    <w:rsid w:val="4CF3EDB0"/>
    <w:rsid w:val="4CF4BDB8"/>
    <w:rsid w:val="4CF67B3F"/>
    <w:rsid w:val="4CFD250D"/>
    <w:rsid w:val="4CFDBC04"/>
    <w:rsid w:val="4CFE43FF"/>
    <w:rsid w:val="4CFF7D14"/>
    <w:rsid w:val="4CFFA7F3"/>
    <w:rsid w:val="4D00B950"/>
    <w:rsid w:val="4D014E68"/>
    <w:rsid w:val="4D02A3E6"/>
    <w:rsid w:val="4D075292"/>
    <w:rsid w:val="4D080075"/>
    <w:rsid w:val="4D095640"/>
    <w:rsid w:val="4D0B63BB"/>
    <w:rsid w:val="4D0BDA45"/>
    <w:rsid w:val="4D0E3C59"/>
    <w:rsid w:val="4D12A358"/>
    <w:rsid w:val="4D135D57"/>
    <w:rsid w:val="4D1653FA"/>
    <w:rsid w:val="4D180C5B"/>
    <w:rsid w:val="4D1AD4BE"/>
    <w:rsid w:val="4D1D1764"/>
    <w:rsid w:val="4D2228B6"/>
    <w:rsid w:val="4D262FDA"/>
    <w:rsid w:val="4D2C0C6B"/>
    <w:rsid w:val="4D31333D"/>
    <w:rsid w:val="4D444B41"/>
    <w:rsid w:val="4D472683"/>
    <w:rsid w:val="4D4B8F8E"/>
    <w:rsid w:val="4D4E8440"/>
    <w:rsid w:val="4D4F1668"/>
    <w:rsid w:val="4D4F90D0"/>
    <w:rsid w:val="4D5D9907"/>
    <w:rsid w:val="4D5EA729"/>
    <w:rsid w:val="4D5ED8F7"/>
    <w:rsid w:val="4D64FAD7"/>
    <w:rsid w:val="4D6AF66B"/>
    <w:rsid w:val="4D6B8195"/>
    <w:rsid w:val="4D75552A"/>
    <w:rsid w:val="4D772E42"/>
    <w:rsid w:val="4D7CB230"/>
    <w:rsid w:val="4D85EE29"/>
    <w:rsid w:val="4D885E81"/>
    <w:rsid w:val="4D898D49"/>
    <w:rsid w:val="4D8C6451"/>
    <w:rsid w:val="4D8DC35E"/>
    <w:rsid w:val="4D94FB23"/>
    <w:rsid w:val="4D94FB47"/>
    <w:rsid w:val="4D9E4726"/>
    <w:rsid w:val="4D9F21C0"/>
    <w:rsid w:val="4DB508FB"/>
    <w:rsid w:val="4DB9B798"/>
    <w:rsid w:val="4DC0839D"/>
    <w:rsid w:val="4DC1D33C"/>
    <w:rsid w:val="4DC5C8C6"/>
    <w:rsid w:val="4DC871F1"/>
    <w:rsid w:val="4DC93888"/>
    <w:rsid w:val="4DCCD8FD"/>
    <w:rsid w:val="4DD6965D"/>
    <w:rsid w:val="4DD733D8"/>
    <w:rsid w:val="4DD95718"/>
    <w:rsid w:val="4DE04412"/>
    <w:rsid w:val="4DE3FC1E"/>
    <w:rsid w:val="4DF16D72"/>
    <w:rsid w:val="4DF5483F"/>
    <w:rsid w:val="4DF62BE0"/>
    <w:rsid w:val="4DF6D0E3"/>
    <w:rsid w:val="4DF6DEF6"/>
    <w:rsid w:val="4DFBA29C"/>
    <w:rsid w:val="4DFDC82F"/>
    <w:rsid w:val="4DFE8C67"/>
    <w:rsid w:val="4E04B9F0"/>
    <w:rsid w:val="4E05F375"/>
    <w:rsid w:val="4E0D038C"/>
    <w:rsid w:val="4E0DC1E3"/>
    <w:rsid w:val="4E1214F2"/>
    <w:rsid w:val="4E144BA4"/>
    <w:rsid w:val="4E148199"/>
    <w:rsid w:val="4E16155E"/>
    <w:rsid w:val="4E16B1EA"/>
    <w:rsid w:val="4E244B47"/>
    <w:rsid w:val="4E26BD56"/>
    <w:rsid w:val="4E299048"/>
    <w:rsid w:val="4E2A5F7F"/>
    <w:rsid w:val="4E2DE650"/>
    <w:rsid w:val="4E2DF43A"/>
    <w:rsid w:val="4E2E3900"/>
    <w:rsid w:val="4E2EB912"/>
    <w:rsid w:val="4E2F0AD4"/>
    <w:rsid w:val="4E35C92A"/>
    <w:rsid w:val="4E3A354B"/>
    <w:rsid w:val="4E415193"/>
    <w:rsid w:val="4E432E76"/>
    <w:rsid w:val="4E433C1C"/>
    <w:rsid w:val="4E44A514"/>
    <w:rsid w:val="4E451CCC"/>
    <w:rsid w:val="4E469905"/>
    <w:rsid w:val="4E488588"/>
    <w:rsid w:val="4E583D83"/>
    <w:rsid w:val="4E5B3CEA"/>
    <w:rsid w:val="4E617808"/>
    <w:rsid w:val="4E65DB2E"/>
    <w:rsid w:val="4E68F835"/>
    <w:rsid w:val="4E708F26"/>
    <w:rsid w:val="4E71DF18"/>
    <w:rsid w:val="4E720875"/>
    <w:rsid w:val="4E7468AE"/>
    <w:rsid w:val="4E75F5EB"/>
    <w:rsid w:val="4E7C534A"/>
    <w:rsid w:val="4E7CBC2B"/>
    <w:rsid w:val="4E808262"/>
    <w:rsid w:val="4E83041F"/>
    <w:rsid w:val="4E845FF2"/>
    <w:rsid w:val="4E84A2EF"/>
    <w:rsid w:val="4E861CA6"/>
    <w:rsid w:val="4E8797A4"/>
    <w:rsid w:val="4E8A0A96"/>
    <w:rsid w:val="4E8D7D75"/>
    <w:rsid w:val="4E935F93"/>
    <w:rsid w:val="4E97A7BC"/>
    <w:rsid w:val="4E9E63BA"/>
    <w:rsid w:val="4EA11433"/>
    <w:rsid w:val="4EA12A9E"/>
    <w:rsid w:val="4EA154F0"/>
    <w:rsid w:val="4EA77D04"/>
    <w:rsid w:val="4EA7BFF8"/>
    <w:rsid w:val="4EA8CC31"/>
    <w:rsid w:val="4EAA6DAE"/>
    <w:rsid w:val="4EBB9293"/>
    <w:rsid w:val="4EBCEFB0"/>
    <w:rsid w:val="4EBD0334"/>
    <w:rsid w:val="4EBDD10D"/>
    <w:rsid w:val="4EBEDF1B"/>
    <w:rsid w:val="4EC21387"/>
    <w:rsid w:val="4EC4E9B1"/>
    <w:rsid w:val="4EC7D82C"/>
    <w:rsid w:val="4ECA1CF4"/>
    <w:rsid w:val="4ECB8D49"/>
    <w:rsid w:val="4ECF9C08"/>
    <w:rsid w:val="4EDB9F34"/>
    <w:rsid w:val="4EDD7B9C"/>
    <w:rsid w:val="4EDECD98"/>
    <w:rsid w:val="4EE060A3"/>
    <w:rsid w:val="4EE1B04B"/>
    <w:rsid w:val="4EE5AB48"/>
    <w:rsid w:val="4EE6F5BA"/>
    <w:rsid w:val="4EE8723C"/>
    <w:rsid w:val="4EEA69EA"/>
    <w:rsid w:val="4EF3037A"/>
    <w:rsid w:val="4EF3C1A5"/>
    <w:rsid w:val="4EF50EEF"/>
    <w:rsid w:val="4EF83228"/>
    <w:rsid w:val="4EF991EF"/>
    <w:rsid w:val="4EFD7806"/>
    <w:rsid w:val="4EFDAF4D"/>
    <w:rsid w:val="4F036581"/>
    <w:rsid w:val="4F03F261"/>
    <w:rsid w:val="4F104086"/>
    <w:rsid w:val="4F188BFA"/>
    <w:rsid w:val="4F195C2C"/>
    <w:rsid w:val="4F1B2800"/>
    <w:rsid w:val="4F1D1F53"/>
    <w:rsid w:val="4F1E7C8B"/>
    <w:rsid w:val="4F27B4D0"/>
    <w:rsid w:val="4F29F409"/>
    <w:rsid w:val="4F2C7F7D"/>
    <w:rsid w:val="4F344620"/>
    <w:rsid w:val="4F376FD2"/>
    <w:rsid w:val="4F3DD07F"/>
    <w:rsid w:val="4F404405"/>
    <w:rsid w:val="4F45F457"/>
    <w:rsid w:val="4F46E094"/>
    <w:rsid w:val="4F498F2B"/>
    <w:rsid w:val="4F4A8A61"/>
    <w:rsid w:val="4F4CBD53"/>
    <w:rsid w:val="4F4CE995"/>
    <w:rsid w:val="4F51F9D5"/>
    <w:rsid w:val="4F52D2DD"/>
    <w:rsid w:val="4F5585D8"/>
    <w:rsid w:val="4F575B25"/>
    <w:rsid w:val="4F5DCCA2"/>
    <w:rsid w:val="4F675DAB"/>
    <w:rsid w:val="4F6CC655"/>
    <w:rsid w:val="4F6F5A64"/>
    <w:rsid w:val="4F70D3ED"/>
    <w:rsid w:val="4F7509AF"/>
    <w:rsid w:val="4F76DBA6"/>
    <w:rsid w:val="4F77BCF7"/>
    <w:rsid w:val="4F787B4E"/>
    <w:rsid w:val="4F7B55DB"/>
    <w:rsid w:val="4F7DACCF"/>
    <w:rsid w:val="4F8150A7"/>
    <w:rsid w:val="4F8191C0"/>
    <w:rsid w:val="4F832B8D"/>
    <w:rsid w:val="4F8A443B"/>
    <w:rsid w:val="4F8CB5E6"/>
    <w:rsid w:val="4F8E573B"/>
    <w:rsid w:val="4F93389B"/>
    <w:rsid w:val="4F97375D"/>
    <w:rsid w:val="4F9B8629"/>
    <w:rsid w:val="4FA3A938"/>
    <w:rsid w:val="4FA3BFB0"/>
    <w:rsid w:val="4FA47372"/>
    <w:rsid w:val="4FAFEFAC"/>
    <w:rsid w:val="4FB26BE1"/>
    <w:rsid w:val="4FB47A80"/>
    <w:rsid w:val="4FBBAA90"/>
    <w:rsid w:val="4FBCC8E3"/>
    <w:rsid w:val="4FC49ED1"/>
    <w:rsid w:val="4FC545EF"/>
    <w:rsid w:val="4FC65582"/>
    <w:rsid w:val="4FD5575E"/>
    <w:rsid w:val="4FD75254"/>
    <w:rsid w:val="4FDB2BE1"/>
    <w:rsid w:val="4FDC8A74"/>
    <w:rsid w:val="4FE241DE"/>
    <w:rsid w:val="4FE6EEDD"/>
    <w:rsid w:val="4FE9C428"/>
    <w:rsid w:val="4FF1E4BD"/>
    <w:rsid w:val="4FF29077"/>
    <w:rsid w:val="4FF959FE"/>
    <w:rsid w:val="4FF98C01"/>
    <w:rsid w:val="500177F2"/>
    <w:rsid w:val="5004306D"/>
    <w:rsid w:val="5005298B"/>
    <w:rsid w:val="50075101"/>
    <w:rsid w:val="500A8F8D"/>
    <w:rsid w:val="5013FF49"/>
    <w:rsid w:val="501AE0B8"/>
    <w:rsid w:val="5021C536"/>
    <w:rsid w:val="50241790"/>
    <w:rsid w:val="50275F32"/>
    <w:rsid w:val="5029F85E"/>
    <w:rsid w:val="502C28AC"/>
    <w:rsid w:val="502D1187"/>
    <w:rsid w:val="5030CD86"/>
    <w:rsid w:val="50314BCC"/>
    <w:rsid w:val="5032213C"/>
    <w:rsid w:val="50343915"/>
    <w:rsid w:val="50375ABC"/>
    <w:rsid w:val="503787D9"/>
    <w:rsid w:val="503840E3"/>
    <w:rsid w:val="503BCB0A"/>
    <w:rsid w:val="503E2935"/>
    <w:rsid w:val="503ED6D9"/>
    <w:rsid w:val="50433F58"/>
    <w:rsid w:val="504448BC"/>
    <w:rsid w:val="5050E7FC"/>
    <w:rsid w:val="50534945"/>
    <w:rsid w:val="50541F1C"/>
    <w:rsid w:val="505575CB"/>
    <w:rsid w:val="50558C22"/>
    <w:rsid w:val="50594899"/>
    <w:rsid w:val="50597D2A"/>
    <w:rsid w:val="505DF1DC"/>
    <w:rsid w:val="505FE1CA"/>
    <w:rsid w:val="50605B59"/>
    <w:rsid w:val="5061EB85"/>
    <w:rsid w:val="506285C3"/>
    <w:rsid w:val="50637A95"/>
    <w:rsid w:val="5065276E"/>
    <w:rsid w:val="50655FD2"/>
    <w:rsid w:val="5077B295"/>
    <w:rsid w:val="5079BF42"/>
    <w:rsid w:val="507EA9D9"/>
    <w:rsid w:val="50806C30"/>
    <w:rsid w:val="508553E0"/>
    <w:rsid w:val="50880D39"/>
    <w:rsid w:val="508A1F7F"/>
    <w:rsid w:val="508CD2C8"/>
    <w:rsid w:val="508FEE07"/>
    <w:rsid w:val="50987F19"/>
    <w:rsid w:val="5098EA35"/>
    <w:rsid w:val="509E52E9"/>
    <w:rsid w:val="50A32257"/>
    <w:rsid w:val="50A4DB7F"/>
    <w:rsid w:val="50A5031E"/>
    <w:rsid w:val="50A6FB5C"/>
    <w:rsid w:val="50AE4F37"/>
    <w:rsid w:val="50B2796B"/>
    <w:rsid w:val="50B67741"/>
    <w:rsid w:val="50B951E4"/>
    <w:rsid w:val="50B97A85"/>
    <w:rsid w:val="50C11A50"/>
    <w:rsid w:val="50C8C4BE"/>
    <w:rsid w:val="50CD5A9B"/>
    <w:rsid w:val="50D1173F"/>
    <w:rsid w:val="50D34E44"/>
    <w:rsid w:val="50E09080"/>
    <w:rsid w:val="50E1B22C"/>
    <w:rsid w:val="50E8BBAB"/>
    <w:rsid w:val="50E912CD"/>
    <w:rsid w:val="50EE451B"/>
    <w:rsid w:val="50F0FE57"/>
    <w:rsid w:val="50F78724"/>
    <w:rsid w:val="50F8716B"/>
    <w:rsid w:val="50F9A617"/>
    <w:rsid w:val="510012B3"/>
    <w:rsid w:val="51054378"/>
    <w:rsid w:val="510A0303"/>
    <w:rsid w:val="510A2E65"/>
    <w:rsid w:val="510B5EC3"/>
    <w:rsid w:val="510E6B13"/>
    <w:rsid w:val="51142947"/>
    <w:rsid w:val="5114A17B"/>
    <w:rsid w:val="5118D848"/>
    <w:rsid w:val="511B35AF"/>
    <w:rsid w:val="51226904"/>
    <w:rsid w:val="51260146"/>
    <w:rsid w:val="5126A25F"/>
    <w:rsid w:val="5127D6FC"/>
    <w:rsid w:val="512A72F1"/>
    <w:rsid w:val="512D71C3"/>
    <w:rsid w:val="512E727F"/>
    <w:rsid w:val="5130EC20"/>
    <w:rsid w:val="5137B5F1"/>
    <w:rsid w:val="5137EEC5"/>
    <w:rsid w:val="5139AF2F"/>
    <w:rsid w:val="513DFE87"/>
    <w:rsid w:val="51402CB8"/>
    <w:rsid w:val="514422B5"/>
    <w:rsid w:val="5144EF93"/>
    <w:rsid w:val="51462CC9"/>
    <w:rsid w:val="51465916"/>
    <w:rsid w:val="514BC2AE"/>
    <w:rsid w:val="514F4701"/>
    <w:rsid w:val="51569401"/>
    <w:rsid w:val="51569C4C"/>
    <w:rsid w:val="51578812"/>
    <w:rsid w:val="515BA8B2"/>
    <w:rsid w:val="515E3878"/>
    <w:rsid w:val="51627717"/>
    <w:rsid w:val="5164CC90"/>
    <w:rsid w:val="5164E909"/>
    <w:rsid w:val="51665B0F"/>
    <w:rsid w:val="5167075A"/>
    <w:rsid w:val="516740C3"/>
    <w:rsid w:val="516B0877"/>
    <w:rsid w:val="516B194F"/>
    <w:rsid w:val="516DAEB8"/>
    <w:rsid w:val="5172D5BC"/>
    <w:rsid w:val="5173CDD9"/>
    <w:rsid w:val="517612AF"/>
    <w:rsid w:val="51764CD0"/>
    <w:rsid w:val="51781D49"/>
    <w:rsid w:val="51794C31"/>
    <w:rsid w:val="517A31FD"/>
    <w:rsid w:val="517B4494"/>
    <w:rsid w:val="517E7308"/>
    <w:rsid w:val="51852710"/>
    <w:rsid w:val="51852CAF"/>
    <w:rsid w:val="5185D878"/>
    <w:rsid w:val="518755CF"/>
    <w:rsid w:val="518957F0"/>
    <w:rsid w:val="5190691F"/>
    <w:rsid w:val="51928BFA"/>
    <w:rsid w:val="5196A3F2"/>
    <w:rsid w:val="519AFCCE"/>
    <w:rsid w:val="51A1DFE8"/>
    <w:rsid w:val="51A262AC"/>
    <w:rsid w:val="51A438E9"/>
    <w:rsid w:val="51A5F744"/>
    <w:rsid w:val="51ABF4DC"/>
    <w:rsid w:val="51AE2A7F"/>
    <w:rsid w:val="51B61CB0"/>
    <w:rsid w:val="51C45C31"/>
    <w:rsid w:val="51C4987B"/>
    <w:rsid w:val="51C56AF2"/>
    <w:rsid w:val="51C966CE"/>
    <w:rsid w:val="51CBC275"/>
    <w:rsid w:val="51CCB243"/>
    <w:rsid w:val="51CF9919"/>
    <w:rsid w:val="51D2C0A8"/>
    <w:rsid w:val="51D3B161"/>
    <w:rsid w:val="51D7166A"/>
    <w:rsid w:val="51DCFC56"/>
    <w:rsid w:val="51E1DF09"/>
    <w:rsid w:val="51E1DF9F"/>
    <w:rsid w:val="51E2A9F6"/>
    <w:rsid w:val="51E48212"/>
    <w:rsid w:val="51EB6609"/>
    <w:rsid w:val="51EC1888"/>
    <w:rsid w:val="51EDA6FD"/>
    <w:rsid w:val="51EEE6D4"/>
    <w:rsid w:val="51F2B233"/>
    <w:rsid w:val="51F4193D"/>
    <w:rsid w:val="51F6DF69"/>
    <w:rsid w:val="51F753A1"/>
    <w:rsid w:val="51FD03E1"/>
    <w:rsid w:val="51FE6340"/>
    <w:rsid w:val="51FE7F89"/>
    <w:rsid w:val="51FF2AB1"/>
    <w:rsid w:val="520353BC"/>
    <w:rsid w:val="52037934"/>
    <w:rsid w:val="5213AC7A"/>
    <w:rsid w:val="52168946"/>
    <w:rsid w:val="521A0DEC"/>
    <w:rsid w:val="521B988F"/>
    <w:rsid w:val="522686B9"/>
    <w:rsid w:val="52294680"/>
    <w:rsid w:val="522BE7D7"/>
    <w:rsid w:val="5230F737"/>
    <w:rsid w:val="5234D91F"/>
    <w:rsid w:val="523567A3"/>
    <w:rsid w:val="52396E07"/>
    <w:rsid w:val="523D3D15"/>
    <w:rsid w:val="5240CF9A"/>
    <w:rsid w:val="52427A96"/>
    <w:rsid w:val="524D5B02"/>
    <w:rsid w:val="52523C0F"/>
    <w:rsid w:val="5253284B"/>
    <w:rsid w:val="52577274"/>
    <w:rsid w:val="5259D3D8"/>
    <w:rsid w:val="525CABEC"/>
    <w:rsid w:val="525E08FE"/>
    <w:rsid w:val="525FCA45"/>
    <w:rsid w:val="52692A71"/>
    <w:rsid w:val="526B3A96"/>
    <w:rsid w:val="526CB6A6"/>
    <w:rsid w:val="52705FF6"/>
    <w:rsid w:val="52712993"/>
    <w:rsid w:val="5271B8D9"/>
    <w:rsid w:val="5271F1D0"/>
    <w:rsid w:val="527399A5"/>
    <w:rsid w:val="52777DEA"/>
    <w:rsid w:val="527873C7"/>
    <w:rsid w:val="527B2826"/>
    <w:rsid w:val="52837218"/>
    <w:rsid w:val="52854CE9"/>
    <w:rsid w:val="528552C5"/>
    <w:rsid w:val="528881FF"/>
    <w:rsid w:val="52896824"/>
    <w:rsid w:val="528C5104"/>
    <w:rsid w:val="528E5E73"/>
    <w:rsid w:val="5290ACFC"/>
    <w:rsid w:val="529719AC"/>
    <w:rsid w:val="529AEFCC"/>
    <w:rsid w:val="529D4FEE"/>
    <w:rsid w:val="52A298C9"/>
    <w:rsid w:val="52A52B96"/>
    <w:rsid w:val="52A6B736"/>
    <w:rsid w:val="52A7F1E0"/>
    <w:rsid w:val="52AF1E39"/>
    <w:rsid w:val="52B08CC1"/>
    <w:rsid w:val="52B0A308"/>
    <w:rsid w:val="52C06476"/>
    <w:rsid w:val="52C8C1BC"/>
    <w:rsid w:val="52C8F9B3"/>
    <w:rsid w:val="52CB98F0"/>
    <w:rsid w:val="52CC30A1"/>
    <w:rsid w:val="52CE3591"/>
    <w:rsid w:val="52D0DC51"/>
    <w:rsid w:val="52D5C54F"/>
    <w:rsid w:val="52E2E753"/>
    <w:rsid w:val="52E401BA"/>
    <w:rsid w:val="52E4EC27"/>
    <w:rsid w:val="52E9559F"/>
    <w:rsid w:val="52F0B780"/>
    <w:rsid w:val="52F1CFD3"/>
    <w:rsid w:val="52F54089"/>
    <w:rsid w:val="52F57D78"/>
    <w:rsid w:val="52F87D64"/>
    <w:rsid w:val="52F88ADA"/>
    <w:rsid w:val="52FF342F"/>
    <w:rsid w:val="53077185"/>
    <w:rsid w:val="530B2CD5"/>
    <w:rsid w:val="530BBC10"/>
    <w:rsid w:val="53132639"/>
    <w:rsid w:val="5314FB43"/>
    <w:rsid w:val="5317C06B"/>
    <w:rsid w:val="5318D068"/>
    <w:rsid w:val="53191535"/>
    <w:rsid w:val="531E5EE3"/>
    <w:rsid w:val="531F0BF8"/>
    <w:rsid w:val="5322D534"/>
    <w:rsid w:val="53257157"/>
    <w:rsid w:val="532C5519"/>
    <w:rsid w:val="532D5B34"/>
    <w:rsid w:val="53302BBB"/>
    <w:rsid w:val="5331A350"/>
    <w:rsid w:val="5333D3E5"/>
    <w:rsid w:val="533A3A06"/>
    <w:rsid w:val="53431FD5"/>
    <w:rsid w:val="53443CA1"/>
    <w:rsid w:val="5345D797"/>
    <w:rsid w:val="534BD1FB"/>
    <w:rsid w:val="534BFD6D"/>
    <w:rsid w:val="534CD20F"/>
    <w:rsid w:val="534E009C"/>
    <w:rsid w:val="53565016"/>
    <w:rsid w:val="5358629F"/>
    <w:rsid w:val="535A2CFB"/>
    <w:rsid w:val="535B4A6C"/>
    <w:rsid w:val="535D02CA"/>
    <w:rsid w:val="535E7A6C"/>
    <w:rsid w:val="5365A3D5"/>
    <w:rsid w:val="536EB57B"/>
    <w:rsid w:val="5373CB6D"/>
    <w:rsid w:val="5374C0F8"/>
    <w:rsid w:val="53772381"/>
    <w:rsid w:val="5377B057"/>
    <w:rsid w:val="5378E235"/>
    <w:rsid w:val="537B111B"/>
    <w:rsid w:val="537FEB03"/>
    <w:rsid w:val="53817DF0"/>
    <w:rsid w:val="53879D87"/>
    <w:rsid w:val="5387C3B6"/>
    <w:rsid w:val="53890EC6"/>
    <w:rsid w:val="5391014D"/>
    <w:rsid w:val="5398AD78"/>
    <w:rsid w:val="539BE7E2"/>
    <w:rsid w:val="539C6E04"/>
    <w:rsid w:val="539D5CD4"/>
    <w:rsid w:val="539E6055"/>
    <w:rsid w:val="539EF085"/>
    <w:rsid w:val="53A0D646"/>
    <w:rsid w:val="53A10F61"/>
    <w:rsid w:val="53A3EA37"/>
    <w:rsid w:val="53A85F36"/>
    <w:rsid w:val="53AF463E"/>
    <w:rsid w:val="53B0F4A6"/>
    <w:rsid w:val="53B587DD"/>
    <w:rsid w:val="53B84390"/>
    <w:rsid w:val="53B9ACF6"/>
    <w:rsid w:val="53C48308"/>
    <w:rsid w:val="53C62089"/>
    <w:rsid w:val="53C89AEF"/>
    <w:rsid w:val="53CB808D"/>
    <w:rsid w:val="53CC4E27"/>
    <w:rsid w:val="53CC6C99"/>
    <w:rsid w:val="53D030C4"/>
    <w:rsid w:val="53D5715B"/>
    <w:rsid w:val="53D8E2D0"/>
    <w:rsid w:val="53E2B09F"/>
    <w:rsid w:val="53EA3BF6"/>
    <w:rsid w:val="53F0106B"/>
    <w:rsid w:val="53F207EE"/>
    <w:rsid w:val="53F3F30C"/>
    <w:rsid w:val="53F43CB2"/>
    <w:rsid w:val="53FA8A68"/>
    <w:rsid w:val="53FE2E6C"/>
    <w:rsid w:val="54005547"/>
    <w:rsid w:val="5405583A"/>
    <w:rsid w:val="540B568E"/>
    <w:rsid w:val="540E40BC"/>
    <w:rsid w:val="54103E26"/>
    <w:rsid w:val="5410899E"/>
    <w:rsid w:val="54112F04"/>
    <w:rsid w:val="54115107"/>
    <w:rsid w:val="54155565"/>
    <w:rsid w:val="541A00BC"/>
    <w:rsid w:val="541E701E"/>
    <w:rsid w:val="541F67D2"/>
    <w:rsid w:val="541FE94D"/>
    <w:rsid w:val="5420931D"/>
    <w:rsid w:val="54270AEE"/>
    <w:rsid w:val="542C56C9"/>
    <w:rsid w:val="542C936D"/>
    <w:rsid w:val="542CDFBB"/>
    <w:rsid w:val="542E5432"/>
    <w:rsid w:val="54346F70"/>
    <w:rsid w:val="5435561E"/>
    <w:rsid w:val="5438129C"/>
    <w:rsid w:val="54399341"/>
    <w:rsid w:val="543A00EA"/>
    <w:rsid w:val="544094DE"/>
    <w:rsid w:val="5449E4A9"/>
    <w:rsid w:val="5449EC2A"/>
    <w:rsid w:val="544A0DED"/>
    <w:rsid w:val="54507257"/>
    <w:rsid w:val="5451D0DA"/>
    <w:rsid w:val="546318A3"/>
    <w:rsid w:val="54640CEA"/>
    <w:rsid w:val="5464CC6F"/>
    <w:rsid w:val="546564D7"/>
    <w:rsid w:val="546CC4F5"/>
    <w:rsid w:val="546CF816"/>
    <w:rsid w:val="546D272A"/>
    <w:rsid w:val="5473D9B0"/>
    <w:rsid w:val="5475D2D1"/>
    <w:rsid w:val="5477B029"/>
    <w:rsid w:val="547806D7"/>
    <w:rsid w:val="5479B27F"/>
    <w:rsid w:val="54822E0B"/>
    <w:rsid w:val="54829071"/>
    <w:rsid w:val="5485CFBB"/>
    <w:rsid w:val="54882765"/>
    <w:rsid w:val="5488380D"/>
    <w:rsid w:val="5488DA1D"/>
    <w:rsid w:val="548EF9E9"/>
    <w:rsid w:val="549064EB"/>
    <w:rsid w:val="5499FCD3"/>
    <w:rsid w:val="549BDEC0"/>
    <w:rsid w:val="549C6EE4"/>
    <w:rsid w:val="54AD4ACE"/>
    <w:rsid w:val="54AE0D53"/>
    <w:rsid w:val="54AE2651"/>
    <w:rsid w:val="54AE9D05"/>
    <w:rsid w:val="54B2FE27"/>
    <w:rsid w:val="54B77779"/>
    <w:rsid w:val="54B8D5BA"/>
    <w:rsid w:val="54BCC3CF"/>
    <w:rsid w:val="54BEB753"/>
    <w:rsid w:val="54C3BFD2"/>
    <w:rsid w:val="54C5C8A4"/>
    <w:rsid w:val="54C79FDF"/>
    <w:rsid w:val="54C9DC3C"/>
    <w:rsid w:val="54CAAFF2"/>
    <w:rsid w:val="54CFA2B0"/>
    <w:rsid w:val="54D233E0"/>
    <w:rsid w:val="54DADA0E"/>
    <w:rsid w:val="54E10D13"/>
    <w:rsid w:val="54E2E342"/>
    <w:rsid w:val="54E3A54E"/>
    <w:rsid w:val="54E48E6D"/>
    <w:rsid w:val="54E4E709"/>
    <w:rsid w:val="54EC60C3"/>
    <w:rsid w:val="54EF7CD6"/>
    <w:rsid w:val="54EFFA18"/>
    <w:rsid w:val="54F3C55F"/>
    <w:rsid w:val="54F716BB"/>
    <w:rsid w:val="54F95D36"/>
    <w:rsid w:val="54FAF2A5"/>
    <w:rsid w:val="54FBE418"/>
    <w:rsid w:val="54FF3729"/>
    <w:rsid w:val="55013B81"/>
    <w:rsid w:val="55021734"/>
    <w:rsid w:val="5503050E"/>
    <w:rsid w:val="55038CA6"/>
    <w:rsid w:val="550836F2"/>
    <w:rsid w:val="550967E4"/>
    <w:rsid w:val="550A400F"/>
    <w:rsid w:val="550CAC17"/>
    <w:rsid w:val="550E4E75"/>
    <w:rsid w:val="55102313"/>
    <w:rsid w:val="55126F80"/>
    <w:rsid w:val="5513520B"/>
    <w:rsid w:val="551D115A"/>
    <w:rsid w:val="551F34A0"/>
    <w:rsid w:val="55260E2C"/>
    <w:rsid w:val="5526DC50"/>
    <w:rsid w:val="552A2329"/>
    <w:rsid w:val="552B10C6"/>
    <w:rsid w:val="552E2DBA"/>
    <w:rsid w:val="553080B8"/>
    <w:rsid w:val="5530A850"/>
    <w:rsid w:val="5531BEB8"/>
    <w:rsid w:val="55377350"/>
    <w:rsid w:val="553784C7"/>
    <w:rsid w:val="5537ED9C"/>
    <w:rsid w:val="5538453C"/>
    <w:rsid w:val="553A9DA0"/>
    <w:rsid w:val="553F2F4F"/>
    <w:rsid w:val="5544CA75"/>
    <w:rsid w:val="5545C31C"/>
    <w:rsid w:val="554824D0"/>
    <w:rsid w:val="554EE4E2"/>
    <w:rsid w:val="554F04F2"/>
    <w:rsid w:val="554F2341"/>
    <w:rsid w:val="5552B834"/>
    <w:rsid w:val="555418CD"/>
    <w:rsid w:val="555854E7"/>
    <w:rsid w:val="555A3B37"/>
    <w:rsid w:val="555AF277"/>
    <w:rsid w:val="555B3B52"/>
    <w:rsid w:val="555EABFB"/>
    <w:rsid w:val="555EEA93"/>
    <w:rsid w:val="555F4159"/>
    <w:rsid w:val="5561CB87"/>
    <w:rsid w:val="55635CB3"/>
    <w:rsid w:val="55638C3E"/>
    <w:rsid w:val="5563D556"/>
    <w:rsid w:val="5566DBE0"/>
    <w:rsid w:val="556A8B83"/>
    <w:rsid w:val="556F9D58"/>
    <w:rsid w:val="55725573"/>
    <w:rsid w:val="55763E53"/>
    <w:rsid w:val="558B2081"/>
    <w:rsid w:val="558B6B2D"/>
    <w:rsid w:val="558F29E2"/>
    <w:rsid w:val="558F5029"/>
    <w:rsid w:val="5591C113"/>
    <w:rsid w:val="5592177D"/>
    <w:rsid w:val="55942B93"/>
    <w:rsid w:val="5595838E"/>
    <w:rsid w:val="5596B824"/>
    <w:rsid w:val="5597E2BB"/>
    <w:rsid w:val="5599961F"/>
    <w:rsid w:val="559F11E7"/>
    <w:rsid w:val="55A0A562"/>
    <w:rsid w:val="55A4AAD0"/>
    <w:rsid w:val="55A71F22"/>
    <w:rsid w:val="55A95033"/>
    <w:rsid w:val="55B06F47"/>
    <w:rsid w:val="55B1BC26"/>
    <w:rsid w:val="55B1F946"/>
    <w:rsid w:val="55B82454"/>
    <w:rsid w:val="55B8428F"/>
    <w:rsid w:val="55B8AE66"/>
    <w:rsid w:val="55BC8E69"/>
    <w:rsid w:val="55BDB703"/>
    <w:rsid w:val="55BE829A"/>
    <w:rsid w:val="55BFFAE6"/>
    <w:rsid w:val="55C281CB"/>
    <w:rsid w:val="55C6BD89"/>
    <w:rsid w:val="55CCD58A"/>
    <w:rsid w:val="55CDBFE6"/>
    <w:rsid w:val="55CDFC64"/>
    <w:rsid w:val="55D1D842"/>
    <w:rsid w:val="55DC02C4"/>
    <w:rsid w:val="55E0F145"/>
    <w:rsid w:val="55E265CF"/>
    <w:rsid w:val="55E3DAFC"/>
    <w:rsid w:val="55E3FD6E"/>
    <w:rsid w:val="55E42266"/>
    <w:rsid w:val="55EF0147"/>
    <w:rsid w:val="55F218AC"/>
    <w:rsid w:val="55F4AE77"/>
    <w:rsid w:val="55F6536E"/>
    <w:rsid w:val="55F8EDDB"/>
    <w:rsid w:val="55FBA552"/>
    <w:rsid w:val="55FE943E"/>
    <w:rsid w:val="55FF5758"/>
    <w:rsid w:val="5600867A"/>
    <w:rsid w:val="56025F6A"/>
    <w:rsid w:val="5603E11D"/>
    <w:rsid w:val="560648D5"/>
    <w:rsid w:val="560CD92C"/>
    <w:rsid w:val="56102DD2"/>
    <w:rsid w:val="5611DB6E"/>
    <w:rsid w:val="5613314B"/>
    <w:rsid w:val="56136010"/>
    <w:rsid w:val="56178939"/>
    <w:rsid w:val="561AD7F1"/>
    <w:rsid w:val="561AF467"/>
    <w:rsid w:val="561E994C"/>
    <w:rsid w:val="5625EB93"/>
    <w:rsid w:val="562751A2"/>
    <w:rsid w:val="562A64FD"/>
    <w:rsid w:val="562B4398"/>
    <w:rsid w:val="562EF7E7"/>
    <w:rsid w:val="563115C9"/>
    <w:rsid w:val="56315A93"/>
    <w:rsid w:val="563888E3"/>
    <w:rsid w:val="5639A226"/>
    <w:rsid w:val="563C5B55"/>
    <w:rsid w:val="56428E6C"/>
    <w:rsid w:val="5649AC72"/>
    <w:rsid w:val="5649B517"/>
    <w:rsid w:val="564AB470"/>
    <w:rsid w:val="564B2441"/>
    <w:rsid w:val="564C193A"/>
    <w:rsid w:val="564ECF8D"/>
    <w:rsid w:val="5650B86D"/>
    <w:rsid w:val="56558F65"/>
    <w:rsid w:val="565D20D8"/>
    <w:rsid w:val="565D6F58"/>
    <w:rsid w:val="565F16D8"/>
    <w:rsid w:val="565FFACB"/>
    <w:rsid w:val="56635A19"/>
    <w:rsid w:val="5666ADDC"/>
    <w:rsid w:val="5668DFFD"/>
    <w:rsid w:val="566D9F6B"/>
    <w:rsid w:val="5674A6CA"/>
    <w:rsid w:val="5676558E"/>
    <w:rsid w:val="5677A462"/>
    <w:rsid w:val="56796B6D"/>
    <w:rsid w:val="567A299B"/>
    <w:rsid w:val="567D6EB2"/>
    <w:rsid w:val="567ECEC5"/>
    <w:rsid w:val="56809FDE"/>
    <w:rsid w:val="5680F4A8"/>
    <w:rsid w:val="568A1CF6"/>
    <w:rsid w:val="56924E51"/>
    <w:rsid w:val="56935F22"/>
    <w:rsid w:val="5698E13E"/>
    <w:rsid w:val="569E6BB0"/>
    <w:rsid w:val="56A186B6"/>
    <w:rsid w:val="56A2AEDF"/>
    <w:rsid w:val="56A34A39"/>
    <w:rsid w:val="56A3E7F3"/>
    <w:rsid w:val="56A851BC"/>
    <w:rsid w:val="56AA2FC1"/>
    <w:rsid w:val="56AD4003"/>
    <w:rsid w:val="56ADB4A7"/>
    <w:rsid w:val="56AE7942"/>
    <w:rsid w:val="56B05AD4"/>
    <w:rsid w:val="56B6311C"/>
    <w:rsid w:val="56B7B4B9"/>
    <w:rsid w:val="56BB0BF2"/>
    <w:rsid w:val="56C01409"/>
    <w:rsid w:val="56C0D6D8"/>
    <w:rsid w:val="56C7D9F3"/>
    <w:rsid w:val="56C84CE7"/>
    <w:rsid w:val="56C9C51E"/>
    <w:rsid w:val="56CE8218"/>
    <w:rsid w:val="56D12D0E"/>
    <w:rsid w:val="56D217AB"/>
    <w:rsid w:val="56D6948A"/>
    <w:rsid w:val="56D8C6FC"/>
    <w:rsid w:val="56D971F9"/>
    <w:rsid w:val="56DCE47E"/>
    <w:rsid w:val="56DD0182"/>
    <w:rsid w:val="56E05020"/>
    <w:rsid w:val="56E20CE3"/>
    <w:rsid w:val="56E27670"/>
    <w:rsid w:val="56E3F531"/>
    <w:rsid w:val="56E9FA69"/>
    <w:rsid w:val="5700A5E8"/>
    <w:rsid w:val="57050AA6"/>
    <w:rsid w:val="570713E6"/>
    <w:rsid w:val="5709BAEF"/>
    <w:rsid w:val="570B312C"/>
    <w:rsid w:val="570B9C6F"/>
    <w:rsid w:val="5716EBD1"/>
    <w:rsid w:val="57175A97"/>
    <w:rsid w:val="57192900"/>
    <w:rsid w:val="571C1C67"/>
    <w:rsid w:val="571C8D85"/>
    <w:rsid w:val="57239828"/>
    <w:rsid w:val="572575CB"/>
    <w:rsid w:val="572A163E"/>
    <w:rsid w:val="572CFE57"/>
    <w:rsid w:val="572DCC3E"/>
    <w:rsid w:val="5736ADC2"/>
    <w:rsid w:val="57381CA8"/>
    <w:rsid w:val="5739C965"/>
    <w:rsid w:val="57432624"/>
    <w:rsid w:val="5744BFFE"/>
    <w:rsid w:val="5746A384"/>
    <w:rsid w:val="575AFD58"/>
    <w:rsid w:val="575D7F78"/>
    <w:rsid w:val="5760CD1D"/>
    <w:rsid w:val="5761F4FA"/>
    <w:rsid w:val="57650581"/>
    <w:rsid w:val="57675DBD"/>
    <w:rsid w:val="57677E84"/>
    <w:rsid w:val="576DC72F"/>
    <w:rsid w:val="5778BAF1"/>
    <w:rsid w:val="577A0925"/>
    <w:rsid w:val="577E8231"/>
    <w:rsid w:val="5785604E"/>
    <w:rsid w:val="5785DBDD"/>
    <w:rsid w:val="578CD92C"/>
    <w:rsid w:val="579049DE"/>
    <w:rsid w:val="57940BA0"/>
    <w:rsid w:val="5796A48B"/>
    <w:rsid w:val="57990D47"/>
    <w:rsid w:val="579D4CD7"/>
    <w:rsid w:val="57A08061"/>
    <w:rsid w:val="57A0CA8B"/>
    <w:rsid w:val="57A4C0A0"/>
    <w:rsid w:val="57A7AD60"/>
    <w:rsid w:val="57A8B07E"/>
    <w:rsid w:val="57AA43AD"/>
    <w:rsid w:val="57AD3CCA"/>
    <w:rsid w:val="57AFAFC3"/>
    <w:rsid w:val="57B40390"/>
    <w:rsid w:val="57B772DD"/>
    <w:rsid w:val="57C83418"/>
    <w:rsid w:val="57C881F2"/>
    <w:rsid w:val="57CAE653"/>
    <w:rsid w:val="57CDFCF4"/>
    <w:rsid w:val="57D26386"/>
    <w:rsid w:val="57D38DB4"/>
    <w:rsid w:val="57D92B86"/>
    <w:rsid w:val="57DE3640"/>
    <w:rsid w:val="57E22CA8"/>
    <w:rsid w:val="57E2898C"/>
    <w:rsid w:val="57EAAF62"/>
    <w:rsid w:val="57EAC17D"/>
    <w:rsid w:val="57EAD914"/>
    <w:rsid w:val="57EF0E16"/>
    <w:rsid w:val="57F059EC"/>
    <w:rsid w:val="57F9431F"/>
    <w:rsid w:val="57FB1E06"/>
    <w:rsid w:val="5800FE43"/>
    <w:rsid w:val="5804155F"/>
    <w:rsid w:val="5804B05E"/>
    <w:rsid w:val="5807A3E4"/>
    <w:rsid w:val="580861A9"/>
    <w:rsid w:val="580B3511"/>
    <w:rsid w:val="580C41D1"/>
    <w:rsid w:val="580F757B"/>
    <w:rsid w:val="58110EB9"/>
    <w:rsid w:val="5813720C"/>
    <w:rsid w:val="58140BE8"/>
    <w:rsid w:val="5815859A"/>
    <w:rsid w:val="581A8404"/>
    <w:rsid w:val="581B0530"/>
    <w:rsid w:val="5823F221"/>
    <w:rsid w:val="58254FAB"/>
    <w:rsid w:val="582A6177"/>
    <w:rsid w:val="5831DFBC"/>
    <w:rsid w:val="5837CF0F"/>
    <w:rsid w:val="583F3AEB"/>
    <w:rsid w:val="5843C3C7"/>
    <w:rsid w:val="5846CDB6"/>
    <w:rsid w:val="5849539D"/>
    <w:rsid w:val="584CB00C"/>
    <w:rsid w:val="584F3413"/>
    <w:rsid w:val="5850FFD3"/>
    <w:rsid w:val="58529C6D"/>
    <w:rsid w:val="585C35F6"/>
    <w:rsid w:val="58602FF7"/>
    <w:rsid w:val="5864FF62"/>
    <w:rsid w:val="58669D79"/>
    <w:rsid w:val="586BEB53"/>
    <w:rsid w:val="586D4DDA"/>
    <w:rsid w:val="586FBC06"/>
    <w:rsid w:val="58715B75"/>
    <w:rsid w:val="5875EE1E"/>
    <w:rsid w:val="587D10B6"/>
    <w:rsid w:val="587E1B88"/>
    <w:rsid w:val="58813A41"/>
    <w:rsid w:val="5889F842"/>
    <w:rsid w:val="588EF0E1"/>
    <w:rsid w:val="589297B8"/>
    <w:rsid w:val="5894D0DC"/>
    <w:rsid w:val="589539F7"/>
    <w:rsid w:val="589ECA65"/>
    <w:rsid w:val="58A0FEA7"/>
    <w:rsid w:val="58A792D0"/>
    <w:rsid w:val="58AAE6C5"/>
    <w:rsid w:val="58AC731C"/>
    <w:rsid w:val="58B34525"/>
    <w:rsid w:val="58B3E09F"/>
    <w:rsid w:val="58B3E8E9"/>
    <w:rsid w:val="58B77091"/>
    <w:rsid w:val="58BCB13D"/>
    <w:rsid w:val="58BDACBB"/>
    <w:rsid w:val="58C06CA2"/>
    <w:rsid w:val="58C36D64"/>
    <w:rsid w:val="58C37E3F"/>
    <w:rsid w:val="58C788BA"/>
    <w:rsid w:val="58CA17C1"/>
    <w:rsid w:val="58CAEB06"/>
    <w:rsid w:val="58D08A8D"/>
    <w:rsid w:val="58D08E43"/>
    <w:rsid w:val="58DD3AF1"/>
    <w:rsid w:val="58DD8422"/>
    <w:rsid w:val="58DF2A33"/>
    <w:rsid w:val="58E20A77"/>
    <w:rsid w:val="58E3EC5E"/>
    <w:rsid w:val="58F6093E"/>
    <w:rsid w:val="58FACE3C"/>
    <w:rsid w:val="590543ED"/>
    <w:rsid w:val="59082FB2"/>
    <w:rsid w:val="5909D25A"/>
    <w:rsid w:val="590B7284"/>
    <w:rsid w:val="59143221"/>
    <w:rsid w:val="591573A1"/>
    <w:rsid w:val="5916D239"/>
    <w:rsid w:val="5917BBE2"/>
    <w:rsid w:val="591BC328"/>
    <w:rsid w:val="591C2B1A"/>
    <w:rsid w:val="591CFE7E"/>
    <w:rsid w:val="591E49F1"/>
    <w:rsid w:val="592A2B55"/>
    <w:rsid w:val="592B8819"/>
    <w:rsid w:val="592CAB19"/>
    <w:rsid w:val="592F839A"/>
    <w:rsid w:val="592FF4F9"/>
    <w:rsid w:val="5930685C"/>
    <w:rsid w:val="593097B1"/>
    <w:rsid w:val="593548C5"/>
    <w:rsid w:val="593EB5C0"/>
    <w:rsid w:val="5941C950"/>
    <w:rsid w:val="59424FDF"/>
    <w:rsid w:val="5949328A"/>
    <w:rsid w:val="594A58C9"/>
    <w:rsid w:val="59519EA4"/>
    <w:rsid w:val="59542B90"/>
    <w:rsid w:val="5958CC15"/>
    <w:rsid w:val="595ACAB2"/>
    <w:rsid w:val="595AE0C4"/>
    <w:rsid w:val="595D7122"/>
    <w:rsid w:val="59618FE6"/>
    <w:rsid w:val="596268A9"/>
    <w:rsid w:val="59723484"/>
    <w:rsid w:val="5974A420"/>
    <w:rsid w:val="5974AE38"/>
    <w:rsid w:val="597C619A"/>
    <w:rsid w:val="597DEC33"/>
    <w:rsid w:val="597ED3F5"/>
    <w:rsid w:val="5989ECCB"/>
    <w:rsid w:val="598BC469"/>
    <w:rsid w:val="59909FF3"/>
    <w:rsid w:val="5991F312"/>
    <w:rsid w:val="599440FD"/>
    <w:rsid w:val="5995B1EB"/>
    <w:rsid w:val="5995BAE5"/>
    <w:rsid w:val="5999FD22"/>
    <w:rsid w:val="599E157F"/>
    <w:rsid w:val="599FCAD0"/>
    <w:rsid w:val="59A3D3A7"/>
    <w:rsid w:val="59A5ED25"/>
    <w:rsid w:val="59AEA14B"/>
    <w:rsid w:val="59B12AF5"/>
    <w:rsid w:val="59B137AF"/>
    <w:rsid w:val="59B5BAA2"/>
    <w:rsid w:val="59B73317"/>
    <w:rsid w:val="59B8E2A6"/>
    <w:rsid w:val="59C6C7DF"/>
    <w:rsid w:val="59C9A7C5"/>
    <w:rsid w:val="59CC7F2D"/>
    <w:rsid w:val="59CF1DB1"/>
    <w:rsid w:val="59D0602E"/>
    <w:rsid w:val="59D10BAD"/>
    <w:rsid w:val="59D19D5D"/>
    <w:rsid w:val="59D3DAE8"/>
    <w:rsid w:val="59D54435"/>
    <w:rsid w:val="59D82952"/>
    <w:rsid w:val="59DC16EA"/>
    <w:rsid w:val="59DF00AF"/>
    <w:rsid w:val="59E2455C"/>
    <w:rsid w:val="59E4B211"/>
    <w:rsid w:val="59E9287C"/>
    <w:rsid w:val="59EA6CE7"/>
    <w:rsid w:val="59F03415"/>
    <w:rsid w:val="59F74AF6"/>
    <w:rsid w:val="59F96B53"/>
    <w:rsid w:val="59F9C0C2"/>
    <w:rsid w:val="59FB8D76"/>
    <w:rsid w:val="59FC01FA"/>
    <w:rsid w:val="59FE9DA7"/>
    <w:rsid w:val="59FF0C55"/>
    <w:rsid w:val="5A0170F0"/>
    <w:rsid w:val="5A01FE57"/>
    <w:rsid w:val="5A06CF87"/>
    <w:rsid w:val="5A0A4EAF"/>
    <w:rsid w:val="5A0E6B3D"/>
    <w:rsid w:val="5A135E67"/>
    <w:rsid w:val="5A195056"/>
    <w:rsid w:val="5A1D99AE"/>
    <w:rsid w:val="5A25C24F"/>
    <w:rsid w:val="5A25DC11"/>
    <w:rsid w:val="5A2B5C40"/>
    <w:rsid w:val="5A2BB6BC"/>
    <w:rsid w:val="5A2BC87E"/>
    <w:rsid w:val="5A31E826"/>
    <w:rsid w:val="5A366342"/>
    <w:rsid w:val="5A38E656"/>
    <w:rsid w:val="5A3E02AF"/>
    <w:rsid w:val="5A40D009"/>
    <w:rsid w:val="5A46F384"/>
    <w:rsid w:val="5A51BC85"/>
    <w:rsid w:val="5A53D115"/>
    <w:rsid w:val="5A53D1EF"/>
    <w:rsid w:val="5A5B2A58"/>
    <w:rsid w:val="5A63EC31"/>
    <w:rsid w:val="5A668109"/>
    <w:rsid w:val="5A68C582"/>
    <w:rsid w:val="5A70308E"/>
    <w:rsid w:val="5A70515C"/>
    <w:rsid w:val="5A72BB25"/>
    <w:rsid w:val="5A7412C4"/>
    <w:rsid w:val="5A7463E1"/>
    <w:rsid w:val="5A7534FC"/>
    <w:rsid w:val="5A7E551D"/>
    <w:rsid w:val="5A7FD735"/>
    <w:rsid w:val="5A805BE8"/>
    <w:rsid w:val="5A826BC9"/>
    <w:rsid w:val="5A82F3CE"/>
    <w:rsid w:val="5A86C48C"/>
    <w:rsid w:val="5A89D953"/>
    <w:rsid w:val="5A8BF090"/>
    <w:rsid w:val="5A8D9788"/>
    <w:rsid w:val="5A8E0D96"/>
    <w:rsid w:val="5A8FDDFD"/>
    <w:rsid w:val="5A94E8A9"/>
    <w:rsid w:val="5AA2E328"/>
    <w:rsid w:val="5AA2FD1E"/>
    <w:rsid w:val="5AA56B94"/>
    <w:rsid w:val="5AA61CD8"/>
    <w:rsid w:val="5AA8C07A"/>
    <w:rsid w:val="5AA9ED8A"/>
    <w:rsid w:val="5AB40689"/>
    <w:rsid w:val="5AB492BE"/>
    <w:rsid w:val="5AB610D5"/>
    <w:rsid w:val="5AB705AC"/>
    <w:rsid w:val="5AB79389"/>
    <w:rsid w:val="5ABD210E"/>
    <w:rsid w:val="5AC15DC4"/>
    <w:rsid w:val="5AC27D48"/>
    <w:rsid w:val="5ACA17B7"/>
    <w:rsid w:val="5ACC1DFC"/>
    <w:rsid w:val="5AD544B2"/>
    <w:rsid w:val="5AD5EB30"/>
    <w:rsid w:val="5AD99F78"/>
    <w:rsid w:val="5ADD9735"/>
    <w:rsid w:val="5ADDEE80"/>
    <w:rsid w:val="5ADFF7D2"/>
    <w:rsid w:val="5AE297C2"/>
    <w:rsid w:val="5AE41578"/>
    <w:rsid w:val="5AE88F78"/>
    <w:rsid w:val="5AE910EF"/>
    <w:rsid w:val="5AEA4BB2"/>
    <w:rsid w:val="5AED1324"/>
    <w:rsid w:val="5AED9AB8"/>
    <w:rsid w:val="5AEE6DF8"/>
    <w:rsid w:val="5AF48360"/>
    <w:rsid w:val="5AFC7D60"/>
    <w:rsid w:val="5AFD16B9"/>
    <w:rsid w:val="5B06F3FD"/>
    <w:rsid w:val="5B096D90"/>
    <w:rsid w:val="5B0C1C18"/>
    <w:rsid w:val="5B11BBD9"/>
    <w:rsid w:val="5B129F15"/>
    <w:rsid w:val="5B14039B"/>
    <w:rsid w:val="5B1683C0"/>
    <w:rsid w:val="5B16AC24"/>
    <w:rsid w:val="5B1A7CD4"/>
    <w:rsid w:val="5B200ECA"/>
    <w:rsid w:val="5B2606BD"/>
    <w:rsid w:val="5B27FAAE"/>
    <w:rsid w:val="5B298AC0"/>
    <w:rsid w:val="5B2CF729"/>
    <w:rsid w:val="5B2E9018"/>
    <w:rsid w:val="5B2F3221"/>
    <w:rsid w:val="5B33D4C0"/>
    <w:rsid w:val="5B355B87"/>
    <w:rsid w:val="5B356F22"/>
    <w:rsid w:val="5B36A967"/>
    <w:rsid w:val="5B3818EF"/>
    <w:rsid w:val="5B3C4C9E"/>
    <w:rsid w:val="5B3E743A"/>
    <w:rsid w:val="5B4014C5"/>
    <w:rsid w:val="5B404F08"/>
    <w:rsid w:val="5B45864C"/>
    <w:rsid w:val="5B51B850"/>
    <w:rsid w:val="5B523E3D"/>
    <w:rsid w:val="5B54EEDD"/>
    <w:rsid w:val="5B5AA2DD"/>
    <w:rsid w:val="5B5C40F6"/>
    <w:rsid w:val="5B5D0E2B"/>
    <w:rsid w:val="5B5D6057"/>
    <w:rsid w:val="5B5EE400"/>
    <w:rsid w:val="5B5F0D8C"/>
    <w:rsid w:val="5B5FAAC8"/>
    <w:rsid w:val="5B63A3E0"/>
    <w:rsid w:val="5B67B551"/>
    <w:rsid w:val="5B6B6455"/>
    <w:rsid w:val="5B6CCCEA"/>
    <w:rsid w:val="5B7102BB"/>
    <w:rsid w:val="5B714AC8"/>
    <w:rsid w:val="5B7467FF"/>
    <w:rsid w:val="5B7991E9"/>
    <w:rsid w:val="5B7C3904"/>
    <w:rsid w:val="5B7D9E0B"/>
    <w:rsid w:val="5B7E07A5"/>
    <w:rsid w:val="5B851DAF"/>
    <w:rsid w:val="5B8857DB"/>
    <w:rsid w:val="5B8D6902"/>
    <w:rsid w:val="5B920ACE"/>
    <w:rsid w:val="5B93BAF3"/>
    <w:rsid w:val="5B96E75E"/>
    <w:rsid w:val="5B974712"/>
    <w:rsid w:val="5B9B943A"/>
    <w:rsid w:val="5B9E2819"/>
    <w:rsid w:val="5B9EC217"/>
    <w:rsid w:val="5BA038AC"/>
    <w:rsid w:val="5BA077EF"/>
    <w:rsid w:val="5BA48443"/>
    <w:rsid w:val="5BA63628"/>
    <w:rsid w:val="5BA642C8"/>
    <w:rsid w:val="5BA89F3D"/>
    <w:rsid w:val="5BA95BAE"/>
    <w:rsid w:val="5BAE2B4C"/>
    <w:rsid w:val="5BAEC278"/>
    <w:rsid w:val="5BB55372"/>
    <w:rsid w:val="5BB5A263"/>
    <w:rsid w:val="5BB609BC"/>
    <w:rsid w:val="5BB8F2C8"/>
    <w:rsid w:val="5BC0A4AA"/>
    <w:rsid w:val="5BC0F857"/>
    <w:rsid w:val="5BCB0002"/>
    <w:rsid w:val="5BCFAEB5"/>
    <w:rsid w:val="5BD0A786"/>
    <w:rsid w:val="5BDC77D2"/>
    <w:rsid w:val="5BE03C4C"/>
    <w:rsid w:val="5BE61E64"/>
    <w:rsid w:val="5BE91099"/>
    <w:rsid w:val="5BEB05E6"/>
    <w:rsid w:val="5BEE7B00"/>
    <w:rsid w:val="5BEF4EBC"/>
    <w:rsid w:val="5BF63F59"/>
    <w:rsid w:val="5BFA387F"/>
    <w:rsid w:val="5BFD9740"/>
    <w:rsid w:val="5BFFD283"/>
    <w:rsid w:val="5C017DBB"/>
    <w:rsid w:val="5C033F0B"/>
    <w:rsid w:val="5C0598BA"/>
    <w:rsid w:val="5C07DB65"/>
    <w:rsid w:val="5C08DDDA"/>
    <w:rsid w:val="5C09C3C6"/>
    <w:rsid w:val="5C0AFA78"/>
    <w:rsid w:val="5C0CEDCD"/>
    <w:rsid w:val="5C0FB2C5"/>
    <w:rsid w:val="5C118C19"/>
    <w:rsid w:val="5C1BC2ED"/>
    <w:rsid w:val="5C1D4D44"/>
    <w:rsid w:val="5C211295"/>
    <w:rsid w:val="5C2140EC"/>
    <w:rsid w:val="5C241537"/>
    <w:rsid w:val="5C2B0273"/>
    <w:rsid w:val="5C34C6E1"/>
    <w:rsid w:val="5C4E045E"/>
    <w:rsid w:val="5C4EE57C"/>
    <w:rsid w:val="5C5368CD"/>
    <w:rsid w:val="5C53EA1D"/>
    <w:rsid w:val="5C55737A"/>
    <w:rsid w:val="5C5A276E"/>
    <w:rsid w:val="5C5A4E91"/>
    <w:rsid w:val="5C5F3133"/>
    <w:rsid w:val="5C669CDD"/>
    <w:rsid w:val="5C69F6F2"/>
    <w:rsid w:val="5C74E33E"/>
    <w:rsid w:val="5C76FCF5"/>
    <w:rsid w:val="5C7A76EA"/>
    <w:rsid w:val="5C7AA302"/>
    <w:rsid w:val="5C810235"/>
    <w:rsid w:val="5C87B135"/>
    <w:rsid w:val="5C8FAEA7"/>
    <w:rsid w:val="5C9049F4"/>
    <w:rsid w:val="5C910C1F"/>
    <w:rsid w:val="5C927FA9"/>
    <w:rsid w:val="5C9BED52"/>
    <w:rsid w:val="5CA17FC3"/>
    <w:rsid w:val="5CA25B81"/>
    <w:rsid w:val="5CA5B8F4"/>
    <w:rsid w:val="5CA8C21A"/>
    <w:rsid w:val="5CAF647E"/>
    <w:rsid w:val="5CB089CD"/>
    <w:rsid w:val="5CB18886"/>
    <w:rsid w:val="5CBD71C7"/>
    <w:rsid w:val="5CC75B83"/>
    <w:rsid w:val="5CCA5308"/>
    <w:rsid w:val="5CCF3B1F"/>
    <w:rsid w:val="5CD1BBEC"/>
    <w:rsid w:val="5CD78CFC"/>
    <w:rsid w:val="5CD99CF3"/>
    <w:rsid w:val="5CDD1085"/>
    <w:rsid w:val="5CDD973B"/>
    <w:rsid w:val="5CDE98C9"/>
    <w:rsid w:val="5CE112C9"/>
    <w:rsid w:val="5CE29C7F"/>
    <w:rsid w:val="5CEA7CED"/>
    <w:rsid w:val="5CEBDEF4"/>
    <w:rsid w:val="5CF46D2D"/>
    <w:rsid w:val="5CF51705"/>
    <w:rsid w:val="5CF5422A"/>
    <w:rsid w:val="5CF6D53B"/>
    <w:rsid w:val="5CF7F249"/>
    <w:rsid w:val="5D0449D3"/>
    <w:rsid w:val="5D066E35"/>
    <w:rsid w:val="5D09E6C8"/>
    <w:rsid w:val="5D0A68CA"/>
    <w:rsid w:val="5D0B88AA"/>
    <w:rsid w:val="5D0C66AA"/>
    <w:rsid w:val="5D1209F9"/>
    <w:rsid w:val="5D1853A4"/>
    <w:rsid w:val="5D1BB7DC"/>
    <w:rsid w:val="5D20270F"/>
    <w:rsid w:val="5D2449DB"/>
    <w:rsid w:val="5D2728B2"/>
    <w:rsid w:val="5D28DF86"/>
    <w:rsid w:val="5D28E8E5"/>
    <w:rsid w:val="5D2F89DA"/>
    <w:rsid w:val="5D33E245"/>
    <w:rsid w:val="5D355515"/>
    <w:rsid w:val="5D361B62"/>
    <w:rsid w:val="5D3CDE66"/>
    <w:rsid w:val="5D49F267"/>
    <w:rsid w:val="5D4AC348"/>
    <w:rsid w:val="5D4F47D6"/>
    <w:rsid w:val="5D509AFF"/>
    <w:rsid w:val="5D51CA29"/>
    <w:rsid w:val="5D560C38"/>
    <w:rsid w:val="5D568E60"/>
    <w:rsid w:val="5D62736F"/>
    <w:rsid w:val="5D675A85"/>
    <w:rsid w:val="5D6B7DD7"/>
    <w:rsid w:val="5D6CD42A"/>
    <w:rsid w:val="5D788378"/>
    <w:rsid w:val="5D7E2856"/>
    <w:rsid w:val="5D7FB25E"/>
    <w:rsid w:val="5D81A710"/>
    <w:rsid w:val="5D822B84"/>
    <w:rsid w:val="5D825090"/>
    <w:rsid w:val="5D8466DA"/>
    <w:rsid w:val="5D86689D"/>
    <w:rsid w:val="5D867C5C"/>
    <w:rsid w:val="5D870C48"/>
    <w:rsid w:val="5D87E871"/>
    <w:rsid w:val="5D891626"/>
    <w:rsid w:val="5D89DF90"/>
    <w:rsid w:val="5D89F573"/>
    <w:rsid w:val="5D8D81E0"/>
    <w:rsid w:val="5D9A27E1"/>
    <w:rsid w:val="5D9DC64D"/>
    <w:rsid w:val="5DA132D5"/>
    <w:rsid w:val="5DA259A7"/>
    <w:rsid w:val="5DA6B8DF"/>
    <w:rsid w:val="5DA77523"/>
    <w:rsid w:val="5DAE3EC3"/>
    <w:rsid w:val="5DB2CC7D"/>
    <w:rsid w:val="5DB30BDD"/>
    <w:rsid w:val="5DB4624F"/>
    <w:rsid w:val="5DB5B00A"/>
    <w:rsid w:val="5DB8E6E8"/>
    <w:rsid w:val="5DB94EA0"/>
    <w:rsid w:val="5DBCAF64"/>
    <w:rsid w:val="5DC1DCAA"/>
    <w:rsid w:val="5DD64EF6"/>
    <w:rsid w:val="5DD65EC5"/>
    <w:rsid w:val="5DDA4428"/>
    <w:rsid w:val="5DDBA615"/>
    <w:rsid w:val="5DDC9015"/>
    <w:rsid w:val="5DDCB4A3"/>
    <w:rsid w:val="5DE2C5B9"/>
    <w:rsid w:val="5DE88D34"/>
    <w:rsid w:val="5DE94AA9"/>
    <w:rsid w:val="5DF3060D"/>
    <w:rsid w:val="5DF31244"/>
    <w:rsid w:val="5DF3DB6D"/>
    <w:rsid w:val="5DF40450"/>
    <w:rsid w:val="5DF5979C"/>
    <w:rsid w:val="5DF78F7B"/>
    <w:rsid w:val="5DF7ED08"/>
    <w:rsid w:val="5DFADF1F"/>
    <w:rsid w:val="5DFB0A3D"/>
    <w:rsid w:val="5DFC3DB4"/>
    <w:rsid w:val="5DFE1AA9"/>
    <w:rsid w:val="5DFFADDE"/>
    <w:rsid w:val="5E024271"/>
    <w:rsid w:val="5E04E024"/>
    <w:rsid w:val="5E0A65B5"/>
    <w:rsid w:val="5E0C1311"/>
    <w:rsid w:val="5E0DAB5C"/>
    <w:rsid w:val="5E0EF9EA"/>
    <w:rsid w:val="5E0EFB39"/>
    <w:rsid w:val="5E10A5CA"/>
    <w:rsid w:val="5E1555CA"/>
    <w:rsid w:val="5E180F89"/>
    <w:rsid w:val="5E186220"/>
    <w:rsid w:val="5E186D75"/>
    <w:rsid w:val="5E1955C6"/>
    <w:rsid w:val="5E1E419F"/>
    <w:rsid w:val="5E1E6F0E"/>
    <w:rsid w:val="5E292C41"/>
    <w:rsid w:val="5E296130"/>
    <w:rsid w:val="5E2B0C52"/>
    <w:rsid w:val="5E2B103F"/>
    <w:rsid w:val="5E2B2E35"/>
    <w:rsid w:val="5E2CA9A8"/>
    <w:rsid w:val="5E3164D8"/>
    <w:rsid w:val="5E3229D2"/>
    <w:rsid w:val="5E37F217"/>
    <w:rsid w:val="5E382DDF"/>
    <w:rsid w:val="5E3C7B34"/>
    <w:rsid w:val="5E4120A0"/>
    <w:rsid w:val="5E430951"/>
    <w:rsid w:val="5E467313"/>
    <w:rsid w:val="5E4D58E7"/>
    <w:rsid w:val="5E510D81"/>
    <w:rsid w:val="5E5466B1"/>
    <w:rsid w:val="5E5526FD"/>
    <w:rsid w:val="5E57E697"/>
    <w:rsid w:val="5E588C77"/>
    <w:rsid w:val="5E59ED76"/>
    <w:rsid w:val="5E5AC6F3"/>
    <w:rsid w:val="5E5BEE6B"/>
    <w:rsid w:val="5E5D986F"/>
    <w:rsid w:val="5E6212DE"/>
    <w:rsid w:val="5E643731"/>
    <w:rsid w:val="5E6D7C2B"/>
    <w:rsid w:val="5E77624C"/>
    <w:rsid w:val="5E7A2047"/>
    <w:rsid w:val="5E8114FF"/>
    <w:rsid w:val="5E84344D"/>
    <w:rsid w:val="5E87374E"/>
    <w:rsid w:val="5E8F7D3E"/>
    <w:rsid w:val="5E9D5DA0"/>
    <w:rsid w:val="5EAA4283"/>
    <w:rsid w:val="5EAE9E80"/>
    <w:rsid w:val="5EB4B024"/>
    <w:rsid w:val="5EBA74AB"/>
    <w:rsid w:val="5EBE8501"/>
    <w:rsid w:val="5EC2C69E"/>
    <w:rsid w:val="5EC8DFF2"/>
    <w:rsid w:val="5EC921F0"/>
    <w:rsid w:val="5ECFCEBE"/>
    <w:rsid w:val="5ED1F88A"/>
    <w:rsid w:val="5ED64132"/>
    <w:rsid w:val="5ED824A2"/>
    <w:rsid w:val="5ED909C8"/>
    <w:rsid w:val="5EDBE60B"/>
    <w:rsid w:val="5EE3CBD5"/>
    <w:rsid w:val="5EE414E9"/>
    <w:rsid w:val="5EEDC57E"/>
    <w:rsid w:val="5EF63E10"/>
    <w:rsid w:val="5EFC0648"/>
    <w:rsid w:val="5EFDFC50"/>
    <w:rsid w:val="5EFED587"/>
    <w:rsid w:val="5F014EF7"/>
    <w:rsid w:val="5F023148"/>
    <w:rsid w:val="5F048222"/>
    <w:rsid w:val="5F04F84F"/>
    <w:rsid w:val="5F0BB454"/>
    <w:rsid w:val="5F0ED330"/>
    <w:rsid w:val="5F11D308"/>
    <w:rsid w:val="5F16CE3A"/>
    <w:rsid w:val="5F1CA7A8"/>
    <w:rsid w:val="5F231B08"/>
    <w:rsid w:val="5F23BD8B"/>
    <w:rsid w:val="5F24F674"/>
    <w:rsid w:val="5F262984"/>
    <w:rsid w:val="5F27BF1F"/>
    <w:rsid w:val="5F2A652D"/>
    <w:rsid w:val="5F2EAE9B"/>
    <w:rsid w:val="5F37DA74"/>
    <w:rsid w:val="5F395C6F"/>
    <w:rsid w:val="5F3EFA16"/>
    <w:rsid w:val="5F41E1DA"/>
    <w:rsid w:val="5F42E7AB"/>
    <w:rsid w:val="5F481034"/>
    <w:rsid w:val="5F500D38"/>
    <w:rsid w:val="5F5405F1"/>
    <w:rsid w:val="5F5DEBF5"/>
    <w:rsid w:val="5F670E7D"/>
    <w:rsid w:val="5F6D99B8"/>
    <w:rsid w:val="5F727DE4"/>
    <w:rsid w:val="5F729F64"/>
    <w:rsid w:val="5F72CBF9"/>
    <w:rsid w:val="5F7B374B"/>
    <w:rsid w:val="5F7BBAFD"/>
    <w:rsid w:val="5F7C2789"/>
    <w:rsid w:val="5F7F2236"/>
    <w:rsid w:val="5F85E714"/>
    <w:rsid w:val="5F871838"/>
    <w:rsid w:val="5F8D69EB"/>
    <w:rsid w:val="5F8ED4CC"/>
    <w:rsid w:val="5F9321E5"/>
    <w:rsid w:val="5F94DD5A"/>
    <w:rsid w:val="5F97077C"/>
    <w:rsid w:val="5F99E05F"/>
    <w:rsid w:val="5FA4F7D3"/>
    <w:rsid w:val="5FA7AA30"/>
    <w:rsid w:val="5FA85A3A"/>
    <w:rsid w:val="5FABCFD1"/>
    <w:rsid w:val="5FB3C385"/>
    <w:rsid w:val="5FB53D15"/>
    <w:rsid w:val="5FB74278"/>
    <w:rsid w:val="5FB7A877"/>
    <w:rsid w:val="5FB8071C"/>
    <w:rsid w:val="5FB9E4DD"/>
    <w:rsid w:val="5FBB91E4"/>
    <w:rsid w:val="5FBF7320"/>
    <w:rsid w:val="5FC33D81"/>
    <w:rsid w:val="5FC407A1"/>
    <w:rsid w:val="5FC566A4"/>
    <w:rsid w:val="5FC66E24"/>
    <w:rsid w:val="5FCB9EB5"/>
    <w:rsid w:val="5FCC4145"/>
    <w:rsid w:val="5FCD727B"/>
    <w:rsid w:val="5FD0E83D"/>
    <w:rsid w:val="5FD4C558"/>
    <w:rsid w:val="5FDA600D"/>
    <w:rsid w:val="5FE0DACE"/>
    <w:rsid w:val="5FE37F2F"/>
    <w:rsid w:val="5FE52689"/>
    <w:rsid w:val="5FE6DFB4"/>
    <w:rsid w:val="5FECD26E"/>
    <w:rsid w:val="5FF16CE5"/>
    <w:rsid w:val="5FF3DBA7"/>
    <w:rsid w:val="5FF67CD6"/>
    <w:rsid w:val="5FF7B6F1"/>
    <w:rsid w:val="5FFA1FA4"/>
    <w:rsid w:val="5FFCD687"/>
    <w:rsid w:val="5FFFC244"/>
    <w:rsid w:val="6004A494"/>
    <w:rsid w:val="6008FBA7"/>
    <w:rsid w:val="60100898"/>
    <w:rsid w:val="601174FB"/>
    <w:rsid w:val="601210A5"/>
    <w:rsid w:val="6015556F"/>
    <w:rsid w:val="6018E1D6"/>
    <w:rsid w:val="601B258E"/>
    <w:rsid w:val="601D6D00"/>
    <w:rsid w:val="6026BBB7"/>
    <w:rsid w:val="602955D7"/>
    <w:rsid w:val="602CC7BD"/>
    <w:rsid w:val="602E8202"/>
    <w:rsid w:val="60367690"/>
    <w:rsid w:val="60388AEA"/>
    <w:rsid w:val="603CCC06"/>
    <w:rsid w:val="60408D82"/>
    <w:rsid w:val="6044A6B7"/>
    <w:rsid w:val="6044B003"/>
    <w:rsid w:val="6051C89D"/>
    <w:rsid w:val="6051DE3B"/>
    <w:rsid w:val="60538155"/>
    <w:rsid w:val="6053FE2F"/>
    <w:rsid w:val="6054E5B8"/>
    <w:rsid w:val="6056DFE3"/>
    <w:rsid w:val="6057693F"/>
    <w:rsid w:val="6057D7EE"/>
    <w:rsid w:val="605A8184"/>
    <w:rsid w:val="605B58FE"/>
    <w:rsid w:val="605CF4A2"/>
    <w:rsid w:val="605DC7E4"/>
    <w:rsid w:val="605F5C81"/>
    <w:rsid w:val="60640887"/>
    <w:rsid w:val="60690AD0"/>
    <w:rsid w:val="606A54BF"/>
    <w:rsid w:val="606C6E24"/>
    <w:rsid w:val="6074DA8C"/>
    <w:rsid w:val="6076DEFF"/>
    <w:rsid w:val="6079FFE3"/>
    <w:rsid w:val="6084524B"/>
    <w:rsid w:val="60863756"/>
    <w:rsid w:val="60873266"/>
    <w:rsid w:val="608A2BB5"/>
    <w:rsid w:val="608A59CB"/>
    <w:rsid w:val="608AE3DF"/>
    <w:rsid w:val="608BFE2A"/>
    <w:rsid w:val="608D23FC"/>
    <w:rsid w:val="608D9963"/>
    <w:rsid w:val="6092BB04"/>
    <w:rsid w:val="6095BEB9"/>
    <w:rsid w:val="60994DAC"/>
    <w:rsid w:val="60A15831"/>
    <w:rsid w:val="60A1E4D0"/>
    <w:rsid w:val="60A37BA0"/>
    <w:rsid w:val="60A9CFF5"/>
    <w:rsid w:val="60AA2183"/>
    <w:rsid w:val="60AA6578"/>
    <w:rsid w:val="60AD5EC9"/>
    <w:rsid w:val="60AFE326"/>
    <w:rsid w:val="60B45986"/>
    <w:rsid w:val="60B4C96F"/>
    <w:rsid w:val="60BAE467"/>
    <w:rsid w:val="60BED2E7"/>
    <w:rsid w:val="60BFA0C8"/>
    <w:rsid w:val="60C019E2"/>
    <w:rsid w:val="60C1C595"/>
    <w:rsid w:val="60C4D6B7"/>
    <w:rsid w:val="60C890F0"/>
    <w:rsid w:val="60C967CA"/>
    <w:rsid w:val="60CB55F0"/>
    <w:rsid w:val="60CDD073"/>
    <w:rsid w:val="60CF60DC"/>
    <w:rsid w:val="60D1789A"/>
    <w:rsid w:val="60D3C1AA"/>
    <w:rsid w:val="60D4475F"/>
    <w:rsid w:val="60DB8A5F"/>
    <w:rsid w:val="60DCD0FF"/>
    <w:rsid w:val="60E033B1"/>
    <w:rsid w:val="60E08248"/>
    <w:rsid w:val="60E10722"/>
    <w:rsid w:val="60E5A090"/>
    <w:rsid w:val="60E6AC27"/>
    <w:rsid w:val="60EF037B"/>
    <w:rsid w:val="60F06A6E"/>
    <w:rsid w:val="60F2E1D7"/>
    <w:rsid w:val="60F720C1"/>
    <w:rsid w:val="60F9653F"/>
    <w:rsid w:val="60FEF616"/>
    <w:rsid w:val="60FFCE81"/>
    <w:rsid w:val="61031DDB"/>
    <w:rsid w:val="6108E29F"/>
    <w:rsid w:val="6108F8A3"/>
    <w:rsid w:val="610AA85D"/>
    <w:rsid w:val="612226E2"/>
    <w:rsid w:val="6122A0EB"/>
    <w:rsid w:val="61238860"/>
    <w:rsid w:val="61252D51"/>
    <w:rsid w:val="612596AF"/>
    <w:rsid w:val="612598B5"/>
    <w:rsid w:val="6125A90E"/>
    <w:rsid w:val="61263E1C"/>
    <w:rsid w:val="6127CCA9"/>
    <w:rsid w:val="612E6433"/>
    <w:rsid w:val="6130B898"/>
    <w:rsid w:val="61335FC0"/>
    <w:rsid w:val="6133A386"/>
    <w:rsid w:val="61373E36"/>
    <w:rsid w:val="613DBEE2"/>
    <w:rsid w:val="6142A4FB"/>
    <w:rsid w:val="61454487"/>
    <w:rsid w:val="61483AF9"/>
    <w:rsid w:val="6148A58D"/>
    <w:rsid w:val="614DF2AB"/>
    <w:rsid w:val="61555A36"/>
    <w:rsid w:val="6156541A"/>
    <w:rsid w:val="615EA544"/>
    <w:rsid w:val="61609937"/>
    <w:rsid w:val="616175FE"/>
    <w:rsid w:val="61666C5D"/>
    <w:rsid w:val="616843E5"/>
    <w:rsid w:val="61694E0F"/>
    <w:rsid w:val="616AF035"/>
    <w:rsid w:val="616D2D01"/>
    <w:rsid w:val="61727D6A"/>
    <w:rsid w:val="6172C33C"/>
    <w:rsid w:val="6176D608"/>
    <w:rsid w:val="61771DBF"/>
    <w:rsid w:val="6178C61A"/>
    <w:rsid w:val="617DD9A8"/>
    <w:rsid w:val="617E13D5"/>
    <w:rsid w:val="6182D22B"/>
    <w:rsid w:val="61842C6B"/>
    <w:rsid w:val="6184A320"/>
    <w:rsid w:val="61873155"/>
    <w:rsid w:val="6192683C"/>
    <w:rsid w:val="61930D52"/>
    <w:rsid w:val="6195C3DC"/>
    <w:rsid w:val="6198DBD0"/>
    <w:rsid w:val="619D509F"/>
    <w:rsid w:val="619F8CFA"/>
    <w:rsid w:val="61A2AE63"/>
    <w:rsid w:val="61A2B828"/>
    <w:rsid w:val="61A30267"/>
    <w:rsid w:val="61A508E9"/>
    <w:rsid w:val="61A77A66"/>
    <w:rsid w:val="61A836AB"/>
    <w:rsid w:val="61AB42DC"/>
    <w:rsid w:val="61AE4286"/>
    <w:rsid w:val="61B2AD0A"/>
    <w:rsid w:val="61BB4939"/>
    <w:rsid w:val="61C5E62E"/>
    <w:rsid w:val="61CC87D7"/>
    <w:rsid w:val="61CCC56B"/>
    <w:rsid w:val="61D9DF42"/>
    <w:rsid w:val="61DA667D"/>
    <w:rsid w:val="61DB65E3"/>
    <w:rsid w:val="61E6D987"/>
    <w:rsid w:val="61E90F42"/>
    <w:rsid w:val="61EB712E"/>
    <w:rsid w:val="61EBE462"/>
    <w:rsid w:val="61EEEA0D"/>
    <w:rsid w:val="61EF57DB"/>
    <w:rsid w:val="61F53EBF"/>
    <w:rsid w:val="61F6A1DF"/>
    <w:rsid w:val="61F86891"/>
    <w:rsid w:val="61FBB334"/>
    <w:rsid w:val="61FD1E20"/>
    <w:rsid w:val="61FF4FE0"/>
    <w:rsid w:val="6201041D"/>
    <w:rsid w:val="6209F907"/>
    <w:rsid w:val="620A83DC"/>
    <w:rsid w:val="620BEAC1"/>
    <w:rsid w:val="620EA0C9"/>
    <w:rsid w:val="6212B090"/>
    <w:rsid w:val="6215C56B"/>
    <w:rsid w:val="621C0380"/>
    <w:rsid w:val="621DA45D"/>
    <w:rsid w:val="621F067B"/>
    <w:rsid w:val="622117FE"/>
    <w:rsid w:val="622348E1"/>
    <w:rsid w:val="6226D581"/>
    <w:rsid w:val="6228B8A5"/>
    <w:rsid w:val="622A81F9"/>
    <w:rsid w:val="622C5EC1"/>
    <w:rsid w:val="622D93F7"/>
    <w:rsid w:val="622E1DE0"/>
    <w:rsid w:val="622F5CEA"/>
    <w:rsid w:val="622FA9C1"/>
    <w:rsid w:val="62334A5E"/>
    <w:rsid w:val="62353F47"/>
    <w:rsid w:val="62368F31"/>
    <w:rsid w:val="6237D6AC"/>
    <w:rsid w:val="623D4AA6"/>
    <w:rsid w:val="624102E1"/>
    <w:rsid w:val="6246B332"/>
    <w:rsid w:val="624CC221"/>
    <w:rsid w:val="625082D8"/>
    <w:rsid w:val="62519859"/>
    <w:rsid w:val="6251D3D3"/>
    <w:rsid w:val="6251DA02"/>
    <w:rsid w:val="62557819"/>
    <w:rsid w:val="6260A886"/>
    <w:rsid w:val="6263A705"/>
    <w:rsid w:val="6263CD77"/>
    <w:rsid w:val="626A384C"/>
    <w:rsid w:val="626FD723"/>
    <w:rsid w:val="6272AC41"/>
    <w:rsid w:val="62735D3F"/>
    <w:rsid w:val="6278A752"/>
    <w:rsid w:val="62795BB7"/>
    <w:rsid w:val="627CA5AD"/>
    <w:rsid w:val="627E9A42"/>
    <w:rsid w:val="6283A137"/>
    <w:rsid w:val="62856AB0"/>
    <w:rsid w:val="6285EBD3"/>
    <w:rsid w:val="62874D1E"/>
    <w:rsid w:val="62887CE1"/>
    <w:rsid w:val="6289D096"/>
    <w:rsid w:val="628A6580"/>
    <w:rsid w:val="628B1BC9"/>
    <w:rsid w:val="628BAB50"/>
    <w:rsid w:val="628C910D"/>
    <w:rsid w:val="6292C7AD"/>
    <w:rsid w:val="629AFC4F"/>
    <w:rsid w:val="629FC4F7"/>
    <w:rsid w:val="62A1E4B6"/>
    <w:rsid w:val="62A37BA1"/>
    <w:rsid w:val="62A43FA4"/>
    <w:rsid w:val="62A5300E"/>
    <w:rsid w:val="62A54314"/>
    <w:rsid w:val="62B24170"/>
    <w:rsid w:val="62B5C009"/>
    <w:rsid w:val="62B6CDF2"/>
    <w:rsid w:val="62B85998"/>
    <w:rsid w:val="62BF82E2"/>
    <w:rsid w:val="62C31DCD"/>
    <w:rsid w:val="62C57B30"/>
    <w:rsid w:val="62D26821"/>
    <w:rsid w:val="62D58C46"/>
    <w:rsid w:val="62E29931"/>
    <w:rsid w:val="62E314FD"/>
    <w:rsid w:val="62E41BC2"/>
    <w:rsid w:val="62E8461A"/>
    <w:rsid w:val="62EDA06F"/>
    <w:rsid w:val="62EF5A55"/>
    <w:rsid w:val="62FB6B59"/>
    <w:rsid w:val="62FD44CA"/>
    <w:rsid w:val="6303659F"/>
    <w:rsid w:val="63047920"/>
    <w:rsid w:val="630C23B2"/>
    <w:rsid w:val="63118499"/>
    <w:rsid w:val="631C114A"/>
    <w:rsid w:val="631FCD25"/>
    <w:rsid w:val="632092F1"/>
    <w:rsid w:val="632384B1"/>
    <w:rsid w:val="63239336"/>
    <w:rsid w:val="6324C526"/>
    <w:rsid w:val="632CA02C"/>
    <w:rsid w:val="633173E1"/>
    <w:rsid w:val="63321002"/>
    <w:rsid w:val="63350F04"/>
    <w:rsid w:val="633AFFA6"/>
    <w:rsid w:val="633D2A5A"/>
    <w:rsid w:val="633D4D15"/>
    <w:rsid w:val="633DC686"/>
    <w:rsid w:val="633F2225"/>
    <w:rsid w:val="6340D70A"/>
    <w:rsid w:val="6341C816"/>
    <w:rsid w:val="6342C2A1"/>
    <w:rsid w:val="63431CDA"/>
    <w:rsid w:val="63460946"/>
    <w:rsid w:val="634762EA"/>
    <w:rsid w:val="634A551D"/>
    <w:rsid w:val="6354C89E"/>
    <w:rsid w:val="635511EB"/>
    <w:rsid w:val="635607DB"/>
    <w:rsid w:val="6356E292"/>
    <w:rsid w:val="6362A425"/>
    <w:rsid w:val="63648704"/>
    <w:rsid w:val="63694BE1"/>
    <w:rsid w:val="636BD931"/>
    <w:rsid w:val="63762427"/>
    <w:rsid w:val="6376C83A"/>
    <w:rsid w:val="637C7D94"/>
    <w:rsid w:val="637F8D46"/>
    <w:rsid w:val="6380D8BB"/>
    <w:rsid w:val="6381F3CA"/>
    <w:rsid w:val="6381F5AA"/>
    <w:rsid w:val="63826852"/>
    <w:rsid w:val="63828376"/>
    <w:rsid w:val="63838AB0"/>
    <w:rsid w:val="6388E084"/>
    <w:rsid w:val="63891FA1"/>
    <w:rsid w:val="638B12D4"/>
    <w:rsid w:val="638B1FB8"/>
    <w:rsid w:val="638BFC96"/>
    <w:rsid w:val="638EED49"/>
    <w:rsid w:val="638F8327"/>
    <w:rsid w:val="6393F9A9"/>
    <w:rsid w:val="63954C20"/>
    <w:rsid w:val="639BE3DB"/>
    <w:rsid w:val="639F4AB6"/>
    <w:rsid w:val="639F6CD2"/>
    <w:rsid w:val="63A451A3"/>
    <w:rsid w:val="63A5D73B"/>
    <w:rsid w:val="63B1F8FB"/>
    <w:rsid w:val="63B5A91D"/>
    <w:rsid w:val="63BECEAC"/>
    <w:rsid w:val="63BF3667"/>
    <w:rsid w:val="63C3692A"/>
    <w:rsid w:val="63C87D71"/>
    <w:rsid w:val="63C9ABDF"/>
    <w:rsid w:val="63CE9563"/>
    <w:rsid w:val="63CFF6BC"/>
    <w:rsid w:val="63D42EDA"/>
    <w:rsid w:val="63D6B656"/>
    <w:rsid w:val="63D8C6BC"/>
    <w:rsid w:val="63DB1A01"/>
    <w:rsid w:val="63DB31C0"/>
    <w:rsid w:val="63DDFDDF"/>
    <w:rsid w:val="63DFAA93"/>
    <w:rsid w:val="63E28058"/>
    <w:rsid w:val="63E4C84B"/>
    <w:rsid w:val="63E8E658"/>
    <w:rsid w:val="63E9EAFB"/>
    <w:rsid w:val="63EA101C"/>
    <w:rsid w:val="63EC37F2"/>
    <w:rsid w:val="63EE1904"/>
    <w:rsid w:val="63EF9DAB"/>
    <w:rsid w:val="63EFA737"/>
    <w:rsid w:val="63F4125D"/>
    <w:rsid w:val="6405B9A3"/>
    <w:rsid w:val="6406D93F"/>
    <w:rsid w:val="640EA2EE"/>
    <w:rsid w:val="640EF5F2"/>
    <w:rsid w:val="64132DC4"/>
    <w:rsid w:val="6416D22A"/>
    <w:rsid w:val="64260098"/>
    <w:rsid w:val="64269409"/>
    <w:rsid w:val="6426E435"/>
    <w:rsid w:val="642A8299"/>
    <w:rsid w:val="642DB1D0"/>
    <w:rsid w:val="643FAE57"/>
    <w:rsid w:val="6440E2B7"/>
    <w:rsid w:val="644538D9"/>
    <w:rsid w:val="6449DE2A"/>
    <w:rsid w:val="644AF39E"/>
    <w:rsid w:val="64504D01"/>
    <w:rsid w:val="6453456D"/>
    <w:rsid w:val="645512E4"/>
    <w:rsid w:val="645708CF"/>
    <w:rsid w:val="645D3C47"/>
    <w:rsid w:val="645DB936"/>
    <w:rsid w:val="64620D30"/>
    <w:rsid w:val="6467D0B5"/>
    <w:rsid w:val="646B87D2"/>
    <w:rsid w:val="646F7967"/>
    <w:rsid w:val="6473C195"/>
    <w:rsid w:val="64751CCC"/>
    <w:rsid w:val="6476A373"/>
    <w:rsid w:val="647BD271"/>
    <w:rsid w:val="6482A532"/>
    <w:rsid w:val="6486657E"/>
    <w:rsid w:val="648A877E"/>
    <w:rsid w:val="648DB0BF"/>
    <w:rsid w:val="6491A1A1"/>
    <w:rsid w:val="6494EDF2"/>
    <w:rsid w:val="6495AEDE"/>
    <w:rsid w:val="64960F05"/>
    <w:rsid w:val="649803AC"/>
    <w:rsid w:val="6498AA36"/>
    <w:rsid w:val="649BC00B"/>
    <w:rsid w:val="64A40E5A"/>
    <w:rsid w:val="64AA37D8"/>
    <w:rsid w:val="64AAD2BC"/>
    <w:rsid w:val="64AC8872"/>
    <w:rsid w:val="64B16E72"/>
    <w:rsid w:val="64B2C725"/>
    <w:rsid w:val="64B37036"/>
    <w:rsid w:val="64B5F80C"/>
    <w:rsid w:val="64B8E3C8"/>
    <w:rsid w:val="64BE06FA"/>
    <w:rsid w:val="64BFFA33"/>
    <w:rsid w:val="64C2A285"/>
    <w:rsid w:val="64C6D926"/>
    <w:rsid w:val="64CB9F5B"/>
    <w:rsid w:val="64D0D8B8"/>
    <w:rsid w:val="64D14C53"/>
    <w:rsid w:val="64D27AAB"/>
    <w:rsid w:val="64DEC366"/>
    <w:rsid w:val="64E08434"/>
    <w:rsid w:val="64E1D0D0"/>
    <w:rsid w:val="64E57372"/>
    <w:rsid w:val="64E64F4C"/>
    <w:rsid w:val="64EBDCB0"/>
    <w:rsid w:val="64F00952"/>
    <w:rsid w:val="64F3A19C"/>
    <w:rsid w:val="64F3B6D8"/>
    <w:rsid w:val="64F6B015"/>
    <w:rsid w:val="64F90D57"/>
    <w:rsid w:val="64FDA60A"/>
    <w:rsid w:val="650367E9"/>
    <w:rsid w:val="650974CF"/>
    <w:rsid w:val="650E7ABC"/>
    <w:rsid w:val="651121F0"/>
    <w:rsid w:val="6514043F"/>
    <w:rsid w:val="651741AD"/>
    <w:rsid w:val="6517ED86"/>
    <w:rsid w:val="6519F1FF"/>
    <w:rsid w:val="651BF6C5"/>
    <w:rsid w:val="651BFCB9"/>
    <w:rsid w:val="651CB29A"/>
    <w:rsid w:val="6521A0FE"/>
    <w:rsid w:val="6521DC72"/>
    <w:rsid w:val="6521E371"/>
    <w:rsid w:val="65234328"/>
    <w:rsid w:val="6525D6E1"/>
    <w:rsid w:val="6525E7E5"/>
    <w:rsid w:val="652856DB"/>
    <w:rsid w:val="65288979"/>
    <w:rsid w:val="652AD38F"/>
    <w:rsid w:val="652B7D99"/>
    <w:rsid w:val="652D9BC0"/>
    <w:rsid w:val="652DF71B"/>
    <w:rsid w:val="652E88AC"/>
    <w:rsid w:val="652F8F72"/>
    <w:rsid w:val="65389DE3"/>
    <w:rsid w:val="65398DB2"/>
    <w:rsid w:val="653A9881"/>
    <w:rsid w:val="653FD3C5"/>
    <w:rsid w:val="65470173"/>
    <w:rsid w:val="654BD7BE"/>
    <w:rsid w:val="654FB9FC"/>
    <w:rsid w:val="6550AB04"/>
    <w:rsid w:val="6550EB77"/>
    <w:rsid w:val="65532E71"/>
    <w:rsid w:val="65544619"/>
    <w:rsid w:val="65582F6A"/>
    <w:rsid w:val="6559D50F"/>
    <w:rsid w:val="655AB194"/>
    <w:rsid w:val="655BF660"/>
    <w:rsid w:val="655C9923"/>
    <w:rsid w:val="65611930"/>
    <w:rsid w:val="656467A8"/>
    <w:rsid w:val="65650EFB"/>
    <w:rsid w:val="656B12C8"/>
    <w:rsid w:val="656C2AC5"/>
    <w:rsid w:val="656DC823"/>
    <w:rsid w:val="656E303C"/>
    <w:rsid w:val="656E70DC"/>
    <w:rsid w:val="6571284D"/>
    <w:rsid w:val="6572FEF6"/>
    <w:rsid w:val="657539E5"/>
    <w:rsid w:val="657D5462"/>
    <w:rsid w:val="657EA5C5"/>
    <w:rsid w:val="65842C5C"/>
    <w:rsid w:val="6585432B"/>
    <w:rsid w:val="6585871B"/>
    <w:rsid w:val="65866DEA"/>
    <w:rsid w:val="658CA554"/>
    <w:rsid w:val="658CD5F6"/>
    <w:rsid w:val="65932E5A"/>
    <w:rsid w:val="65948FAE"/>
    <w:rsid w:val="65970F80"/>
    <w:rsid w:val="659B1DAA"/>
    <w:rsid w:val="659FFB86"/>
    <w:rsid w:val="65A39FCD"/>
    <w:rsid w:val="65A3E0E9"/>
    <w:rsid w:val="65A62F83"/>
    <w:rsid w:val="65A78C87"/>
    <w:rsid w:val="65AB061A"/>
    <w:rsid w:val="65AC3125"/>
    <w:rsid w:val="65AD0C3B"/>
    <w:rsid w:val="65AFA3D4"/>
    <w:rsid w:val="65B72B1B"/>
    <w:rsid w:val="65B990F5"/>
    <w:rsid w:val="65BE69C0"/>
    <w:rsid w:val="65C37EC4"/>
    <w:rsid w:val="65C6C51D"/>
    <w:rsid w:val="65C89001"/>
    <w:rsid w:val="65CA491B"/>
    <w:rsid w:val="65CACC33"/>
    <w:rsid w:val="65CB8A44"/>
    <w:rsid w:val="65CBE366"/>
    <w:rsid w:val="65D26C77"/>
    <w:rsid w:val="65D4C149"/>
    <w:rsid w:val="65D98347"/>
    <w:rsid w:val="65E3A252"/>
    <w:rsid w:val="65E6264D"/>
    <w:rsid w:val="65E820D0"/>
    <w:rsid w:val="65ED0683"/>
    <w:rsid w:val="65EDA051"/>
    <w:rsid w:val="65F49D42"/>
    <w:rsid w:val="65F56D7C"/>
    <w:rsid w:val="65F7B3BB"/>
    <w:rsid w:val="65FF4A64"/>
    <w:rsid w:val="660358DA"/>
    <w:rsid w:val="6605F120"/>
    <w:rsid w:val="6607432C"/>
    <w:rsid w:val="66093049"/>
    <w:rsid w:val="6611564D"/>
    <w:rsid w:val="661AE543"/>
    <w:rsid w:val="661C0CB7"/>
    <w:rsid w:val="661C7C76"/>
    <w:rsid w:val="662C14CC"/>
    <w:rsid w:val="662D9C17"/>
    <w:rsid w:val="6632D8A3"/>
    <w:rsid w:val="66350401"/>
    <w:rsid w:val="66382886"/>
    <w:rsid w:val="663E0BA1"/>
    <w:rsid w:val="664C3C98"/>
    <w:rsid w:val="664CB3BD"/>
    <w:rsid w:val="664D3310"/>
    <w:rsid w:val="665212C4"/>
    <w:rsid w:val="66542FEF"/>
    <w:rsid w:val="6655A4B4"/>
    <w:rsid w:val="6655B853"/>
    <w:rsid w:val="665761B0"/>
    <w:rsid w:val="66577512"/>
    <w:rsid w:val="665CED1E"/>
    <w:rsid w:val="666122E2"/>
    <w:rsid w:val="6664350F"/>
    <w:rsid w:val="6665FBC3"/>
    <w:rsid w:val="6669773D"/>
    <w:rsid w:val="666FF543"/>
    <w:rsid w:val="6673CD8F"/>
    <w:rsid w:val="66788E01"/>
    <w:rsid w:val="6679ABFE"/>
    <w:rsid w:val="667F47F7"/>
    <w:rsid w:val="668113E3"/>
    <w:rsid w:val="6683BAFA"/>
    <w:rsid w:val="6688BB5A"/>
    <w:rsid w:val="668AF89F"/>
    <w:rsid w:val="668F0689"/>
    <w:rsid w:val="669907D2"/>
    <w:rsid w:val="66998FF7"/>
    <w:rsid w:val="669B831C"/>
    <w:rsid w:val="669D37D3"/>
    <w:rsid w:val="669E950E"/>
    <w:rsid w:val="66A52943"/>
    <w:rsid w:val="66AAEC77"/>
    <w:rsid w:val="66AC5265"/>
    <w:rsid w:val="66AD6C6B"/>
    <w:rsid w:val="66B24CAE"/>
    <w:rsid w:val="66B7B746"/>
    <w:rsid w:val="66BA7449"/>
    <w:rsid w:val="66BC36BF"/>
    <w:rsid w:val="66BD4DE9"/>
    <w:rsid w:val="66C25ACD"/>
    <w:rsid w:val="66C4F8D1"/>
    <w:rsid w:val="66C891F0"/>
    <w:rsid w:val="66C93552"/>
    <w:rsid w:val="66C97FAE"/>
    <w:rsid w:val="66CBE6D7"/>
    <w:rsid w:val="66D0F1D9"/>
    <w:rsid w:val="66D3AE50"/>
    <w:rsid w:val="66D5F0B3"/>
    <w:rsid w:val="66D75DD4"/>
    <w:rsid w:val="66E08E84"/>
    <w:rsid w:val="66E1358B"/>
    <w:rsid w:val="66E5C742"/>
    <w:rsid w:val="66E81E98"/>
    <w:rsid w:val="66EA6F7F"/>
    <w:rsid w:val="66EBFF51"/>
    <w:rsid w:val="66EDD3B5"/>
    <w:rsid w:val="66F15501"/>
    <w:rsid w:val="66F39540"/>
    <w:rsid w:val="66FA6430"/>
    <w:rsid w:val="66FFC70D"/>
    <w:rsid w:val="6701AF6D"/>
    <w:rsid w:val="67025D07"/>
    <w:rsid w:val="6707C63B"/>
    <w:rsid w:val="67085372"/>
    <w:rsid w:val="670B9584"/>
    <w:rsid w:val="670BE4C0"/>
    <w:rsid w:val="670D5E86"/>
    <w:rsid w:val="670D7B61"/>
    <w:rsid w:val="670FAD43"/>
    <w:rsid w:val="671443B5"/>
    <w:rsid w:val="6715EE1D"/>
    <w:rsid w:val="6716C947"/>
    <w:rsid w:val="671D81E1"/>
    <w:rsid w:val="672203C1"/>
    <w:rsid w:val="672500D2"/>
    <w:rsid w:val="67256073"/>
    <w:rsid w:val="672790CE"/>
    <w:rsid w:val="672D3A81"/>
    <w:rsid w:val="672D4E06"/>
    <w:rsid w:val="6732E1AA"/>
    <w:rsid w:val="67350D74"/>
    <w:rsid w:val="6737521D"/>
    <w:rsid w:val="673AB44A"/>
    <w:rsid w:val="673CB075"/>
    <w:rsid w:val="673D1657"/>
    <w:rsid w:val="67489C60"/>
    <w:rsid w:val="674C44A2"/>
    <w:rsid w:val="6756CDB6"/>
    <w:rsid w:val="675A609A"/>
    <w:rsid w:val="675FBFE2"/>
    <w:rsid w:val="675FC672"/>
    <w:rsid w:val="676A6685"/>
    <w:rsid w:val="676D47F8"/>
    <w:rsid w:val="676D4870"/>
    <w:rsid w:val="676E0FB0"/>
    <w:rsid w:val="67796A98"/>
    <w:rsid w:val="677A6577"/>
    <w:rsid w:val="677B2B4C"/>
    <w:rsid w:val="677C705D"/>
    <w:rsid w:val="677FED07"/>
    <w:rsid w:val="6784697E"/>
    <w:rsid w:val="6784F23E"/>
    <w:rsid w:val="6789AAE8"/>
    <w:rsid w:val="6792179B"/>
    <w:rsid w:val="67932F34"/>
    <w:rsid w:val="679358DD"/>
    <w:rsid w:val="67940E01"/>
    <w:rsid w:val="6794B78A"/>
    <w:rsid w:val="67951BCD"/>
    <w:rsid w:val="679557A8"/>
    <w:rsid w:val="67956BEC"/>
    <w:rsid w:val="6796C272"/>
    <w:rsid w:val="67980699"/>
    <w:rsid w:val="67999628"/>
    <w:rsid w:val="6799EAF6"/>
    <w:rsid w:val="679A7D22"/>
    <w:rsid w:val="679EC98C"/>
    <w:rsid w:val="679F6210"/>
    <w:rsid w:val="679FF31F"/>
    <w:rsid w:val="67A1C701"/>
    <w:rsid w:val="67A31D3B"/>
    <w:rsid w:val="67A4F128"/>
    <w:rsid w:val="67A63AA5"/>
    <w:rsid w:val="67A6F4F8"/>
    <w:rsid w:val="67A866CE"/>
    <w:rsid w:val="67B0103B"/>
    <w:rsid w:val="67B36496"/>
    <w:rsid w:val="67B41223"/>
    <w:rsid w:val="67B45721"/>
    <w:rsid w:val="67B46E4A"/>
    <w:rsid w:val="67B777F0"/>
    <w:rsid w:val="67B93785"/>
    <w:rsid w:val="67BA9D5F"/>
    <w:rsid w:val="67BAB390"/>
    <w:rsid w:val="67BCB640"/>
    <w:rsid w:val="67C1021E"/>
    <w:rsid w:val="67C36C60"/>
    <w:rsid w:val="67C48525"/>
    <w:rsid w:val="67C8600C"/>
    <w:rsid w:val="67C949B2"/>
    <w:rsid w:val="67CC5C06"/>
    <w:rsid w:val="67CC7AD2"/>
    <w:rsid w:val="67CD2E14"/>
    <w:rsid w:val="67CF4259"/>
    <w:rsid w:val="67D6A9C8"/>
    <w:rsid w:val="67D74BF3"/>
    <w:rsid w:val="67DAA2CA"/>
    <w:rsid w:val="67DD20A2"/>
    <w:rsid w:val="67ECA7B6"/>
    <w:rsid w:val="67EFCD79"/>
    <w:rsid w:val="67F0C398"/>
    <w:rsid w:val="67F523DF"/>
    <w:rsid w:val="67F5F03C"/>
    <w:rsid w:val="67F5F069"/>
    <w:rsid w:val="68187DCC"/>
    <w:rsid w:val="681C0C23"/>
    <w:rsid w:val="682090E9"/>
    <w:rsid w:val="6830DFC6"/>
    <w:rsid w:val="6832C683"/>
    <w:rsid w:val="683662A2"/>
    <w:rsid w:val="6839AE55"/>
    <w:rsid w:val="68400DC5"/>
    <w:rsid w:val="68414473"/>
    <w:rsid w:val="6845A0AC"/>
    <w:rsid w:val="684698F9"/>
    <w:rsid w:val="6849DFB1"/>
    <w:rsid w:val="684BD6C4"/>
    <w:rsid w:val="68509002"/>
    <w:rsid w:val="6851A66D"/>
    <w:rsid w:val="6855EC17"/>
    <w:rsid w:val="6857467D"/>
    <w:rsid w:val="6859C159"/>
    <w:rsid w:val="685AB9C9"/>
    <w:rsid w:val="685B9069"/>
    <w:rsid w:val="685C0626"/>
    <w:rsid w:val="685C7BB8"/>
    <w:rsid w:val="685CA9F9"/>
    <w:rsid w:val="685F015C"/>
    <w:rsid w:val="686AF206"/>
    <w:rsid w:val="686BB48D"/>
    <w:rsid w:val="686C478D"/>
    <w:rsid w:val="686DC828"/>
    <w:rsid w:val="68702064"/>
    <w:rsid w:val="68708666"/>
    <w:rsid w:val="6871A713"/>
    <w:rsid w:val="6872DDB2"/>
    <w:rsid w:val="6875F08F"/>
    <w:rsid w:val="687C1D07"/>
    <w:rsid w:val="687C6222"/>
    <w:rsid w:val="687FB710"/>
    <w:rsid w:val="6880993E"/>
    <w:rsid w:val="688236FB"/>
    <w:rsid w:val="68838A43"/>
    <w:rsid w:val="6885386F"/>
    <w:rsid w:val="688E22A4"/>
    <w:rsid w:val="688E4FAA"/>
    <w:rsid w:val="68935855"/>
    <w:rsid w:val="6899C77E"/>
    <w:rsid w:val="68AA207E"/>
    <w:rsid w:val="68AF99E4"/>
    <w:rsid w:val="68B05770"/>
    <w:rsid w:val="68B2869C"/>
    <w:rsid w:val="68B82E2D"/>
    <w:rsid w:val="68BF689E"/>
    <w:rsid w:val="68C23318"/>
    <w:rsid w:val="68C8F04D"/>
    <w:rsid w:val="68CA210C"/>
    <w:rsid w:val="68CE11D3"/>
    <w:rsid w:val="68D0873C"/>
    <w:rsid w:val="68D2157D"/>
    <w:rsid w:val="68D99A69"/>
    <w:rsid w:val="68E14271"/>
    <w:rsid w:val="68E1C213"/>
    <w:rsid w:val="68E20828"/>
    <w:rsid w:val="68E4BA0C"/>
    <w:rsid w:val="68E58CCF"/>
    <w:rsid w:val="68E662A9"/>
    <w:rsid w:val="68EB1951"/>
    <w:rsid w:val="68F2D7F6"/>
    <w:rsid w:val="68FAC7D2"/>
    <w:rsid w:val="68FBE195"/>
    <w:rsid w:val="6900065B"/>
    <w:rsid w:val="690442AF"/>
    <w:rsid w:val="690D9D47"/>
    <w:rsid w:val="690E1C36"/>
    <w:rsid w:val="690E79A7"/>
    <w:rsid w:val="690F1F05"/>
    <w:rsid w:val="6910B9EF"/>
    <w:rsid w:val="6913C124"/>
    <w:rsid w:val="691579FA"/>
    <w:rsid w:val="691582CA"/>
    <w:rsid w:val="6915EF0E"/>
    <w:rsid w:val="6917F587"/>
    <w:rsid w:val="69184BCD"/>
    <w:rsid w:val="6918763C"/>
    <w:rsid w:val="69188E55"/>
    <w:rsid w:val="691D65C2"/>
    <w:rsid w:val="6921494A"/>
    <w:rsid w:val="6922328F"/>
    <w:rsid w:val="692EDDD1"/>
    <w:rsid w:val="6932122D"/>
    <w:rsid w:val="693F0AA3"/>
    <w:rsid w:val="69418D62"/>
    <w:rsid w:val="69419430"/>
    <w:rsid w:val="694B771E"/>
    <w:rsid w:val="694DED51"/>
    <w:rsid w:val="695228F0"/>
    <w:rsid w:val="6954D98A"/>
    <w:rsid w:val="6955D162"/>
    <w:rsid w:val="6958202C"/>
    <w:rsid w:val="6958A566"/>
    <w:rsid w:val="695D852A"/>
    <w:rsid w:val="695F4CDE"/>
    <w:rsid w:val="69610DDD"/>
    <w:rsid w:val="6961F0FE"/>
    <w:rsid w:val="6966834F"/>
    <w:rsid w:val="6966E21A"/>
    <w:rsid w:val="6968F305"/>
    <w:rsid w:val="696912C8"/>
    <w:rsid w:val="6969398A"/>
    <w:rsid w:val="696F9689"/>
    <w:rsid w:val="69716244"/>
    <w:rsid w:val="69740B35"/>
    <w:rsid w:val="697CA494"/>
    <w:rsid w:val="6982BBBE"/>
    <w:rsid w:val="698461D9"/>
    <w:rsid w:val="6987CCBC"/>
    <w:rsid w:val="698E137B"/>
    <w:rsid w:val="6991E2F3"/>
    <w:rsid w:val="69943FCD"/>
    <w:rsid w:val="6994ADE3"/>
    <w:rsid w:val="699641EE"/>
    <w:rsid w:val="6997657E"/>
    <w:rsid w:val="69A187CE"/>
    <w:rsid w:val="69A60D20"/>
    <w:rsid w:val="69AB7E41"/>
    <w:rsid w:val="69AC433F"/>
    <w:rsid w:val="69ADCF0F"/>
    <w:rsid w:val="69AF353A"/>
    <w:rsid w:val="69B6BFFA"/>
    <w:rsid w:val="69BB7284"/>
    <w:rsid w:val="69BBD12B"/>
    <w:rsid w:val="69BC3D22"/>
    <w:rsid w:val="69C955E7"/>
    <w:rsid w:val="69CC5C9E"/>
    <w:rsid w:val="69D1C78B"/>
    <w:rsid w:val="69D45DBB"/>
    <w:rsid w:val="69D46636"/>
    <w:rsid w:val="69D526FE"/>
    <w:rsid w:val="69D6C2CE"/>
    <w:rsid w:val="69D91A1C"/>
    <w:rsid w:val="69DA6F06"/>
    <w:rsid w:val="69DD707A"/>
    <w:rsid w:val="69DFD212"/>
    <w:rsid w:val="69E01CFA"/>
    <w:rsid w:val="69E2F720"/>
    <w:rsid w:val="69E48DA6"/>
    <w:rsid w:val="69E999E2"/>
    <w:rsid w:val="69E9B5E3"/>
    <w:rsid w:val="69EB19BF"/>
    <w:rsid w:val="69EFA9C1"/>
    <w:rsid w:val="69F05DF9"/>
    <w:rsid w:val="69F2E40D"/>
    <w:rsid w:val="69FCF0C3"/>
    <w:rsid w:val="6A0023F0"/>
    <w:rsid w:val="6A01BA97"/>
    <w:rsid w:val="6A023798"/>
    <w:rsid w:val="6A0327FC"/>
    <w:rsid w:val="6A052269"/>
    <w:rsid w:val="6A056997"/>
    <w:rsid w:val="6A06B7CF"/>
    <w:rsid w:val="6A07F8AF"/>
    <w:rsid w:val="6A0C05AE"/>
    <w:rsid w:val="6A0D38A4"/>
    <w:rsid w:val="6A0D5363"/>
    <w:rsid w:val="6A12ADFE"/>
    <w:rsid w:val="6A13E23D"/>
    <w:rsid w:val="6A152C2F"/>
    <w:rsid w:val="6A178C58"/>
    <w:rsid w:val="6A1E4E19"/>
    <w:rsid w:val="6A1E96F4"/>
    <w:rsid w:val="6A202D6F"/>
    <w:rsid w:val="6A209A61"/>
    <w:rsid w:val="6A250D5B"/>
    <w:rsid w:val="6A25A014"/>
    <w:rsid w:val="6A2863E3"/>
    <w:rsid w:val="6A298B58"/>
    <w:rsid w:val="6A2D0904"/>
    <w:rsid w:val="6A318DA9"/>
    <w:rsid w:val="6A3193A9"/>
    <w:rsid w:val="6A3AFB81"/>
    <w:rsid w:val="6A3BF825"/>
    <w:rsid w:val="6A406344"/>
    <w:rsid w:val="6A43B830"/>
    <w:rsid w:val="6A463334"/>
    <w:rsid w:val="6A46592B"/>
    <w:rsid w:val="6A493860"/>
    <w:rsid w:val="6A4D7131"/>
    <w:rsid w:val="6A4E527B"/>
    <w:rsid w:val="6A4F47E8"/>
    <w:rsid w:val="6A54BD1B"/>
    <w:rsid w:val="6A56EDA6"/>
    <w:rsid w:val="6A579818"/>
    <w:rsid w:val="6A5AB320"/>
    <w:rsid w:val="6A5B84DA"/>
    <w:rsid w:val="6A5D59CF"/>
    <w:rsid w:val="6A66284D"/>
    <w:rsid w:val="6A690F98"/>
    <w:rsid w:val="6A6956CF"/>
    <w:rsid w:val="6A6D1F6B"/>
    <w:rsid w:val="6A71CCE7"/>
    <w:rsid w:val="6A7263DC"/>
    <w:rsid w:val="6A78056F"/>
    <w:rsid w:val="6A782A28"/>
    <w:rsid w:val="6A79BFC3"/>
    <w:rsid w:val="6A7A0500"/>
    <w:rsid w:val="6A7E357E"/>
    <w:rsid w:val="6A82E10D"/>
    <w:rsid w:val="6A82F1CA"/>
    <w:rsid w:val="6A865CD2"/>
    <w:rsid w:val="6A8D0A21"/>
    <w:rsid w:val="6A8DA758"/>
    <w:rsid w:val="6A90AE7F"/>
    <w:rsid w:val="6A91B3BC"/>
    <w:rsid w:val="6A944616"/>
    <w:rsid w:val="6A9607F8"/>
    <w:rsid w:val="6A9A9020"/>
    <w:rsid w:val="6A9C860B"/>
    <w:rsid w:val="6A9CAFE2"/>
    <w:rsid w:val="6A9FB885"/>
    <w:rsid w:val="6AA0A53B"/>
    <w:rsid w:val="6AA120E4"/>
    <w:rsid w:val="6AA4B6B3"/>
    <w:rsid w:val="6AA8CC05"/>
    <w:rsid w:val="6AABC2F2"/>
    <w:rsid w:val="6AACFFD0"/>
    <w:rsid w:val="6AAED57E"/>
    <w:rsid w:val="6AB2B8FB"/>
    <w:rsid w:val="6ABC75A7"/>
    <w:rsid w:val="6AC3A5FF"/>
    <w:rsid w:val="6AC40D7B"/>
    <w:rsid w:val="6AC67F54"/>
    <w:rsid w:val="6AC8A6B6"/>
    <w:rsid w:val="6AD32F7B"/>
    <w:rsid w:val="6AD60B3F"/>
    <w:rsid w:val="6AD89FB3"/>
    <w:rsid w:val="6ADA11FB"/>
    <w:rsid w:val="6ADF8159"/>
    <w:rsid w:val="6AE2EFB5"/>
    <w:rsid w:val="6AE3A52E"/>
    <w:rsid w:val="6AEA3BCD"/>
    <w:rsid w:val="6AEBE21D"/>
    <w:rsid w:val="6AEF9589"/>
    <w:rsid w:val="6AFAA631"/>
    <w:rsid w:val="6AFE5FA4"/>
    <w:rsid w:val="6B02E0D7"/>
    <w:rsid w:val="6B11D7CC"/>
    <w:rsid w:val="6B15681E"/>
    <w:rsid w:val="6B17C94B"/>
    <w:rsid w:val="6B1B0259"/>
    <w:rsid w:val="6B1BC5AC"/>
    <w:rsid w:val="6B213CBA"/>
    <w:rsid w:val="6B222988"/>
    <w:rsid w:val="6B23E000"/>
    <w:rsid w:val="6B2896A2"/>
    <w:rsid w:val="6B29A392"/>
    <w:rsid w:val="6B29D22F"/>
    <w:rsid w:val="6B2EDF25"/>
    <w:rsid w:val="6B3058F2"/>
    <w:rsid w:val="6B31EE1D"/>
    <w:rsid w:val="6B32F940"/>
    <w:rsid w:val="6B341E92"/>
    <w:rsid w:val="6B342E7B"/>
    <w:rsid w:val="6B363C81"/>
    <w:rsid w:val="6B370F3C"/>
    <w:rsid w:val="6B3C5B96"/>
    <w:rsid w:val="6B42AD68"/>
    <w:rsid w:val="6B42B083"/>
    <w:rsid w:val="6B42F637"/>
    <w:rsid w:val="6B4501F7"/>
    <w:rsid w:val="6B458AA8"/>
    <w:rsid w:val="6B45D7C8"/>
    <w:rsid w:val="6B4893FC"/>
    <w:rsid w:val="6B4AFEA5"/>
    <w:rsid w:val="6B4DE34A"/>
    <w:rsid w:val="6B4DFE95"/>
    <w:rsid w:val="6B4EA56A"/>
    <w:rsid w:val="6B53B26B"/>
    <w:rsid w:val="6B5A7AE3"/>
    <w:rsid w:val="6B5FF42A"/>
    <w:rsid w:val="6B61BB36"/>
    <w:rsid w:val="6B620109"/>
    <w:rsid w:val="6B6405E0"/>
    <w:rsid w:val="6B6AE757"/>
    <w:rsid w:val="6B6D5444"/>
    <w:rsid w:val="6B6F8718"/>
    <w:rsid w:val="6B70DDA7"/>
    <w:rsid w:val="6B71BFA6"/>
    <w:rsid w:val="6B72E4FA"/>
    <w:rsid w:val="6B7A5F63"/>
    <w:rsid w:val="6B7AB6FE"/>
    <w:rsid w:val="6B7B2F76"/>
    <w:rsid w:val="6B7B55AD"/>
    <w:rsid w:val="6B7B7B96"/>
    <w:rsid w:val="6B7DF599"/>
    <w:rsid w:val="6B809E94"/>
    <w:rsid w:val="6B84DB8C"/>
    <w:rsid w:val="6B9074B2"/>
    <w:rsid w:val="6B91CEE9"/>
    <w:rsid w:val="6B925579"/>
    <w:rsid w:val="6B94047A"/>
    <w:rsid w:val="6B95FEB2"/>
    <w:rsid w:val="6B97985F"/>
    <w:rsid w:val="6B999583"/>
    <w:rsid w:val="6B9A3FA6"/>
    <w:rsid w:val="6B9A8B40"/>
    <w:rsid w:val="6B9ED782"/>
    <w:rsid w:val="6BA92837"/>
    <w:rsid w:val="6BADC240"/>
    <w:rsid w:val="6BB0EB05"/>
    <w:rsid w:val="6BB1ACE5"/>
    <w:rsid w:val="6BB331A8"/>
    <w:rsid w:val="6BB66365"/>
    <w:rsid w:val="6BB6C07C"/>
    <w:rsid w:val="6BBEBBD1"/>
    <w:rsid w:val="6BBF74E0"/>
    <w:rsid w:val="6BC13728"/>
    <w:rsid w:val="6BC54ACB"/>
    <w:rsid w:val="6BCA92C4"/>
    <w:rsid w:val="6BCE48C5"/>
    <w:rsid w:val="6BCE7D7A"/>
    <w:rsid w:val="6BCF6D73"/>
    <w:rsid w:val="6BD29016"/>
    <w:rsid w:val="6BD62688"/>
    <w:rsid w:val="6BD6B24B"/>
    <w:rsid w:val="6BD70C8A"/>
    <w:rsid w:val="6BDDAE48"/>
    <w:rsid w:val="6BE656D7"/>
    <w:rsid w:val="6BE7EA6E"/>
    <w:rsid w:val="6BE9537B"/>
    <w:rsid w:val="6BEAD25C"/>
    <w:rsid w:val="6BEC2A34"/>
    <w:rsid w:val="6BEC9429"/>
    <w:rsid w:val="6BECF0E1"/>
    <w:rsid w:val="6BF09475"/>
    <w:rsid w:val="6BF73EE8"/>
    <w:rsid w:val="6BF940BD"/>
    <w:rsid w:val="6BF97A10"/>
    <w:rsid w:val="6C05137D"/>
    <w:rsid w:val="6C0566F5"/>
    <w:rsid w:val="6C05AE9D"/>
    <w:rsid w:val="6C07D37B"/>
    <w:rsid w:val="6C09FCC3"/>
    <w:rsid w:val="6C0C89EC"/>
    <w:rsid w:val="6C0EFF09"/>
    <w:rsid w:val="6C14865A"/>
    <w:rsid w:val="6C16011F"/>
    <w:rsid w:val="6C1700C3"/>
    <w:rsid w:val="6C172180"/>
    <w:rsid w:val="6C1C4AA6"/>
    <w:rsid w:val="6C1CA5C5"/>
    <w:rsid w:val="6C213171"/>
    <w:rsid w:val="6C217786"/>
    <w:rsid w:val="6C2850FA"/>
    <w:rsid w:val="6C29F1A3"/>
    <w:rsid w:val="6C2EF151"/>
    <w:rsid w:val="6C32B095"/>
    <w:rsid w:val="6C348A87"/>
    <w:rsid w:val="6C34B052"/>
    <w:rsid w:val="6C3632FD"/>
    <w:rsid w:val="6C38C485"/>
    <w:rsid w:val="6C3DCC30"/>
    <w:rsid w:val="6C3FC3A9"/>
    <w:rsid w:val="6C403771"/>
    <w:rsid w:val="6C42A30B"/>
    <w:rsid w:val="6C451037"/>
    <w:rsid w:val="6C45F612"/>
    <w:rsid w:val="6C46A7AA"/>
    <w:rsid w:val="6C4E60A9"/>
    <w:rsid w:val="6C508FB5"/>
    <w:rsid w:val="6C5433B4"/>
    <w:rsid w:val="6C572046"/>
    <w:rsid w:val="6C5A8CA5"/>
    <w:rsid w:val="6C5E7953"/>
    <w:rsid w:val="6C5ECAC7"/>
    <w:rsid w:val="6C633021"/>
    <w:rsid w:val="6C641F3D"/>
    <w:rsid w:val="6C65BB33"/>
    <w:rsid w:val="6C675BAB"/>
    <w:rsid w:val="6C6BAC6A"/>
    <w:rsid w:val="6C6C83A7"/>
    <w:rsid w:val="6C6F96F9"/>
    <w:rsid w:val="6C7376E9"/>
    <w:rsid w:val="6C763672"/>
    <w:rsid w:val="6C79B45B"/>
    <w:rsid w:val="6C7B1800"/>
    <w:rsid w:val="6C7E03F4"/>
    <w:rsid w:val="6C7FE22C"/>
    <w:rsid w:val="6C8045FA"/>
    <w:rsid w:val="6C808E25"/>
    <w:rsid w:val="6C85EB20"/>
    <w:rsid w:val="6C897E0E"/>
    <w:rsid w:val="6C8C3648"/>
    <w:rsid w:val="6C8CB55B"/>
    <w:rsid w:val="6C8E0FB8"/>
    <w:rsid w:val="6C8E2F29"/>
    <w:rsid w:val="6C9064C4"/>
    <w:rsid w:val="6C90C46C"/>
    <w:rsid w:val="6C91D222"/>
    <w:rsid w:val="6C93ABD3"/>
    <w:rsid w:val="6C997073"/>
    <w:rsid w:val="6C9CF38E"/>
    <w:rsid w:val="6C9DBF0E"/>
    <w:rsid w:val="6CA1E99D"/>
    <w:rsid w:val="6CA1F88E"/>
    <w:rsid w:val="6CAA338F"/>
    <w:rsid w:val="6CAD2571"/>
    <w:rsid w:val="6CAD2A9C"/>
    <w:rsid w:val="6CB0231D"/>
    <w:rsid w:val="6CB69F79"/>
    <w:rsid w:val="6CB75B20"/>
    <w:rsid w:val="6CBBE6B1"/>
    <w:rsid w:val="6CBEF974"/>
    <w:rsid w:val="6CC01099"/>
    <w:rsid w:val="6CC13F43"/>
    <w:rsid w:val="6CC2685E"/>
    <w:rsid w:val="6CC6DD0A"/>
    <w:rsid w:val="6CC7A95B"/>
    <w:rsid w:val="6CC7C533"/>
    <w:rsid w:val="6CC9BA5A"/>
    <w:rsid w:val="6CCB9A1E"/>
    <w:rsid w:val="6CCFAD69"/>
    <w:rsid w:val="6CCFF670"/>
    <w:rsid w:val="6CD03BD5"/>
    <w:rsid w:val="6CD3391F"/>
    <w:rsid w:val="6CD57BFC"/>
    <w:rsid w:val="6CD59300"/>
    <w:rsid w:val="6CDEDA3A"/>
    <w:rsid w:val="6CE3CFCE"/>
    <w:rsid w:val="6CE488E8"/>
    <w:rsid w:val="6CE516DF"/>
    <w:rsid w:val="6CE5DACC"/>
    <w:rsid w:val="6CE6BFC8"/>
    <w:rsid w:val="6CE984FB"/>
    <w:rsid w:val="6CED1A08"/>
    <w:rsid w:val="6CEDAB46"/>
    <w:rsid w:val="6CFC200C"/>
    <w:rsid w:val="6CFD4AEC"/>
    <w:rsid w:val="6D00FF41"/>
    <w:rsid w:val="6D029EF2"/>
    <w:rsid w:val="6D057CD7"/>
    <w:rsid w:val="6D0D70F0"/>
    <w:rsid w:val="6D11E110"/>
    <w:rsid w:val="6D154780"/>
    <w:rsid w:val="6D16598A"/>
    <w:rsid w:val="6D16BA1B"/>
    <w:rsid w:val="6D1947D5"/>
    <w:rsid w:val="6D1B6E5B"/>
    <w:rsid w:val="6D1D0E7D"/>
    <w:rsid w:val="6D1F9DE4"/>
    <w:rsid w:val="6D20228B"/>
    <w:rsid w:val="6D2416EE"/>
    <w:rsid w:val="6D27B7DD"/>
    <w:rsid w:val="6D334ADD"/>
    <w:rsid w:val="6D341BD8"/>
    <w:rsid w:val="6D34AB25"/>
    <w:rsid w:val="6D3E90EF"/>
    <w:rsid w:val="6D3EDDB6"/>
    <w:rsid w:val="6D412CCE"/>
    <w:rsid w:val="6D428B2E"/>
    <w:rsid w:val="6D42F8EF"/>
    <w:rsid w:val="6D49F336"/>
    <w:rsid w:val="6D4C068B"/>
    <w:rsid w:val="6D4F501B"/>
    <w:rsid w:val="6D53374C"/>
    <w:rsid w:val="6D5465C7"/>
    <w:rsid w:val="6D59DAD9"/>
    <w:rsid w:val="6D63E7CE"/>
    <w:rsid w:val="6D77188C"/>
    <w:rsid w:val="6D79C4D2"/>
    <w:rsid w:val="6D7BFD47"/>
    <w:rsid w:val="6D7FFE53"/>
    <w:rsid w:val="6D8387AB"/>
    <w:rsid w:val="6D8CF0ED"/>
    <w:rsid w:val="6D92220C"/>
    <w:rsid w:val="6D977AA1"/>
    <w:rsid w:val="6D9D6554"/>
    <w:rsid w:val="6D9E46AE"/>
    <w:rsid w:val="6D9F2BC9"/>
    <w:rsid w:val="6DA16B20"/>
    <w:rsid w:val="6DA2CD7B"/>
    <w:rsid w:val="6DA2DDDD"/>
    <w:rsid w:val="6DA31D10"/>
    <w:rsid w:val="6DA3726B"/>
    <w:rsid w:val="6DA9F703"/>
    <w:rsid w:val="6DAA6AA5"/>
    <w:rsid w:val="6DAE54C4"/>
    <w:rsid w:val="6DAFB2FE"/>
    <w:rsid w:val="6DB30423"/>
    <w:rsid w:val="6DB68C4D"/>
    <w:rsid w:val="6DB783FE"/>
    <w:rsid w:val="6DB7EBEC"/>
    <w:rsid w:val="6DB91B7A"/>
    <w:rsid w:val="6DBD20BC"/>
    <w:rsid w:val="6DBD4D8C"/>
    <w:rsid w:val="6DC113D2"/>
    <w:rsid w:val="6DC39C33"/>
    <w:rsid w:val="6DC3D85F"/>
    <w:rsid w:val="6DD21F92"/>
    <w:rsid w:val="6DD41E45"/>
    <w:rsid w:val="6DD6F185"/>
    <w:rsid w:val="6DDDCF9B"/>
    <w:rsid w:val="6DDFF2C3"/>
    <w:rsid w:val="6DE3AAD8"/>
    <w:rsid w:val="6DE516AB"/>
    <w:rsid w:val="6DE51DC6"/>
    <w:rsid w:val="6DE943BB"/>
    <w:rsid w:val="6DF29CDC"/>
    <w:rsid w:val="6DF8387B"/>
    <w:rsid w:val="6DFFDE97"/>
    <w:rsid w:val="6E02F4E6"/>
    <w:rsid w:val="6E03E3F1"/>
    <w:rsid w:val="6E0DC638"/>
    <w:rsid w:val="6E127BF6"/>
    <w:rsid w:val="6E1E31BC"/>
    <w:rsid w:val="6E256E51"/>
    <w:rsid w:val="6E268289"/>
    <w:rsid w:val="6E2DBC2F"/>
    <w:rsid w:val="6E2E1492"/>
    <w:rsid w:val="6E3153C6"/>
    <w:rsid w:val="6E32B124"/>
    <w:rsid w:val="6E357ACC"/>
    <w:rsid w:val="6E4678E6"/>
    <w:rsid w:val="6E46DF2C"/>
    <w:rsid w:val="6E47093C"/>
    <w:rsid w:val="6E48774E"/>
    <w:rsid w:val="6E4A7F85"/>
    <w:rsid w:val="6E515DBA"/>
    <w:rsid w:val="6E5421E1"/>
    <w:rsid w:val="6E54C0FE"/>
    <w:rsid w:val="6E5A7252"/>
    <w:rsid w:val="6E61A17D"/>
    <w:rsid w:val="6E627BC3"/>
    <w:rsid w:val="6E6A7042"/>
    <w:rsid w:val="6E726824"/>
    <w:rsid w:val="6E7391A6"/>
    <w:rsid w:val="6E75592E"/>
    <w:rsid w:val="6E78B453"/>
    <w:rsid w:val="6E792EB1"/>
    <w:rsid w:val="6E7C0CE8"/>
    <w:rsid w:val="6E7FA82E"/>
    <w:rsid w:val="6E8B9579"/>
    <w:rsid w:val="6E90168C"/>
    <w:rsid w:val="6E9063B8"/>
    <w:rsid w:val="6E92FBC8"/>
    <w:rsid w:val="6E942714"/>
    <w:rsid w:val="6E945982"/>
    <w:rsid w:val="6E960229"/>
    <w:rsid w:val="6E9B4266"/>
    <w:rsid w:val="6E9C08AB"/>
    <w:rsid w:val="6E9C9F9F"/>
    <w:rsid w:val="6E9CE381"/>
    <w:rsid w:val="6EA05626"/>
    <w:rsid w:val="6EA29339"/>
    <w:rsid w:val="6EA56C9E"/>
    <w:rsid w:val="6EA6DC9A"/>
    <w:rsid w:val="6EA70191"/>
    <w:rsid w:val="6EAA6E78"/>
    <w:rsid w:val="6EAC9822"/>
    <w:rsid w:val="6EAF61B1"/>
    <w:rsid w:val="6EB1E234"/>
    <w:rsid w:val="6EB24D3A"/>
    <w:rsid w:val="6EB3816A"/>
    <w:rsid w:val="6EB6AE87"/>
    <w:rsid w:val="6EB8C864"/>
    <w:rsid w:val="6EB9070E"/>
    <w:rsid w:val="6EBB10E6"/>
    <w:rsid w:val="6EBC5E79"/>
    <w:rsid w:val="6EBC80A9"/>
    <w:rsid w:val="6EBF4B0A"/>
    <w:rsid w:val="6EBF516F"/>
    <w:rsid w:val="6EC34EF2"/>
    <w:rsid w:val="6EC496A3"/>
    <w:rsid w:val="6EC952C2"/>
    <w:rsid w:val="6ECB1581"/>
    <w:rsid w:val="6ECC4827"/>
    <w:rsid w:val="6ED7E1E3"/>
    <w:rsid w:val="6ED9EE1E"/>
    <w:rsid w:val="6EDA51C7"/>
    <w:rsid w:val="6EDD8877"/>
    <w:rsid w:val="6EE163BD"/>
    <w:rsid w:val="6EE241E7"/>
    <w:rsid w:val="6EE3B8D2"/>
    <w:rsid w:val="6EE4C393"/>
    <w:rsid w:val="6EEFEB4C"/>
    <w:rsid w:val="6EF0DA9A"/>
    <w:rsid w:val="6EF51480"/>
    <w:rsid w:val="6EF59A33"/>
    <w:rsid w:val="6EFBAAF6"/>
    <w:rsid w:val="6EFC00C1"/>
    <w:rsid w:val="6EFC7E0A"/>
    <w:rsid w:val="6EFFEDD8"/>
    <w:rsid w:val="6F00ACC6"/>
    <w:rsid w:val="6F01AEB9"/>
    <w:rsid w:val="6F08770F"/>
    <w:rsid w:val="6F0F6559"/>
    <w:rsid w:val="6F2198F3"/>
    <w:rsid w:val="6F2986F2"/>
    <w:rsid w:val="6F2B6CC9"/>
    <w:rsid w:val="6F2F9717"/>
    <w:rsid w:val="6F3681D6"/>
    <w:rsid w:val="6F3987F0"/>
    <w:rsid w:val="6F3D8ACB"/>
    <w:rsid w:val="6F3E9DDC"/>
    <w:rsid w:val="6F3EAE3E"/>
    <w:rsid w:val="6F3F53F9"/>
    <w:rsid w:val="6F3F7767"/>
    <w:rsid w:val="6F3FDDCE"/>
    <w:rsid w:val="6F486C4A"/>
    <w:rsid w:val="6F5498F1"/>
    <w:rsid w:val="6F565AC4"/>
    <w:rsid w:val="6F573094"/>
    <w:rsid w:val="6F58277B"/>
    <w:rsid w:val="6F584BCD"/>
    <w:rsid w:val="6F5D7BB2"/>
    <w:rsid w:val="6F5EFCFB"/>
    <w:rsid w:val="6F617BB4"/>
    <w:rsid w:val="6F680AC8"/>
    <w:rsid w:val="6F69B490"/>
    <w:rsid w:val="6F6E8F37"/>
    <w:rsid w:val="6F76F1E6"/>
    <w:rsid w:val="6F783307"/>
    <w:rsid w:val="6F7A3690"/>
    <w:rsid w:val="6F7AB87E"/>
    <w:rsid w:val="6F7C69F5"/>
    <w:rsid w:val="6F7F0408"/>
    <w:rsid w:val="6F828E08"/>
    <w:rsid w:val="6F8A8C34"/>
    <w:rsid w:val="6F8B8118"/>
    <w:rsid w:val="6F8C6C7B"/>
    <w:rsid w:val="6F8D05C3"/>
    <w:rsid w:val="6F9137F5"/>
    <w:rsid w:val="6F94860C"/>
    <w:rsid w:val="6F982228"/>
    <w:rsid w:val="6F9B0E98"/>
    <w:rsid w:val="6FA52A5E"/>
    <w:rsid w:val="6FA5A035"/>
    <w:rsid w:val="6FA72C17"/>
    <w:rsid w:val="6FA75E57"/>
    <w:rsid w:val="6FAB27DD"/>
    <w:rsid w:val="6FAD8210"/>
    <w:rsid w:val="6FB103E4"/>
    <w:rsid w:val="6FB1AF57"/>
    <w:rsid w:val="6FB8673D"/>
    <w:rsid w:val="6FBF6C1F"/>
    <w:rsid w:val="6FC10E6E"/>
    <w:rsid w:val="6FC11ED0"/>
    <w:rsid w:val="6FC4A1CA"/>
    <w:rsid w:val="6FC4C645"/>
    <w:rsid w:val="6FCD0754"/>
    <w:rsid w:val="6FCE0715"/>
    <w:rsid w:val="6FCEEDB1"/>
    <w:rsid w:val="6FD4513C"/>
    <w:rsid w:val="6FD51C29"/>
    <w:rsid w:val="6FD99D91"/>
    <w:rsid w:val="6FDA1D9B"/>
    <w:rsid w:val="6FDB7298"/>
    <w:rsid w:val="6FDE0ED6"/>
    <w:rsid w:val="6FDE193C"/>
    <w:rsid w:val="6FDE4323"/>
    <w:rsid w:val="6FE0B07F"/>
    <w:rsid w:val="6FE2D17B"/>
    <w:rsid w:val="6FE43AC2"/>
    <w:rsid w:val="6FE4A868"/>
    <w:rsid w:val="6FE5450C"/>
    <w:rsid w:val="6FE759E2"/>
    <w:rsid w:val="6FE90BB2"/>
    <w:rsid w:val="6FEC850C"/>
    <w:rsid w:val="6FECF8F7"/>
    <w:rsid w:val="6FF2F176"/>
    <w:rsid w:val="6FF4A82E"/>
    <w:rsid w:val="6FF57F05"/>
    <w:rsid w:val="6FFAE117"/>
    <w:rsid w:val="6FFBAAAB"/>
    <w:rsid w:val="6FFCDD43"/>
    <w:rsid w:val="6FFDC3A9"/>
    <w:rsid w:val="70040E07"/>
    <w:rsid w:val="700B82E7"/>
    <w:rsid w:val="700D46C7"/>
    <w:rsid w:val="7012DAC4"/>
    <w:rsid w:val="7014092F"/>
    <w:rsid w:val="70157ACC"/>
    <w:rsid w:val="70196981"/>
    <w:rsid w:val="701C65AB"/>
    <w:rsid w:val="70221A07"/>
    <w:rsid w:val="70225F80"/>
    <w:rsid w:val="7023C65D"/>
    <w:rsid w:val="702A8F6F"/>
    <w:rsid w:val="70320FC3"/>
    <w:rsid w:val="70324EBE"/>
    <w:rsid w:val="70347193"/>
    <w:rsid w:val="7036DAB7"/>
    <w:rsid w:val="703B9392"/>
    <w:rsid w:val="703E26FA"/>
    <w:rsid w:val="70416276"/>
    <w:rsid w:val="7041CEBC"/>
    <w:rsid w:val="70468A7F"/>
    <w:rsid w:val="7049ED8A"/>
    <w:rsid w:val="704FD28C"/>
    <w:rsid w:val="704FF30F"/>
    <w:rsid w:val="7051BAD7"/>
    <w:rsid w:val="70547E63"/>
    <w:rsid w:val="70575177"/>
    <w:rsid w:val="70586CC3"/>
    <w:rsid w:val="705ACABC"/>
    <w:rsid w:val="705F56FB"/>
    <w:rsid w:val="7060A010"/>
    <w:rsid w:val="7061C01C"/>
    <w:rsid w:val="706299D2"/>
    <w:rsid w:val="7062E56C"/>
    <w:rsid w:val="7068586A"/>
    <w:rsid w:val="706910A3"/>
    <w:rsid w:val="706F5278"/>
    <w:rsid w:val="707110E6"/>
    <w:rsid w:val="70712F14"/>
    <w:rsid w:val="70719B92"/>
    <w:rsid w:val="707910D1"/>
    <w:rsid w:val="707A4F71"/>
    <w:rsid w:val="707CA84F"/>
    <w:rsid w:val="707F8BAF"/>
    <w:rsid w:val="70807594"/>
    <w:rsid w:val="70817255"/>
    <w:rsid w:val="70843DC3"/>
    <w:rsid w:val="70894F07"/>
    <w:rsid w:val="708E6AD1"/>
    <w:rsid w:val="7098C2AF"/>
    <w:rsid w:val="709ABA5B"/>
    <w:rsid w:val="709DC41D"/>
    <w:rsid w:val="709F6BF0"/>
    <w:rsid w:val="709F72BA"/>
    <w:rsid w:val="70A4885A"/>
    <w:rsid w:val="70A6254B"/>
    <w:rsid w:val="70AAFE07"/>
    <w:rsid w:val="70AB2F51"/>
    <w:rsid w:val="70AC0141"/>
    <w:rsid w:val="70AD0DF9"/>
    <w:rsid w:val="70B39644"/>
    <w:rsid w:val="70B78B44"/>
    <w:rsid w:val="70BC7873"/>
    <w:rsid w:val="70BF30BD"/>
    <w:rsid w:val="70C2C4C8"/>
    <w:rsid w:val="70C6008B"/>
    <w:rsid w:val="70CB0755"/>
    <w:rsid w:val="70CB0829"/>
    <w:rsid w:val="70D8832A"/>
    <w:rsid w:val="70E172E0"/>
    <w:rsid w:val="70E51086"/>
    <w:rsid w:val="70E669BF"/>
    <w:rsid w:val="70E922F3"/>
    <w:rsid w:val="70E94855"/>
    <w:rsid w:val="70EA6A4F"/>
    <w:rsid w:val="70ED46D3"/>
    <w:rsid w:val="70ED6102"/>
    <w:rsid w:val="70EFD003"/>
    <w:rsid w:val="70F0F6B8"/>
    <w:rsid w:val="70F74C7C"/>
    <w:rsid w:val="70FC1F8B"/>
    <w:rsid w:val="70FC9B48"/>
    <w:rsid w:val="71000349"/>
    <w:rsid w:val="71015CE4"/>
    <w:rsid w:val="7102C43E"/>
    <w:rsid w:val="710499EA"/>
    <w:rsid w:val="7104CFAF"/>
    <w:rsid w:val="7105FC63"/>
    <w:rsid w:val="71095E71"/>
    <w:rsid w:val="7109FFE1"/>
    <w:rsid w:val="710C4207"/>
    <w:rsid w:val="710C9529"/>
    <w:rsid w:val="710E77F8"/>
    <w:rsid w:val="71121C6B"/>
    <w:rsid w:val="7115BE8A"/>
    <w:rsid w:val="7118A3A2"/>
    <w:rsid w:val="711E5644"/>
    <w:rsid w:val="711E7969"/>
    <w:rsid w:val="711EB4DD"/>
    <w:rsid w:val="71213FFD"/>
    <w:rsid w:val="7121F168"/>
    <w:rsid w:val="71255D34"/>
    <w:rsid w:val="7128E7D6"/>
    <w:rsid w:val="712C252D"/>
    <w:rsid w:val="713291CD"/>
    <w:rsid w:val="713BBF4F"/>
    <w:rsid w:val="71415A4A"/>
    <w:rsid w:val="71417C85"/>
    <w:rsid w:val="714C04FE"/>
    <w:rsid w:val="714D2C2D"/>
    <w:rsid w:val="714DF0F7"/>
    <w:rsid w:val="7152D6B3"/>
    <w:rsid w:val="71587B1C"/>
    <w:rsid w:val="715AC112"/>
    <w:rsid w:val="71613B95"/>
    <w:rsid w:val="716404A5"/>
    <w:rsid w:val="7168D614"/>
    <w:rsid w:val="7169DB02"/>
    <w:rsid w:val="716A2784"/>
    <w:rsid w:val="716A836D"/>
    <w:rsid w:val="716C485D"/>
    <w:rsid w:val="7171144E"/>
    <w:rsid w:val="7174F006"/>
    <w:rsid w:val="71813DC0"/>
    <w:rsid w:val="7183677D"/>
    <w:rsid w:val="718582E0"/>
    <w:rsid w:val="718B7F0B"/>
    <w:rsid w:val="71915CF3"/>
    <w:rsid w:val="719731F4"/>
    <w:rsid w:val="719C5756"/>
    <w:rsid w:val="71A08DA1"/>
    <w:rsid w:val="71A58A81"/>
    <w:rsid w:val="71A76751"/>
    <w:rsid w:val="71B1544B"/>
    <w:rsid w:val="71B1CC73"/>
    <w:rsid w:val="71B85D20"/>
    <w:rsid w:val="71B873A7"/>
    <w:rsid w:val="71BB2EA8"/>
    <w:rsid w:val="71BC38A2"/>
    <w:rsid w:val="71BC818B"/>
    <w:rsid w:val="71C2C527"/>
    <w:rsid w:val="71C69FB5"/>
    <w:rsid w:val="71C7D3BD"/>
    <w:rsid w:val="71C9870C"/>
    <w:rsid w:val="71CEFF64"/>
    <w:rsid w:val="71D0F3D0"/>
    <w:rsid w:val="71DA9F31"/>
    <w:rsid w:val="71DB467B"/>
    <w:rsid w:val="71DD38E8"/>
    <w:rsid w:val="71DD5013"/>
    <w:rsid w:val="71DE3D17"/>
    <w:rsid w:val="71DE4EFD"/>
    <w:rsid w:val="71DF5C2C"/>
    <w:rsid w:val="71DFC0DE"/>
    <w:rsid w:val="71E61955"/>
    <w:rsid w:val="71E93C4E"/>
    <w:rsid w:val="71EE02AB"/>
    <w:rsid w:val="71EF7B51"/>
    <w:rsid w:val="71F034F8"/>
    <w:rsid w:val="71F24B58"/>
    <w:rsid w:val="720389B5"/>
    <w:rsid w:val="7206B409"/>
    <w:rsid w:val="720A1C0B"/>
    <w:rsid w:val="720C3714"/>
    <w:rsid w:val="720D6FE6"/>
    <w:rsid w:val="720F67A0"/>
    <w:rsid w:val="72127974"/>
    <w:rsid w:val="721730C2"/>
    <w:rsid w:val="7217E196"/>
    <w:rsid w:val="721C63A2"/>
    <w:rsid w:val="7221C334"/>
    <w:rsid w:val="7226889E"/>
    <w:rsid w:val="722CE992"/>
    <w:rsid w:val="722E78CE"/>
    <w:rsid w:val="722EBA3B"/>
    <w:rsid w:val="7230E5D5"/>
    <w:rsid w:val="72325081"/>
    <w:rsid w:val="7235838D"/>
    <w:rsid w:val="723B7F45"/>
    <w:rsid w:val="723DC7D8"/>
    <w:rsid w:val="723E0E2B"/>
    <w:rsid w:val="724538B3"/>
    <w:rsid w:val="7246FFB2"/>
    <w:rsid w:val="72476A6B"/>
    <w:rsid w:val="72489349"/>
    <w:rsid w:val="72491D9B"/>
    <w:rsid w:val="724DE40A"/>
    <w:rsid w:val="724E1DEA"/>
    <w:rsid w:val="7252AD44"/>
    <w:rsid w:val="7255A5AB"/>
    <w:rsid w:val="725CB4A8"/>
    <w:rsid w:val="72605F2A"/>
    <w:rsid w:val="72610C9E"/>
    <w:rsid w:val="72662485"/>
    <w:rsid w:val="72676862"/>
    <w:rsid w:val="726777AC"/>
    <w:rsid w:val="7268C4BB"/>
    <w:rsid w:val="72697D0C"/>
    <w:rsid w:val="726C1E52"/>
    <w:rsid w:val="726E9AB6"/>
    <w:rsid w:val="7271D083"/>
    <w:rsid w:val="7272581A"/>
    <w:rsid w:val="7272D27A"/>
    <w:rsid w:val="7277B5A5"/>
    <w:rsid w:val="7279F507"/>
    <w:rsid w:val="727AA464"/>
    <w:rsid w:val="727DD0D4"/>
    <w:rsid w:val="72823C12"/>
    <w:rsid w:val="7287555B"/>
    <w:rsid w:val="728D215E"/>
    <w:rsid w:val="7293B7A5"/>
    <w:rsid w:val="7293EA7E"/>
    <w:rsid w:val="729B50FE"/>
    <w:rsid w:val="729E0029"/>
    <w:rsid w:val="72A39777"/>
    <w:rsid w:val="72A8757A"/>
    <w:rsid w:val="72A989B5"/>
    <w:rsid w:val="72AD6BA4"/>
    <w:rsid w:val="72AD995E"/>
    <w:rsid w:val="72B25915"/>
    <w:rsid w:val="72B68F0D"/>
    <w:rsid w:val="72B75A06"/>
    <w:rsid w:val="72BA340C"/>
    <w:rsid w:val="72BCD538"/>
    <w:rsid w:val="72BE343F"/>
    <w:rsid w:val="72C3248B"/>
    <w:rsid w:val="72CB4B0C"/>
    <w:rsid w:val="72CFBF0B"/>
    <w:rsid w:val="72D06019"/>
    <w:rsid w:val="72D0BF01"/>
    <w:rsid w:val="72D183E5"/>
    <w:rsid w:val="72D65D2A"/>
    <w:rsid w:val="72DC7ADC"/>
    <w:rsid w:val="72DF1E32"/>
    <w:rsid w:val="72DFFE66"/>
    <w:rsid w:val="72E8169B"/>
    <w:rsid w:val="72E82576"/>
    <w:rsid w:val="72E8B0FF"/>
    <w:rsid w:val="72ED6D76"/>
    <w:rsid w:val="72F2F8BE"/>
    <w:rsid w:val="72F497A0"/>
    <w:rsid w:val="72F57CE6"/>
    <w:rsid w:val="72F7807E"/>
    <w:rsid w:val="72FB6EC4"/>
    <w:rsid w:val="72FE2AE1"/>
    <w:rsid w:val="72FE4D73"/>
    <w:rsid w:val="7304A816"/>
    <w:rsid w:val="7304ACAC"/>
    <w:rsid w:val="730C3DC0"/>
    <w:rsid w:val="730C5FE7"/>
    <w:rsid w:val="730C6FD5"/>
    <w:rsid w:val="730D4661"/>
    <w:rsid w:val="73119E15"/>
    <w:rsid w:val="731488C2"/>
    <w:rsid w:val="7316BD36"/>
    <w:rsid w:val="731E876F"/>
    <w:rsid w:val="731EEC87"/>
    <w:rsid w:val="731F26A8"/>
    <w:rsid w:val="731FBC68"/>
    <w:rsid w:val="73210815"/>
    <w:rsid w:val="7321F367"/>
    <w:rsid w:val="73228B49"/>
    <w:rsid w:val="7323C5B0"/>
    <w:rsid w:val="7324C0DF"/>
    <w:rsid w:val="732C6E6E"/>
    <w:rsid w:val="732CB087"/>
    <w:rsid w:val="732E9637"/>
    <w:rsid w:val="73310FE2"/>
    <w:rsid w:val="73353685"/>
    <w:rsid w:val="73389F4D"/>
    <w:rsid w:val="733CC04A"/>
    <w:rsid w:val="733DBBA9"/>
    <w:rsid w:val="733E8419"/>
    <w:rsid w:val="734577FE"/>
    <w:rsid w:val="73458268"/>
    <w:rsid w:val="73460A95"/>
    <w:rsid w:val="7347B360"/>
    <w:rsid w:val="73480DF1"/>
    <w:rsid w:val="734A7CAD"/>
    <w:rsid w:val="734D02C3"/>
    <w:rsid w:val="734DF0E3"/>
    <w:rsid w:val="7352B84C"/>
    <w:rsid w:val="735532B4"/>
    <w:rsid w:val="7355A231"/>
    <w:rsid w:val="735A5BEF"/>
    <w:rsid w:val="735B75DE"/>
    <w:rsid w:val="736AD72F"/>
    <w:rsid w:val="736CA9AC"/>
    <w:rsid w:val="736F3575"/>
    <w:rsid w:val="73723FEE"/>
    <w:rsid w:val="73822F0C"/>
    <w:rsid w:val="738FF0C7"/>
    <w:rsid w:val="7391EBC0"/>
    <w:rsid w:val="7391FA8B"/>
    <w:rsid w:val="739436E0"/>
    <w:rsid w:val="73955095"/>
    <w:rsid w:val="7399941F"/>
    <w:rsid w:val="7399B052"/>
    <w:rsid w:val="739F20CE"/>
    <w:rsid w:val="739F2840"/>
    <w:rsid w:val="73A35CCD"/>
    <w:rsid w:val="73A9C214"/>
    <w:rsid w:val="73ADBE8F"/>
    <w:rsid w:val="73AEE456"/>
    <w:rsid w:val="73AEF561"/>
    <w:rsid w:val="73BB14BC"/>
    <w:rsid w:val="73BB18FB"/>
    <w:rsid w:val="73BFB622"/>
    <w:rsid w:val="73C3AA3D"/>
    <w:rsid w:val="73C8589E"/>
    <w:rsid w:val="73C8782C"/>
    <w:rsid w:val="73CE07F8"/>
    <w:rsid w:val="73D45AFE"/>
    <w:rsid w:val="73D72789"/>
    <w:rsid w:val="73DB1FAC"/>
    <w:rsid w:val="73DE1BB3"/>
    <w:rsid w:val="73DE97B0"/>
    <w:rsid w:val="73E047E9"/>
    <w:rsid w:val="73E67F52"/>
    <w:rsid w:val="73EC6647"/>
    <w:rsid w:val="73ECEB79"/>
    <w:rsid w:val="73EE705B"/>
    <w:rsid w:val="73F6788E"/>
    <w:rsid w:val="73FA41DF"/>
    <w:rsid w:val="73FB5982"/>
    <w:rsid w:val="73FEBB31"/>
    <w:rsid w:val="73FEC803"/>
    <w:rsid w:val="740086BB"/>
    <w:rsid w:val="740254BC"/>
    <w:rsid w:val="74032DEC"/>
    <w:rsid w:val="7406FF42"/>
    <w:rsid w:val="7408FE53"/>
    <w:rsid w:val="741081EA"/>
    <w:rsid w:val="7411ACE0"/>
    <w:rsid w:val="7411B5C8"/>
    <w:rsid w:val="7415D779"/>
    <w:rsid w:val="74188E11"/>
    <w:rsid w:val="741AF777"/>
    <w:rsid w:val="741B9964"/>
    <w:rsid w:val="7425AE9C"/>
    <w:rsid w:val="7428392F"/>
    <w:rsid w:val="74288E8E"/>
    <w:rsid w:val="742A0D55"/>
    <w:rsid w:val="742B686B"/>
    <w:rsid w:val="742C0239"/>
    <w:rsid w:val="74334D97"/>
    <w:rsid w:val="743891AB"/>
    <w:rsid w:val="7439D972"/>
    <w:rsid w:val="743DE7EF"/>
    <w:rsid w:val="743E198D"/>
    <w:rsid w:val="743FA35A"/>
    <w:rsid w:val="744117A5"/>
    <w:rsid w:val="7442895B"/>
    <w:rsid w:val="74434B00"/>
    <w:rsid w:val="74440D09"/>
    <w:rsid w:val="7445B46F"/>
    <w:rsid w:val="74498593"/>
    <w:rsid w:val="744DD753"/>
    <w:rsid w:val="744E0557"/>
    <w:rsid w:val="74501417"/>
    <w:rsid w:val="74559208"/>
    <w:rsid w:val="745F6CD2"/>
    <w:rsid w:val="74635EC2"/>
    <w:rsid w:val="7466A316"/>
    <w:rsid w:val="746888DC"/>
    <w:rsid w:val="7469DB17"/>
    <w:rsid w:val="746B3759"/>
    <w:rsid w:val="746C2EB3"/>
    <w:rsid w:val="74739D3A"/>
    <w:rsid w:val="7473D8D4"/>
    <w:rsid w:val="74799DBE"/>
    <w:rsid w:val="747AA68D"/>
    <w:rsid w:val="747B3F67"/>
    <w:rsid w:val="7484FD01"/>
    <w:rsid w:val="74855FD3"/>
    <w:rsid w:val="7485F33E"/>
    <w:rsid w:val="748CB927"/>
    <w:rsid w:val="749048D2"/>
    <w:rsid w:val="74914FCE"/>
    <w:rsid w:val="74916E9E"/>
    <w:rsid w:val="74953A92"/>
    <w:rsid w:val="74960A92"/>
    <w:rsid w:val="74990EAA"/>
    <w:rsid w:val="74A161A8"/>
    <w:rsid w:val="74A1981C"/>
    <w:rsid w:val="74A6E750"/>
    <w:rsid w:val="74A812EA"/>
    <w:rsid w:val="74A8282A"/>
    <w:rsid w:val="74A90660"/>
    <w:rsid w:val="74A93AD2"/>
    <w:rsid w:val="74AC30BE"/>
    <w:rsid w:val="74AF68C6"/>
    <w:rsid w:val="74B1E39A"/>
    <w:rsid w:val="74B227A1"/>
    <w:rsid w:val="74B48AD5"/>
    <w:rsid w:val="74B84358"/>
    <w:rsid w:val="74BC33DC"/>
    <w:rsid w:val="74BDABC5"/>
    <w:rsid w:val="74BF0922"/>
    <w:rsid w:val="74C36159"/>
    <w:rsid w:val="74C58579"/>
    <w:rsid w:val="74C5FB52"/>
    <w:rsid w:val="74CFBDDB"/>
    <w:rsid w:val="74D0EAAD"/>
    <w:rsid w:val="74D10E26"/>
    <w:rsid w:val="74D7514F"/>
    <w:rsid w:val="74D766AC"/>
    <w:rsid w:val="74D77605"/>
    <w:rsid w:val="74D85ECC"/>
    <w:rsid w:val="74DD05CD"/>
    <w:rsid w:val="74DE7F8A"/>
    <w:rsid w:val="74E3C97E"/>
    <w:rsid w:val="74E4EFBA"/>
    <w:rsid w:val="74F11134"/>
    <w:rsid w:val="74F3183F"/>
    <w:rsid w:val="74F41DF5"/>
    <w:rsid w:val="74FC4E87"/>
    <w:rsid w:val="750182AC"/>
    <w:rsid w:val="7501B034"/>
    <w:rsid w:val="75166662"/>
    <w:rsid w:val="751ACA04"/>
    <w:rsid w:val="751D6F1E"/>
    <w:rsid w:val="751FEA5B"/>
    <w:rsid w:val="7521F21F"/>
    <w:rsid w:val="7527CF97"/>
    <w:rsid w:val="752964C5"/>
    <w:rsid w:val="7529E219"/>
    <w:rsid w:val="752E4238"/>
    <w:rsid w:val="752EA557"/>
    <w:rsid w:val="753B3DBE"/>
    <w:rsid w:val="753BBAB7"/>
    <w:rsid w:val="753DB7E4"/>
    <w:rsid w:val="753EF4BE"/>
    <w:rsid w:val="7546FD13"/>
    <w:rsid w:val="75470417"/>
    <w:rsid w:val="754B4351"/>
    <w:rsid w:val="754C1782"/>
    <w:rsid w:val="754FB413"/>
    <w:rsid w:val="7552B523"/>
    <w:rsid w:val="7554DEE5"/>
    <w:rsid w:val="755F80CA"/>
    <w:rsid w:val="75600875"/>
    <w:rsid w:val="7568E061"/>
    <w:rsid w:val="756CA0B0"/>
    <w:rsid w:val="756E4062"/>
    <w:rsid w:val="756F4494"/>
    <w:rsid w:val="75727EA8"/>
    <w:rsid w:val="7573DED8"/>
    <w:rsid w:val="7577E928"/>
    <w:rsid w:val="757A461F"/>
    <w:rsid w:val="757F6768"/>
    <w:rsid w:val="75841353"/>
    <w:rsid w:val="75863119"/>
    <w:rsid w:val="75874F3B"/>
    <w:rsid w:val="7587D349"/>
    <w:rsid w:val="7588D94A"/>
    <w:rsid w:val="758B57A1"/>
    <w:rsid w:val="758BC6FF"/>
    <w:rsid w:val="758CD7C6"/>
    <w:rsid w:val="758FC675"/>
    <w:rsid w:val="758FCB25"/>
    <w:rsid w:val="75937334"/>
    <w:rsid w:val="75952C23"/>
    <w:rsid w:val="7597C431"/>
    <w:rsid w:val="75990458"/>
    <w:rsid w:val="75994782"/>
    <w:rsid w:val="759A8B70"/>
    <w:rsid w:val="759B51EE"/>
    <w:rsid w:val="75A188A6"/>
    <w:rsid w:val="75A822CA"/>
    <w:rsid w:val="75A9999F"/>
    <w:rsid w:val="75AEEAA8"/>
    <w:rsid w:val="75B26CDF"/>
    <w:rsid w:val="75B28F20"/>
    <w:rsid w:val="75B6268F"/>
    <w:rsid w:val="75B6ABFF"/>
    <w:rsid w:val="75B75904"/>
    <w:rsid w:val="75BADD74"/>
    <w:rsid w:val="75BCAD8F"/>
    <w:rsid w:val="75BD0DBC"/>
    <w:rsid w:val="75C4A7B7"/>
    <w:rsid w:val="75C501E0"/>
    <w:rsid w:val="75C58B6E"/>
    <w:rsid w:val="75C6A701"/>
    <w:rsid w:val="75C77F79"/>
    <w:rsid w:val="75C832A1"/>
    <w:rsid w:val="75CAD978"/>
    <w:rsid w:val="75D8B5C6"/>
    <w:rsid w:val="75DBFCC1"/>
    <w:rsid w:val="75E0A1CF"/>
    <w:rsid w:val="75E2A4B3"/>
    <w:rsid w:val="75E6B5DC"/>
    <w:rsid w:val="75E8A190"/>
    <w:rsid w:val="75EA5F82"/>
    <w:rsid w:val="75EC5B00"/>
    <w:rsid w:val="75F3177B"/>
    <w:rsid w:val="75F4DF0C"/>
    <w:rsid w:val="75F785A8"/>
    <w:rsid w:val="75F89249"/>
    <w:rsid w:val="75FE2701"/>
    <w:rsid w:val="7604EFA6"/>
    <w:rsid w:val="7606AAE5"/>
    <w:rsid w:val="7607AE92"/>
    <w:rsid w:val="7607B4E5"/>
    <w:rsid w:val="760A95B6"/>
    <w:rsid w:val="760D37C8"/>
    <w:rsid w:val="760F5C3E"/>
    <w:rsid w:val="760FFAC0"/>
    <w:rsid w:val="76120694"/>
    <w:rsid w:val="76173725"/>
    <w:rsid w:val="761B82FB"/>
    <w:rsid w:val="761CB66A"/>
    <w:rsid w:val="761E2FA2"/>
    <w:rsid w:val="76205E35"/>
    <w:rsid w:val="7621C579"/>
    <w:rsid w:val="76230049"/>
    <w:rsid w:val="762588C3"/>
    <w:rsid w:val="7632F671"/>
    <w:rsid w:val="76337A30"/>
    <w:rsid w:val="763580F9"/>
    <w:rsid w:val="7635FA7C"/>
    <w:rsid w:val="763B9711"/>
    <w:rsid w:val="7640568E"/>
    <w:rsid w:val="7640F02E"/>
    <w:rsid w:val="76449A5D"/>
    <w:rsid w:val="76481A09"/>
    <w:rsid w:val="76490E60"/>
    <w:rsid w:val="7650FAFF"/>
    <w:rsid w:val="76550697"/>
    <w:rsid w:val="76584918"/>
    <w:rsid w:val="765898A9"/>
    <w:rsid w:val="765D99EB"/>
    <w:rsid w:val="76641A3C"/>
    <w:rsid w:val="7665E75F"/>
    <w:rsid w:val="76696C8A"/>
    <w:rsid w:val="766F1141"/>
    <w:rsid w:val="76773E60"/>
    <w:rsid w:val="76792606"/>
    <w:rsid w:val="767AB802"/>
    <w:rsid w:val="767D577E"/>
    <w:rsid w:val="767E86C5"/>
    <w:rsid w:val="767EC9BB"/>
    <w:rsid w:val="7680D11F"/>
    <w:rsid w:val="76812184"/>
    <w:rsid w:val="76826A70"/>
    <w:rsid w:val="76851824"/>
    <w:rsid w:val="768A3775"/>
    <w:rsid w:val="768A6C48"/>
    <w:rsid w:val="768DCFF6"/>
    <w:rsid w:val="7692159E"/>
    <w:rsid w:val="7699C060"/>
    <w:rsid w:val="769B31CB"/>
    <w:rsid w:val="769D06BC"/>
    <w:rsid w:val="769F9E74"/>
    <w:rsid w:val="76A1AC76"/>
    <w:rsid w:val="76A75399"/>
    <w:rsid w:val="76AE220E"/>
    <w:rsid w:val="76B03A11"/>
    <w:rsid w:val="76B06C4B"/>
    <w:rsid w:val="76B35E47"/>
    <w:rsid w:val="76B387E6"/>
    <w:rsid w:val="76B52325"/>
    <w:rsid w:val="76B5544A"/>
    <w:rsid w:val="76B9045D"/>
    <w:rsid w:val="76BDD0A7"/>
    <w:rsid w:val="76C49566"/>
    <w:rsid w:val="76C98AC3"/>
    <w:rsid w:val="76C98B24"/>
    <w:rsid w:val="76CECDE5"/>
    <w:rsid w:val="76D04B8B"/>
    <w:rsid w:val="76D463B8"/>
    <w:rsid w:val="76D6996F"/>
    <w:rsid w:val="76D72BA1"/>
    <w:rsid w:val="76DA00E8"/>
    <w:rsid w:val="76DEF9C5"/>
    <w:rsid w:val="76DFADB9"/>
    <w:rsid w:val="76E4ABD9"/>
    <w:rsid w:val="76E6666D"/>
    <w:rsid w:val="76EA7372"/>
    <w:rsid w:val="76ED4D24"/>
    <w:rsid w:val="76EE30A4"/>
    <w:rsid w:val="76F03347"/>
    <w:rsid w:val="76F3C9C6"/>
    <w:rsid w:val="77008FA6"/>
    <w:rsid w:val="770402CD"/>
    <w:rsid w:val="7705C2DF"/>
    <w:rsid w:val="77077553"/>
    <w:rsid w:val="77083665"/>
    <w:rsid w:val="770A1CEC"/>
    <w:rsid w:val="77121EDA"/>
    <w:rsid w:val="77122022"/>
    <w:rsid w:val="7714EBEB"/>
    <w:rsid w:val="7716D136"/>
    <w:rsid w:val="77191849"/>
    <w:rsid w:val="771F09FC"/>
    <w:rsid w:val="771F9632"/>
    <w:rsid w:val="77200CB9"/>
    <w:rsid w:val="772986B6"/>
    <w:rsid w:val="77310942"/>
    <w:rsid w:val="7732BB9E"/>
    <w:rsid w:val="7734D8E4"/>
    <w:rsid w:val="7738278B"/>
    <w:rsid w:val="7738DB33"/>
    <w:rsid w:val="7742D5A4"/>
    <w:rsid w:val="77434DC2"/>
    <w:rsid w:val="77448E93"/>
    <w:rsid w:val="7748CE86"/>
    <w:rsid w:val="774AB386"/>
    <w:rsid w:val="774D7061"/>
    <w:rsid w:val="774DAB87"/>
    <w:rsid w:val="775194BB"/>
    <w:rsid w:val="7757227C"/>
    <w:rsid w:val="77583848"/>
    <w:rsid w:val="775E22F1"/>
    <w:rsid w:val="776088AA"/>
    <w:rsid w:val="7760BB61"/>
    <w:rsid w:val="77614392"/>
    <w:rsid w:val="7765C47F"/>
    <w:rsid w:val="7767C838"/>
    <w:rsid w:val="77683331"/>
    <w:rsid w:val="776ADF3A"/>
    <w:rsid w:val="776C839B"/>
    <w:rsid w:val="776DAEAF"/>
    <w:rsid w:val="776F2511"/>
    <w:rsid w:val="77740DA5"/>
    <w:rsid w:val="777795C2"/>
    <w:rsid w:val="77785570"/>
    <w:rsid w:val="777BA513"/>
    <w:rsid w:val="77854B12"/>
    <w:rsid w:val="7786BCAD"/>
    <w:rsid w:val="77875A9E"/>
    <w:rsid w:val="77894458"/>
    <w:rsid w:val="778BC172"/>
    <w:rsid w:val="778E0549"/>
    <w:rsid w:val="7793D854"/>
    <w:rsid w:val="7794C002"/>
    <w:rsid w:val="77976E67"/>
    <w:rsid w:val="7798E90B"/>
    <w:rsid w:val="7798F6F9"/>
    <w:rsid w:val="779D7C66"/>
    <w:rsid w:val="77A32F36"/>
    <w:rsid w:val="77A60D21"/>
    <w:rsid w:val="77A71644"/>
    <w:rsid w:val="77AB2DA5"/>
    <w:rsid w:val="77AC4C49"/>
    <w:rsid w:val="77AFCBEE"/>
    <w:rsid w:val="77B140D8"/>
    <w:rsid w:val="77B2CB34"/>
    <w:rsid w:val="77B674D0"/>
    <w:rsid w:val="77B96EEF"/>
    <w:rsid w:val="77BBB89B"/>
    <w:rsid w:val="77BBF6B4"/>
    <w:rsid w:val="77BFBB0D"/>
    <w:rsid w:val="77C0E4F8"/>
    <w:rsid w:val="77C9FE47"/>
    <w:rsid w:val="77CA6780"/>
    <w:rsid w:val="77CD7B92"/>
    <w:rsid w:val="77D142FC"/>
    <w:rsid w:val="77E05EDC"/>
    <w:rsid w:val="77E0B1A0"/>
    <w:rsid w:val="77E116BF"/>
    <w:rsid w:val="77E41763"/>
    <w:rsid w:val="77E7F201"/>
    <w:rsid w:val="77E979EB"/>
    <w:rsid w:val="77EF4A01"/>
    <w:rsid w:val="77EFD40A"/>
    <w:rsid w:val="77F2FC13"/>
    <w:rsid w:val="77F3CBAE"/>
    <w:rsid w:val="77F72013"/>
    <w:rsid w:val="77FE20BA"/>
    <w:rsid w:val="7802C591"/>
    <w:rsid w:val="78053C34"/>
    <w:rsid w:val="780B3970"/>
    <w:rsid w:val="780B924A"/>
    <w:rsid w:val="780F7A5F"/>
    <w:rsid w:val="7810FCB4"/>
    <w:rsid w:val="7813CC8A"/>
    <w:rsid w:val="7813E1AA"/>
    <w:rsid w:val="7816BEE0"/>
    <w:rsid w:val="781C00A4"/>
    <w:rsid w:val="7820AFCC"/>
    <w:rsid w:val="782516FB"/>
    <w:rsid w:val="78277733"/>
    <w:rsid w:val="78290426"/>
    <w:rsid w:val="782EEEFB"/>
    <w:rsid w:val="782FA425"/>
    <w:rsid w:val="782FB0DD"/>
    <w:rsid w:val="78325673"/>
    <w:rsid w:val="78339EF5"/>
    <w:rsid w:val="78374397"/>
    <w:rsid w:val="7837B393"/>
    <w:rsid w:val="783858EC"/>
    <w:rsid w:val="783AD5E6"/>
    <w:rsid w:val="783BB5C1"/>
    <w:rsid w:val="784049A3"/>
    <w:rsid w:val="7844ADDB"/>
    <w:rsid w:val="7847077C"/>
    <w:rsid w:val="78474730"/>
    <w:rsid w:val="7849E958"/>
    <w:rsid w:val="784A3EE8"/>
    <w:rsid w:val="784D5CB5"/>
    <w:rsid w:val="784DC6B2"/>
    <w:rsid w:val="784F8CE3"/>
    <w:rsid w:val="7853BABC"/>
    <w:rsid w:val="78577C69"/>
    <w:rsid w:val="78595B64"/>
    <w:rsid w:val="785A583F"/>
    <w:rsid w:val="785AE471"/>
    <w:rsid w:val="785B1BD4"/>
    <w:rsid w:val="785D52FA"/>
    <w:rsid w:val="785E971A"/>
    <w:rsid w:val="785F41D9"/>
    <w:rsid w:val="7868B446"/>
    <w:rsid w:val="7868C70C"/>
    <w:rsid w:val="78691555"/>
    <w:rsid w:val="786C48E7"/>
    <w:rsid w:val="786F7B5B"/>
    <w:rsid w:val="7870B6F5"/>
    <w:rsid w:val="78755C12"/>
    <w:rsid w:val="78757306"/>
    <w:rsid w:val="78789B99"/>
    <w:rsid w:val="787984B8"/>
    <w:rsid w:val="787DADE3"/>
    <w:rsid w:val="78809F77"/>
    <w:rsid w:val="788CA7B4"/>
    <w:rsid w:val="788E9E60"/>
    <w:rsid w:val="78957404"/>
    <w:rsid w:val="789E473A"/>
    <w:rsid w:val="789E6888"/>
    <w:rsid w:val="789FF981"/>
    <w:rsid w:val="78A222A8"/>
    <w:rsid w:val="78A288C8"/>
    <w:rsid w:val="78A9744C"/>
    <w:rsid w:val="78AA04BA"/>
    <w:rsid w:val="78ADD064"/>
    <w:rsid w:val="78AFFF6C"/>
    <w:rsid w:val="78B68C47"/>
    <w:rsid w:val="78BC4C3B"/>
    <w:rsid w:val="78BCA5F5"/>
    <w:rsid w:val="78BCE3FB"/>
    <w:rsid w:val="78C0B17A"/>
    <w:rsid w:val="78C59BB8"/>
    <w:rsid w:val="78C8F511"/>
    <w:rsid w:val="78C9371E"/>
    <w:rsid w:val="78CB999A"/>
    <w:rsid w:val="78CFD4E6"/>
    <w:rsid w:val="78D4848A"/>
    <w:rsid w:val="78D69690"/>
    <w:rsid w:val="78DB0CFD"/>
    <w:rsid w:val="78DCE051"/>
    <w:rsid w:val="78DE13B9"/>
    <w:rsid w:val="78E1834C"/>
    <w:rsid w:val="78E39427"/>
    <w:rsid w:val="78F0A199"/>
    <w:rsid w:val="78F208DC"/>
    <w:rsid w:val="78F4D85D"/>
    <w:rsid w:val="78F7F9E3"/>
    <w:rsid w:val="78F8072F"/>
    <w:rsid w:val="78F8FA71"/>
    <w:rsid w:val="78FFD363"/>
    <w:rsid w:val="79020C77"/>
    <w:rsid w:val="79066D5F"/>
    <w:rsid w:val="790FC9E0"/>
    <w:rsid w:val="7914193B"/>
    <w:rsid w:val="7917A143"/>
    <w:rsid w:val="7917A98C"/>
    <w:rsid w:val="7919C6A6"/>
    <w:rsid w:val="791B76C7"/>
    <w:rsid w:val="79232ACD"/>
    <w:rsid w:val="7926193A"/>
    <w:rsid w:val="7929587E"/>
    <w:rsid w:val="792AF6CE"/>
    <w:rsid w:val="792BC78A"/>
    <w:rsid w:val="79302600"/>
    <w:rsid w:val="793207F8"/>
    <w:rsid w:val="79330F68"/>
    <w:rsid w:val="7933B775"/>
    <w:rsid w:val="793651D0"/>
    <w:rsid w:val="7940DFB1"/>
    <w:rsid w:val="79413583"/>
    <w:rsid w:val="794140EF"/>
    <w:rsid w:val="7944D249"/>
    <w:rsid w:val="7945733E"/>
    <w:rsid w:val="7946F0DB"/>
    <w:rsid w:val="79486AFC"/>
    <w:rsid w:val="7948D329"/>
    <w:rsid w:val="79493656"/>
    <w:rsid w:val="794E97FD"/>
    <w:rsid w:val="79502E89"/>
    <w:rsid w:val="795548E5"/>
    <w:rsid w:val="79575FD0"/>
    <w:rsid w:val="79592769"/>
    <w:rsid w:val="795E139C"/>
    <w:rsid w:val="795FD11B"/>
    <w:rsid w:val="7960CDDA"/>
    <w:rsid w:val="796298D4"/>
    <w:rsid w:val="796AE0AE"/>
    <w:rsid w:val="796F5DF4"/>
    <w:rsid w:val="79788FB2"/>
    <w:rsid w:val="797A0E01"/>
    <w:rsid w:val="797A59DC"/>
    <w:rsid w:val="797C2105"/>
    <w:rsid w:val="797FF5EF"/>
    <w:rsid w:val="79809F53"/>
    <w:rsid w:val="79822BBB"/>
    <w:rsid w:val="7983A732"/>
    <w:rsid w:val="79850EC5"/>
    <w:rsid w:val="798618DB"/>
    <w:rsid w:val="7986C7B2"/>
    <w:rsid w:val="7986F862"/>
    <w:rsid w:val="798B7F87"/>
    <w:rsid w:val="798DB4E6"/>
    <w:rsid w:val="79935947"/>
    <w:rsid w:val="799435CF"/>
    <w:rsid w:val="7994DDDF"/>
    <w:rsid w:val="7997199F"/>
    <w:rsid w:val="799787EA"/>
    <w:rsid w:val="799BC00F"/>
    <w:rsid w:val="799ED521"/>
    <w:rsid w:val="79A1EF1C"/>
    <w:rsid w:val="79A28D29"/>
    <w:rsid w:val="79A88818"/>
    <w:rsid w:val="79B852D9"/>
    <w:rsid w:val="79BDFCFB"/>
    <w:rsid w:val="79BE7F1A"/>
    <w:rsid w:val="79BF074B"/>
    <w:rsid w:val="79C07232"/>
    <w:rsid w:val="79C32E39"/>
    <w:rsid w:val="79C848E7"/>
    <w:rsid w:val="79CBE2BC"/>
    <w:rsid w:val="79CCF38A"/>
    <w:rsid w:val="79CECDB7"/>
    <w:rsid w:val="79D48D16"/>
    <w:rsid w:val="79D56912"/>
    <w:rsid w:val="79D8B190"/>
    <w:rsid w:val="79DB32F6"/>
    <w:rsid w:val="79DFA1E7"/>
    <w:rsid w:val="79E4E636"/>
    <w:rsid w:val="79E9E0C2"/>
    <w:rsid w:val="79EF47D9"/>
    <w:rsid w:val="79EF7563"/>
    <w:rsid w:val="79F031A6"/>
    <w:rsid w:val="79F132D8"/>
    <w:rsid w:val="79F58A37"/>
    <w:rsid w:val="79F5D085"/>
    <w:rsid w:val="79F5E01B"/>
    <w:rsid w:val="79F7534D"/>
    <w:rsid w:val="79F878F0"/>
    <w:rsid w:val="79F9CCAC"/>
    <w:rsid w:val="79FF5E86"/>
    <w:rsid w:val="7A036A9B"/>
    <w:rsid w:val="7A03D6B4"/>
    <w:rsid w:val="7A057BE4"/>
    <w:rsid w:val="7A0665EB"/>
    <w:rsid w:val="7A097C85"/>
    <w:rsid w:val="7A0B555D"/>
    <w:rsid w:val="7A137107"/>
    <w:rsid w:val="7A220326"/>
    <w:rsid w:val="7A2235BB"/>
    <w:rsid w:val="7A25D166"/>
    <w:rsid w:val="7A2AAE31"/>
    <w:rsid w:val="7A2CD205"/>
    <w:rsid w:val="7A2F3DED"/>
    <w:rsid w:val="7A31F55D"/>
    <w:rsid w:val="7A34100C"/>
    <w:rsid w:val="7A358981"/>
    <w:rsid w:val="7A38E93A"/>
    <w:rsid w:val="7A3C8994"/>
    <w:rsid w:val="7A3E1F83"/>
    <w:rsid w:val="7A3EE13A"/>
    <w:rsid w:val="7A4A6110"/>
    <w:rsid w:val="7A4CBD28"/>
    <w:rsid w:val="7A4E990A"/>
    <w:rsid w:val="7A50531D"/>
    <w:rsid w:val="7A5B8982"/>
    <w:rsid w:val="7A61A2AC"/>
    <w:rsid w:val="7A64DF6E"/>
    <w:rsid w:val="7A7572EE"/>
    <w:rsid w:val="7A7C8771"/>
    <w:rsid w:val="7A7E28B6"/>
    <w:rsid w:val="7A8259DB"/>
    <w:rsid w:val="7A880D84"/>
    <w:rsid w:val="7A8CBD4E"/>
    <w:rsid w:val="7A8E42FA"/>
    <w:rsid w:val="7A8E9C95"/>
    <w:rsid w:val="7A93EBD9"/>
    <w:rsid w:val="7A9C1BF5"/>
    <w:rsid w:val="7A9DE68B"/>
    <w:rsid w:val="7AA24B10"/>
    <w:rsid w:val="7AA6C9E4"/>
    <w:rsid w:val="7AA7FDAA"/>
    <w:rsid w:val="7AAE68E9"/>
    <w:rsid w:val="7AB3F7ED"/>
    <w:rsid w:val="7ABF80CC"/>
    <w:rsid w:val="7AC3A88F"/>
    <w:rsid w:val="7ACD045C"/>
    <w:rsid w:val="7AD50DA4"/>
    <w:rsid w:val="7AD545F9"/>
    <w:rsid w:val="7AD69F7C"/>
    <w:rsid w:val="7AD7A184"/>
    <w:rsid w:val="7AE51E2A"/>
    <w:rsid w:val="7AE5E4F5"/>
    <w:rsid w:val="7AE79456"/>
    <w:rsid w:val="7AEC1B0E"/>
    <w:rsid w:val="7AEE6439"/>
    <w:rsid w:val="7AEF06E9"/>
    <w:rsid w:val="7AF15764"/>
    <w:rsid w:val="7AF4FA50"/>
    <w:rsid w:val="7AF59F3B"/>
    <w:rsid w:val="7AF5A28B"/>
    <w:rsid w:val="7AF5FF0A"/>
    <w:rsid w:val="7AF87C8F"/>
    <w:rsid w:val="7AFBF005"/>
    <w:rsid w:val="7B022715"/>
    <w:rsid w:val="7B02E118"/>
    <w:rsid w:val="7B032435"/>
    <w:rsid w:val="7B03CD0F"/>
    <w:rsid w:val="7B07F455"/>
    <w:rsid w:val="7B084965"/>
    <w:rsid w:val="7B0ECF1C"/>
    <w:rsid w:val="7B146CC4"/>
    <w:rsid w:val="7B195044"/>
    <w:rsid w:val="7B1BAF0F"/>
    <w:rsid w:val="7B1D5B7E"/>
    <w:rsid w:val="7B1EFFD2"/>
    <w:rsid w:val="7B1FE8B5"/>
    <w:rsid w:val="7B2192EF"/>
    <w:rsid w:val="7B240F0A"/>
    <w:rsid w:val="7B3045AB"/>
    <w:rsid w:val="7B32765B"/>
    <w:rsid w:val="7B3B19E5"/>
    <w:rsid w:val="7B3FABF0"/>
    <w:rsid w:val="7B42061E"/>
    <w:rsid w:val="7B466ED3"/>
    <w:rsid w:val="7B4F8C90"/>
    <w:rsid w:val="7B507BE2"/>
    <w:rsid w:val="7B56E2C1"/>
    <w:rsid w:val="7B613546"/>
    <w:rsid w:val="7B63BEAD"/>
    <w:rsid w:val="7B6C88C6"/>
    <w:rsid w:val="7B6EA9B9"/>
    <w:rsid w:val="7B70FF05"/>
    <w:rsid w:val="7B749AFC"/>
    <w:rsid w:val="7B764509"/>
    <w:rsid w:val="7B7763A6"/>
    <w:rsid w:val="7B83A016"/>
    <w:rsid w:val="7B8892DE"/>
    <w:rsid w:val="7B8B8B22"/>
    <w:rsid w:val="7B8C1A32"/>
    <w:rsid w:val="7B97634B"/>
    <w:rsid w:val="7BA001C0"/>
    <w:rsid w:val="7BA3B925"/>
    <w:rsid w:val="7BA63D48"/>
    <w:rsid w:val="7BA802E1"/>
    <w:rsid w:val="7BAE200E"/>
    <w:rsid w:val="7BB197A8"/>
    <w:rsid w:val="7BB2D2BD"/>
    <w:rsid w:val="7BB3F54B"/>
    <w:rsid w:val="7BBB7E99"/>
    <w:rsid w:val="7BBD853A"/>
    <w:rsid w:val="7BBD9B20"/>
    <w:rsid w:val="7BBDA261"/>
    <w:rsid w:val="7BBE95F4"/>
    <w:rsid w:val="7BC0F4AB"/>
    <w:rsid w:val="7BC8CD70"/>
    <w:rsid w:val="7BCA87FE"/>
    <w:rsid w:val="7BD34478"/>
    <w:rsid w:val="7BD69DEE"/>
    <w:rsid w:val="7BD84092"/>
    <w:rsid w:val="7BE045B8"/>
    <w:rsid w:val="7BE209D7"/>
    <w:rsid w:val="7BE4918A"/>
    <w:rsid w:val="7BE4BAF2"/>
    <w:rsid w:val="7BE8B8AB"/>
    <w:rsid w:val="7BF04113"/>
    <w:rsid w:val="7BF20B53"/>
    <w:rsid w:val="7BF25167"/>
    <w:rsid w:val="7BFE0813"/>
    <w:rsid w:val="7C00B695"/>
    <w:rsid w:val="7C04E780"/>
    <w:rsid w:val="7C061280"/>
    <w:rsid w:val="7C0E4BD0"/>
    <w:rsid w:val="7C0E5C73"/>
    <w:rsid w:val="7C10F038"/>
    <w:rsid w:val="7C12D35E"/>
    <w:rsid w:val="7C14FFA1"/>
    <w:rsid w:val="7C1B6ECA"/>
    <w:rsid w:val="7C1D0756"/>
    <w:rsid w:val="7C1E4A69"/>
    <w:rsid w:val="7C204C48"/>
    <w:rsid w:val="7C215871"/>
    <w:rsid w:val="7C2316E5"/>
    <w:rsid w:val="7C241297"/>
    <w:rsid w:val="7C29122E"/>
    <w:rsid w:val="7C2D04FE"/>
    <w:rsid w:val="7C2FE742"/>
    <w:rsid w:val="7C3442FB"/>
    <w:rsid w:val="7C37534E"/>
    <w:rsid w:val="7C377425"/>
    <w:rsid w:val="7C3A2B64"/>
    <w:rsid w:val="7C3CE1CA"/>
    <w:rsid w:val="7C414A25"/>
    <w:rsid w:val="7C44B5FE"/>
    <w:rsid w:val="7C46EAF4"/>
    <w:rsid w:val="7C501BC2"/>
    <w:rsid w:val="7C52C8F6"/>
    <w:rsid w:val="7C599A8F"/>
    <w:rsid w:val="7C5A10E0"/>
    <w:rsid w:val="7C5DE6DD"/>
    <w:rsid w:val="7C631EF2"/>
    <w:rsid w:val="7C6423E2"/>
    <w:rsid w:val="7C66A1DF"/>
    <w:rsid w:val="7C6A5117"/>
    <w:rsid w:val="7C6B3AB1"/>
    <w:rsid w:val="7C6BE04C"/>
    <w:rsid w:val="7C6DAA21"/>
    <w:rsid w:val="7C7417AE"/>
    <w:rsid w:val="7C772431"/>
    <w:rsid w:val="7C7D8432"/>
    <w:rsid w:val="7C80D8D9"/>
    <w:rsid w:val="7C862B55"/>
    <w:rsid w:val="7C8AFC30"/>
    <w:rsid w:val="7C8CA650"/>
    <w:rsid w:val="7C8D4C5F"/>
    <w:rsid w:val="7C8F2D82"/>
    <w:rsid w:val="7C900937"/>
    <w:rsid w:val="7C966447"/>
    <w:rsid w:val="7C969958"/>
    <w:rsid w:val="7C96FA43"/>
    <w:rsid w:val="7C9A8CE7"/>
    <w:rsid w:val="7C9DE79A"/>
    <w:rsid w:val="7C9EEFF5"/>
    <w:rsid w:val="7CA278AD"/>
    <w:rsid w:val="7CA5F5D0"/>
    <w:rsid w:val="7CA6185D"/>
    <w:rsid w:val="7CA6CF04"/>
    <w:rsid w:val="7CA74038"/>
    <w:rsid w:val="7CA91EEA"/>
    <w:rsid w:val="7CAB028D"/>
    <w:rsid w:val="7CAB2559"/>
    <w:rsid w:val="7CAD1579"/>
    <w:rsid w:val="7CAF4520"/>
    <w:rsid w:val="7CB2611F"/>
    <w:rsid w:val="7CB39EDF"/>
    <w:rsid w:val="7CB6C1CC"/>
    <w:rsid w:val="7CC3BC24"/>
    <w:rsid w:val="7CCD8307"/>
    <w:rsid w:val="7CD01E23"/>
    <w:rsid w:val="7CD0905F"/>
    <w:rsid w:val="7CD22C73"/>
    <w:rsid w:val="7CD30A82"/>
    <w:rsid w:val="7CD4A901"/>
    <w:rsid w:val="7CD9E8D1"/>
    <w:rsid w:val="7CDD5289"/>
    <w:rsid w:val="7CE1E862"/>
    <w:rsid w:val="7CE27019"/>
    <w:rsid w:val="7CE476E8"/>
    <w:rsid w:val="7CE6D40C"/>
    <w:rsid w:val="7CE72F3D"/>
    <w:rsid w:val="7CE77DC0"/>
    <w:rsid w:val="7CE7BA2B"/>
    <w:rsid w:val="7CEB12C7"/>
    <w:rsid w:val="7CEF521C"/>
    <w:rsid w:val="7CF2C6FC"/>
    <w:rsid w:val="7CF32E3E"/>
    <w:rsid w:val="7CF4A4AE"/>
    <w:rsid w:val="7CFF0FC6"/>
    <w:rsid w:val="7D0274CA"/>
    <w:rsid w:val="7D0B3777"/>
    <w:rsid w:val="7D0F8272"/>
    <w:rsid w:val="7D117F32"/>
    <w:rsid w:val="7D1226F0"/>
    <w:rsid w:val="7D128205"/>
    <w:rsid w:val="7D13B44C"/>
    <w:rsid w:val="7D157391"/>
    <w:rsid w:val="7D1F4E3D"/>
    <w:rsid w:val="7D212B69"/>
    <w:rsid w:val="7D21D3B1"/>
    <w:rsid w:val="7D24191B"/>
    <w:rsid w:val="7D24A2A9"/>
    <w:rsid w:val="7D35C848"/>
    <w:rsid w:val="7D35F845"/>
    <w:rsid w:val="7D37A02D"/>
    <w:rsid w:val="7D386EE9"/>
    <w:rsid w:val="7D3A8430"/>
    <w:rsid w:val="7D3E15C9"/>
    <w:rsid w:val="7D415183"/>
    <w:rsid w:val="7D4202FA"/>
    <w:rsid w:val="7D424028"/>
    <w:rsid w:val="7D474A2D"/>
    <w:rsid w:val="7D4B4538"/>
    <w:rsid w:val="7D4E12E9"/>
    <w:rsid w:val="7D4FC326"/>
    <w:rsid w:val="7D59BD5C"/>
    <w:rsid w:val="7D5A2142"/>
    <w:rsid w:val="7D5F9683"/>
    <w:rsid w:val="7D62BDF7"/>
    <w:rsid w:val="7D631FC3"/>
    <w:rsid w:val="7D67CBD5"/>
    <w:rsid w:val="7D67CFF7"/>
    <w:rsid w:val="7D6BC542"/>
    <w:rsid w:val="7D6CAE46"/>
    <w:rsid w:val="7D718356"/>
    <w:rsid w:val="7D71B730"/>
    <w:rsid w:val="7D738E27"/>
    <w:rsid w:val="7D76698A"/>
    <w:rsid w:val="7D77DC6C"/>
    <w:rsid w:val="7D788153"/>
    <w:rsid w:val="7D789DCD"/>
    <w:rsid w:val="7D793A00"/>
    <w:rsid w:val="7D7E541D"/>
    <w:rsid w:val="7D7F1192"/>
    <w:rsid w:val="7D81EBBE"/>
    <w:rsid w:val="7D82E0F8"/>
    <w:rsid w:val="7D86E358"/>
    <w:rsid w:val="7D8A85DC"/>
    <w:rsid w:val="7D8B0CEA"/>
    <w:rsid w:val="7D8D80DC"/>
    <w:rsid w:val="7D993F7E"/>
    <w:rsid w:val="7D9CD658"/>
    <w:rsid w:val="7D9F0CEC"/>
    <w:rsid w:val="7D9F637A"/>
    <w:rsid w:val="7DA25BF4"/>
    <w:rsid w:val="7DA42756"/>
    <w:rsid w:val="7DA59CD6"/>
    <w:rsid w:val="7DB184DC"/>
    <w:rsid w:val="7DB346FC"/>
    <w:rsid w:val="7DB40CE1"/>
    <w:rsid w:val="7DC9FCCE"/>
    <w:rsid w:val="7DCBBBAE"/>
    <w:rsid w:val="7DD09D80"/>
    <w:rsid w:val="7DD1BEF4"/>
    <w:rsid w:val="7DD1E1A6"/>
    <w:rsid w:val="7DD4B22E"/>
    <w:rsid w:val="7DD6E2C2"/>
    <w:rsid w:val="7DDA41D4"/>
    <w:rsid w:val="7DDF737D"/>
    <w:rsid w:val="7DE0072D"/>
    <w:rsid w:val="7DE8F836"/>
    <w:rsid w:val="7DEB15CD"/>
    <w:rsid w:val="7DEC8DF2"/>
    <w:rsid w:val="7DED87BB"/>
    <w:rsid w:val="7DEF281E"/>
    <w:rsid w:val="7DF0B099"/>
    <w:rsid w:val="7DF25136"/>
    <w:rsid w:val="7DF4690A"/>
    <w:rsid w:val="7DF4E233"/>
    <w:rsid w:val="7DF7D36D"/>
    <w:rsid w:val="7E04ABB0"/>
    <w:rsid w:val="7E079952"/>
    <w:rsid w:val="7E1102D1"/>
    <w:rsid w:val="7E1BB392"/>
    <w:rsid w:val="7E235A70"/>
    <w:rsid w:val="7E259279"/>
    <w:rsid w:val="7E260EBD"/>
    <w:rsid w:val="7E27A3E4"/>
    <w:rsid w:val="7E27CBDA"/>
    <w:rsid w:val="7E28CBF8"/>
    <w:rsid w:val="7E2F5129"/>
    <w:rsid w:val="7E2FD9B2"/>
    <w:rsid w:val="7E310D19"/>
    <w:rsid w:val="7E326002"/>
    <w:rsid w:val="7E36C120"/>
    <w:rsid w:val="7E384359"/>
    <w:rsid w:val="7E388697"/>
    <w:rsid w:val="7E410CAA"/>
    <w:rsid w:val="7E4599A4"/>
    <w:rsid w:val="7E460878"/>
    <w:rsid w:val="7E4FDCE9"/>
    <w:rsid w:val="7E51B49C"/>
    <w:rsid w:val="7E51D8DA"/>
    <w:rsid w:val="7E55B8C3"/>
    <w:rsid w:val="7E5687C2"/>
    <w:rsid w:val="7E5BDED1"/>
    <w:rsid w:val="7E5C059F"/>
    <w:rsid w:val="7E5CBDF9"/>
    <w:rsid w:val="7E5D3061"/>
    <w:rsid w:val="7E62EE5C"/>
    <w:rsid w:val="7E667D1B"/>
    <w:rsid w:val="7E6715DB"/>
    <w:rsid w:val="7E68E4E6"/>
    <w:rsid w:val="7E6D78C1"/>
    <w:rsid w:val="7E729025"/>
    <w:rsid w:val="7E72DBDA"/>
    <w:rsid w:val="7E74E774"/>
    <w:rsid w:val="7E774CB2"/>
    <w:rsid w:val="7E780CE7"/>
    <w:rsid w:val="7E7850B2"/>
    <w:rsid w:val="7E79C46B"/>
    <w:rsid w:val="7E7AD72F"/>
    <w:rsid w:val="7E7AE0D0"/>
    <w:rsid w:val="7E7B2AE2"/>
    <w:rsid w:val="7E7BF114"/>
    <w:rsid w:val="7E882F26"/>
    <w:rsid w:val="7E887801"/>
    <w:rsid w:val="7E8C0BC3"/>
    <w:rsid w:val="7E8EF02E"/>
    <w:rsid w:val="7E910CAD"/>
    <w:rsid w:val="7E91D00D"/>
    <w:rsid w:val="7E96C24E"/>
    <w:rsid w:val="7E9770F8"/>
    <w:rsid w:val="7E97A2A9"/>
    <w:rsid w:val="7E9C837E"/>
    <w:rsid w:val="7E9D4177"/>
    <w:rsid w:val="7EA2E65E"/>
    <w:rsid w:val="7EA92B6B"/>
    <w:rsid w:val="7EAB9310"/>
    <w:rsid w:val="7EAC3B28"/>
    <w:rsid w:val="7EAFB141"/>
    <w:rsid w:val="7EB285C1"/>
    <w:rsid w:val="7EB2FD88"/>
    <w:rsid w:val="7EB60EC9"/>
    <w:rsid w:val="7EB682A6"/>
    <w:rsid w:val="7EB91795"/>
    <w:rsid w:val="7EC33718"/>
    <w:rsid w:val="7EC46289"/>
    <w:rsid w:val="7EC5A925"/>
    <w:rsid w:val="7ECCCDD2"/>
    <w:rsid w:val="7ECECF67"/>
    <w:rsid w:val="7ED5FDC2"/>
    <w:rsid w:val="7ED7C2F4"/>
    <w:rsid w:val="7ED7CE4C"/>
    <w:rsid w:val="7ED8EFF6"/>
    <w:rsid w:val="7EDAA82F"/>
    <w:rsid w:val="7EDD5159"/>
    <w:rsid w:val="7EE5E6C2"/>
    <w:rsid w:val="7EE65B45"/>
    <w:rsid w:val="7EEA6AF9"/>
    <w:rsid w:val="7EEB41E4"/>
    <w:rsid w:val="7EEB4DA8"/>
    <w:rsid w:val="7EEC1191"/>
    <w:rsid w:val="7EF4CD7C"/>
    <w:rsid w:val="7EF85ACC"/>
    <w:rsid w:val="7EFA3352"/>
    <w:rsid w:val="7EFD2965"/>
    <w:rsid w:val="7F0660E5"/>
    <w:rsid w:val="7F0B3F72"/>
    <w:rsid w:val="7F10541D"/>
    <w:rsid w:val="7F1163FA"/>
    <w:rsid w:val="7F17DF26"/>
    <w:rsid w:val="7F235CF0"/>
    <w:rsid w:val="7F25398C"/>
    <w:rsid w:val="7F261FDA"/>
    <w:rsid w:val="7F29097B"/>
    <w:rsid w:val="7F295A92"/>
    <w:rsid w:val="7F2B4F32"/>
    <w:rsid w:val="7F3371B9"/>
    <w:rsid w:val="7F34CF54"/>
    <w:rsid w:val="7F3D655D"/>
    <w:rsid w:val="7F441888"/>
    <w:rsid w:val="7F4A39F4"/>
    <w:rsid w:val="7F50818F"/>
    <w:rsid w:val="7F51C090"/>
    <w:rsid w:val="7F541C96"/>
    <w:rsid w:val="7F542838"/>
    <w:rsid w:val="7F5467A7"/>
    <w:rsid w:val="7F57B5BD"/>
    <w:rsid w:val="7F6023AB"/>
    <w:rsid w:val="7F6028C4"/>
    <w:rsid w:val="7F675D50"/>
    <w:rsid w:val="7F69D051"/>
    <w:rsid w:val="7F6D18AD"/>
    <w:rsid w:val="7F6FF4B3"/>
    <w:rsid w:val="7F718E8A"/>
    <w:rsid w:val="7F7262AB"/>
    <w:rsid w:val="7F73725F"/>
    <w:rsid w:val="7F768CA2"/>
    <w:rsid w:val="7F780E34"/>
    <w:rsid w:val="7F7DE5C3"/>
    <w:rsid w:val="7F81F455"/>
    <w:rsid w:val="7F82CBF0"/>
    <w:rsid w:val="7F83ECC9"/>
    <w:rsid w:val="7F85F2EE"/>
    <w:rsid w:val="7F89F491"/>
    <w:rsid w:val="7F8DBD26"/>
    <w:rsid w:val="7F8EA93F"/>
    <w:rsid w:val="7F951301"/>
    <w:rsid w:val="7F951762"/>
    <w:rsid w:val="7F95A06C"/>
    <w:rsid w:val="7F9893E0"/>
    <w:rsid w:val="7F98B4E9"/>
    <w:rsid w:val="7F9ED5F2"/>
    <w:rsid w:val="7FA13E03"/>
    <w:rsid w:val="7FA1429E"/>
    <w:rsid w:val="7FA4E3BB"/>
    <w:rsid w:val="7FA5283F"/>
    <w:rsid w:val="7FA7B909"/>
    <w:rsid w:val="7FA7CF07"/>
    <w:rsid w:val="7FAAFD13"/>
    <w:rsid w:val="7FAF9EDD"/>
    <w:rsid w:val="7FB5644E"/>
    <w:rsid w:val="7FB9F221"/>
    <w:rsid w:val="7FBE4B38"/>
    <w:rsid w:val="7FBFF781"/>
    <w:rsid w:val="7FC16A6B"/>
    <w:rsid w:val="7FC27A47"/>
    <w:rsid w:val="7FC62FC8"/>
    <w:rsid w:val="7FCBA748"/>
    <w:rsid w:val="7FD1B033"/>
    <w:rsid w:val="7FD3FAE0"/>
    <w:rsid w:val="7FD60DB0"/>
    <w:rsid w:val="7FDCE22C"/>
    <w:rsid w:val="7FDD213D"/>
    <w:rsid w:val="7FE07446"/>
    <w:rsid w:val="7FE822DE"/>
    <w:rsid w:val="7FE8D4B3"/>
    <w:rsid w:val="7FEA3F08"/>
    <w:rsid w:val="7FEF0719"/>
    <w:rsid w:val="7FEFC75C"/>
    <w:rsid w:val="7FF00D04"/>
    <w:rsid w:val="7FF3E01B"/>
    <w:rsid w:val="7FFAFDCE"/>
    <w:rsid w:val="7FFCC18E"/>
    <w:rsid w:val="7FFFC2AA"/>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4A7905"/>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NZ" w:eastAsia="en-US" w:bidi="ar-SA"/>
        <w14:ligatures w14:val="standardContextual"/>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iPriority="1"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iPriority="39" w:unhideWhenUsed="1"/>
    <w:lsdException w:name="toc 6" w:semiHidden="1" w:unhideWhenUsed="1"/>
    <w:lsdException w:name="toc 7" w:semiHidden="1" w:uiPriority="39"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nhideWhenUsed="1"/>
    <w:lsdException w:name="index heading" w:semiHidden="1" w:uiPriority="99"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 w:unhideWhenUsed="1"/>
    <w:lsdException w:name="List Bullet 3" w:semiHidden="1" w:uiPriority="1" w:unhideWhenUsed="1" w:qFormat="1"/>
    <w:lsdException w:name="List Bullet 4" w:semiHidden="1" w:uiPriority="1" w:unhideWhenUsed="1"/>
    <w:lsdException w:name="List Bullet 5" w:semiHidden="1" w:uiPriority="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99" w:unhideWhenUsed="1"/>
    <w:lsdException w:name="Body Text First Indent 2" w:semiHidden="1" w:uiPriority="99"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nhideWhenUsed="1"/>
    <w:lsdException w:name="Block Text" w:semiHidden="1" w:uiPriority="99" w:unhideWhenUsed="1"/>
    <w:lsdException w:name="Hyperlink" w:semiHidden="1" w:uiPriority="99" w:unhideWhenUsed="1" w:qFormat="1"/>
    <w:lsdException w:name="FollowedHyperlink" w:semiHidden="1" w:uiPriority="99" w:unhideWhenUsed="1"/>
    <w:lsdException w:name="Strong" w:uiPriority="3"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99"/>
    <w:qFormat/>
    <w:rsid w:val="008B7CEA"/>
  </w:style>
  <w:style w:type="paragraph" w:styleId="Heading1">
    <w:name w:val="heading 1"/>
    <w:basedOn w:val="Normal"/>
    <w:next w:val="BodyText"/>
    <w:link w:val="Heading1Char"/>
    <w:qFormat/>
    <w:rsid w:val="00A55072"/>
    <w:pPr>
      <w:keepNext/>
      <w:tabs>
        <w:tab w:val="left" w:pos="851"/>
      </w:tabs>
      <w:spacing w:after="360" w:line="600" w:lineRule="atLeast"/>
      <w:outlineLvl w:val="0"/>
    </w:pPr>
    <w:rPr>
      <w:rFonts w:ascii="Georgia" w:eastAsiaTheme="majorEastAsia" w:hAnsi="Georgia" w:cstheme="majorBidi"/>
      <w:b/>
      <w:bCs/>
      <w:color w:val="1B556B"/>
      <w:kern w:val="0"/>
      <w:sz w:val="48"/>
      <w:szCs w:val="28"/>
      <w:lang w:eastAsia="en-NZ"/>
      <w14:ligatures w14:val="none"/>
    </w:rPr>
  </w:style>
  <w:style w:type="paragraph" w:styleId="Heading2">
    <w:name w:val="heading 2"/>
    <w:basedOn w:val="Normal"/>
    <w:next w:val="BodyText"/>
    <w:link w:val="Heading2Char"/>
    <w:qFormat/>
    <w:rsid w:val="00A55072"/>
    <w:pPr>
      <w:keepNext/>
      <w:tabs>
        <w:tab w:val="left" w:pos="851"/>
      </w:tabs>
      <w:spacing w:before="360" w:line="440" w:lineRule="atLeast"/>
      <w:outlineLvl w:val="1"/>
    </w:pPr>
    <w:rPr>
      <w:rFonts w:ascii="Georgia" w:eastAsiaTheme="majorEastAsia" w:hAnsi="Georgia" w:cstheme="majorBidi"/>
      <w:b/>
      <w:bCs/>
      <w:color w:val="1B556B"/>
      <w:kern w:val="0"/>
      <w:sz w:val="36"/>
      <w:szCs w:val="26"/>
      <w:lang w:eastAsia="en-NZ"/>
      <w14:ligatures w14:val="none"/>
    </w:rPr>
  </w:style>
  <w:style w:type="paragraph" w:styleId="Heading3">
    <w:name w:val="heading 3"/>
    <w:basedOn w:val="Normal"/>
    <w:next w:val="BodyText"/>
    <w:link w:val="Heading3Char"/>
    <w:qFormat/>
    <w:rsid w:val="00A55072"/>
    <w:pPr>
      <w:keepNext/>
      <w:tabs>
        <w:tab w:val="left" w:pos="851"/>
      </w:tabs>
      <w:spacing w:before="360" w:line="360" w:lineRule="exact"/>
      <w:outlineLvl w:val="2"/>
    </w:pPr>
    <w:rPr>
      <w:rFonts w:ascii="Georgia" w:eastAsiaTheme="majorEastAsia" w:hAnsi="Georgia" w:cstheme="majorBidi"/>
      <w:b/>
      <w:bCs/>
      <w:kern w:val="0"/>
      <w:sz w:val="28"/>
      <w:szCs w:val="22"/>
      <w:lang w:eastAsia="en-NZ"/>
      <w14:ligatures w14:val="none"/>
    </w:rPr>
  </w:style>
  <w:style w:type="paragraph" w:styleId="Heading4">
    <w:name w:val="heading 4"/>
    <w:basedOn w:val="Heading3"/>
    <w:next w:val="BodyText"/>
    <w:link w:val="Heading4Char"/>
    <w:qFormat/>
    <w:rsid w:val="00A16CE7"/>
    <w:pPr>
      <w:spacing w:before="240"/>
      <w:outlineLvl w:val="3"/>
    </w:pPr>
    <w:rPr>
      <w:sz w:val="24"/>
    </w:rPr>
  </w:style>
  <w:style w:type="paragraph" w:styleId="Heading5">
    <w:name w:val="heading 5"/>
    <w:basedOn w:val="Normal"/>
    <w:next w:val="BodyText"/>
    <w:link w:val="Heading5Char"/>
    <w:qFormat/>
    <w:rsid w:val="00770581"/>
    <w:pPr>
      <w:keepNext/>
      <w:spacing w:before="240"/>
      <w:outlineLvl w:val="4"/>
    </w:pPr>
    <w:rPr>
      <w:rFonts w:ascii="Calibri" w:eastAsiaTheme="majorEastAsia" w:hAnsi="Calibri" w:cstheme="majorBidi"/>
      <w:i/>
      <w:kern w:val="0"/>
      <w:szCs w:val="22"/>
      <w:lang w:eastAsia="en-NZ"/>
      <w14:ligatures w14:val="none"/>
    </w:rPr>
  </w:style>
  <w:style w:type="paragraph" w:styleId="Heading6">
    <w:name w:val="heading 6"/>
    <w:basedOn w:val="Normal"/>
    <w:next w:val="Normal"/>
    <w:link w:val="Heading6Char"/>
    <w:semiHidden/>
    <w:qFormat/>
    <w:rsid w:val="00B57283"/>
    <w:pPr>
      <w:spacing w:before="240" w:after="120" w:line="288" w:lineRule="auto"/>
      <w:outlineLvl w:val="5"/>
    </w:pPr>
    <w:rPr>
      <w:rFonts w:ascii="Times New Roman" w:eastAsia="Times New Roman" w:hAnsi="Times New Roman" w:cs="Times New Roman"/>
      <w:b/>
      <w:kern w:val="0"/>
      <w:sz w:val="22"/>
      <w:szCs w:val="20"/>
      <w:lang w:val="en-AU"/>
      <w14:ligatures w14:val="none"/>
    </w:rPr>
  </w:style>
  <w:style w:type="paragraph" w:styleId="Heading7">
    <w:name w:val="heading 7"/>
    <w:basedOn w:val="Normal"/>
    <w:next w:val="Normal"/>
    <w:link w:val="Heading7Char"/>
    <w:semiHidden/>
    <w:qFormat/>
    <w:rsid w:val="00B57283"/>
    <w:pPr>
      <w:spacing w:before="240" w:after="120" w:line="288" w:lineRule="auto"/>
      <w:outlineLvl w:val="6"/>
    </w:pPr>
    <w:rPr>
      <w:rFonts w:ascii="Times New Roman" w:eastAsia="Times New Roman" w:hAnsi="Times New Roman" w:cs="Times New Roman"/>
      <w:kern w:val="0"/>
      <w:sz w:val="22"/>
      <w:szCs w:val="20"/>
      <w:lang w:val="en-AU"/>
      <w14:ligatures w14:val="none"/>
    </w:rPr>
  </w:style>
  <w:style w:type="paragraph" w:styleId="Heading8">
    <w:name w:val="heading 8"/>
    <w:basedOn w:val="Normal"/>
    <w:next w:val="Normal"/>
    <w:link w:val="Heading8Char"/>
    <w:qFormat/>
    <w:rsid w:val="00F27244"/>
    <w:pPr>
      <w:keepNext/>
      <w:keepLines/>
      <w:numPr>
        <w:numId w:val="55"/>
      </w:numPr>
      <w:spacing w:before="360" w:line="360" w:lineRule="atLeast"/>
      <w:outlineLvl w:val="7"/>
    </w:pPr>
    <w:rPr>
      <w:rFonts w:ascii="Georgia" w:eastAsia="Times New Roman" w:hAnsi="Georgia" w:cs="Times New Roman"/>
      <w:b/>
      <w:color w:val="1B556B" w:themeColor="text2"/>
      <w:kern w:val="0"/>
      <w:sz w:val="36"/>
      <w:szCs w:val="20"/>
      <w14:ligatures w14:val="none"/>
    </w:rPr>
  </w:style>
  <w:style w:type="paragraph" w:styleId="Heading9">
    <w:name w:val="heading 9"/>
    <w:basedOn w:val="Heading1"/>
    <w:next w:val="Normal"/>
    <w:link w:val="Heading9Char"/>
    <w:semiHidden/>
    <w:qFormat/>
    <w:rsid w:val="00B57283"/>
    <w:pPr>
      <w:spacing w:after="120"/>
      <w:outlineLvl w:val="8"/>
    </w:pPr>
    <w:rPr>
      <w:rFonts w:ascii="Arial" w:hAnsi="Arial"/>
      <w:b w:val="0"/>
      <w:color w:val="FFFFFF"/>
      <w:kern w:val="28"/>
      <w:sz w:val="2"/>
      <w:szCs w:val="20"/>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55072"/>
    <w:rPr>
      <w:rFonts w:ascii="Georgia" w:eastAsiaTheme="majorEastAsia" w:hAnsi="Georgia" w:cstheme="majorBidi"/>
      <w:b/>
      <w:bCs/>
      <w:color w:val="1B556B"/>
      <w:kern w:val="0"/>
      <w:sz w:val="48"/>
      <w:szCs w:val="28"/>
      <w:lang w:eastAsia="en-NZ"/>
      <w14:ligatures w14:val="none"/>
    </w:rPr>
  </w:style>
  <w:style w:type="character" w:customStyle="1" w:styleId="Heading3Char">
    <w:name w:val="Heading 3 Char"/>
    <w:basedOn w:val="DefaultParagraphFont"/>
    <w:link w:val="Heading3"/>
    <w:rsid w:val="00A55072"/>
    <w:rPr>
      <w:rFonts w:ascii="Georgia" w:eastAsiaTheme="majorEastAsia" w:hAnsi="Georgia" w:cstheme="majorBidi"/>
      <w:b/>
      <w:bCs/>
      <w:kern w:val="0"/>
      <w:sz w:val="28"/>
      <w:szCs w:val="22"/>
      <w:lang w:eastAsia="en-NZ"/>
      <w14:ligatures w14:val="none"/>
    </w:rPr>
  </w:style>
  <w:style w:type="paragraph" w:customStyle="1" w:styleId="PARTHEADING">
    <w:name w:val="PART HEADING"/>
    <w:basedOn w:val="Heading1"/>
    <w:next w:val="Heading1"/>
    <w:rsid w:val="000A1A25"/>
    <w:rPr>
      <w:rFonts w:eastAsia="MS Gothic"/>
    </w:rPr>
  </w:style>
  <w:style w:type="character" w:customStyle="1" w:styleId="Heading4Char">
    <w:name w:val="Heading 4 Char"/>
    <w:basedOn w:val="DefaultParagraphFont"/>
    <w:link w:val="Heading4"/>
    <w:rsid w:val="00A16CE7"/>
    <w:rPr>
      <w:rFonts w:ascii="Georgia" w:eastAsiaTheme="majorEastAsia" w:hAnsi="Georgia" w:cstheme="majorBidi"/>
      <w:b/>
      <w:bCs/>
      <w:kern w:val="0"/>
      <w:szCs w:val="22"/>
      <w:lang w:eastAsia="en-NZ"/>
      <w14:ligatures w14:val="none"/>
    </w:rPr>
  </w:style>
  <w:style w:type="paragraph" w:customStyle="1" w:styleId="SubHeading2">
    <w:name w:val="Sub Heading 2"/>
    <w:basedOn w:val="Normal"/>
    <w:semiHidden/>
    <w:rsid w:val="00287832"/>
  </w:style>
  <w:style w:type="character" w:customStyle="1" w:styleId="Heading6Char">
    <w:name w:val="Heading 6 Char"/>
    <w:basedOn w:val="DefaultParagraphFont"/>
    <w:link w:val="Heading6"/>
    <w:semiHidden/>
    <w:rsid w:val="00B57283"/>
    <w:rPr>
      <w:rFonts w:ascii="Times New Roman" w:eastAsia="Times New Roman" w:hAnsi="Times New Roman" w:cs="Times New Roman"/>
      <w:b/>
      <w:kern w:val="0"/>
      <w:sz w:val="22"/>
      <w:szCs w:val="20"/>
      <w:lang w:val="en-AU"/>
      <w14:ligatures w14:val="none"/>
    </w:rPr>
  </w:style>
  <w:style w:type="character" w:customStyle="1" w:styleId="Heading7Char">
    <w:name w:val="Heading 7 Char"/>
    <w:basedOn w:val="DefaultParagraphFont"/>
    <w:link w:val="Heading7"/>
    <w:semiHidden/>
    <w:rsid w:val="00B57283"/>
    <w:rPr>
      <w:rFonts w:ascii="Times New Roman" w:eastAsia="Times New Roman" w:hAnsi="Times New Roman" w:cs="Times New Roman"/>
      <w:kern w:val="0"/>
      <w:sz w:val="22"/>
      <w:szCs w:val="20"/>
      <w:lang w:val="en-AU"/>
      <w14:ligatures w14:val="none"/>
    </w:rPr>
  </w:style>
  <w:style w:type="character" w:customStyle="1" w:styleId="Heading8Char">
    <w:name w:val="Heading 8 Char"/>
    <w:basedOn w:val="DefaultParagraphFont"/>
    <w:link w:val="Heading8"/>
    <w:rsid w:val="00F27244"/>
    <w:rPr>
      <w:rFonts w:ascii="Georgia" w:eastAsia="Times New Roman" w:hAnsi="Georgia" w:cs="Times New Roman"/>
      <w:b/>
      <w:color w:val="1B556B" w:themeColor="text2"/>
      <w:kern w:val="0"/>
      <w:sz w:val="36"/>
      <w:szCs w:val="20"/>
      <w14:ligatures w14:val="none"/>
    </w:rPr>
  </w:style>
  <w:style w:type="character" w:customStyle="1" w:styleId="Heading9Char">
    <w:name w:val="Heading 9 Char"/>
    <w:basedOn w:val="DefaultParagraphFont"/>
    <w:link w:val="Heading9"/>
    <w:semiHidden/>
    <w:rsid w:val="00B57283"/>
    <w:rPr>
      <w:rFonts w:ascii="Arial" w:eastAsia="Times New Roman" w:hAnsi="Arial" w:cs="Times New Roman"/>
      <w:color w:val="FFFFFF"/>
      <w:kern w:val="28"/>
      <w:sz w:val="2"/>
      <w:szCs w:val="20"/>
      <w:lang w:val="en-AU" w:eastAsia="en-NZ"/>
      <w14:ligatures w14:val="none"/>
    </w:rPr>
  </w:style>
  <w:style w:type="numbering" w:customStyle="1" w:styleId="NoList1">
    <w:name w:val="No List1"/>
    <w:next w:val="NoList"/>
    <w:uiPriority w:val="99"/>
    <w:semiHidden/>
    <w:unhideWhenUsed/>
    <w:rsid w:val="00B57283"/>
  </w:style>
  <w:style w:type="character" w:customStyle="1" w:styleId="Heading2Char">
    <w:name w:val="Heading 2 Char"/>
    <w:basedOn w:val="DefaultParagraphFont"/>
    <w:link w:val="Heading2"/>
    <w:rsid w:val="00A55072"/>
    <w:rPr>
      <w:rFonts w:ascii="Georgia" w:eastAsiaTheme="majorEastAsia" w:hAnsi="Georgia" w:cstheme="majorBidi"/>
      <w:b/>
      <w:bCs/>
      <w:color w:val="1B556B"/>
      <w:kern w:val="0"/>
      <w:sz w:val="36"/>
      <w:szCs w:val="26"/>
      <w:lang w:eastAsia="en-NZ"/>
      <w14:ligatures w14:val="none"/>
    </w:rPr>
  </w:style>
  <w:style w:type="paragraph" w:styleId="BodyText">
    <w:name w:val="Body Text"/>
    <w:basedOn w:val="Normal"/>
    <w:link w:val="BodyTextChar"/>
    <w:qFormat/>
    <w:rsid w:val="00A55072"/>
    <w:pPr>
      <w:spacing w:before="120" w:after="120" w:line="280" w:lineRule="atLeast"/>
    </w:pPr>
    <w:rPr>
      <w:rFonts w:ascii="Calibri" w:eastAsiaTheme="minorEastAsia" w:hAnsi="Calibri"/>
      <w:kern w:val="0"/>
      <w:sz w:val="22"/>
      <w:szCs w:val="22"/>
      <w:lang w:eastAsia="en-NZ"/>
      <w14:ligatures w14:val="none"/>
    </w:rPr>
  </w:style>
  <w:style w:type="character" w:customStyle="1" w:styleId="BodyTextChar">
    <w:name w:val="Body Text Char"/>
    <w:basedOn w:val="DefaultParagraphFont"/>
    <w:link w:val="BodyText"/>
    <w:rsid w:val="00A55072"/>
    <w:rPr>
      <w:rFonts w:ascii="Calibri" w:eastAsiaTheme="minorEastAsia" w:hAnsi="Calibri"/>
      <w:kern w:val="0"/>
      <w:sz w:val="22"/>
      <w:szCs w:val="22"/>
      <w:lang w:eastAsia="en-NZ"/>
      <w14:ligatures w14:val="none"/>
    </w:rPr>
  </w:style>
  <w:style w:type="character" w:customStyle="1" w:styleId="Heading5Char">
    <w:name w:val="Heading 5 Char"/>
    <w:basedOn w:val="DefaultParagraphFont"/>
    <w:link w:val="Heading5"/>
    <w:rsid w:val="00770581"/>
    <w:rPr>
      <w:rFonts w:ascii="Calibri" w:eastAsiaTheme="majorEastAsia" w:hAnsi="Calibri" w:cstheme="majorBidi"/>
      <w:i/>
      <w:kern w:val="0"/>
      <w:szCs w:val="22"/>
      <w:lang w:eastAsia="en-NZ"/>
      <w14:ligatures w14:val="none"/>
    </w:rPr>
  </w:style>
  <w:style w:type="table" w:styleId="TableGrid">
    <w:name w:val="Table Grid"/>
    <w:basedOn w:val="TableNormal"/>
    <w:uiPriority w:val="39"/>
    <w:rsid w:val="002179BA"/>
    <w:rPr>
      <w:rFonts w:ascii="Times New Roman" w:eastAsia="Times New Roman" w:hAnsi="Times New Roman" w:cs="Times New Roman"/>
      <w:kern w:val="0"/>
      <w:sz w:val="20"/>
      <w:szCs w:val="20"/>
      <w:lang w:eastAsia="en-NZ"/>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CE1968"/>
    <w:pPr>
      <w:spacing w:line="280" w:lineRule="atLeast"/>
      <w:jc w:val="right"/>
    </w:pPr>
    <w:rPr>
      <w:rFonts w:ascii="Calibri" w:eastAsia="MS Mincho" w:hAnsi="Calibri"/>
      <w:kern w:val="0"/>
      <w:sz w:val="20"/>
      <w:szCs w:val="22"/>
      <w:lang w:eastAsia="en-NZ"/>
      <w14:ligatures w14:val="none"/>
    </w:rPr>
  </w:style>
  <w:style w:type="character" w:customStyle="1" w:styleId="HeaderChar">
    <w:name w:val="Header Char"/>
    <w:basedOn w:val="DefaultParagraphFont"/>
    <w:link w:val="Header"/>
    <w:rsid w:val="00CE1968"/>
    <w:rPr>
      <w:rFonts w:ascii="Calibri" w:eastAsia="MS Mincho" w:hAnsi="Calibri"/>
      <w:kern w:val="0"/>
      <w:sz w:val="20"/>
      <w:szCs w:val="22"/>
      <w:lang w:eastAsia="en-NZ"/>
      <w14:ligatures w14:val="none"/>
    </w:rPr>
  </w:style>
  <w:style w:type="paragraph" w:styleId="Quote">
    <w:name w:val="Quote"/>
    <w:basedOn w:val="Normal"/>
    <w:next w:val="BodyText"/>
    <w:link w:val="QuoteChar"/>
    <w:uiPriority w:val="1"/>
    <w:qFormat/>
    <w:rsid w:val="00A55072"/>
    <w:pPr>
      <w:spacing w:before="60" w:after="60" w:line="280" w:lineRule="atLeast"/>
      <w:ind w:left="567" w:right="567"/>
    </w:pPr>
    <w:rPr>
      <w:rFonts w:ascii="Calibri" w:eastAsiaTheme="minorEastAsia" w:hAnsi="Calibri"/>
      <w:kern w:val="0"/>
      <w:sz w:val="20"/>
      <w:szCs w:val="22"/>
      <w:lang w:eastAsia="en-NZ"/>
      <w14:ligatures w14:val="none"/>
    </w:rPr>
  </w:style>
  <w:style w:type="character" w:customStyle="1" w:styleId="QuoteChar">
    <w:name w:val="Quote Char"/>
    <w:basedOn w:val="DefaultParagraphFont"/>
    <w:link w:val="Quote"/>
    <w:uiPriority w:val="1"/>
    <w:rsid w:val="00F115CF"/>
    <w:rPr>
      <w:rFonts w:ascii="Calibri" w:eastAsiaTheme="minorEastAsia" w:hAnsi="Calibri"/>
      <w:kern w:val="0"/>
      <w:sz w:val="20"/>
      <w:szCs w:val="22"/>
      <w:lang w:eastAsia="en-NZ"/>
      <w14:ligatures w14:val="none"/>
    </w:rPr>
  </w:style>
  <w:style w:type="paragraph" w:customStyle="1" w:styleId="Box">
    <w:name w:val="Box"/>
    <w:basedOn w:val="Normal"/>
    <w:uiPriority w:val="1"/>
    <w:semiHidden/>
    <w:rsid w:val="00B57283"/>
    <w:pPr>
      <w:pBdr>
        <w:top w:val="single" w:sz="6" w:space="15" w:color="D5EBE5"/>
        <w:left w:val="single" w:sz="6" w:space="15" w:color="D5EBE5"/>
        <w:bottom w:val="single" w:sz="6" w:space="15" w:color="D5EBE5"/>
        <w:right w:val="single" w:sz="6" w:space="15" w:color="D5EBE5"/>
      </w:pBdr>
      <w:shd w:val="clear" w:color="auto" w:fill="D5EBE5"/>
      <w:spacing w:before="120" w:after="120" w:line="280" w:lineRule="atLeast"/>
      <w:ind w:left="284" w:right="284"/>
    </w:pPr>
    <w:rPr>
      <w:rFonts w:ascii="Calibri" w:eastAsia="MS Mincho" w:hAnsi="Calibri"/>
      <w:color w:val="2C997B"/>
      <w:kern w:val="0"/>
      <w:sz w:val="20"/>
      <w:szCs w:val="22"/>
      <w:lang w:eastAsia="en-NZ"/>
      <w14:ligatures w14:val="none"/>
    </w:rPr>
  </w:style>
  <w:style w:type="paragraph" w:customStyle="1" w:styleId="Boxbullet">
    <w:name w:val="Box bullet"/>
    <w:basedOn w:val="Boxtext"/>
    <w:uiPriority w:val="1"/>
    <w:qFormat/>
    <w:rsid w:val="00A55072"/>
    <w:pPr>
      <w:numPr>
        <w:numId w:val="8"/>
      </w:numPr>
      <w:tabs>
        <w:tab w:val="left" w:pos="680"/>
      </w:tabs>
      <w:spacing w:before="0"/>
    </w:pPr>
    <w:rPr>
      <w:rFonts w:cs="Times New Roman"/>
      <w:szCs w:val="20"/>
    </w:rPr>
  </w:style>
  <w:style w:type="paragraph" w:customStyle="1" w:styleId="Boxheading">
    <w:name w:val="Box heading"/>
    <w:basedOn w:val="Boxtext"/>
    <w:next w:val="Boxtext"/>
    <w:uiPriority w:val="1"/>
    <w:qFormat/>
    <w:rsid w:val="00A55072"/>
    <w:pPr>
      <w:keepNext/>
      <w:spacing w:before="240" w:after="0"/>
    </w:pPr>
    <w:rPr>
      <w:rFonts w:cs="Times New Roman"/>
      <w:b/>
      <w:sz w:val="22"/>
      <w:szCs w:val="20"/>
    </w:rPr>
  </w:style>
  <w:style w:type="paragraph" w:customStyle="1" w:styleId="Bullet">
    <w:name w:val="Bullet"/>
    <w:basedOn w:val="Normal"/>
    <w:link w:val="BulletChar"/>
    <w:qFormat/>
    <w:rsid w:val="00345FF2"/>
    <w:pPr>
      <w:numPr>
        <w:numId w:val="10"/>
      </w:numPr>
      <w:spacing w:after="120" w:line="280" w:lineRule="atLeast"/>
    </w:pPr>
    <w:rPr>
      <w:rFonts w:ascii="Calibri" w:eastAsia="Times New Roman" w:hAnsi="Calibri" w:cs="Times New Roman"/>
      <w:kern w:val="0"/>
      <w:sz w:val="22"/>
      <w:szCs w:val="20"/>
      <w:lang w:eastAsia="en-NZ"/>
      <w14:ligatures w14:val="none"/>
    </w:rPr>
  </w:style>
  <w:style w:type="character" w:customStyle="1" w:styleId="BulletChar">
    <w:name w:val="Bullet Char"/>
    <w:basedOn w:val="DefaultParagraphFont"/>
    <w:link w:val="Bullet"/>
    <w:locked/>
    <w:rsid w:val="00F302ED"/>
    <w:rPr>
      <w:rFonts w:ascii="Calibri" w:eastAsia="Times New Roman" w:hAnsi="Calibri" w:cs="Times New Roman"/>
      <w:kern w:val="0"/>
      <w:sz w:val="22"/>
      <w:szCs w:val="20"/>
      <w:lang w:eastAsia="en-NZ"/>
      <w14:ligatures w14:val="none"/>
    </w:rPr>
  </w:style>
  <w:style w:type="paragraph" w:customStyle="1" w:styleId="Heading">
    <w:name w:val="Heading"/>
    <w:basedOn w:val="Heading1"/>
    <w:next w:val="Normal"/>
    <w:uiPriority w:val="3"/>
    <w:semiHidden/>
    <w:rsid w:val="00A55072"/>
    <w:pPr>
      <w:numPr>
        <w:numId w:val="40"/>
      </w:numPr>
    </w:pPr>
  </w:style>
  <w:style w:type="paragraph" w:styleId="Footer">
    <w:name w:val="footer"/>
    <w:basedOn w:val="Normal"/>
    <w:link w:val="FooterChar"/>
    <w:semiHidden/>
    <w:rsid w:val="00B57283"/>
    <w:pPr>
      <w:tabs>
        <w:tab w:val="center" w:pos="4153"/>
        <w:tab w:val="right" w:pos="8306"/>
      </w:tabs>
      <w:spacing w:before="120" w:after="120" w:line="280" w:lineRule="atLeast"/>
      <w:jc w:val="both"/>
    </w:pPr>
    <w:rPr>
      <w:rFonts w:ascii="Calibri" w:eastAsia="MS Mincho" w:hAnsi="Calibri"/>
      <w:kern w:val="0"/>
      <w:sz w:val="22"/>
      <w:szCs w:val="22"/>
      <w:lang w:eastAsia="en-NZ"/>
      <w14:ligatures w14:val="none"/>
    </w:rPr>
  </w:style>
  <w:style w:type="character" w:customStyle="1" w:styleId="FooterChar">
    <w:name w:val="Footer Char"/>
    <w:basedOn w:val="DefaultParagraphFont"/>
    <w:link w:val="Footer"/>
    <w:semiHidden/>
    <w:rsid w:val="00426532"/>
    <w:rPr>
      <w:rFonts w:ascii="Calibri" w:eastAsia="MS Mincho" w:hAnsi="Calibri"/>
      <w:kern w:val="0"/>
      <w:sz w:val="22"/>
      <w:szCs w:val="22"/>
      <w:lang w:eastAsia="en-NZ"/>
      <w14:ligatures w14:val="none"/>
    </w:rPr>
  </w:style>
  <w:style w:type="paragraph" w:customStyle="1" w:styleId="Sub-list">
    <w:name w:val="Sub-list"/>
    <w:basedOn w:val="Normal"/>
    <w:qFormat/>
    <w:rsid w:val="00A55072"/>
    <w:pPr>
      <w:numPr>
        <w:numId w:val="12"/>
      </w:numPr>
      <w:tabs>
        <w:tab w:val="left" w:pos="794"/>
      </w:tabs>
      <w:spacing w:after="120" w:line="280" w:lineRule="atLeast"/>
    </w:pPr>
    <w:rPr>
      <w:rFonts w:ascii="Calibri" w:eastAsiaTheme="minorEastAsia" w:hAnsi="Calibri"/>
      <w:kern w:val="0"/>
      <w:sz w:val="22"/>
      <w:szCs w:val="22"/>
      <w:lang w:eastAsia="en-NZ"/>
      <w14:ligatures w14:val="none"/>
    </w:rPr>
  </w:style>
  <w:style w:type="paragraph" w:customStyle="1" w:styleId="Figureheading">
    <w:name w:val="Figure heading"/>
    <w:basedOn w:val="Normal"/>
    <w:next w:val="BodyText"/>
    <w:link w:val="FigureheadingChar"/>
    <w:uiPriority w:val="1"/>
    <w:qFormat/>
    <w:rsid w:val="00C52920"/>
    <w:pPr>
      <w:keepNext/>
      <w:spacing w:before="120" w:after="120" w:line="260" w:lineRule="atLeast"/>
      <w:ind w:left="1134" w:hanging="1134"/>
    </w:pPr>
    <w:rPr>
      <w:rFonts w:ascii="Calibri" w:eastAsiaTheme="minorEastAsia" w:hAnsi="Calibri" w:cs="Arial"/>
      <w:b/>
      <w:kern w:val="0"/>
      <w:sz w:val="20"/>
      <w:szCs w:val="22"/>
      <w:lang w:eastAsia="en-NZ"/>
      <w14:ligatures w14:val="none"/>
    </w:rPr>
  </w:style>
  <w:style w:type="character" w:customStyle="1" w:styleId="FigureheadingChar">
    <w:name w:val="Figure heading Char"/>
    <w:basedOn w:val="DefaultParagraphFont"/>
    <w:link w:val="Figureheading"/>
    <w:uiPriority w:val="1"/>
    <w:rsid w:val="00C52920"/>
    <w:rPr>
      <w:rFonts w:ascii="Calibri" w:eastAsiaTheme="minorEastAsia" w:hAnsi="Calibri" w:cs="Arial"/>
      <w:b/>
      <w:kern w:val="0"/>
      <w:sz w:val="20"/>
      <w:szCs w:val="22"/>
      <w:lang w:eastAsia="en-NZ"/>
      <w14:ligatures w14:val="none"/>
    </w:rPr>
  </w:style>
  <w:style w:type="character" w:styleId="FootnoteReference">
    <w:name w:val="footnote reference"/>
    <w:uiPriority w:val="99"/>
    <w:semiHidden/>
    <w:rsid w:val="00A55072"/>
    <w:rPr>
      <w:rFonts w:ascii="Calibri" w:hAnsi="Calibri"/>
      <w:color w:val="auto"/>
      <w:sz w:val="22"/>
      <w:vertAlign w:val="superscript"/>
    </w:rPr>
  </w:style>
  <w:style w:type="paragraph" w:styleId="FootnoteText">
    <w:name w:val="footnote text"/>
    <w:basedOn w:val="Normal"/>
    <w:link w:val="FootnoteTextChar"/>
    <w:uiPriority w:val="99"/>
    <w:rsid w:val="00F115CF"/>
    <w:pPr>
      <w:spacing w:after="60" w:line="240" w:lineRule="atLeast"/>
      <w:ind w:left="284" w:hanging="284"/>
    </w:pPr>
    <w:rPr>
      <w:rFonts w:ascii="Calibri" w:eastAsiaTheme="minorEastAsia" w:hAnsi="Calibri"/>
      <w:kern w:val="0"/>
      <w:sz w:val="19"/>
      <w:szCs w:val="22"/>
      <w:lang w:eastAsia="en-NZ"/>
      <w14:ligatures w14:val="none"/>
    </w:rPr>
  </w:style>
  <w:style w:type="character" w:customStyle="1" w:styleId="FootnoteTextChar">
    <w:name w:val="Footnote Text Char"/>
    <w:basedOn w:val="DefaultParagraphFont"/>
    <w:link w:val="FootnoteText"/>
    <w:uiPriority w:val="99"/>
    <w:rsid w:val="00F115CF"/>
    <w:rPr>
      <w:rFonts w:ascii="Calibri" w:eastAsiaTheme="minorEastAsia" w:hAnsi="Calibri"/>
      <w:kern w:val="0"/>
      <w:sz w:val="19"/>
      <w:szCs w:val="22"/>
      <w:lang w:eastAsia="en-NZ"/>
      <w14:ligatures w14:val="none"/>
    </w:rPr>
  </w:style>
  <w:style w:type="character" w:styleId="Hyperlink">
    <w:name w:val="Hyperlink"/>
    <w:uiPriority w:val="99"/>
    <w:qFormat/>
    <w:rsid w:val="00A55072"/>
    <w:rPr>
      <w:color w:val="32809C"/>
      <w:u w:val="none"/>
    </w:rPr>
  </w:style>
  <w:style w:type="paragraph" w:customStyle="1" w:styleId="Imprint">
    <w:name w:val="Imprint"/>
    <w:basedOn w:val="Normal"/>
    <w:uiPriority w:val="3"/>
    <w:semiHidden/>
    <w:rsid w:val="00A55072"/>
    <w:pPr>
      <w:spacing w:before="120" w:after="120" w:line="280" w:lineRule="atLeast"/>
    </w:pPr>
    <w:rPr>
      <w:rFonts w:ascii="Calibri" w:eastAsiaTheme="minorEastAsia" w:hAnsi="Calibri"/>
      <w:kern w:val="0"/>
      <w:sz w:val="22"/>
      <w:szCs w:val="22"/>
      <w:lang w:eastAsia="en-NZ"/>
      <w14:ligatures w14:val="none"/>
    </w:rPr>
  </w:style>
  <w:style w:type="paragraph" w:customStyle="1" w:styleId="Note">
    <w:name w:val="Note"/>
    <w:basedOn w:val="BodyText"/>
    <w:next w:val="Normal"/>
    <w:uiPriority w:val="1"/>
    <w:semiHidden/>
    <w:qFormat/>
    <w:rsid w:val="00A55072"/>
    <w:pPr>
      <w:spacing w:line="240" w:lineRule="atLeast"/>
    </w:pPr>
    <w:rPr>
      <w:sz w:val="18"/>
    </w:rPr>
  </w:style>
  <w:style w:type="paragraph" w:customStyle="1" w:styleId="References">
    <w:name w:val="References"/>
    <w:basedOn w:val="Normal"/>
    <w:uiPriority w:val="1"/>
    <w:qFormat/>
    <w:rsid w:val="001E6C93"/>
    <w:pPr>
      <w:spacing w:after="120" w:line="260" w:lineRule="atLeast"/>
    </w:pPr>
    <w:rPr>
      <w:rFonts w:ascii="Calibri" w:eastAsiaTheme="minorEastAsia" w:hAnsi="Calibri"/>
      <w:kern w:val="0"/>
      <w:sz w:val="20"/>
      <w:szCs w:val="22"/>
      <w:lang w:eastAsia="en-NZ"/>
      <w14:ligatures w14:val="none"/>
    </w:rPr>
  </w:style>
  <w:style w:type="paragraph" w:customStyle="1" w:styleId="Source">
    <w:name w:val="Source"/>
    <w:basedOn w:val="Normal"/>
    <w:next w:val="Normal"/>
    <w:link w:val="SourceChar"/>
    <w:uiPriority w:val="1"/>
    <w:qFormat/>
    <w:rsid w:val="00A55072"/>
    <w:pPr>
      <w:tabs>
        <w:tab w:val="left" w:pos="680"/>
      </w:tabs>
      <w:spacing w:before="120" w:after="120" w:line="240" w:lineRule="atLeast"/>
    </w:pPr>
    <w:rPr>
      <w:rFonts w:ascii="Calibri" w:eastAsiaTheme="minorEastAsia" w:hAnsi="Calibri"/>
      <w:kern w:val="0"/>
      <w:sz w:val="18"/>
      <w:szCs w:val="22"/>
      <w:lang w:eastAsia="en-NZ"/>
      <w14:ligatures w14:val="none"/>
    </w:rPr>
  </w:style>
  <w:style w:type="character" w:customStyle="1" w:styleId="SourceChar">
    <w:name w:val="Source Char"/>
    <w:basedOn w:val="BodyTextChar"/>
    <w:link w:val="Source"/>
    <w:uiPriority w:val="1"/>
    <w:rsid w:val="00A75E6A"/>
    <w:rPr>
      <w:rFonts w:ascii="Calibri" w:eastAsiaTheme="minorEastAsia" w:hAnsi="Calibri"/>
      <w:kern w:val="0"/>
      <w:sz w:val="18"/>
      <w:szCs w:val="22"/>
      <w:lang w:eastAsia="en-NZ"/>
      <w14:ligatures w14:val="none"/>
    </w:rPr>
  </w:style>
  <w:style w:type="paragraph" w:styleId="Title">
    <w:name w:val="Title"/>
    <w:basedOn w:val="Normal"/>
    <w:link w:val="TitleChar"/>
    <w:uiPriority w:val="2"/>
    <w:semiHidden/>
    <w:rsid w:val="00A55072"/>
    <w:pPr>
      <w:spacing w:before="120" w:after="120" w:line="360" w:lineRule="auto"/>
      <w:jc w:val="center"/>
    </w:pPr>
    <w:rPr>
      <w:rFonts w:ascii="Georgia" w:eastAsiaTheme="minorEastAsia" w:hAnsi="Georgia"/>
      <w:b/>
      <w:color w:val="1B556B"/>
      <w:kern w:val="0"/>
      <w:sz w:val="56"/>
      <w:szCs w:val="22"/>
      <w:lang w:eastAsia="en-NZ"/>
      <w14:ligatures w14:val="none"/>
    </w:rPr>
  </w:style>
  <w:style w:type="character" w:customStyle="1" w:styleId="TitleChar">
    <w:name w:val="Title Char"/>
    <w:basedOn w:val="DefaultParagraphFont"/>
    <w:link w:val="Title"/>
    <w:uiPriority w:val="2"/>
    <w:semiHidden/>
    <w:rsid w:val="00426532"/>
    <w:rPr>
      <w:rFonts w:ascii="Georgia" w:eastAsiaTheme="minorEastAsia" w:hAnsi="Georgia"/>
      <w:b/>
      <w:color w:val="1B556B"/>
      <w:kern w:val="0"/>
      <w:sz w:val="56"/>
      <w:szCs w:val="22"/>
      <w:lang w:eastAsia="en-NZ"/>
      <w14:ligatures w14:val="none"/>
    </w:rPr>
  </w:style>
  <w:style w:type="paragraph" w:styleId="Subtitle">
    <w:name w:val="Subtitle"/>
    <w:basedOn w:val="Title"/>
    <w:link w:val="SubtitleChar"/>
    <w:uiPriority w:val="11"/>
    <w:semiHidden/>
    <w:qFormat/>
    <w:rsid w:val="00B57283"/>
    <w:pPr>
      <w:spacing w:before="600" w:line="240" w:lineRule="auto"/>
      <w:outlineLvl w:val="1"/>
    </w:pPr>
    <w:rPr>
      <w:sz w:val="36"/>
    </w:rPr>
  </w:style>
  <w:style w:type="character" w:customStyle="1" w:styleId="SubtitleChar">
    <w:name w:val="Subtitle Char"/>
    <w:basedOn w:val="DefaultParagraphFont"/>
    <w:link w:val="Subtitle"/>
    <w:uiPriority w:val="11"/>
    <w:semiHidden/>
    <w:rsid w:val="00426532"/>
    <w:rPr>
      <w:rFonts w:ascii="Georgia" w:eastAsiaTheme="minorEastAsia" w:hAnsi="Georgia"/>
      <w:b/>
      <w:color w:val="1B556B"/>
      <w:kern w:val="0"/>
      <w:sz w:val="36"/>
      <w:szCs w:val="22"/>
      <w:lang w:eastAsia="en-NZ"/>
      <w14:ligatures w14:val="none"/>
    </w:rPr>
  </w:style>
  <w:style w:type="paragraph" w:customStyle="1" w:styleId="Tableheading">
    <w:name w:val="Table heading"/>
    <w:basedOn w:val="Normal"/>
    <w:next w:val="Normal"/>
    <w:qFormat/>
    <w:rsid w:val="006258D2"/>
    <w:pPr>
      <w:keepNext/>
      <w:numPr>
        <w:numId w:val="43"/>
      </w:numPr>
      <w:spacing w:before="120" w:after="120" w:line="260" w:lineRule="atLeast"/>
      <w:ind w:left="1134"/>
    </w:pPr>
    <w:rPr>
      <w:rFonts w:ascii="Calibri" w:eastAsiaTheme="minorEastAsia" w:hAnsi="Calibri"/>
      <w:b/>
      <w:kern w:val="0"/>
      <w:sz w:val="20"/>
      <w:szCs w:val="22"/>
      <w:lang w:eastAsia="en-NZ"/>
      <w14:ligatures w14:val="none"/>
    </w:rPr>
  </w:style>
  <w:style w:type="paragraph" w:customStyle="1" w:styleId="TableText">
    <w:name w:val="TableText"/>
    <w:basedOn w:val="Normal"/>
    <w:link w:val="TableTextChar"/>
    <w:qFormat/>
    <w:rsid w:val="00A55072"/>
    <w:pPr>
      <w:spacing w:before="60" w:after="60" w:line="240" w:lineRule="atLeast"/>
    </w:pPr>
    <w:rPr>
      <w:rFonts w:ascii="Calibri" w:eastAsiaTheme="minorEastAsia" w:hAnsi="Calibri"/>
      <w:kern w:val="0"/>
      <w:sz w:val="18"/>
      <w:szCs w:val="22"/>
      <w:lang w:eastAsia="en-NZ"/>
      <w14:ligatures w14:val="none"/>
    </w:rPr>
  </w:style>
  <w:style w:type="character" w:customStyle="1" w:styleId="TableTextChar">
    <w:name w:val="TableText Char"/>
    <w:basedOn w:val="DefaultParagraphFont"/>
    <w:link w:val="TableText"/>
    <w:rsid w:val="00921C79"/>
    <w:rPr>
      <w:rFonts w:ascii="Calibri" w:eastAsiaTheme="minorEastAsia" w:hAnsi="Calibri"/>
      <w:kern w:val="0"/>
      <w:sz w:val="18"/>
      <w:szCs w:val="22"/>
      <w:lang w:eastAsia="en-NZ"/>
      <w14:ligatures w14:val="none"/>
    </w:rPr>
  </w:style>
  <w:style w:type="paragraph" w:customStyle="1" w:styleId="TableTextbold">
    <w:name w:val="TableText bold"/>
    <w:basedOn w:val="TableText"/>
    <w:rsid w:val="00A55072"/>
    <w:rPr>
      <w:b/>
    </w:rPr>
  </w:style>
  <w:style w:type="paragraph" w:styleId="TOC1">
    <w:name w:val="toc 1"/>
    <w:basedOn w:val="Normal"/>
    <w:next w:val="Normal"/>
    <w:uiPriority w:val="39"/>
    <w:rsid w:val="00B22815"/>
    <w:pPr>
      <w:tabs>
        <w:tab w:val="right" w:pos="8505"/>
      </w:tabs>
      <w:spacing w:before="280" w:after="40"/>
      <w:ind w:right="567"/>
    </w:pPr>
    <w:rPr>
      <w:rFonts w:ascii="Calibri" w:eastAsiaTheme="minorEastAsia" w:hAnsi="Calibri"/>
      <w:noProof/>
      <w:kern w:val="0"/>
      <w:sz w:val="22"/>
      <w:szCs w:val="22"/>
      <w:lang w:eastAsia="en-NZ"/>
      <w14:ligatures w14:val="none"/>
    </w:rPr>
  </w:style>
  <w:style w:type="paragraph" w:styleId="TOC2">
    <w:name w:val="toc 2"/>
    <w:basedOn w:val="Normal"/>
    <w:next w:val="Normal"/>
    <w:uiPriority w:val="39"/>
    <w:rsid w:val="00A55072"/>
    <w:pPr>
      <w:tabs>
        <w:tab w:val="right" w:pos="8505"/>
      </w:tabs>
      <w:spacing w:before="60" w:after="60"/>
      <w:ind w:left="1134" w:right="567" w:hanging="567"/>
    </w:pPr>
    <w:rPr>
      <w:rFonts w:ascii="Calibri" w:eastAsiaTheme="minorEastAsia" w:hAnsi="Calibri"/>
      <w:kern w:val="0"/>
      <w:sz w:val="22"/>
      <w:szCs w:val="22"/>
      <w:lang w:eastAsia="en-NZ"/>
      <w14:ligatures w14:val="none"/>
    </w:rPr>
  </w:style>
  <w:style w:type="paragraph" w:customStyle="1" w:styleId="Captions">
    <w:name w:val="Captions"/>
    <w:basedOn w:val="Note"/>
    <w:next w:val="Normal"/>
    <w:semiHidden/>
    <w:rsid w:val="00B57283"/>
    <w:pPr>
      <w:tabs>
        <w:tab w:val="left" w:pos="851"/>
      </w:tabs>
    </w:pPr>
  </w:style>
  <w:style w:type="paragraph" w:customStyle="1" w:styleId="Glossary">
    <w:name w:val="Glossary"/>
    <w:basedOn w:val="Normal"/>
    <w:uiPriority w:val="1"/>
    <w:semiHidden/>
    <w:qFormat/>
    <w:rsid w:val="00032498"/>
    <w:pPr>
      <w:tabs>
        <w:tab w:val="left" w:pos="2835"/>
      </w:tabs>
      <w:spacing w:before="80" w:line="280" w:lineRule="atLeast"/>
    </w:pPr>
    <w:rPr>
      <w:rFonts w:ascii="Calibri" w:eastAsiaTheme="minorEastAsia" w:hAnsi="Calibri"/>
      <w:kern w:val="0"/>
      <w:sz w:val="22"/>
      <w:szCs w:val="22"/>
      <w:lang w:eastAsia="en-NZ"/>
      <w14:ligatures w14:val="none"/>
    </w:rPr>
  </w:style>
  <w:style w:type="paragraph" w:customStyle="1" w:styleId="Footerodd">
    <w:name w:val="Footer odd"/>
    <w:basedOn w:val="Normal"/>
    <w:uiPriority w:val="2"/>
    <w:rsid w:val="00A55072"/>
    <w:pPr>
      <w:tabs>
        <w:tab w:val="right" w:pos="7938"/>
        <w:tab w:val="right" w:pos="8505"/>
      </w:tabs>
      <w:spacing w:before="120" w:after="120" w:line="280" w:lineRule="atLeast"/>
    </w:pPr>
    <w:rPr>
      <w:rFonts w:ascii="Calibri" w:eastAsiaTheme="minorEastAsia" w:hAnsi="Calibri"/>
      <w:kern w:val="0"/>
      <w:sz w:val="16"/>
      <w:szCs w:val="22"/>
      <w:lang w:eastAsia="en-NZ"/>
      <w14:ligatures w14:val="none"/>
    </w:rPr>
  </w:style>
  <w:style w:type="paragraph" w:customStyle="1" w:styleId="Footereven">
    <w:name w:val="Footer even"/>
    <w:basedOn w:val="Normal"/>
    <w:uiPriority w:val="2"/>
    <w:rsid w:val="00A55072"/>
    <w:pPr>
      <w:tabs>
        <w:tab w:val="left" w:pos="567"/>
      </w:tabs>
      <w:spacing w:before="120" w:after="120" w:line="280" w:lineRule="atLeast"/>
      <w:jc w:val="both"/>
    </w:pPr>
    <w:rPr>
      <w:rFonts w:ascii="Calibri" w:eastAsiaTheme="minorEastAsia" w:hAnsi="Calibri"/>
      <w:kern w:val="0"/>
      <w:sz w:val="16"/>
      <w:szCs w:val="22"/>
      <w:lang w:eastAsia="en-NZ"/>
      <w14:ligatures w14:val="none"/>
    </w:rPr>
  </w:style>
  <w:style w:type="paragraph" w:customStyle="1" w:styleId="Numberedparagraph">
    <w:name w:val="Numbered paragraph"/>
    <w:basedOn w:val="Normal"/>
    <w:uiPriority w:val="1"/>
    <w:qFormat/>
    <w:rsid w:val="00A55072"/>
    <w:pPr>
      <w:numPr>
        <w:numId w:val="11"/>
      </w:numPr>
      <w:spacing w:after="120" w:line="280" w:lineRule="atLeast"/>
    </w:pPr>
    <w:rPr>
      <w:rFonts w:ascii="Calibri" w:eastAsiaTheme="minorEastAsia" w:hAnsi="Calibri"/>
      <w:kern w:val="0"/>
      <w:sz w:val="22"/>
      <w:szCs w:val="22"/>
      <w:lang w:eastAsia="en-NZ"/>
      <w14:ligatures w14:val="none"/>
    </w:rPr>
  </w:style>
  <w:style w:type="paragraph" w:customStyle="1" w:styleId="Sub-lista">
    <w:name w:val="Sub-list a"/>
    <w:aliases w:val="b"/>
    <w:basedOn w:val="Normal"/>
    <w:uiPriority w:val="2"/>
    <w:rsid w:val="00A55072"/>
    <w:pPr>
      <w:numPr>
        <w:numId w:val="13"/>
      </w:numPr>
      <w:spacing w:after="120" w:line="280" w:lineRule="atLeast"/>
    </w:pPr>
    <w:rPr>
      <w:rFonts w:ascii="Calibri" w:eastAsiaTheme="minorEastAsia" w:hAnsi="Calibri"/>
      <w:kern w:val="0"/>
      <w:sz w:val="22"/>
      <w:szCs w:val="22"/>
      <w:lang w:eastAsia="en-NZ"/>
      <w14:ligatures w14:val="none"/>
    </w:rPr>
  </w:style>
  <w:style w:type="paragraph" w:styleId="EndnoteText">
    <w:name w:val="endnote text"/>
    <w:basedOn w:val="Normal"/>
    <w:link w:val="EndnoteTextChar"/>
    <w:uiPriority w:val="99"/>
    <w:semiHidden/>
    <w:rsid w:val="00B57283"/>
    <w:pPr>
      <w:spacing w:before="120" w:after="60" w:line="280" w:lineRule="atLeast"/>
      <w:jc w:val="both"/>
    </w:pPr>
    <w:rPr>
      <w:rFonts w:ascii="Calibri" w:eastAsia="MS Mincho" w:hAnsi="Calibri"/>
      <w:kern w:val="0"/>
      <w:sz w:val="20"/>
      <w:szCs w:val="22"/>
      <w:lang w:eastAsia="en-NZ"/>
      <w14:ligatures w14:val="none"/>
    </w:rPr>
  </w:style>
  <w:style w:type="character" w:customStyle="1" w:styleId="EndnoteTextChar">
    <w:name w:val="Endnote Text Char"/>
    <w:basedOn w:val="DefaultParagraphFont"/>
    <w:link w:val="EndnoteText"/>
    <w:uiPriority w:val="99"/>
    <w:semiHidden/>
    <w:rsid w:val="00B57283"/>
    <w:rPr>
      <w:rFonts w:ascii="Calibri" w:eastAsia="MS Mincho" w:hAnsi="Calibri"/>
      <w:kern w:val="0"/>
      <w:sz w:val="20"/>
      <w:szCs w:val="22"/>
      <w:lang w:eastAsia="en-NZ"/>
      <w14:ligatures w14:val="none"/>
    </w:rPr>
  </w:style>
  <w:style w:type="paragraph" w:styleId="TableofFigures">
    <w:name w:val="table of figures"/>
    <w:basedOn w:val="Normal"/>
    <w:next w:val="Normal"/>
    <w:uiPriority w:val="99"/>
    <w:rsid w:val="008B7CEA"/>
    <w:pPr>
      <w:spacing w:after="100" w:line="260" w:lineRule="atLeast"/>
      <w:ind w:left="1134" w:right="567" w:hanging="1134"/>
    </w:pPr>
    <w:rPr>
      <w:rFonts w:ascii="Calibri" w:eastAsia="MS Mincho" w:hAnsi="Calibri"/>
      <w:kern w:val="0"/>
      <w:sz w:val="22"/>
      <w:szCs w:val="22"/>
      <w:lang w:eastAsia="en-NZ"/>
      <w14:ligatures w14:val="none"/>
    </w:rPr>
  </w:style>
  <w:style w:type="paragraph" w:customStyle="1" w:styleId="Sub-listi">
    <w:name w:val="Sub-list i"/>
    <w:aliases w:val="ii"/>
    <w:basedOn w:val="BodyText"/>
    <w:semiHidden/>
    <w:rsid w:val="00A55072"/>
    <w:pPr>
      <w:numPr>
        <w:numId w:val="14"/>
      </w:numPr>
      <w:spacing w:before="60" w:after="60"/>
    </w:pPr>
  </w:style>
  <w:style w:type="paragraph" w:customStyle="1" w:styleId="TableBullet">
    <w:name w:val="TableBullet"/>
    <w:basedOn w:val="Normal"/>
    <w:qFormat/>
    <w:rsid w:val="00A55072"/>
    <w:pPr>
      <w:numPr>
        <w:numId w:val="15"/>
      </w:numPr>
      <w:spacing w:after="60" w:line="240" w:lineRule="atLeast"/>
    </w:pPr>
    <w:rPr>
      <w:rFonts w:ascii="Calibri" w:eastAsiaTheme="minorEastAsia" w:hAnsi="Calibri" w:cs="Arial"/>
      <w:kern w:val="0"/>
      <w:sz w:val="18"/>
      <w:szCs w:val="16"/>
      <w:lang w:eastAsia="en-NZ"/>
      <w14:ligatures w14:val="none"/>
    </w:rPr>
  </w:style>
  <w:style w:type="paragraph" w:customStyle="1" w:styleId="TableDash">
    <w:name w:val="TableDash"/>
    <w:basedOn w:val="TableBullet"/>
    <w:qFormat/>
    <w:rsid w:val="00A55072"/>
    <w:pPr>
      <w:numPr>
        <w:numId w:val="16"/>
      </w:numPr>
    </w:pPr>
  </w:style>
  <w:style w:type="paragraph" w:styleId="CommentText">
    <w:name w:val="annotation text"/>
    <w:basedOn w:val="Normal"/>
    <w:link w:val="CommentTextChar"/>
    <w:uiPriority w:val="99"/>
    <w:rsid w:val="00B57283"/>
    <w:rPr>
      <w:sz w:val="20"/>
      <w:szCs w:val="20"/>
    </w:rPr>
  </w:style>
  <w:style w:type="character" w:customStyle="1" w:styleId="CommentTextChar">
    <w:name w:val="Comment Text Char"/>
    <w:basedOn w:val="DefaultParagraphFont"/>
    <w:link w:val="CommentText"/>
    <w:uiPriority w:val="99"/>
    <w:rsid w:val="00426532"/>
    <w:rPr>
      <w:sz w:val="20"/>
      <w:szCs w:val="20"/>
    </w:rPr>
  </w:style>
  <w:style w:type="paragraph" w:styleId="CommentSubject">
    <w:name w:val="annotation subject"/>
    <w:basedOn w:val="Normal"/>
    <w:link w:val="CommentSubjectChar"/>
    <w:semiHidden/>
    <w:rsid w:val="00B57283"/>
    <w:pPr>
      <w:spacing w:before="120" w:after="120" w:line="280" w:lineRule="atLeast"/>
      <w:jc w:val="both"/>
    </w:pPr>
    <w:rPr>
      <w:rFonts w:ascii="Calibri" w:eastAsia="MS Mincho" w:hAnsi="Calibri"/>
      <w:b/>
      <w:bCs/>
      <w:kern w:val="0"/>
      <w:sz w:val="20"/>
      <w:szCs w:val="22"/>
      <w:lang w:eastAsia="en-NZ"/>
      <w14:ligatures w14:val="none"/>
    </w:rPr>
  </w:style>
  <w:style w:type="character" w:customStyle="1" w:styleId="CommentSubjectChar">
    <w:name w:val="Comment Subject Char"/>
    <w:basedOn w:val="CommentTextChar"/>
    <w:link w:val="CommentSubject"/>
    <w:semiHidden/>
    <w:rsid w:val="00B57283"/>
    <w:rPr>
      <w:rFonts w:ascii="Calibri" w:eastAsia="MS Mincho" w:hAnsi="Calibri"/>
      <w:b/>
      <w:bCs/>
      <w:kern w:val="0"/>
      <w:sz w:val="20"/>
      <w:szCs w:val="22"/>
      <w:lang w:eastAsia="en-NZ"/>
      <w14:ligatures w14:val="none"/>
    </w:rPr>
  </w:style>
  <w:style w:type="paragraph" w:styleId="BalloonText">
    <w:name w:val="Balloon Text"/>
    <w:basedOn w:val="Normal"/>
    <w:link w:val="BalloonTextChar"/>
    <w:semiHidden/>
    <w:unhideWhenUsed/>
    <w:rsid w:val="00B57283"/>
    <w:pPr>
      <w:spacing w:before="120" w:after="120" w:line="280" w:lineRule="atLeast"/>
      <w:jc w:val="both"/>
    </w:pPr>
    <w:rPr>
      <w:rFonts w:ascii="Tahoma" w:eastAsia="MS Mincho" w:hAnsi="Tahoma"/>
      <w:kern w:val="0"/>
      <w:sz w:val="16"/>
      <w:szCs w:val="16"/>
      <w:lang w:eastAsia="en-NZ"/>
      <w14:ligatures w14:val="none"/>
    </w:rPr>
  </w:style>
  <w:style w:type="character" w:customStyle="1" w:styleId="BalloonTextChar">
    <w:name w:val="Balloon Text Char"/>
    <w:basedOn w:val="DefaultParagraphFont"/>
    <w:link w:val="BalloonText"/>
    <w:semiHidden/>
    <w:rsid w:val="00B57283"/>
    <w:rPr>
      <w:rFonts w:ascii="Tahoma" w:eastAsia="MS Mincho" w:hAnsi="Tahoma"/>
      <w:kern w:val="0"/>
      <w:sz w:val="16"/>
      <w:szCs w:val="16"/>
      <w:lang w:eastAsia="en-NZ"/>
      <w14:ligatures w14:val="none"/>
    </w:rPr>
  </w:style>
  <w:style w:type="paragraph" w:styleId="z-BottomofForm">
    <w:name w:val="HTML Bottom of Form"/>
    <w:basedOn w:val="Normal"/>
    <w:next w:val="Normal"/>
    <w:link w:val="z-BottomofFormChar"/>
    <w:hidden/>
    <w:uiPriority w:val="99"/>
    <w:semiHidden/>
    <w:unhideWhenUsed/>
    <w:rsid w:val="00B57283"/>
    <w:pPr>
      <w:pBdr>
        <w:top w:val="single" w:sz="6" w:space="1" w:color="auto"/>
      </w:pBdr>
      <w:spacing w:before="120" w:after="120" w:line="280" w:lineRule="atLeast"/>
      <w:jc w:val="center"/>
    </w:pPr>
    <w:rPr>
      <w:rFonts w:ascii="Arial" w:eastAsia="Calibri" w:hAnsi="Arial"/>
      <w:vanish/>
      <w:kern w:val="0"/>
      <w:sz w:val="16"/>
      <w:szCs w:val="16"/>
      <w:lang w:val="en-US" w:eastAsia="en-NZ"/>
      <w14:ligatures w14:val="none"/>
    </w:rPr>
  </w:style>
  <w:style w:type="character" w:customStyle="1" w:styleId="z-BottomofFormChar">
    <w:name w:val="z-Bottom of Form Char"/>
    <w:basedOn w:val="DefaultParagraphFont"/>
    <w:link w:val="z-BottomofForm"/>
    <w:uiPriority w:val="99"/>
    <w:semiHidden/>
    <w:rsid w:val="00B57283"/>
    <w:rPr>
      <w:rFonts w:ascii="Arial" w:eastAsia="Calibri" w:hAnsi="Arial"/>
      <w:vanish/>
      <w:kern w:val="0"/>
      <w:sz w:val="16"/>
      <w:szCs w:val="16"/>
      <w:lang w:val="en-US" w:eastAsia="en-NZ"/>
      <w14:ligatures w14:val="none"/>
    </w:rPr>
  </w:style>
  <w:style w:type="paragraph" w:styleId="z-TopofForm">
    <w:name w:val="HTML Top of Form"/>
    <w:basedOn w:val="Normal"/>
    <w:next w:val="Normal"/>
    <w:link w:val="z-TopofFormChar"/>
    <w:hidden/>
    <w:uiPriority w:val="99"/>
    <w:semiHidden/>
    <w:unhideWhenUsed/>
    <w:rsid w:val="00B57283"/>
    <w:pPr>
      <w:pBdr>
        <w:bottom w:val="single" w:sz="6" w:space="1" w:color="auto"/>
      </w:pBdr>
      <w:spacing w:before="120" w:after="120" w:line="280" w:lineRule="atLeast"/>
      <w:jc w:val="center"/>
    </w:pPr>
    <w:rPr>
      <w:rFonts w:ascii="Arial" w:eastAsia="Calibri" w:hAnsi="Arial"/>
      <w:vanish/>
      <w:kern w:val="0"/>
      <w:sz w:val="16"/>
      <w:szCs w:val="16"/>
      <w:lang w:val="en-US" w:eastAsia="en-NZ"/>
      <w14:ligatures w14:val="none"/>
    </w:rPr>
  </w:style>
  <w:style w:type="character" w:customStyle="1" w:styleId="z-TopofFormChar">
    <w:name w:val="z-Top of Form Char"/>
    <w:basedOn w:val="DefaultParagraphFont"/>
    <w:link w:val="z-TopofForm"/>
    <w:uiPriority w:val="99"/>
    <w:semiHidden/>
    <w:rsid w:val="00B57283"/>
    <w:rPr>
      <w:rFonts w:ascii="Arial" w:eastAsia="Calibri" w:hAnsi="Arial"/>
      <w:vanish/>
      <w:kern w:val="0"/>
      <w:sz w:val="16"/>
      <w:szCs w:val="16"/>
      <w:lang w:val="en-US" w:eastAsia="en-NZ"/>
      <w14:ligatures w14:val="none"/>
    </w:rPr>
  </w:style>
  <w:style w:type="table" w:customStyle="1" w:styleId="MediumShading1-Accent21">
    <w:name w:val="Medium Shading 1 - Accent 21"/>
    <w:basedOn w:val="TableNormal"/>
    <w:next w:val="MediumShading1-Accent2"/>
    <w:uiPriority w:val="63"/>
    <w:rsid w:val="00B57283"/>
    <w:rPr>
      <w:kern w:val="0"/>
      <w:sz w:val="22"/>
      <w:szCs w:val="22"/>
      <w14:ligatures w14:val="none"/>
    </w:rPr>
    <w:tblPr>
      <w:tblStyleRowBandSize w:val="1"/>
      <w:tblStyleColBandSize w:val="1"/>
      <w:tblBorders>
        <w:top w:val="single" w:sz="8" w:space="0" w:color="00D0C6"/>
        <w:left w:val="single" w:sz="8" w:space="0" w:color="00D0C6"/>
        <w:bottom w:val="single" w:sz="8" w:space="0" w:color="00D0C6"/>
        <w:right w:val="single" w:sz="8" w:space="0" w:color="00D0C6"/>
        <w:insideH w:val="single" w:sz="8" w:space="0" w:color="00D0C6"/>
      </w:tblBorders>
    </w:tblPr>
    <w:tblStylePr w:type="firstRow">
      <w:pPr>
        <w:spacing w:before="0" w:after="0" w:line="240" w:lineRule="auto"/>
      </w:pPr>
      <w:rPr>
        <w:b/>
        <w:bCs/>
        <w:color w:val="FFFFFF"/>
      </w:rPr>
      <w:tblPr/>
      <w:tcPr>
        <w:tcBorders>
          <w:top w:val="single" w:sz="8" w:space="0" w:color="00D0C6"/>
          <w:left w:val="single" w:sz="8" w:space="0" w:color="00D0C6"/>
          <w:bottom w:val="single" w:sz="8" w:space="0" w:color="00D0C6"/>
          <w:right w:val="single" w:sz="8" w:space="0" w:color="00D0C6"/>
          <w:insideH w:val="nil"/>
          <w:insideV w:val="nil"/>
        </w:tcBorders>
        <w:shd w:val="clear" w:color="auto" w:fill="006C67"/>
      </w:tcPr>
    </w:tblStylePr>
    <w:tblStylePr w:type="lastRow">
      <w:pPr>
        <w:spacing w:before="0" w:after="0" w:line="240" w:lineRule="auto"/>
      </w:pPr>
      <w:rPr>
        <w:b/>
        <w:bCs/>
      </w:rPr>
      <w:tblPr/>
      <w:tcPr>
        <w:tcBorders>
          <w:top w:val="double" w:sz="6" w:space="0" w:color="00D0C6"/>
          <w:left w:val="single" w:sz="8" w:space="0" w:color="00D0C6"/>
          <w:bottom w:val="single" w:sz="8" w:space="0" w:color="00D0C6"/>
          <w:right w:val="single" w:sz="8" w:space="0" w:color="00D0C6"/>
          <w:insideH w:val="nil"/>
          <w:insideV w:val="nil"/>
        </w:tcBorders>
      </w:tcPr>
    </w:tblStylePr>
    <w:tblStylePr w:type="firstCol">
      <w:rPr>
        <w:b/>
        <w:bCs/>
      </w:rPr>
    </w:tblStylePr>
    <w:tblStylePr w:type="lastCol">
      <w:rPr>
        <w:b/>
        <w:bCs/>
      </w:rPr>
    </w:tblStylePr>
    <w:tblStylePr w:type="band1Vert">
      <w:tblPr/>
      <w:tcPr>
        <w:shd w:val="clear" w:color="auto" w:fill="9BFFFA"/>
      </w:tcPr>
    </w:tblStylePr>
    <w:tblStylePr w:type="band1Horz">
      <w:tblPr/>
      <w:tcPr>
        <w:tcBorders>
          <w:insideH w:val="nil"/>
          <w:insideV w:val="nil"/>
        </w:tcBorders>
        <w:shd w:val="clear" w:color="auto" w:fill="9BFFFA"/>
      </w:tcPr>
    </w:tblStylePr>
    <w:tblStylePr w:type="band2Horz">
      <w:tblPr/>
      <w:tcPr>
        <w:tcBorders>
          <w:insideH w:val="nil"/>
          <w:insideV w:val="nil"/>
        </w:tcBorders>
      </w:tcPr>
    </w:tblStylePr>
  </w:style>
  <w:style w:type="table" w:customStyle="1" w:styleId="LightList-Accent51">
    <w:name w:val="Light List - Accent 51"/>
    <w:basedOn w:val="TableNormal"/>
    <w:next w:val="LightList-Accent5"/>
    <w:uiPriority w:val="61"/>
    <w:rsid w:val="00B57283"/>
    <w:rPr>
      <w:kern w:val="0"/>
      <w:sz w:val="22"/>
      <w:szCs w:val="22"/>
      <w14:ligatures w14:val="none"/>
    </w:rPr>
    <w:tblPr>
      <w:tblStyleRowBandSize w:val="1"/>
      <w:tblStyleColBandSize w:val="1"/>
      <w:tblBorders>
        <w:top w:val="single" w:sz="8" w:space="0" w:color="6FC7B7"/>
        <w:left w:val="single" w:sz="8" w:space="0" w:color="6FC7B7"/>
        <w:bottom w:val="single" w:sz="8" w:space="0" w:color="6FC7B7"/>
        <w:right w:val="single" w:sz="8" w:space="0" w:color="6FC7B7"/>
      </w:tblBorders>
    </w:tblPr>
    <w:tblStylePr w:type="firstRow">
      <w:pPr>
        <w:spacing w:before="0" w:after="0" w:line="240" w:lineRule="auto"/>
      </w:pPr>
      <w:rPr>
        <w:b/>
        <w:bCs/>
        <w:color w:val="FFFFFF"/>
      </w:rPr>
      <w:tblPr/>
      <w:tcPr>
        <w:shd w:val="clear" w:color="auto" w:fill="6FC7B7"/>
      </w:tcPr>
    </w:tblStylePr>
    <w:tblStylePr w:type="lastRow">
      <w:pPr>
        <w:spacing w:before="0" w:after="0" w:line="240" w:lineRule="auto"/>
      </w:pPr>
      <w:rPr>
        <w:b/>
        <w:bCs/>
      </w:rPr>
      <w:tblPr/>
      <w:tcPr>
        <w:tcBorders>
          <w:top w:val="double" w:sz="6" w:space="0" w:color="6FC7B7"/>
          <w:left w:val="single" w:sz="8" w:space="0" w:color="6FC7B7"/>
          <w:bottom w:val="single" w:sz="8" w:space="0" w:color="6FC7B7"/>
          <w:right w:val="single" w:sz="8" w:space="0" w:color="6FC7B7"/>
        </w:tcBorders>
      </w:tcPr>
    </w:tblStylePr>
    <w:tblStylePr w:type="firstCol">
      <w:rPr>
        <w:b/>
        <w:bCs/>
      </w:rPr>
    </w:tblStylePr>
    <w:tblStylePr w:type="lastCol">
      <w:rPr>
        <w:b/>
        <w:bCs/>
      </w:rPr>
    </w:tblStylePr>
    <w:tblStylePr w:type="band1Vert">
      <w:tblPr/>
      <w:tcPr>
        <w:tcBorders>
          <w:top w:val="single" w:sz="8" w:space="0" w:color="6FC7B7"/>
          <w:left w:val="single" w:sz="8" w:space="0" w:color="6FC7B7"/>
          <w:bottom w:val="single" w:sz="8" w:space="0" w:color="6FC7B7"/>
          <w:right w:val="single" w:sz="8" w:space="0" w:color="6FC7B7"/>
        </w:tcBorders>
      </w:tcPr>
    </w:tblStylePr>
    <w:tblStylePr w:type="band1Horz">
      <w:tblPr/>
      <w:tcPr>
        <w:tcBorders>
          <w:top w:val="single" w:sz="8" w:space="0" w:color="6FC7B7"/>
          <w:left w:val="single" w:sz="8" w:space="0" w:color="6FC7B7"/>
          <w:bottom w:val="single" w:sz="8" w:space="0" w:color="6FC7B7"/>
          <w:right w:val="single" w:sz="8" w:space="0" w:color="6FC7B7"/>
        </w:tcBorders>
      </w:tcPr>
    </w:tblStylePr>
  </w:style>
  <w:style w:type="table" w:customStyle="1" w:styleId="LightGrid-Accent51">
    <w:name w:val="Light Grid - Accent 51"/>
    <w:basedOn w:val="TableNormal"/>
    <w:next w:val="LightGrid-Accent5"/>
    <w:uiPriority w:val="62"/>
    <w:rsid w:val="00B57283"/>
    <w:rPr>
      <w:kern w:val="0"/>
      <w:sz w:val="22"/>
      <w:szCs w:val="22"/>
      <w14:ligatures w14:val="none"/>
    </w:rPr>
    <w:tblPr>
      <w:tblStyleRowBandSize w:val="1"/>
      <w:tblStyleColBandSize w:val="1"/>
      <w:tblBorders>
        <w:top w:val="single" w:sz="8" w:space="0" w:color="6FC7B7"/>
        <w:left w:val="single" w:sz="8" w:space="0" w:color="6FC7B7"/>
        <w:bottom w:val="single" w:sz="8" w:space="0" w:color="6FC7B7"/>
        <w:right w:val="single" w:sz="8" w:space="0" w:color="6FC7B7"/>
        <w:insideH w:val="single" w:sz="8" w:space="0" w:color="6FC7B7"/>
        <w:insideV w:val="single" w:sz="8" w:space="0" w:color="6FC7B7"/>
      </w:tblBorders>
    </w:tblPr>
    <w:tblStylePr w:type="firstRow">
      <w:pPr>
        <w:spacing w:before="0" w:after="0" w:line="240" w:lineRule="auto"/>
      </w:pPr>
      <w:rPr>
        <w:rFonts w:ascii="Lato Medium" w:eastAsia="MS Gothic" w:hAnsi="Lato Medium" w:cs="Times New Roman"/>
        <w:b/>
        <w:bCs/>
      </w:rPr>
      <w:tblPr/>
      <w:tcPr>
        <w:tcBorders>
          <w:top w:val="single" w:sz="8" w:space="0" w:color="6FC7B7"/>
          <w:left w:val="single" w:sz="8" w:space="0" w:color="6FC7B7"/>
          <w:bottom w:val="single" w:sz="18" w:space="0" w:color="6FC7B7"/>
          <w:right w:val="single" w:sz="8" w:space="0" w:color="6FC7B7"/>
          <w:insideH w:val="nil"/>
          <w:insideV w:val="single" w:sz="8" w:space="0" w:color="6FC7B7"/>
        </w:tcBorders>
      </w:tcPr>
    </w:tblStylePr>
    <w:tblStylePr w:type="lastRow">
      <w:pPr>
        <w:spacing w:before="0" w:after="0" w:line="240" w:lineRule="auto"/>
      </w:pPr>
      <w:rPr>
        <w:rFonts w:ascii="Lato Medium" w:eastAsia="MS Gothic" w:hAnsi="Lato Medium" w:cs="Times New Roman"/>
        <w:b/>
        <w:bCs/>
      </w:rPr>
      <w:tblPr/>
      <w:tcPr>
        <w:tcBorders>
          <w:top w:val="double" w:sz="6" w:space="0" w:color="6FC7B7"/>
          <w:left w:val="single" w:sz="8" w:space="0" w:color="6FC7B7"/>
          <w:bottom w:val="single" w:sz="8" w:space="0" w:color="6FC7B7"/>
          <w:right w:val="single" w:sz="8" w:space="0" w:color="6FC7B7"/>
          <w:insideH w:val="nil"/>
          <w:insideV w:val="single" w:sz="8" w:space="0" w:color="6FC7B7"/>
        </w:tcBorders>
      </w:tcPr>
    </w:tblStylePr>
    <w:tblStylePr w:type="firstCol">
      <w:rPr>
        <w:rFonts w:ascii="Lato Medium" w:eastAsia="MS Gothic" w:hAnsi="Lato Medium" w:cs="Times New Roman"/>
        <w:b/>
        <w:bCs/>
      </w:rPr>
    </w:tblStylePr>
    <w:tblStylePr w:type="lastCol">
      <w:rPr>
        <w:rFonts w:ascii="Lato Medium" w:eastAsia="MS Gothic" w:hAnsi="Lato Medium" w:cs="Times New Roman"/>
        <w:b/>
        <w:bCs/>
      </w:rPr>
      <w:tblPr/>
      <w:tcPr>
        <w:tcBorders>
          <w:top w:val="single" w:sz="8" w:space="0" w:color="6FC7B7"/>
          <w:left w:val="single" w:sz="8" w:space="0" w:color="6FC7B7"/>
          <w:bottom w:val="single" w:sz="8" w:space="0" w:color="6FC7B7"/>
          <w:right w:val="single" w:sz="8" w:space="0" w:color="6FC7B7"/>
        </w:tcBorders>
      </w:tcPr>
    </w:tblStylePr>
    <w:tblStylePr w:type="band1Vert">
      <w:tblPr/>
      <w:tcPr>
        <w:tcBorders>
          <w:top w:val="single" w:sz="8" w:space="0" w:color="6FC7B7"/>
          <w:left w:val="single" w:sz="8" w:space="0" w:color="6FC7B7"/>
          <w:bottom w:val="single" w:sz="8" w:space="0" w:color="6FC7B7"/>
          <w:right w:val="single" w:sz="8" w:space="0" w:color="6FC7B7"/>
        </w:tcBorders>
        <w:shd w:val="clear" w:color="auto" w:fill="DBF1ED"/>
      </w:tcPr>
    </w:tblStylePr>
    <w:tblStylePr w:type="band1Horz">
      <w:tblPr/>
      <w:tcPr>
        <w:tcBorders>
          <w:top w:val="single" w:sz="8" w:space="0" w:color="6FC7B7"/>
          <w:left w:val="single" w:sz="8" w:space="0" w:color="6FC7B7"/>
          <w:bottom w:val="single" w:sz="8" w:space="0" w:color="6FC7B7"/>
          <w:right w:val="single" w:sz="8" w:space="0" w:color="6FC7B7"/>
          <w:insideV w:val="single" w:sz="8" w:space="0" w:color="6FC7B7"/>
        </w:tcBorders>
        <w:shd w:val="clear" w:color="auto" w:fill="DBF1ED"/>
      </w:tcPr>
    </w:tblStylePr>
    <w:tblStylePr w:type="band2Horz">
      <w:tblPr/>
      <w:tcPr>
        <w:tcBorders>
          <w:top w:val="single" w:sz="8" w:space="0" w:color="6FC7B7"/>
          <w:left w:val="single" w:sz="8" w:space="0" w:color="6FC7B7"/>
          <w:bottom w:val="single" w:sz="8" w:space="0" w:color="6FC7B7"/>
          <w:right w:val="single" w:sz="8" w:space="0" w:color="6FC7B7"/>
          <w:insideV w:val="single" w:sz="8" w:space="0" w:color="6FC7B7"/>
        </w:tcBorders>
      </w:tcPr>
    </w:tblStylePr>
  </w:style>
  <w:style w:type="table" w:customStyle="1" w:styleId="LightGrid-Accent11">
    <w:name w:val="Light Grid - Accent 11"/>
    <w:basedOn w:val="TableNormal"/>
    <w:uiPriority w:val="62"/>
    <w:rsid w:val="00B57283"/>
    <w:rPr>
      <w:kern w:val="0"/>
      <w:sz w:val="22"/>
      <w:szCs w:val="22"/>
      <w14:ligatures w14:val="none"/>
    </w:rPr>
    <w:tblPr>
      <w:tblStyleRowBandSize w:val="1"/>
      <w:tblStyleColBandSize w:val="1"/>
      <w:tblBorders>
        <w:top w:val="single" w:sz="8" w:space="0" w:color="2C997B"/>
        <w:left w:val="single" w:sz="8" w:space="0" w:color="2C997B"/>
        <w:bottom w:val="single" w:sz="8" w:space="0" w:color="2C997B"/>
        <w:right w:val="single" w:sz="8" w:space="0" w:color="2C997B"/>
        <w:insideH w:val="single" w:sz="8" w:space="0" w:color="2C997B"/>
        <w:insideV w:val="single" w:sz="8" w:space="0" w:color="2C997B"/>
      </w:tblBorders>
    </w:tblPr>
    <w:tblStylePr w:type="firstRow">
      <w:pPr>
        <w:spacing w:before="0" w:after="0" w:line="240" w:lineRule="auto"/>
      </w:pPr>
      <w:rPr>
        <w:rFonts w:ascii="Lato Medium" w:eastAsia="MS Gothic" w:hAnsi="Lato Medium" w:cs="Times New Roman"/>
        <w:b/>
        <w:bCs/>
      </w:rPr>
      <w:tblPr/>
      <w:tcPr>
        <w:tcBorders>
          <w:top w:val="single" w:sz="8" w:space="0" w:color="2C997B"/>
          <w:left w:val="single" w:sz="8" w:space="0" w:color="2C997B"/>
          <w:bottom w:val="single" w:sz="18" w:space="0" w:color="2C997B"/>
          <w:right w:val="single" w:sz="8" w:space="0" w:color="2C997B"/>
          <w:insideH w:val="nil"/>
          <w:insideV w:val="single" w:sz="8" w:space="0" w:color="2C997B"/>
        </w:tcBorders>
      </w:tcPr>
    </w:tblStylePr>
    <w:tblStylePr w:type="lastRow">
      <w:pPr>
        <w:spacing w:before="0" w:after="0" w:line="240" w:lineRule="auto"/>
      </w:pPr>
      <w:rPr>
        <w:rFonts w:ascii="Lato Medium" w:eastAsia="MS Gothic" w:hAnsi="Lato Medium" w:cs="Times New Roman"/>
        <w:b/>
        <w:bCs/>
      </w:rPr>
      <w:tblPr/>
      <w:tcPr>
        <w:tcBorders>
          <w:top w:val="double" w:sz="6" w:space="0" w:color="2C997B"/>
          <w:left w:val="single" w:sz="8" w:space="0" w:color="2C997B"/>
          <w:bottom w:val="single" w:sz="8" w:space="0" w:color="2C997B"/>
          <w:right w:val="single" w:sz="8" w:space="0" w:color="2C997B"/>
          <w:insideH w:val="nil"/>
          <w:insideV w:val="single" w:sz="8" w:space="0" w:color="2C997B"/>
        </w:tcBorders>
      </w:tcPr>
    </w:tblStylePr>
    <w:tblStylePr w:type="firstCol">
      <w:rPr>
        <w:rFonts w:ascii="Lato Medium" w:eastAsia="MS Gothic" w:hAnsi="Lato Medium" w:cs="Times New Roman"/>
        <w:b/>
        <w:bCs/>
      </w:rPr>
    </w:tblStylePr>
    <w:tblStylePr w:type="lastCol">
      <w:rPr>
        <w:rFonts w:ascii="Lato Medium" w:eastAsia="MS Gothic" w:hAnsi="Lato Medium" w:cs="Times New Roman"/>
        <w:b/>
        <w:bCs/>
      </w:rPr>
      <w:tblPr/>
      <w:tcPr>
        <w:tcBorders>
          <w:top w:val="single" w:sz="8" w:space="0" w:color="2C997B"/>
          <w:left w:val="single" w:sz="8" w:space="0" w:color="2C997B"/>
          <w:bottom w:val="single" w:sz="8" w:space="0" w:color="2C997B"/>
          <w:right w:val="single" w:sz="8" w:space="0" w:color="2C997B"/>
        </w:tcBorders>
      </w:tcPr>
    </w:tblStylePr>
    <w:tblStylePr w:type="band1Vert">
      <w:tblPr/>
      <w:tcPr>
        <w:tcBorders>
          <w:top w:val="single" w:sz="8" w:space="0" w:color="2C997B"/>
          <w:left w:val="single" w:sz="8" w:space="0" w:color="2C997B"/>
          <w:bottom w:val="single" w:sz="8" w:space="0" w:color="2C997B"/>
          <w:right w:val="single" w:sz="8" w:space="0" w:color="2C997B"/>
        </w:tcBorders>
        <w:shd w:val="clear" w:color="auto" w:fill="C2EDE1"/>
      </w:tcPr>
    </w:tblStylePr>
    <w:tblStylePr w:type="band1Horz">
      <w:tblPr/>
      <w:tcPr>
        <w:tcBorders>
          <w:top w:val="single" w:sz="8" w:space="0" w:color="2C997B"/>
          <w:left w:val="single" w:sz="8" w:space="0" w:color="2C997B"/>
          <w:bottom w:val="single" w:sz="8" w:space="0" w:color="2C997B"/>
          <w:right w:val="single" w:sz="8" w:space="0" w:color="2C997B"/>
          <w:insideV w:val="single" w:sz="8" w:space="0" w:color="2C997B"/>
        </w:tcBorders>
        <w:shd w:val="clear" w:color="auto" w:fill="C2EDE1"/>
      </w:tcPr>
    </w:tblStylePr>
    <w:tblStylePr w:type="band2Horz">
      <w:tblPr/>
      <w:tcPr>
        <w:tcBorders>
          <w:top w:val="single" w:sz="8" w:space="0" w:color="2C997B"/>
          <w:left w:val="single" w:sz="8" w:space="0" w:color="2C997B"/>
          <w:bottom w:val="single" w:sz="8" w:space="0" w:color="2C997B"/>
          <w:right w:val="single" w:sz="8" w:space="0" w:color="2C997B"/>
          <w:insideV w:val="single" w:sz="8" w:space="0" w:color="2C997B"/>
        </w:tcBorders>
      </w:tcPr>
    </w:tblStylePr>
  </w:style>
  <w:style w:type="table" w:customStyle="1" w:styleId="LightShading-Accent11">
    <w:name w:val="Light Shading - Accent 11"/>
    <w:basedOn w:val="TableNormal"/>
    <w:uiPriority w:val="60"/>
    <w:rsid w:val="00B57283"/>
    <w:rPr>
      <w:color w:val="21725B"/>
      <w:kern w:val="0"/>
      <w:sz w:val="22"/>
      <w:szCs w:val="22"/>
      <w14:ligatures w14:val="none"/>
    </w:rPr>
    <w:tblPr>
      <w:tblStyleRowBandSize w:val="1"/>
      <w:tblStyleColBandSize w:val="1"/>
      <w:tblBorders>
        <w:top w:val="single" w:sz="8" w:space="0" w:color="2C997B"/>
        <w:bottom w:val="single" w:sz="8" w:space="0" w:color="2C997B"/>
      </w:tblBorders>
    </w:tblPr>
    <w:tblStylePr w:type="firstRow">
      <w:pPr>
        <w:spacing w:before="0" w:after="0" w:line="240" w:lineRule="auto"/>
      </w:pPr>
      <w:rPr>
        <w:b/>
        <w:bCs/>
      </w:rPr>
      <w:tblPr/>
      <w:tcPr>
        <w:tcBorders>
          <w:top w:val="single" w:sz="8" w:space="0" w:color="2C997B"/>
          <w:left w:val="nil"/>
          <w:bottom w:val="single" w:sz="8" w:space="0" w:color="2C997B"/>
          <w:right w:val="nil"/>
          <w:insideH w:val="nil"/>
          <w:insideV w:val="nil"/>
        </w:tcBorders>
      </w:tcPr>
    </w:tblStylePr>
    <w:tblStylePr w:type="lastRow">
      <w:pPr>
        <w:spacing w:before="0" w:after="0" w:line="240" w:lineRule="auto"/>
      </w:pPr>
      <w:rPr>
        <w:b/>
        <w:bCs/>
      </w:rPr>
      <w:tblPr/>
      <w:tcPr>
        <w:tcBorders>
          <w:top w:val="single" w:sz="8" w:space="0" w:color="2C997B"/>
          <w:left w:val="nil"/>
          <w:bottom w:val="single" w:sz="8" w:space="0" w:color="2C997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2EDE1"/>
      </w:tcPr>
    </w:tblStylePr>
    <w:tblStylePr w:type="band1Horz">
      <w:tblPr/>
      <w:tcPr>
        <w:tcBorders>
          <w:left w:val="nil"/>
          <w:right w:val="nil"/>
          <w:insideH w:val="nil"/>
          <w:insideV w:val="nil"/>
        </w:tcBorders>
        <w:shd w:val="clear" w:color="auto" w:fill="C2EDE1"/>
      </w:tcPr>
    </w:tblStylePr>
  </w:style>
  <w:style w:type="table" w:customStyle="1" w:styleId="LightList-Accent11">
    <w:name w:val="Light List - Accent 11"/>
    <w:basedOn w:val="TableNormal"/>
    <w:uiPriority w:val="61"/>
    <w:rsid w:val="00B57283"/>
    <w:rPr>
      <w:kern w:val="0"/>
      <w:sz w:val="22"/>
      <w:szCs w:val="22"/>
      <w14:ligatures w14:val="none"/>
    </w:rPr>
    <w:tblPr>
      <w:tblStyleRowBandSize w:val="1"/>
      <w:tblStyleColBandSize w:val="1"/>
      <w:tblBorders>
        <w:top w:val="single" w:sz="8" w:space="0" w:color="2C997B"/>
        <w:left w:val="single" w:sz="8" w:space="0" w:color="2C997B"/>
        <w:bottom w:val="single" w:sz="8" w:space="0" w:color="2C997B"/>
        <w:right w:val="single" w:sz="8" w:space="0" w:color="2C997B"/>
      </w:tblBorders>
    </w:tblPr>
    <w:tblStylePr w:type="firstRow">
      <w:pPr>
        <w:spacing w:before="0" w:after="0" w:line="240" w:lineRule="auto"/>
      </w:pPr>
      <w:rPr>
        <w:b/>
        <w:bCs/>
        <w:color w:val="FFFFFF"/>
      </w:rPr>
      <w:tblPr/>
      <w:tcPr>
        <w:shd w:val="clear" w:color="auto" w:fill="2C997B"/>
      </w:tcPr>
    </w:tblStylePr>
    <w:tblStylePr w:type="lastRow">
      <w:pPr>
        <w:spacing w:before="0" w:after="0" w:line="240" w:lineRule="auto"/>
      </w:pPr>
      <w:rPr>
        <w:b/>
        <w:bCs/>
      </w:rPr>
      <w:tblPr/>
      <w:tcPr>
        <w:tcBorders>
          <w:top w:val="double" w:sz="6" w:space="0" w:color="2C997B"/>
          <w:left w:val="single" w:sz="8" w:space="0" w:color="2C997B"/>
          <w:bottom w:val="single" w:sz="8" w:space="0" w:color="2C997B"/>
          <w:right w:val="single" w:sz="8" w:space="0" w:color="2C997B"/>
        </w:tcBorders>
      </w:tcPr>
    </w:tblStylePr>
    <w:tblStylePr w:type="firstCol">
      <w:rPr>
        <w:b/>
        <w:bCs/>
      </w:rPr>
    </w:tblStylePr>
    <w:tblStylePr w:type="lastCol">
      <w:rPr>
        <w:b/>
        <w:bCs/>
      </w:rPr>
    </w:tblStylePr>
    <w:tblStylePr w:type="band1Vert">
      <w:tblPr/>
      <w:tcPr>
        <w:tcBorders>
          <w:top w:val="single" w:sz="8" w:space="0" w:color="2C997B"/>
          <w:left w:val="single" w:sz="8" w:space="0" w:color="2C997B"/>
          <w:bottom w:val="single" w:sz="8" w:space="0" w:color="2C997B"/>
          <w:right w:val="single" w:sz="8" w:space="0" w:color="2C997B"/>
        </w:tcBorders>
      </w:tcPr>
    </w:tblStylePr>
    <w:tblStylePr w:type="band1Horz">
      <w:tblPr/>
      <w:tcPr>
        <w:tcBorders>
          <w:top w:val="single" w:sz="8" w:space="0" w:color="2C997B"/>
          <w:left w:val="single" w:sz="8" w:space="0" w:color="2C997B"/>
          <w:bottom w:val="single" w:sz="8" w:space="0" w:color="2C997B"/>
          <w:right w:val="single" w:sz="8" w:space="0" w:color="2C997B"/>
        </w:tcBorders>
      </w:tcPr>
    </w:tblStylePr>
  </w:style>
  <w:style w:type="paragraph" w:styleId="Revision">
    <w:name w:val="Revision"/>
    <w:hidden/>
    <w:uiPriority w:val="99"/>
    <w:semiHidden/>
    <w:rsid w:val="00B57283"/>
    <w:rPr>
      <w:rFonts w:ascii="Times New Roman" w:eastAsia="Times New Roman" w:hAnsi="Times New Roman" w:cs="Times New Roman"/>
      <w:kern w:val="0"/>
      <w:sz w:val="22"/>
      <w:szCs w:val="20"/>
      <w14:ligatures w14:val="none"/>
    </w:rPr>
  </w:style>
  <w:style w:type="paragraph" w:customStyle="1" w:styleId="Heading1-lightblue">
    <w:name w:val="Heading 1 - light blue"/>
    <w:basedOn w:val="Heading1"/>
    <w:next w:val="BodyText"/>
    <w:semiHidden/>
    <w:qFormat/>
    <w:rsid w:val="00B57283"/>
    <w:pPr>
      <w:ind w:left="851" w:hanging="851"/>
    </w:pPr>
    <w:rPr>
      <w:rFonts w:ascii="Calibri" w:hAnsi="Calibri"/>
      <w:b w:val="0"/>
      <w:bCs w:val="0"/>
      <w:color w:val="2C997B"/>
    </w:rPr>
  </w:style>
  <w:style w:type="character" w:styleId="Strong">
    <w:name w:val="Strong"/>
    <w:basedOn w:val="DefaultParagraphFont"/>
    <w:uiPriority w:val="3"/>
    <w:semiHidden/>
    <w:qFormat/>
    <w:rsid w:val="00B57283"/>
    <w:rPr>
      <w:b/>
      <w:bCs/>
    </w:rPr>
  </w:style>
  <w:style w:type="paragraph" w:customStyle="1" w:styleId="Boxa">
    <w:name w:val="Box a"/>
    <w:aliases w:val="b list"/>
    <w:basedOn w:val="Sub-listi"/>
    <w:semiHidden/>
    <w:qFormat/>
    <w:rsid w:val="00B57283"/>
    <w:pPr>
      <w:numPr>
        <w:ilvl w:val="1"/>
        <w:numId w:val="1"/>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B57283"/>
    <w:rPr>
      <w:vertAlign w:val="superscript"/>
    </w:rPr>
  </w:style>
  <w:style w:type="character" w:customStyle="1" w:styleId="FollowedHyperlink1">
    <w:name w:val="FollowedHyperlink1"/>
    <w:basedOn w:val="DefaultParagraphFont"/>
    <w:semiHidden/>
    <w:rsid w:val="00B57283"/>
    <w:rPr>
      <w:color w:val="800080"/>
      <w:u w:val="none"/>
    </w:rPr>
  </w:style>
  <w:style w:type="paragraph" w:customStyle="1" w:styleId="BoxBullet0">
    <w:name w:val="Box Bullet"/>
    <w:basedOn w:val="Box"/>
    <w:semiHidden/>
    <w:rsid w:val="00B57283"/>
    <w:pPr>
      <w:pBdr>
        <w:top w:val="single" w:sz="6" w:space="15" w:color="auto"/>
        <w:left w:val="single" w:sz="6" w:space="15" w:color="auto"/>
        <w:bottom w:val="single" w:sz="6" w:space="15" w:color="auto"/>
        <w:right w:val="single" w:sz="6" w:space="15" w:color="auto"/>
      </w:pBdr>
      <w:shd w:val="clear" w:color="auto" w:fill="auto"/>
      <w:tabs>
        <w:tab w:val="num" w:pos="851"/>
      </w:tabs>
      <w:spacing w:after="0" w:line="240" w:lineRule="auto"/>
      <w:ind w:left="851" w:hanging="567"/>
    </w:pPr>
    <w:rPr>
      <w:rFonts w:ascii="Arial" w:eastAsia="Times New Roman" w:hAnsi="Arial" w:cs="Times New Roman"/>
      <w:color w:val="auto"/>
      <w:szCs w:val="20"/>
      <w:lang w:eastAsia="en-GB"/>
    </w:rPr>
  </w:style>
  <w:style w:type="paragraph" w:customStyle="1" w:styleId="BoxHeading0">
    <w:name w:val="BoxHeading"/>
    <w:basedOn w:val="Box"/>
    <w:next w:val="Box"/>
    <w:semiHidden/>
    <w:rsid w:val="00B57283"/>
    <w:pPr>
      <w:pBdr>
        <w:top w:val="single" w:sz="6" w:space="15" w:color="auto"/>
        <w:left w:val="single" w:sz="6" w:space="15" w:color="auto"/>
        <w:bottom w:val="single" w:sz="6" w:space="15" w:color="auto"/>
        <w:right w:val="single" w:sz="6" w:space="15" w:color="auto"/>
      </w:pBdr>
      <w:shd w:val="clear" w:color="auto" w:fill="auto"/>
      <w:spacing w:before="0" w:after="240" w:line="240" w:lineRule="auto"/>
      <w:jc w:val="both"/>
    </w:pPr>
    <w:rPr>
      <w:rFonts w:ascii="Arial" w:eastAsia="Times New Roman" w:hAnsi="Arial" w:cs="Times New Roman"/>
      <w:b/>
      <w:color w:val="auto"/>
      <w:sz w:val="22"/>
      <w:szCs w:val="20"/>
      <w:lang w:eastAsia="en-GB"/>
    </w:rPr>
  </w:style>
  <w:style w:type="paragraph" w:styleId="TOC4">
    <w:name w:val="toc 4"/>
    <w:basedOn w:val="Normal"/>
    <w:next w:val="Normal"/>
    <w:semiHidden/>
    <w:rsid w:val="00B57283"/>
    <w:pPr>
      <w:tabs>
        <w:tab w:val="right" w:pos="8505"/>
      </w:tabs>
      <w:spacing w:before="180"/>
      <w:ind w:left="1134" w:right="567" w:hanging="1134"/>
    </w:pPr>
    <w:rPr>
      <w:rFonts w:ascii="Arial" w:eastAsia="Times New Roman" w:hAnsi="Arial" w:cs="Times New Roman"/>
      <w:kern w:val="0"/>
      <w:sz w:val="20"/>
      <w:szCs w:val="20"/>
      <w:lang w:eastAsia="en-GB"/>
      <w14:ligatures w14:val="none"/>
    </w:rPr>
  </w:style>
  <w:style w:type="character" w:styleId="CommentReference">
    <w:name w:val="annotation reference"/>
    <w:basedOn w:val="DefaultParagraphFont"/>
    <w:uiPriority w:val="99"/>
    <w:rsid w:val="00B57283"/>
    <w:rPr>
      <w:sz w:val="16"/>
      <w:szCs w:val="16"/>
    </w:rPr>
  </w:style>
  <w:style w:type="paragraph" w:styleId="HTMLAddress">
    <w:name w:val="HTML Address"/>
    <w:basedOn w:val="Normal"/>
    <w:link w:val="HTMLAddressChar"/>
    <w:semiHidden/>
    <w:rsid w:val="00B57283"/>
    <w:rPr>
      <w:rFonts w:ascii="Calibri" w:eastAsia="Times New Roman" w:hAnsi="Calibri" w:cs="Times New Roman"/>
      <w:i/>
      <w:iCs/>
      <w:kern w:val="0"/>
      <w:sz w:val="22"/>
      <w:lang w:eastAsia="en-GB"/>
      <w14:ligatures w14:val="none"/>
    </w:rPr>
  </w:style>
  <w:style w:type="character" w:customStyle="1" w:styleId="HTMLAddressChar">
    <w:name w:val="HTML Address Char"/>
    <w:basedOn w:val="DefaultParagraphFont"/>
    <w:link w:val="HTMLAddress"/>
    <w:semiHidden/>
    <w:rsid w:val="00B57283"/>
    <w:rPr>
      <w:rFonts w:ascii="Calibri" w:eastAsia="Times New Roman" w:hAnsi="Calibri" w:cs="Times New Roman"/>
      <w:i/>
      <w:iCs/>
      <w:kern w:val="0"/>
      <w:sz w:val="22"/>
      <w:lang w:eastAsia="en-GB"/>
      <w14:ligatures w14:val="none"/>
    </w:rPr>
  </w:style>
  <w:style w:type="paragraph" w:customStyle="1" w:styleId="Numberedlist">
    <w:name w:val="Numbered list"/>
    <w:basedOn w:val="BodyText"/>
    <w:uiPriority w:val="6"/>
    <w:semiHidden/>
    <w:rsid w:val="00B57283"/>
    <w:pPr>
      <w:numPr>
        <w:numId w:val="2"/>
      </w:numPr>
      <w:spacing w:before="0" w:after="180" w:line="288" w:lineRule="atLeast"/>
    </w:pPr>
    <w:rPr>
      <w:rFonts w:eastAsia="Times New Roman" w:cs="Times New Roman"/>
      <w:szCs w:val="24"/>
      <w:lang w:eastAsia="en-GB"/>
    </w:rPr>
  </w:style>
  <w:style w:type="paragraph" w:styleId="BodyTextIndent">
    <w:name w:val="Body Text Indent"/>
    <w:basedOn w:val="Normal"/>
    <w:link w:val="BodyTextIndentChar"/>
    <w:semiHidden/>
    <w:rsid w:val="00B57283"/>
    <w:pPr>
      <w:spacing w:after="240" w:line="288" w:lineRule="auto"/>
      <w:ind w:left="851"/>
    </w:pPr>
    <w:rPr>
      <w:rFonts w:ascii="Calibri" w:eastAsia="Times New Roman" w:hAnsi="Calibri" w:cs="Times New Roman"/>
      <w:kern w:val="0"/>
      <w:sz w:val="22"/>
      <w:lang w:eastAsia="en-GB"/>
      <w14:ligatures w14:val="none"/>
    </w:rPr>
  </w:style>
  <w:style w:type="character" w:customStyle="1" w:styleId="BodyTextIndentChar">
    <w:name w:val="Body Text Indent Char"/>
    <w:basedOn w:val="DefaultParagraphFont"/>
    <w:link w:val="BodyTextIndent"/>
    <w:semiHidden/>
    <w:rsid w:val="00B57283"/>
    <w:rPr>
      <w:rFonts w:ascii="Calibri" w:eastAsia="Times New Roman" w:hAnsi="Calibri" w:cs="Times New Roman"/>
      <w:kern w:val="0"/>
      <w:sz w:val="22"/>
      <w:lang w:eastAsia="en-GB"/>
      <w14:ligatures w14:val="none"/>
    </w:rPr>
  </w:style>
  <w:style w:type="character" w:styleId="PageNumber">
    <w:name w:val="page number"/>
    <w:basedOn w:val="DefaultParagraphFont"/>
    <w:semiHidden/>
    <w:rsid w:val="00B57283"/>
  </w:style>
  <w:style w:type="paragraph" w:styleId="PlainText">
    <w:name w:val="Plain Text"/>
    <w:basedOn w:val="Normal"/>
    <w:link w:val="PlainTextChar"/>
    <w:semiHidden/>
    <w:rsid w:val="00B57283"/>
    <w:rPr>
      <w:rFonts w:ascii="Courier New" w:eastAsia="Times New Roman" w:hAnsi="Courier New" w:cs="Courier New"/>
      <w:kern w:val="0"/>
      <w:sz w:val="20"/>
      <w:szCs w:val="20"/>
      <w:lang w:eastAsia="en-GB"/>
      <w14:ligatures w14:val="none"/>
    </w:rPr>
  </w:style>
  <w:style w:type="character" w:customStyle="1" w:styleId="PlainTextChar">
    <w:name w:val="Plain Text Char"/>
    <w:basedOn w:val="DefaultParagraphFont"/>
    <w:link w:val="PlainText"/>
    <w:semiHidden/>
    <w:rsid w:val="00B57283"/>
    <w:rPr>
      <w:rFonts w:ascii="Courier New" w:eastAsia="Times New Roman" w:hAnsi="Courier New" w:cs="Courier New"/>
      <w:kern w:val="0"/>
      <w:sz w:val="20"/>
      <w:szCs w:val="20"/>
      <w:lang w:eastAsia="en-GB"/>
      <w14:ligatures w14:val="none"/>
    </w:rPr>
  </w:style>
  <w:style w:type="paragraph" w:styleId="BodyTextIndent3">
    <w:name w:val="Body Text Indent 3"/>
    <w:basedOn w:val="Normal"/>
    <w:link w:val="BodyTextIndent3Char"/>
    <w:semiHidden/>
    <w:rsid w:val="00B57283"/>
    <w:pPr>
      <w:spacing w:after="120"/>
      <w:ind w:left="283"/>
    </w:pPr>
    <w:rPr>
      <w:rFonts w:ascii="Calibri" w:eastAsia="Times New Roman" w:hAnsi="Calibri" w:cs="Times New Roman"/>
      <w:kern w:val="0"/>
      <w:sz w:val="16"/>
      <w:szCs w:val="16"/>
      <w:lang w:eastAsia="en-GB"/>
      <w14:ligatures w14:val="none"/>
    </w:rPr>
  </w:style>
  <w:style w:type="character" w:customStyle="1" w:styleId="BodyTextIndent3Char">
    <w:name w:val="Body Text Indent 3 Char"/>
    <w:basedOn w:val="DefaultParagraphFont"/>
    <w:link w:val="BodyTextIndent3"/>
    <w:semiHidden/>
    <w:rsid w:val="00B57283"/>
    <w:rPr>
      <w:rFonts w:ascii="Calibri" w:eastAsia="Times New Roman" w:hAnsi="Calibri" w:cs="Times New Roman"/>
      <w:kern w:val="0"/>
      <w:sz w:val="16"/>
      <w:szCs w:val="16"/>
      <w:lang w:eastAsia="en-GB"/>
      <w14:ligatures w14:val="none"/>
    </w:rPr>
  </w:style>
  <w:style w:type="paragraph" w:styleId="Closing">
    <w:name w:val="Closing"/>
    <w:basedOn w:val="Normal"/>
    <w:link w:val="ClosingChar"/>
    <w:semiHidden/>
    <w:rsid w:val="00B57283"/>
    <w:pPr>
      <w:ind w:left="4252"/>
    </w:pPr>
    <w:rPr>
      <w:rFonts w:ascii="Calibri" w:eastAsia="Times New Roman" w:hAnsi="Calibri" w:cs="Times New Roman"/>
      <w:kern w:val="0"/>
      <w:sz w:val="22"/>
      <w:lang w:eastAsia="en-GB"/>
      <w14:ligatures w14:val="none"/>
    </w:rPr>
  </w:style>
  <w:style w:type="character" w:customStyle="1" w:styleId="ClosingChar">
    <w:name w:val="Closing Char"/>
    <w:basedOn w:val="DefaultParagraphFont"/>
    <w:link w:val="Closing"/>
    <w:semiHidden/>
    <w:rsid w:val="00B57283"/>
    <w:rPr>
      <w:rFonts w:ascii="Calibri" w:eastAsia="Times New Roman" w:hAnsi="Calibri" w:cs="Times New Roman"/>
      <w:kern w:val="0"/>
      <w:sz w:val="22"/>
      <w:lang w:eastAsia="en-GB"/>
      <w14:ligatures w14:val="none"/>
    </w:rPr>
  </w:style>
  <w:style w:type="paragraph" w:styleId="Date">
    <w:name w:val="Date"/>
    <w:basedOn w:val="Normal"/>
    <w:next w:val="Normal"/>
    <w:link w:val="DateChar"/>
    <w:semiHidden/>
    <w:rsid w:val="00B57283"/>
    <w:rPr>
      <w:rFonts w:ascii="Calibri" w:eastAsia="Times New Roman" w:hAnsi="Calibri" w:cs="Times New Roman"/>
      <w:kern w:val="0"/>
      <w:sz w:val="22"/>
      <w:lang w:eastAsia="en-GB"/>
      <w14:ligatures w14:val="none"/>
    </w:rPr>
  </w:style>
  <w:style w:type="character" w:customStyle="1" w:styleId="DateChar">
    <w:name w:val="Date Char"/>
    <w:basedOn w:val="DefaultParagraphFont"/>
    <w:link w:val="Date"/>
    <w:semiHidden/>
    <w:rsid w:val="00B57283"/>
    <w:rPr>
      <w:rFonts w:ascii="Calibri" w:eastAsia="Times New Roman" w:hAnsi="Calibri" w:cs="Times New Roman"/>
      <w:kern w:val="0"/>
      <w:sz w:val="22"/>
      <w:lang w:eastAsia="en-GB"/>
      <w14:ligatures w14:val="none"/>
    </w:rPr>
  </w:style>
  <w:style w:type="paragraph" w:styleId="E-mailSignature">
    <w:name w:val="E-mail Signature"/>
    <w:basedOn w:val="Normal"/>
    <w:link w:val="E-mailSignatureChar"/>
    <w:semiHidden/>
    <w:rsid w:val="00B57283"/>
    <w:rPr>
      <w:rFonts w:ascii="Calibri" w:eastAsia="Times New Roman" w:hAnsi="Calibri" w:cs="Times New Roman"/>
      <w:kern w:val="0"/>
      <w:sz w:val="22"/>
      <w:lang w:eastAsia="en-GB"/>
      <w14:ligatures w14:val="none"/>
    </w:rPr>
  </w:style>
  <w:style w:type="character" w:customStyle="1" w:styleId="E-mailSignatureChar">
    <w:name w:val="E-mail Signature Char"/>
    <w:basedOn w:val="DefaultParagraphFont"/>
    <w:link w:val="E-mailSignature"/>
    <w:semiHidden/>
    <w:rsid w:val="00B57283"/>
    <w:rPr>
      <w:rFonts w:ascii="Calibri" w:eastAsia="Times New Roman" w:hAnsi="Calibri" w:cs="Times New Roman"/>
      <w:kern w:val="0"/>
      <w:sz w:val="22"/>
      <w:lang w:eastAsia="en-GB"/>
      <w14:ligatures w14:val="none"/>
    </w:rPr>
  </w:style>
  <w:style w:type="character" w:styleId="Emphasis">
    <w:name w:val="Emphasis"/>
    <w:basedOn w:val="DefaultParagraphFont"/>
    <w:uiPriority w:val="20"/>
    <w:qFormat/>
    <w:rsid w:val="00B57283"/>
    <w:rPr>
      <w:i/>
      <w:iCs/>
    </w:rPr>
  </w:style>
  <w:style w:type="paragraph" w:styleId="EnvelopeAddress">
    <w:name w:val="envelope address"/>
    <w:basedOn w:val="Normal"/>
    <w:semiHidden/>
    <w:rsid w:val="00B57283"/>
    <w:pPr>
      <w:framePr w:w="7920" w:h="1980" w:hRule="exact" w:hSpace="180" w:wrap="auto" w:hAnchor="page" w:xAlign="center" w:yAlign="bottom"/>
      <w:ind w:left="2880"/>
    </w:pPr>
    <w:rPr>
      <w:rFonts w:ascii="Calibri" w:eastAsia="Times New Roman" w:hAnsi="Calibri" w:cs="Arial"/>
      <w:kern w:val="0"/>
      <w:lang w:eastAsia="en-GB"/>
      <w14:ligatures w14:val="none"/>
    </w:rPr>
  </w:style>
  <w:style w:type="paragraph" w:styleId="EnvelopeReturn">
    <w:name w:val="envelope return"/>
    <w:basedOn w:val="Normal"/>
    <w:semiHidden/>
    <w:rsid w:val="00B57283"/>
    <w:rPr>
      <w:rFonts w:ascii="Calibri" w:eastAsia="Times New Roman" w:hAnsi="Calibri" w:cs="Arial"/>
      <w:kern w:val="0"/>
      <w:sz w:val="20"/>
      <w:szCs w:val="20"/>
      <w:lang w:eastAsia="en-GB"/>
      <w14:ligatures w14:val="none"/>
    </w:rPr>
  </w:style>
  <w:style w:type="character" w:styleId="HTMLAcronym">
    <w:name w:val="HTML Acronym"/>
    <w:basedOn w:val="DefaultParagraphFont"/>
    <w:semiHidden/>
    <w:rsid w:val="00B57283"/>
  </w:style>
  <w:style w:type="character" w:styleId="HTMLCite">
    <w:name w:val="HTML Cite"/>
    <w:basedOn w:val="DefaultParagraphFont"/>
    <w:semiHidden/>
    <w:rsid w:val="00B57283"/>
    <w:rPr>
      <w:i/>
      <w:iCs/>
    </w:rPr>
  </w:style>
  <w:style w:type="character" w:styleId="HTMLCode">
    <w:name w:val="HTML Code"/>
    <w:basedOn w:val="DefaultParagraphFont"/>
    <w:semiHidden/>
    <w:rsid w:val="00B57283"/>
    <w:rPr>
      <w:rFonts w:ascii="Courier New" w:hAnsi="Courier New" w:cs="Courier New"/>
      <w:sz w:val="20"/>
      <w:szCs w:val="20"/>
    </w:rPr>
  </w:style>
  <w:style w:type="character" w:styleId="HTMLDefinition">
    <w:name w:val="HTML Definition"/>
    <w:basedOn w:val="DefaultParagraphFont"/>
    <w:semiHidden/>
    <w:rsid w:val="00B57283"/>
    <w:rPr>
      <w:i/>
      <w:iCs/>
    </w:rPr>
  </w:style>
  <w:style w:type="character" w:styleId="HTMLKeyboard">
    <w:name w:val="HTML Keyboard"/>
    <w:basedOn w:val="DefaultParagraphFont"/>
    <w:semiHidden/>
    <w:rsid w:val="00B57283"/>
    <w:rPr>
      <w:rFonts w:ascii="Courier New" w:hAnsi="Courier New" w:cs="Courier New"/>
      <w:sz w:val="20"/>
      <w:szCs w:val="20"/>
    </w:rPr>
  </w:style>
  <w:style w:type="paragraph" w:styleId="HTMLPreformatted">
    <w:name w:val="HTML Preformatted"/>
    <w:basedOn w:val="Normal"/>
    <w:link w:val="HTMLPreformattedChar"/>
    <w:semiHidden/>
    <w:rsid w:val="00B57283"/>
    <w:rPr>
      <w:rFonts w:ascii="Courier New" w:eastAsia="Times New Roman" w:hAnsi="Courier New" w:cs="Courier New"/>
      <w:kern w:val="0"/>
      <w:sz w:val="20"/>
      <w:szCs w:val="20"/>
      <w:lang w:eastAsia="en-GB"/>
      <w14:ligatures w14:val="none"/>
    </w:rPr>
  </w:style>
  <w:style w:type="character" w:customStyle="1" w:styleId="HTMLPreformattedChar">
    <w:name w:val="HTML Preformatted Char"/>
    <w:basedOn w:val="DefaultParagraphFont"/>
    <w:link w:val="HTMLPreformatted"/>
    <w:semiHidden/>
    <w:rsid w:val="00B57283"/>
    <w:rPr>
      <w:rFonts w:ascii="Courier New" w:eastAsia="Times New Roman" w:hAnsi="Courier New" w:cs="Courier New"/>
      <w:kern w:val="0"/>
      <w:sz w:val="20"/>
      <w:szCs w:val="20"/>
      <w:lang w:eastAsia="en-GB"/>
      <w14:ligatures w14:val="none"/>
    </w:rPr>
  </w:style>
  <w:style w:type="character" w:styleId="HTMLSample">
    <w:name w:val="HTML Sample"/>
    <w:basedOn w:val="DefaultParagraphFont"/>
    <w:semiHidden/>
    <w:rsid w:val="00B57283"/>
    <w:rPr>
      <w:rFonts w:ascii="Courier New" w:hAnsi="Courier New" w:cs="Courier New"/>
    </w:rPr>
  </w:style>
  <w:style w:type="character" w:styleId="HTMLTypewriter">
    <w:name w:val="HTML Typewriter"/>
    <w:basedOn w:val="DefaultParagraphFont"/>
    <w:semiHidden/>
    <w:rsid w:val="00B57283"/>
    <w:rPr>
      <w:rFonts w:ascii="Courier New" w:hAnsi="Courier New" w:cs="Courier New"/>
      <w:sz w:val="20"/>
      <w:szCs w:val="20"/>
    </w:rPr>
  </w:style>
  <w:style w:type="character" w:styleId="HTMLVariable">
    <w:name w:val="HTML Variable"/>
    <w:basedOn w:val="DefaultParagraphFont"/>
    <w:semiHidden/>
    <w:rsid w:val="00B57283"/>
    <w:rPr>
      <w:i/>
      <w:iCs/>
    </w:rPr>
  </w:style>
  <w:style w:type="character" w:styleId="LineNumber">
    <w:name w:val="line number"/>
    <w:basedOn w:val="DefaultParagraphFont"/>
    <w:semiHidden/>
    <w:rsid w:val="00B57283"/>
  </w:style>
  <w:style w:type="paragraph" w:styleId="List">
    <w:name w:val="List"/>
    <w:basedOn w:val="Normal"/>
    <w:semiHidden/>
    <w:rsid w:val="00B57283"/>
    <w:pPr>
      <w:ind w:left="283" w:hanging="283"/>
    </w:pPr>
    <w:rPr>
      <w:rFonts w:ascii="Calibri" w:eastAsia="Times New Roman" w:hAnsi="Calibri" w:cs="Times New Roman"/>
      <w:kern w:val="0"/>
      <w:sz w:val="22"/>
      <w:lang w:eastAsia="en-GB"/>
      <w14:ligatures w14:val="none"/>
    </w:rPr>
  </w:style>
  <w:style w:type="paragraph" w:styleId="List2">
    <w:name w:val="List 2"/>
    <w:basedOn w:val="Normal"/>
    <w:semiHidden/>
    <w:rsid w:val="00B57283"/>
    <w:pPr>
      <w:ind w:left="566" w:hanging="283"/>
    </w:pPr>
    <w:rPr>
      <w:rFonts w:ascii="Calibri" w:eastAsia="Times New Roman" w:hAnsi="Calibri" w:cs="Times New Roman"/>
      <w:kern w:val="0"/>
      <w:sz w:val="22"/>
      <w:lang w:eastAsia="en-GB"/>
      <w14:ligatures w14:val="none"/>
    </w:rPr>
  </w:style>
  <w:style w:type="paragraph" w:styleId="List3">
    <w:name w:val="List 3"/>
    <w:basedOn w:val="Normal"/>
    <w:semiHidden/>
    <w:rsid w:val="00B57283"/>
    <w:pPr>
      <w:ind w:left="849" w:hanging="283"/>
    </w:pPr>
    <w:rPr>
      <w:rFonts w:ascii="Calibri" w:eastAsia="Times New Roman" w:hAnsi="Calibri" w:cs="Times New Roman"/>
      <w:kern w:val="0"/>
      <w:sz w:val="22"/>
      <w:lang w:eastAsia="en-GB"/>
      <w14:ligatures w14:val="none"/>
    </w:rPr>
  </w:style>
  <w:style w:type="paragraph" w:styleId="List4">
    <w:name w:val="List 4"/>
    <w:basedOn w:val="Normal"/>
    <w:semiHidden/>
    <w:rsid w:val="00B57283"/>
    <w:pPr>
      <w:ind w:left="1132" w:hanging="283"/>
    </w:pPr>
    <w:rPr>
      <w:rFonts w:ascii="Calibri" w:eastAsia="Times New Roman" w:hAnsi="Calibri" w:cs="Times New Roman"/>
      <w:kern w:val="0"/>
      <w:sz w:val="22"/>
      <w:lang w:eastAsia="en-GB"/>
      <w14:ligatures w14:val="none"/>
    </w:rPr>
  </w:style>
  <w:style w:type="paragraph" w:styleId="List5">
    <w:name w:val="List 5"/>
    <w:basedOn w:val="Normal"/>
    <w:semiHidden/>
    <w:rsid w:val="00B57283"/>
    <w:pPr>
      <w:ind w:left="1415" w:hanging="283"/>
    </w:pPr>
    <w:rPr>
      <w:rFonts w:ascii="Calibri" w:eastAsia="Times New Roman" w:hAnsi="Calibri" w:cs="Times New Roman"/>
      <w:kern w:val="0"/>
      <w:sz w:val="22"/>
      <w:lang w:eastAsia="en-GB"/>
      <w14:ligatures w14:val="none"/>
    </w:rPr>
  </w:style>
  <w:style w:type="paragraph" w:styleId="ListBullet4">
    <w:name w:val="List Bullet 4"/>
    <w:basedOn w:val="Normal"/>
    <w:uiPriority w:val="1"/>
    <w:semiHidden/>
    <w:rsid w:val="00B57283"/>
    <w:rPr>
      <w:rFonts w:ascii="Calibri" w:eastAsia="Times New Roman" w:hAnsi="Calibri" w:cs="Times New Roman"/>
      <w:kern w:val="0"/>
      <w:sz w:val="22"/>
      <w:lang w:eastAsia="en-GB"/>
      <w14:ligatures w14:val="none"/>
    </w:rPr>
  </w:style>
  <w:style w:type="paragraph" w:styleId="ListBullet5">
    <w:name w:val="List Bullet 5"/>
    <w:basedOn w:val="Normal"/>
    <w:uiPriority w:val="1"/>
    <w:semiHidden/>
    <w:rsid w:val="00B57283"/>
    <w:rPr>
      <w:rFonts w:ascii="Calibri" w:eastAsia="Times New Roman" w:hAnsi="Calibri" w:cs="Times New Roman"/>
      <w:kern w:val="0"/>
      <w:sz w:val="22"/>
      <w:lang w:eastAsia="en-GB"/>
      <w14:ligatures w14:val="none"/>
    </w:rPr>
  </w:style>
  <w:style w:type="paragraph" w:styleId="ListContinue">
    <w:name w:val="List Continue"/>
    <w:basedOn w:val="Normal"/>
    <w:semiHidden/>
    <w:rsid w:val="00B57283"/>
    <w:pPr>
      <w:spacing w:after="120"/>
      <w:ind w:left="283"/>
    </w:pPr>
    <w:rPr>
      <w:rFonts w:ascii="Calibri" w:eastAsia="Times New Roman" w:hAnsi="Calibri" w:cs="Times New Roman"/>
      <w:kern w:val="0"/>
      <w:sz w:val="22"/>
      <w:lang w:eastAsia="en-GB"/>
      <w14:ligatures w14:val="none"/>
    </w:rPr>
  </w:style>
  <w:style w:type="paragraph" w:styleId="ListContinue2">
    <w:name w:val="List Continue 2"/>
    <w:basedOn w:val="Normal"/>
    <w:semiHidden/>
    <w:rsid w:val="00B57283"/>
    <w:pPr>
      <w:spacing w:after="120"/>
      <w:ind w:left="566"/>
    </w:pPr>
    <w:rPr>
      <w:rFonts w:ascii="Calibri" w:eastAsia="Times New Roman" w:hAnsi="Calibri" w:cs="Times New Roman"/>
      <w:kern w:val="0"/>
      <w:sz w:val="22"/>
      <w:lang w:eastAsia="en-GB"/>
      <w14:ligatures w14:val="none"/>
    </w:rPr>
  </w:style>
  <w:style w:type="paragraph" w:styleId="ListContinue3">
    <w:name w:val="List Continue 3"/>
    <w:basedOn w:val="Normal"/>
    <w:semiHidden/>
    <w:rsid w:val="00B57283"/>
    <w:pPr>
      <w:spacing w:after="120"/>
      <w:ind w:left="849"/>
    </w:pPr>
    <w:rPr>
      <w:rFonts w:ascii="Calibri" w:eastAsia="Times New Roman" w:hAnsi="Calibri" w:cs="Times New Roman"/>
      <w:kern w:val="0"/>
      <w:sz w:val="22"/>
      <w:lang w:eastAsia="en-GB"/>
      <w14:ligatures w14:val="none"/>
    </w:rPr>
  </w:style>
  <w:style w:type="paragraph" w:styleId="ListContinue4">
    <w:name w:val="List Continue 4"/>
    <w:basedOn w:val="Normal"/>
    <w:semiHidden/>
    <w:rsid w:val="00B57283"/>
    <w:pPr>
      <w:spacing w:after="120"/>
      <w:ind w:left="1132"/>
    </w:pPr>
    <w:rPr>
      <w:rFonts w:ascii="Calibri" w:eastAsia="Times New Roman" w:hAnsi="Calibri" w:cs="Times New Roman"/>
      <w:kern w:val="0"/>
      <w:sz w:val="22"/>
      <w:lang w:eastAsia="en-GB"/>
      <w14:ligatures w14:val="none"/>
    </w:rPr>
  </w:style>
  <w:style w:type="paragraph" w:styleId="ListContinue5">
    <w:name w:val="List Continue 5"/>
    <w:basedOn w:val="Normal"/>
    <w:semiHidden/>
    <w:rsid w:val="00B57283"/>
    <w:pPr>
      <w:spacing w:after="120"/>
      <w:ind w:left="1415"/>
    </w:pPr>
    <w:rPr>
      <w:rFonts w:ascii="Calibri" w:eastAsia="Times New Roman" w:hAnsi="Calibri" w:cs="Times New Roman"/>
      <w:kern w:val="0"/>
      <w:sz w:val="22"/>
      <w:lang w:eastAsia="en-GB"/>
      <w14:ligatures w14:val="none"/>
    </w:rPr>
  </w:style>
  <w:style w:type="paragraph" w:styleId="ListNumber">
    <w:name w:val="List Number"/>
    <w:basedOn w:val="Normal"/>
    <w:semiHidden/>
    <w:rsid w:val="00B57283"/>
    <w:rPr>
      <w:rFonts w:ascii="Calibri" w:eastAsia="Times New Roman" w:hAnsi="Calibri" w:cs="Times New Roman"/>
      <w:kern w:val="0"/>
      <w:sz w:val="22"/>
      <w:lang w:eastAsia="en-GB"/>
      <w14:ligatures w14:val="none"/>
    </w:rPr>
  </w:style>
  <w:style w:type="paragraph" w:styleId="ListNumber2">
    <w:name w:val="List Number 2"/>
    <w:basedOn w:val="Normal"/>
    <w:semiHidden/>
    <w:rsid w:val="00B57283"/>
    <w:rPr>
      <w:rFonts w:ascii="Calibri" w:eastAsia="Times New Roman" w:hAnsi="Calibri" w:cs="Times New Roman"/>
      <w:kern w:val="0"/>
      <w:sz w:val="22"/>
      <w:lang w:eastAsia="en-GB"/>
      <w14:ligatures w14:val="none"/>
    </w:rPr>
  </w:style>
  <w:style w:type="paragraph" w:styleId="ListNumber3">
    <w:name w:val="List Number 3"/>
    <w:basedOn w:val="Normal"/>
    <w:semiHidden/>
    <w:rsid w:val="00B57283"/>
    <w:rPr>
      <w:rFonts w:ascii="Calibri" w:eastAsia="Times New Roman" w:hAnsi="Calibri" w:cs="Times New Roman"/>
      <w:kern w:val="0"/>
      <w:sz w:val="22"/>
      <w:lang w:eastAsia="en-GB"/>
      <w14:ligatures w14:val="none"/>
    </w:rPr>
  </w:style>
  <w:style w:type="paragraph" w:styleId="ListNumber4">
    <w:name w:val="List Number 4"/>
    <w:basedOn w:val="Normal"/>
    <w:semiHidden/>
    <w:rsid w:val="00B57283"/>
    <w:rPr>
      <w:rFonts w:ascii="Calibri" w:eastAsia="Times New Roman" w:hAnsi="Calibri" w:cs="Times New Roman"/>
      <w:kern w:val="0"/>
      <w:sz w:val="22"/>
      <w:lang w:eastAsia="en-GB"/>
      <w14:ligatures w14:val="none"/>
    </w:rPr>
  </w:style>
  <w:style w:type="paragraph" w:styleId="ListNumber5">
    <w:name w:val="List Number 5"/>
    <w:basedOn w:val="Normal"/>
    <w:semiHidden/>
    <w:rsid w:val="00B57283"/>
    <w:rPr>
      <w:rFonts w:ascii="Calibri" w:eastAsia="Times New Roman" w:hAnsi="Calibri" w:cs="Times New Roman"/>
      <w:kern w:val="0"/>
      <w:sz w:val="22"/>
      <w:lang w:eastAsia="en-GB"/>
      <w14:ligatures w14:val="none"/>
    </w:rPr>
  </w:style>
  <w:style w:type="paragraph" w:styleId="MessageHeader">
    <w:name w:val="Message Header"/>
    <w:basedOn w:val="Normal"/>
    <w:link w:val="MessageHeaderChar"/>
    <w:semiHidden/>
    <w:rsid w:val="00B57283"/>
    <w:pPr>
      <w:pBdr>
        <w:top w:val="single" w:sz="6" w:space="1" w:color="auto"/>
        <w:left w:val="single" w:sz="6" w:space="1" w:color="auto"/>
        <w:bottom w:val="single" w:sz="6" w:space="1" w:color="auto"/>
        <w:right w:val="single" w:sz="6" w:space="1" w:color="auto"/>
      </w:pBdr>
      <w:shd w:val="pct20" w:color="auto" w:fill="auto"/>
      <w:ind w:left="1134" w:hanging="1134"/>
    </w:pPr>
    <w:rPr>
      <w:rFonts w:ascii="Calibri" w:eastAsia="Times New Roman" w:hAnsi="Calibri" w:cs="Arial"/>
      <w:kern w:val="0"/>
      <w:lang w:eastAsia="en-GB"/>
      <w14:ligatures w14:val="none"/>
    </w:rPr>
  </w:style>
  <w:style w:type="character" w:customStyle="1" w:styleId="MessageHeaderChar">
    <w:name w:val="Message Header Char"/>
    <w:basedOn w:val="DefaultParagraphFont"/>
    <w:link w:val="MessageHeader"/>
    <w:semiHidden/>
    <w:rsid w:val="00B57283"/>
    <w:rPr>
      <w:rFonts w:ascii="Calibri" w:eastAsia="Times New Roman" w:hAnsi="Calibri" w:cs="Arial"/>
      <w:kern w:val="0"/>
      <w:shd w:val="pct20" w:color="auto" w:fill="auto"/>
      <w:lang w:eastAsia="en-GB"/>
      <w14:ligatures w14:val="none"/>
    </w:rPr>
  </w:style>
  <w:style w:type="paragraph" w:styleId="NormalWeb">
    <w:name w:val="Normal (Web)"/>
    <w:basedOn w:val="Normal"/>
    <w:uiPriority w:val="99"/>
    <w:semiHidden/>
    <w:rsid w:val="00B57283"/>
    <w:rPr>
      <w:rFonts w:ascii="Times New Roman" w:eastAsia="Times New Roman" w:hAnsi="Times New Roman" w:cs="Times New Roman"/>
      <w:kern w:val="0"/>
      <w:lang w:eastAsia="en-GB"/>
      <w14:ligatures w14:val="none"/>
    </w:rPr>
  </w:style>
  <w:style w:type="paragraph" w:styleId="NormalIndent">
    <w:name w:val="Normal Indent"/>
    <w:basedOn w:val="Normal"/>
    <w:semiHidden/>
    <w:rsid w:val="00B57283"/>
    <w:pPr>
      <w:ind w:left="567"/>
    </w:pPr>
    <w:rPr>
      <w:rFonts w:ascii="Calibri" w:eastAsia="Times New Roman" w:hAnsi="Calibri" w:cs="Times New Roman"/>
      <w:kern w:val="0"/>
      <w:sz w:val="22"/>
      <w:lang w:eastAsia="en-GB"/>
      <w14:ligatures w14:val="none"/>
    </w:rPr>
  </w:style>
  <w:style w:type="paragraph" w:styleId="Salutation">
    <w:name w:val="Salutation"/>
    <w:basedOn w:val="Normal"/>
    <w:next w:val="Normal"/>
    <w:link w:val="SalutationChar"/>
    <w:semiHidden/>
    <w:rsid w:val="00B57283"/>
    <w:rPr>
      <w:rFonts w:ascii="Calibri" w:eastAsia="Times New Roman" w:hAnsi="Calibri" w:cs="Times New Roman"/>
      <w:kern w:val="0"/>
      <w:sz w:val="22"/>
      <w:lang w:eastAsia="en-GB"/>
      <w14:ligatures w14:val="none"/>
    </w:rPr>
  </w:style>
  <w:style w:type="character" w:customStyle="1" w:styleId="SalutationChar">
    <w:name w:val="Salutation Char"/>
    <w:basedOn w:val="DefaultParagraphFont"/>
    <w:link w:val="Salutation"/>
    <w:semiHidden/>
    <w:rsid w:val="00B57283"/>
    <w:rPr>
      <w:rFonts w:ascii="Calibri" w:eastAsia="Times New Roman" w:hAnsi="Calibri" w:cs="Times New Roman"/>
      <w:kern w:val="0"/>
      <w:sz w:val="22"/>
      <w:lang w:eastAsia="en-GB"/>
      <w14:ligatures w14:val="none"/>
    </w:rPr>
  </w:style>
  <w:style w:type="paragraph" w:styleId="Signature">
    <w:name w:val="Signature"/>
    <w:basedOn w:val="Normal"/>
    <w:link w:val="SignatureChar"/>
    <w:semiHidden/>
    <w:rsid w:val="00B57283"/>
    <w:pPr>
      <w:ind w:left="4252"/>
    </w:pPr>
    <w:rPr>
      <w:rFonts w:ascii="Calibri" w:eastAsia="Times New Roman" w:hAnsi="Calibri" w:cs="Times New Roman"/>
      <w:kern w:val="0"/>
      <w:sz w:val="22"/>
      <w:lang w:eastAsia="en-GB"/>
      <w14:ligatures w14:val="none"/>
    </w:rPr>
  </w:style>
  <w:style w:type="character" w:customStyle="1" w:styleId="SignatureChar">
    <w:name w:val="Signature Char"/>
    <w:basedOn w:val="DefaultParagraphFont"/>
    <w:link w:val="Signature"/>
    <w:semiHidden/>
    <w:rsid w:val="00B57283"/>
    <w:rPr>
      <w:rFonts w:ascii="Calibri" w:eastAsia="Times New Roman" w:hAnsi="Calibri" w:cs="Times New Roman"/>
      <w:kern w:val="0"/>
      <w:sz w:val="22"/>
      <w:lang w:eastAsia="en-GB"/>
      <w14:ligatures w14:val="none"/>
    </w:rPr>
  </w:style>
  <w:style w:type="table" w:styleId="Table3Deffects1">
    <w:name w:val="Table 3D effects 1"/>
    <w:basedOn w:val="TableNormal"/>
    <w:semiHidden/>
    <w:rsid w:val="00B57283"/>
    <w:rPr>
      <w:rFonts w:ascii="Times New Roman" w:eastAsia="Times New Roman" w:hAnsi="Times New Roman" w:cs="Times New Roman"/>
      <w:kern w:val="0"/>
      <w:sz w:val="20"/>
      <w:szCs w:val="20"/>
      <w:lang w:eastAsia="en-NZ"/>
      <w14:ligatures w14:val="none"/>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B57283"/>
    <w:rPr>
      <w:rFonts w:ascii="Times New Roman" w:eastAsia="Times New Roman" w:hAnsi="Times New Roman" w:cs="Times New Roman"/>
      <w:kern w:val="0"/>
      <w:sz w:val="20"/>
      <w:szCs w:val="20"/>
      <w:lang w:eastAsia="en-NZ"/>
      <w14:ligatures w14:val="none"/>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B57283"/>
    <w:rPr>
      <w:rFonts w:ascii="Times New Roman" w:eastAsia="Times New Roman" w:hAnsi="Times New Roman" w:cs="Times New Roman"/>
      <w:kern w:val="0"/>
      <w:sz w:val="20"/>
      <w:szCs w:val="20"/>
      <w:lang w:eastAsia="en-NZ"/>
      <w14:ligatures w14:val="none"/>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B57283"/>
    <w:rPr>
      <w:rFonts w:ascii="Times New Roman" w:eastAsia="Times New Roman" w:hAnsi="Times New Roman" w:cs="Times New Roman"/>
      <w:color w:val="000080"/>
      <w:kern w:val="0"/>
      <w:sz w:val="20"/>
      <w:szCs w:val="20"/>
      <w:lang w:eastAsia="en-NZ"/>
      <w14:ligatures w14:val="none"/>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B57283"/>
    <w:rPr>
      <w:rFonts w:ascii="Times New Roman" w:eastAsia="Times New Roman" w:hAnsi="Times New Roman" w:cs="Times New Roman"/>
      <w:color w:val="FFFFFF"/>
      <w:kern w:val="0"/>
      <w:sz w:val="20"/>
      <w:szCs w:val="20"/>
      <w:lang w:eastAsia="en-NZ"/>
      <w14:ligatures w14:val="none"/>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B57283"/>
    <w:rPr>
      <w:rFonts w:ascii="Times New Roman" w:eastAsia="Times New Roman" w:hAnsi="Times New Roman" w:cs="Times New Roman"/>
      <w:kern w:val="0"/>
      <w:sz w:val="20"/>
      <w:szCs w:val="20"/>
      <w:lang w:eastAsia="en-NZ"/>
      <w14:ligatures w14:val="none"/>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B57283"/>
    <w:rPr>
      <w:rFonts w:ascii="Times New Roman" w:eastAsia="Times New Roman" w:hAnsi="Times New Roman" w:cs="Times New Roman"/>
      <w:b/>
      <w:bCs/>
      <w:kern w:val="0"/>
      <w:sz w:val="20"/>
      <w:szCs w:val="20"/>
      <w:lang w:eastAsia="en-NZ"/>
      <w14:ligatures w14:val="none"/>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B57283"/>
    <w:rPr>
      <w:rFonts w:ascii="Times New Roman" w:eastAsia="Times New Roman" w:hAnsi="Times New Roman" w:cs="Times New Roman"/>
      <w:b/>
      <w:bCs/>
      <w:kern w:val="0"/>
      <w:sz w:val="20"/>
      <w:szCs w:val="20"/>
      <w:lang w:eastAsia="en-NZ"/>
      <w14:ligatures w14:val="none"/>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B57283"/>
    <w:rPr>
      <w:rFonts w:ascii="Times New Roman" w:eastAsia="Times New Roman" w:hAnsi="Times New Roman" w:cs="Times New Roman"/>
      <w:b/>
      <w:bCs/>
      <w:kern w:val="0"/>
      <w:sz w:val="20"/>
      <w:szCs w:val="20"/>
      <w:lang w:eastAsia="en-NZ"/>
      <w14:ligatures w14:val="none"/>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B57283"/>
    <w:rPr>
      <w:rFonts w:ascii="Times New Roman" w:eastAsia="Times New Roman" w:hAnsi="Times New Roman" w:cs="Times New Roman"/>
      <w:kern w:val="0"/>
      <w:sz w:val="20"/>
      <w:szCs w:val="20"/>
      <w:lang w:eastAsia="en-NZ"/>
      <w14:ligatures w14:val="none"/>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B57283"/>
    <w:rPr>
      <w:rFonts w:ascii="Times New Roman" w:eastAsia="Times New Roman" w:hAnsi="Times New Roman" w:cs="Times New Roman"/>
      <w:kern w:val="0"/>
      <w:sz w:val="20"/>
      <w:szCs w:val="20"/>
      <w:lang w:eastAsia="en-NZ"/>
      <w14:ligatures w14:val="none"/>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B57283"/>
    <w:rPr>
      <w:rFonts w:ascii="Times New Roman" w:eastAsia="Times New Roman" w:hAnsi="Times New Roman" w:cs="Times New Roman"/>
      <w:kern w:val="0"/>
      <w:sz w:val="20"/>
      <w:szCs w:val="20"/>
      <w:lang w:eastAsia="en-NZ"/>
      <w14:ligatures w14:val="none"/>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B57283"/>
    <w:rPr>
      <w:rFonts w:ascii="Times New Roman" w:eastAsia="Times New Roman" w:hAnsi="Times New Roman" w:cs="Times New Roman"/>
      <w:kern w:val="0"/>
      <w:sz w:val="20"/>
      <w:szCs w:val="20"/>
      <w:lang w:eastAsia="en-NZ"/>
      <w14:ligatures w14:val="none"/>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B57283"/>
    <w:rPr>
      <w:rFonts w:ascii="Times New Roman" w:eastAsia="Times New Roman" w:hAnsi="Times New Roman" w:cs="Times New Roman"/>
      <w:kern w:val="0"/>
      <w:sz w:val="20"/>
      <w:szCs w:val="20"/>
      <w:lang w:eastAsia="en-NZ"/>
      <w14:ligatures w14:val="none"/>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B57283"/>
    <w:rPr>
      <w:rFonts w:ascii="Times New Roman" w:eastAsia="Times New Roman" w:hAnsi="Times New Roman" w:cs="Times New Roman"/>
      <w:kern w:val="0"/>
      <w:sz w:val="20"/>
      <w:szCs w:val="20"/>
      <w:lang w:eastAsia="en-NZ"/>
      <w14:ligatures w14:val="none"/>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B57283"/>
    <w:rPr>
      <w:rFonts w:ascii="Times New Roman" w:eastAsia="Times New Roman" w:hAnsi="Times New Roman" w:cs="Times New Roman"/>
      <w:b/>
      <w:bCs/>
      <w:kern w:val="0"/>
      <w:sz w:val="20"/>
      <w:szCs w:val="20"/>
      <w:lang w:eastAsia="en-NZ"/>
      <w14:ligatures w14:val="none"/>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B57283"/>
    <w:rPr>
      <w:rFonts w:ascii="Times New Roman" w:eastAsia="Times New Roman" w:hAnsi="Times New Roman" w:cs="Times New Roman"/>
      <w:kern w:val="0"/>
      <w:sz w:val="20"/>
      <w:szCs w:val="20"/>
      <w:lang w:eastAsia="en-NZ"/>
      <w14:ligatures w14:val="none"/>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B57283"/>
    <w:rPr>
      <w:rFonts w:ascii="Times New Roman" w:eastAsia="Times New Roman" w:hAnsi="Times New Roman" w:cs="Times New Roman"/>
      <w:kern w:val="0"/>
      <w:sz w:val="20"/>
      <w:szCs w:val="20"/>
      <w:lang w:eastAsia="en-NZ"/>
      <w14:ligatures w14:val="none"/>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B57283"/>
    <w:rPr>
      <w:rFonts w:ascii="Times New Roman" w:eastAsia="Times New Roman" w:hAnsi="Times New Roman" w:cs="Times New Roman"/>
      <w:kern w:val="0"/>
      <w:sz w:val="20"/>
      <w:szCs w:val="20"/>
      <w:lang w:eastAsia="en-NZ"/>
      <w14:ligatures w14:val="none"/>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B57283"/>
    <w:rPr>
      <w:rFonts w:ascii="Times New Roman" w:eastAsia="Times New Roman" w:hAnsi="Times New Roman" w:cs="Times New Roman"/>
      <w:kern w:val="0"/>
      <w:sz w:val="20"/>
      <w:szCs w:val="20"/>
      <w:lang w:eastAsia="en-NZ"/>
      <w14:ligatures w14:val="none"/>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B57283"/>
    <w:rPr>
      <w:rFonts w:ascii="Times New Roman" w:eastAsia="Times New Roman" w:hAnsi="Times New Roman" w:cs="Times New Roman"/>
      <w:kern w:val="0"/>
      <w:sz w:val="20"/>
      <w:szCs w:val="20"/>
      <w:lang w:eastAsia="en-NZ"/>
      <w14:ligatures w14:val="none"/>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B57283"/>
    <w:rPr>
      <w:rFonts w:ascii="Times New Roman" w:eastAsia="Times New Roman" w:hAnsi="Times New Roman" w:cs="Times New Roman"/>
      <w:kern w:val="0"/>
      <w:sz w:val="20"/>
      <w:szCs w:val="20"/>
      <w:lang w:eastAsia="en-NZ"/>
      <w14:ligatures w14:val="none"/>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B57283"/>
    <w:rPr>
      <w:rFonts w:ascii="Times New Roman" w:eastAsia="Times New Roman" w:hAnsi="Times New Roman" w:cs="Times New Roman"/>
      <w:kern w:val="0"/>
      <w:sz w:val="20"/>
      <w:szCs w:val="20"/>
      <w:lang w:eastAsia="en-NZ"/>
      <w14:ligatures w14:val="none"/>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B57283"/>
    <w:rPr>
      <w:rFonts w:ascii="Times New Roman" w:eastAsia="Times New Roman" w:hAnsi="Times New Roman" w:cs="Times New Roman"/>
      <w:kern w:val="0"/>
      <w:sz w:val="20"/>
      <w:szCs w:val="20"/>
      <w:lang w:eastAsia="en-NZ"/>
      <w14:ligatures w14:val="none"/>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B57283"/>
    <w:rPr>
      <w:rFonts w:ascii="Times New Roman" w:eastAsia="Times New Roman" w:hAnsi="Times New Roman" w:cs="Times New Roman"/>
      <w:kern w:val="0"/>
      <w:sz w:val="20"/>
      <w:szCs w:val="20"/>
      <w:lang w:eastAsia="en-NZ"/>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B57283"/>
    <w:rPr>
      <w:rFonts w:ascii="Times New Roman" w:eastAsia="Times New Roman" w:hAnsi="Times New Roman" w:cs="Times New Roman"/>
      <w:kern w:val="0"/>
      <w:sz w:val="20"/>
      <w:szCs w:val="20"/>
      <w:lang w:eastAsia="en-NZ"/>
      <w14:ligatures w14:val="none"/>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B57283"/>
    <w:rPr>
      <w:rFonts w:ascii="Times New Roman" w:eastAsia="Times New Roman" w:hAnsi="Times New Roman" w:cs="Times New Roman"/>
      <w:kern w:val="0"/>
      <w:sz w:val="20"/>
      <w:szCs w:val="20"/>
      <w:lang w:eastAsia="en-NZ"/>
      <w14:ligatures w14:val="none"/>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B57283"/>
    <w:rPr>
      <w:rFonts w:ascii="Times New Roman" w:eastAsia="Times New Roman" w:hAnsi="Times New Roman" w:cs="Times New Roman"/>
      <w:kern w:val="0"/>
      <w:sz w:val="20"/>
      <w:szCs w:val="20"/>
      <w:lang w:eastAsia="en-NZ"/>
      <w14:ligatures w14:val="none"/>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CHeading">
    <w:name w:val="TOC Heading"/>
    <w:basedOn w:val="BodyText"/>
    <w:next w:val="BodyText"/>
    <w:semiHidden/>
    <w:rsid w:val="00B57283"/>
    <w:pPr>
      <w:keepNext/>
      <w:pageBreakBefore/>
      <w:spacing w:before="0" w:after="200" w:line="288" w:lineRule="atLeast"/>
    </w:pPr>
    <w:rPr>
      <w:rFonts w:ascii="Arial Black" w:eastAsia="Times New Roman" w:hAnsi="Arial Black" w:cs="Times New Roman"/>
      <w:sz w:val="32"/>
      <w:szCs w:val="20"/>
      <w:lang w:eastAsia="en-GB"/>
    </w:rPr>
  </w:style>
  <w:style w:type="paragraph" w:styleId="TOC6">
    <w:name w:val="toc 6"/>
    <w:basedOn w:val="Normal"/>
    <w:semiHidden/>
    <w:rsid w:val="00B57283"/>
    <w:pPr>
      <w:tabs>
        <w:tab w:val="right" w:leader="dot" w:pos="9072"/>
      </w:tabs>
      <w:spacing w:before="60" w:after="60"/>
      <w:ind w:left="1134" w:right="567"/>
    </w:pPr>
    <w:rPr>
      <w:rFonts w:ascii="Calibri" w:eastAsia="Times New Roman" w:hAnsi="Calibri" w:cs="Times New Roman"/>
      <w:kern w:val="0"/>
      <w:sz w:val="22"/>
      <w:lang w:eastAsia="en-GB"/>
      <w14:ligatures w14:val="none"/>
    </w:rPr>
  </w:style>
  <w:style w:type="paragraph" w:customStyle="1" w:styleId="AppendixHeading2">
    <w:name w:val="Appendix Heading 2"/>
    <w:basedOn w:val="Heading2"/>
    <w:next w:val="BodyText"/>
    <w:link w:val="AppendixHeading2Char"/>
    <w:semiHidden/>
    <w:rsid w:val="00656732"/>
    <w:pPr>
      <w:numPr>
        <w:numId w:val="37"/>
      </w:numPr>
    </w:pPr>
  </w:style>
  <w:style w:type="paragraph" w:customStyle="1" w:styleId="AppendixHeading3">
    <w:name w:val="Appendix Heading 3"/>
    <w:next w:val="BodyText"/>
    <w:semiHidden/>
    <w:rsid w:val="00B57283"/>
    <w:rPr>
      <w:rFonts w:ascii="Calibri" w:eastAsia="Times New Roman" w:hAnsi="Calibri" w:cs="Arial"/>
      <w:bCs/>
      <w:color w:val="0038A8"/>
      <w:kern w:val="0"/>
      <w:szCs w:val="26"/>
      <w:lang w:eastAsia="en-GB"/>
      <w14:ligatures w14:val="none"/>
    </w:rPr>
  </w:style>
  <w:style w:type="paragraph" w:customStyle="1" w:styleId="CaptionText">
    <w:name w:val="CaptionText"/>
    <w:basedOn w:val="BodyText"/>
    <w:next w:val="BodyText"/>
    <w:link w:val="CaptionTextChar"/>
    <w:semiHidden/>
    <w:rsid w:val="00B57283"/>
    <w:pPr>
      <w:spacing w:before="0" w:after="180" w:line="240" w:lineRule="auto"/>
    </w:pPr>
    <w:rPr>
      <w:rFonts w:eastAsia="Times New Roman" w:cs="Times New Roman"/>
      <w:sz w:val="20"/>
      <w:lang w:eastAsia="en-GB"/>
    </w:rPr>
  </w:style>
  <w:style w:type="character" w:customStyle="1" w:styleId="CaptionTextChar">
    <w:name w:val="CaptionText Char"/>
    <w:basedOn w:val="BodyTextChar"/>
    <w:link w:val="CaptionText"/>
    <w:semiHidden/>
    <w:rsid w:val="00B57283"/>
    <w:rPr>
      <w:rFonts w:ascii="Calibri" w:eastAsia="Times New Roman" w:hAnsi="Calibri" w:cs="Times New Roman"/>
      <w:kern w:val="0"/>
      <w:sz w:val="20"/>
      <w:szCs w:val="22"/>
      <w:lang w:eastAsia="en-GB"/>
      <w14:ligatures w14:val="none"/>
    </w:rPr>
  </w:style>
  <w:style w:type="paragraph" w:styleId="TOC8">
    <w:name w:val="toc 8"/>
    <w:basedOn w:val="BodyText"/>
    <w:next w:val="Normal"/>
    <w:semiHidden/>
    <w:rsid w:val="00B57283"/>
    <w:pPr>
      <w:tabs>
        <w:tab w:val="right" w:leader="dot" w:pos="9072"/>
      </w:tabs>
      <w:spacing w:after="0" w:line="288" w:lineRule="atLeast"/>
      <w:ind w:left="1134" w:right="567" w:hanging="567"/>
    </w:pPr>
    <w:rPr>
      <w:rFonts w:eastAsia="Times New Roman" w:cs="Times New Roman"/>
      <w:szCs w:val="24"/>
      <w:lang w:eastAsia="en-GB"/>
    </w:rPr>
  </w:style>
  <w:style w:type="paragraph" w:styleId="TOC9">
    <w:name w:val="toc 9"/>
    <w:basedOn w:val="BodyText"/>
    <w:next w:val="Normal"/>
    <w:autoRedefine/>
    <w:semiHidden/>
    <w:rsid w:val="00B57283"/>
    <w:pPr>
      <w:tabs>
        <w:tab w:val="right" w:leader="dot" w:pos="9072"/>
      </w:tabs>
      <w:spacing w:after="0" w:line="288" w:lineRule="atLeast"/>
      <w:ind w:left="1985" w:right="567" w:hanging="851"/>
    </w:pPr>
    <w:rPr>
      <w:rFonts w:eastAsia="Times New Roman" w:cs="Times New Roman"/>
      <w:szCs w:val="24"/>
      <w:lang w:eastAsia="en-GB"/>
    </w:rPr>
  </w:style>
  <w:style w:type="paragraph" w:customStyle="1" w:styleId="TableHeading0">
    <w:name w:val="Table Heading"/>
    <w:basedOn w:val="Normal"/>
    <w:semiHidden/>
    <w:rsid w:val="00B57283"/>
    <w:pPr>
      <w:keepNext/>
      <w:spacing w:before="60" w:after="60"/>
      <w:jc w:val="center"/>
    </w:pPr>
    <w:rPr>
      <w:rFonts w:ascii="Calibri" w:eastAsia="Times New Roman" w:hAnsi="Calibri" w:cs="Times New Roman"/>
      <w:b/>
      <w:color w:val="0038A8"/>
      <w:kern w:val="0"/>
      <w:sz w:val="20"/>
      <w:lang w:eastAsia="en-GB"/>
      <w14:ligatures w14:val="none"/>
    </w:rPr>
  </w:style>
  <w:style w:type="paragraph" w:customStyle="1" w:styleId="TableBodyText">
    <w:name w:val="Table Body Text"/>
    <w:basedOn w:val="BodyText"/>
    <w:semiHidden/>
    <w:rsid w:val="00B57283"/>
    <w:pPr>
      <w:spacing w:before="60" w:after="60" w:line="240" w:lineRule="auto"/>
    </w:pPr>
    <w:rPr>
      <w:rFonts w:eastAsia="Times New Roman" w:cs="Times New Roman"/>
      <w:sz w:val="20"/>
      <w:szCs w:val="24"/>
      <w:lang w:eastAsia="en-GB"/>
    </w:rPr>
  </w:style>
  <w:style w:type="paragraph" w:customStyle="1" w:styleId="Default">
    <w:name w:val="Default"/>
    <w:semiHidden/>
    <w:rsid w:val="00B57283"/>
    <w:pPr>
      <w:autoSpaceDE w:val="0"/>
      <w:autoSpaceDN w:val="0"/>
      <w:adjustRightInd w:val="0"/>
    </w:pPr>
    <w:rPr>
      <w:rFonts w:ascii="Frutiger LT Pro 57 Condensed" w:eastAsia="Times New Roman" w:hAnsi="Frutiger LT Pro 57 Condensed" w:cs="Frutiger LT Pro 57 Condensed"/>
      <w:color w:val="000000"/>
      <w:kern w:val="0"/>
      <w:lang w:eastAsia="en-NZ"/>
      <w14:ligatures w14:val="none"/>
    </w:rPr>
  </w:style>
  <w:style w:type="paragraph" w:customStyle="1" w:styleId="Greenbullet">
    <w:name w:val="Green bullet"/>
    <w:basedOn w:val="Bullet"/>
    <w:semiHidden/>
    <w:qFormat/>
    <w:rsid w:val="00B57283"/>
    <w:pPr>
      <w:numPr>
        <w:numId w:val="3"/>
      </w:numPr>
      <w:tabs>
        <w:tab w:val="left" w:pos="397"/>
      </w:tabs>
      <w:ind w:right="284"/>
    </w:pPr>
    <w:rPr>
      <w:color w:val="2C997B"/>
      <w:sz w:val="20"/>
    </w:rPr>
  </w:style>
  <w:style w:type="paragraph" w:customStyle="1" w:styleId="Casestudyheading">
    <w:name w:val="Case study heading"/>
    <w:basedOn w:val="BodyText"/>
    <w:uiPriority w:val="1"/>
    <w:qFormat/>
    <w:rsid w:val="00F4370D"/>
    <w:pPr>
      <w:keepNext/>
      <w:numPr>
        <w:numId w:val="19"/>
      </w:numPr>
      <w:spacing w:line="240" w:lineRule="auto"/>
      <w:ind w:right="284" w:firstLine="0"/>
    </w:pPr>
    <w:rPr>
      <w:b/>
      <w:caps/>
      <w:color w:val="FFFFFF"/>
    </w:rPr>
  </w:style>
  <w:style w:type="paragraph" w:customStyle="1" w:styleId="Greenbullet-casestudytables">
    <w:name w:val="Green bullet - case study tables"/>
    <w:basedOn w:val="Bullet"/>
    <w:uiPriority w:val="1"/>
    <w:semiHidden/>
    <w:rsid w:val="00B57283"/>
    <w:pPr>
      <w:numPr>
        <w:numId w:val="4"/>
      </w:numPr>
      <w:tabs>
        <w:tab w:val="left" w:pos="397"/>
      </w:tabs>
      <w:ind w:right="284"/>
    </w:pPr>
    <w:rPr>
      <w:color w:val="1C556C"/>
      <w:sz w:val="20"/>
    </w:rPr>
  </w:style>
  <w:style w:type="paragraph" w:customStyle="1" w:styleId="Greentext-casestudytables">
    <w:name w:val="Green text - case study tables"/>
    <w:basedOn w:val="BodyText"/>
    <w:uiPriority w:val="1"/>
    <w:semiHidden/>
    <w:rsid w:val="00B57283"/>
    <w:pPr>
      <w:ind w:left="284" w:right="284"/>
    </w:pPr>
    <w:rPr>
      <w:color w:val="1C556C"/>
      <w:sz w:val="20"/>
    </w:rPr>
  </w:style>
  <w:style w:type="paragraph" w:customStyle="1" w:styleId="Greenheading-casestudytables">
    <w:name w:val="Green heading - case study tables"/>
    <w:basedOn w:val="Greentext-casestudytables"/>
    <w:next w:val="Greentext-casestudytables"/>
    <w:uiPriority w:val="1"/>
    <w:semiHidden/>
    <w:rsid w:val="00B57283"/>
    <w:pPr>
      <w:keepNext/>
      <w:spacing w:before="240" w:after="0"/>
    </w:pPr>
    <w:rPr>
      <w:rFonts w:eastAsia="Times New Roman"/>
      <w:b/>
    </w:rPr>
  </w:style>
  <w:style w:type="paragraph" w:customStyle="1" w:styleId="Sectionpagehead">
    <w:name w:val="Section page head"/>
    <w:basedOn w:val="Heading1"/>
    <w:uiPriority w:val="2"/>
    <w:semiHidden/>
    <w:qFormat/>
    <w:rsid w:val="00B57283"/>
    <w:pPr>
      <w:spacing w:before="1200"/>
    </w:pPr>
    <w:rPr>
      <w:rFonts w:ascii="Calibri" w:hAnsi="Calibri"/>
      <w:b w:val="0"/>
      <w:bCs w:val="0"/>
      <w:color w:val="006C67"/>
      <w:sz w:val="52"/>
      <w:szCs w:val="56"/>
    </w:rPr>
  </w:style>
  <w:style w:type="table" w:customStyle="1" w:styleId="TableGrid10">
    <w:name w:val="Table Grid1"/>
    <w:basedOn w:val="TableNormal"/>
    <w:next w:val="TableGrid"/>
    <w:uiPriority w:val="39"/>
    <w:rsid w:val="00B57283"/>
    <w:rPr>
      <w:rFonts w:ascii="Times New Roman" w:eastAsia="Times New Roman" w:hAnsi="Times New Roman" w:cs="Times New Roman"/>
      <w:kern w:val="0"/>
      <w:sz w:val="20"/>
      <w:szCs w:val="20"/>
      <w:lang w:eastAsia="en-NZ"/>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ectionpagelightgreen">
    <w:name w:val="Section page light green"/>
    <w:basedOn w:val="DefaultParagraphFont"/>
    <w:uiPriority w:val="2"/>
    <w:semiHidden/>
    <w:qFormat/>
    <w:rsid w:val="00B57283"/>
    <w:rPr>
      <w:rFonts w:ascii="Calibri" w:hAnsi="Calibri"/>
      <w:b/>
      <w:color w:val="4D9895"/>
      <w:sz w:val="52"/>
      <w:szCs w:val="56"/>
    </w:rPr>
  </w:style>
  <w:style w:type="paragraph" w:customStyle="1" w:styleId="Quotebullet">
    <w:name w:val="Quote bullet"/>
    <w:basedOn w:val="Quote"/>
    <w:uiPriority w:val="2"/>
    <w:semiHidden/>
    <w:qFormat/>
    <w:rsid w:val="00B57283"/>
    <w:pPr>
      <w:numPr>
        <w:numId w:val="5"/>
      </w:numPr>
      <w:spacing w:before="0"/>
      <w:ind w:left="964"/>
    </w:pPr>
  </w:style>
  <w:style w:type="character" w:customStyle="1" w:styleId="A9">
    <w:name w:val="A9"/>
    <w:uiPriority w:val="99"/>
    <w:semiHidden/>
    <w:rsid w:val="00B57283"/>
    <w:rPr>
      <w:rFonts w:cs="Myriad Pro"/>
      <w:color w:val="000000"/>
    </w:rPr>
  </w:style>
  <w:style w:type="paragraph" w:styleId="Caption">
    <w:name w:val="caption"/>
    <w:basedOn w:val="Normal"/>
    <w:next w:val="BodyText"/>
    <w:link w:val="CaptionChar"/>
    <w:semiHidden/>
    <w:rsid w:val="00B57283"/>
    <w:pPr>
      <w:keepNext/>
      <w:tabs>
        <w:tab w:val="left" w:pos="1134"/>
      </w:tabs>
      <w:spacing w:before="240" w:after="60"/>
    </w:pPr>
    <w:rPr>
      <w:rFonts w:ascii="Calibri" w:eastAsia="Times New Roman" w:hAnsi="Calibri" w:cs="Times New Roman"/>
      <w:b/>
      <w:bCs/>
      <w:kern w:val="0"/>
      <w:sz w:val="20"/>
      <w:szCs w:val="20"/>
      <w:lang w:eastAsia="en-GB"/>
      <w14:ligatures w14:val="none"/>
    </w:rPr>
  </w:style>
  <w:style w:type="character" w:customStyle="1" w:styleId="CaptionChar">
    <w:name w:val="Caption Char"/>
    <w:basedOn w:val="DefaultParagraphFont"/>
    <w:link w:val="Caption"/>
    <w:semiHidden/>
    <w:rsid w:val="00A55072"/>
    <w:rPr>
      <w:rFonts w:ascii="Calibri" w:eastAsia="Times New Roman" w:hAnsi="Calibri" w:cs="Times New Roman"/>
      <w:b/>
      <w:bCs/>
      <w:kern w:val="0"/>
      <w:sz w:val="20"/>
      <w:szCs w:val="20"/>
      <w:lang w:eastAsia="en-GB"/>
      <w14:ligatures w14:val="none"/>
    </w:rPr>
  </w:style>
  <w:style w:type="table" w:customStyle="1" w:styleId="TableGrid20">
    <w:name w:val="Table Grid2"/>
    <w:basedOn w:val="TableNormal"/>
    <w:next w:val="TableGrid"/>
    <w:uiPriority w:val="1"/>
    <w:rsid w:val="00B57283"/>
    <w:rPr>
      <w:rFonts w:ascii="Times New Roman" w:eastAsia="Times New Roman" w:hAnsi="Times New Roman"/>
      <w:kern w:val="0"/>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semiHidden/>
    <w:rsid w:val="00B57283"/>
    <w:pPr>
      <w:tabs>
        <w:tab w:val="left" w:pos="1985"/>
        <w:tab w:val="right" w:leader="dot" w:pos="9072"/>
      </w:tabs>
      <w:spacing w:before="60" w:after="60"/>
      <w:ind w:left="1985" w:right="567" w:hanging="851"/>
    </w:pPr>
    <w:rPr>
      <w:rFonts w:ascii="Calibri" w:eastAsia="Times New Roman" w:hAnsi="Calibri" w:cs="Times New Roman"/>
      <w:kern w:val="0"/>
      <w:sz w:val="22"/>
      <w:lang w:eastAsia="en-GB"/>
      <w14:ligatures w14:val="none"/>
    </w:rPr>
  </w:style>
  <w:style w:type="paragraph" w:styleId="TOC7">
    <w:name w:val="toc 7"/>
    <w:basedOn w:val="BodyText"/>
    <w:next w:val="Normal"/>
    <w:uiPriority w:val="39"/>
    <w:semiHidden/>
    <w:rsid w:val="00B57283"/>
    <w:pPr>
      <w:tabs>
        <w:tab w:val="left" w:pos="1418"/>
        <w:tab w:val="right" w:leader="dot" w:pos="9072"/>
      </w:tabs>
      <w:spacing w:before="240" w:after="60" w:line="288" w:lineRule="atLeast"/>
      <w:ind w:left="1418" w:right="567" w:hanging="1418"/>
    </w:pPr>
    <w:rPr>
      <w:rFonts w:eastAsia="Times New Roman" w:cs="Times New Roman"/>
      <w:b/>
      <w:szCs w:val="24"/>
      <w:lang w:eastAsia="en-GB"/>
    </w:rPr>
  </w:style>
  <w:style w:type="paragraph" w:styleId="TOC5">
    <w:name w:val="toc 5"/>
    <w:basedOn w:val="TOC2"/>
    <w:next w:val="Normal"/>
    <w:uiPriority w:val="39"/>
    <w:semiHidden/>
    <w:rsid w:val="00B57283"/>
    <w:pPr>
      <w:tabs>
        <w:tab w:val="clear" w:pos="8505"/>
        <w:tab w:val="right" w:leader="dot" w:pos="9072"/>
      </w:tabs>
      <w:spacing w:before="120" w:after="0" w:line="288" w:lineRule="atLeast"/>
      <w:ind w:left="567" w:firstLine="0"/>
    </w:pPr>
    <w:rPr>
      <w:rFonts w:eastAsia="Times New Roman" w:cs="Times New Roman"/>
      <w:szCs w:val="20"/>
      <w:lang w:eastAsia="en-GB"/>
    </w:rPr>
  </w:style>
  <w:style w:type="paragraph" w:customStyle="1" w:styleId="AppendixHeading1">
    <w:name w:val="Appendix Heading 1"/>
    <w:basedOn w:val="Normal"/>
    <w:next w:val="BodyText"/>
    <w:semiHidden/>
    <w:rsid w:val="00B57283"/>
    <w:pPr>
      <w:keepNext/>
      <w:pageBreakBefore/>
      <w:tabs>
        <w:tab w:val="num" w:pos="1701"/>
        <w:tab w:val="left" w:pos="1985"/>
      </w:tabs>
      <w:spacing w:before="240" w:after="60" w:line="400" w:lineRule="atLeast"/>
      <w:outlineLvl w:val="5"/>
    </w:pPr>
    <w:rPr>
      <w:rFonts w:ascii="Calibri" w:eastAsia="Times New Roman" w:hAnsi="Calibri" w:cs="Times New Roman"/>
      <w:b/>
      <w:color w:val="0038A8"/>
      <w:kern w:val="0"/>
      <w:sz w:val="32"/>
      <w:szCs w:val="20"/>
      <w:lang w:eastAsia="en-GB"/>
      <w14:ligatures w14:val="none"/>
    </w:rPr>
  </w:style>
  <w:style w:type="paragraph" w:customStyle="1" w:styleId="EndNoteBibliographyTitle">
    <w:name w:val="EndNote Bibliography Title"/>
    <w:basedOn w:val="Normal"/>
    <w:link w:val="EndNoteBibliographyTitleChar"/>
    <w:semiHidden/>
    <w:rsid w:val="00B57283"/>
    <w:pPr>
      <w:jc w:val="center"/>
    </w:pPr>
    <w:rPr>
      <w:rFonts w:ascii="Calibri" w:eastAsia="Times New Roman" w:hAnsi="Calibri" w:cs="Times New Roman"/>
      <w:noProof/>
      <w:kern w:val="0"/>
      <w:sz w:val="32"/>
      <w:szCs w:val="20"/>
      <w:lang w:val="en-GB" w:eastAsia="en-GB"/>
      <w14:ligatures w14:val="none"/>
    </w:rPr>
  </w:style>
  <w:style w:type="character" w:customStyle="1" w:styleId="EndNoteBibliographyTitleChar">
    <w:name w:val="EndNote Bibliography Title Char"/>
    <w:basedOn w:val="CaptionChar"/>
    <w:link w:val="EndNoteBibliographyTitle"/>
    <w:semiHidden/>
    <w:rsid w:val="00B57283"/>
    <w:rPr>
      <w:rFonts w:ascii="Calibri" w:eastAsia="Times New Roman" w:hAnsi="Calibri" w:cs="Times New Roman"/>
      <w:b w:val="0"/>
      <w:bCs w:val="0"/>
      <w:noProof/>
      <w:kern w:val="0"/>
      <w:sz w:val="32"/>
      <w:szCs w:val="20"/>
      <w:lang w:val="en-GB" w:eastAsia="en-GB"/>
      <w14:ligatures w14:val="none"/>
    </w:rPr>
  </w:style>
  <w:style w:type="paragraph" w:customStyle="1" w:styleId="Style1">
    <w:name w:val="Style1"/>
    <w:basedOn w:val="Normal"/>
    <w:link w:val="Style1Char"/>
    <w:semiHidden/>
    <w:qFormat/>
    <w:rsid w:val="00B57283"/>
    <w:pPr>
      <w:spacing w:line="276" w:lineRule="auto"/>
      <w:jc w:val="both"/>
    </w:pPr>
    <w:rPr>
      <w:rFonts w:ascii="Times New Roman" w:eastAsia="Arial" w:hAnsi="Times New Roman" w:cs="Times New Roman"/>
      <w:color w:val="343434"/>
      <w:kern w:val="0"/>
      <w:lang w:val="en-US" w:eastAsia="zh-CN"/>
      <w14:ligatures w14:val="none"/>
    </w:rPr>
  </w:style>
  <w:style w:type="character" w:customStyle="1" w:styleId="Style1Char">
    <w:name w:val="Style1 Char"/>
    <w:basedOn w:val="DefaultParagraphFont"/>
    <w:link w:val="Style1"/>
    <w:semiHidden/>
    <w:rsid w:val="00B57283"/>
    <w:rPr>
      <w:rFonts w:ascii="Times New Roman" w:eastAsia="Arial" w:hAnsi="Times New Roman" w:cs="Times New Roman"/>
      <w:color w:val="343434"/>
      <w:kern w:val="0"/>
      <w:lang w:val="en-US" w:eastAsia="zh-CN"/>
      <w14:ligatures w14:val="none"/>
    </w:rPr>
  </w:style>
  <w:style w:type="paragraph" w:styleId="DocumentMap">
    <w:name w:val="Document Map"/>
    <w:basedOn w:val="Normal"/>
    <w:link w:val="DocumentMapChar"/>
    <w:semiHidden/>
    <w:unhideWhenUsed/>
    <w:rsid w:val="00B57283"/>
    <w:rPr>
      <w:rFonts w:ascii="Lucida Grande" w:eastAsia="Times New Roman" w:hAnsi="Lucida Grande" w:cs="Lucida Grande"/>
      <w:kern w:val="0"/>
      <w:lang w:eastAsia="en-GB"/>
      <w14:ligatures w14:val="none"/>
    </w:rPr>
  </w:style>
  <w:style w:type="character" w:customStyle="1" w:styleId="DocumentMapChar">
    <w:name w:val="Document Map Char"/>
    <w:basedOn w:val="DefaultParagraphFont"/>
    <w:link w:val="DocumentMap"/>
    <w:semiHidden/>
    <w:rsid w:val="00B57283"/>
    <w:rPr>
      <w:rFonts w:ascii="Lucida Grande" w:eastAsia="Times New Roman" w:hAnsi="Lucida Grande" w:cs="Lucida Grande"/>
      <w:kern w:val="0"/>
      <w:lang w:eastAsia="en-GB"/>
      <w14:ligatures w14:val="none"/>
    </w:rPr>
  </w:style>
  <w:style w:type="paragraph" w:customStyle="1" w:styleId="ListParagraph1">
    <w:name w:val="List Paragraph1"/>
    <w:basedOn w:val="Normal"/>
    <w:next w:val="ListParagraph"/>
    <w:link w:val="ListParagraphChar"/>
    <w:uiPriority w:val="34"/>
    <w:semiHidden/>
    <w:qFormat/>
    <w:rsid w:val="00B57283"/>
    <w:pPr>
      <w:spacing w:after="160" w:line="256" w:lineRule="auto"/>
      <w:ind w:left="720"/>
      <w:contextualSpacing/>
    </w:pPr>
    <w:rPr>
      <w:kern w:val="0"/>
      <w:sz w:val="22"/>
      <w:szCs w:val="22"/>
      <w14:ligatures w14:val="none"/>
    </w:rPr>
  </w:style>
  <w:style w:type="character" w:styleId="UnresolvedMention">
    <w:name w:val="Unresolved Mention"/>
    <w:basedOn w:val="DefaultParagraphFont"/>
    <w:uiPriority w:val="99"/>
    <w:semiHidden/>
    <w:unhideWhenUsed/>
    <w:rsid w:val="00B57283"/>
    <w:rPr>
      <w:color w:val="605E5C"/>
      <w:shd w:val="clear" w:color="auto" w:fill="E1DFDD"/>
    </w:rPr>
  </w:style>
  <w:style w:type="paragraph" w:customStyle="1" w:styleId="footnotedescription">
    <w:name w:val="footnote description"/>
    <w:next w:val="Normal"/>
    <w:link w:val="footnotedescriptionChar"/>
    <w:hidden/>
    <w:rsid w:val="00B57283"/>
    <w:pPr>
      <w:spacing w:after="27" w:line="267" w:lineRule="auto"/>
      <w:ind w:left="1276" w:hanging="142"/>
    </w:pPr>
    <w:rPr>
      <w:rFonts w:ascii="Lato" w:eastAsia="Lato" w:hAnsi="Lato" w:cs="Lato"/>
      <w:color w:val="221F20"/>
      <w:kern w:val="0"/>
      <w:sz w:val="16"/>
      <w:szCs w:val="22"/>
      <w:lang w:eastAsia="en-NZ"/>
      <w14:ligatures w14:val="none"/>
    </w:rPr>
  </w:style>
  <w:style w:type="character" w:customStyle="1" w:styleId="footnotedescriptionChar">
    <w:name w:val="footnote description Char"/>
    <w:link w:val="footnotedescription"/>
    <w:rsid w:val="00B57283"/>
    <w:rPr>
      <w:rFonts w:ascii="Lato" w:eastAsia="Lato" w:hAnsi="Lato" w:cs="Lato"/>
      <w:color w:val="221F20"/>
      <w:kern w:val="0"/>
      <w:sz w:val="16"/>
      <w:szCs w:val="22"/>
      <w:lang w:eastAsia="en-NZ"/>
      <w14:ligatures w14:val="none"/>
    </w:rPr>
  </w:style>
  <w:style w:type="paragraph" w:customStyle="1" w:styleId="Boxtext">
    <w:name w:val="Box text"/>
    <w:basedOn w:val="Normal"/>
    <w:uiPriority w:val="1"/>
    <w:qFormat/>
    <w:rsid w:val="00A55072"/>
    <w:pPr>
      <w:spacing w:before="120" w:after="120" w:line="260" w:lineRule="atLeast"/>
      <w:ind w:left="284" w:right="284"/>
    </w:pPr>
    <w:rPr>
      <w:rFonts w:ascii="Calibri" w:eastAsiaTheme="minorEastAsia" w:hAnsi="Calibri"/>
      <w:color w:val="1B556B"/>
      <w:kern w:val="0"/>
      <w:sz w:val="20"/>
      <w:szCs w:val="22"/>
      <w:lang w:eastAsia="en-NZ"/>
      <w14:ligatures w14:val="none"/>
    </w:rPr>
  </w:style>
  <w:style w:type="paragraph" w:customStyle="1" w:styleId="Boxsub-bullet">
    <w:name w:val="Box sub-bullet"/>
    <w:basedOn w:val="Boxtext"/>
    <w:uiPriority w:val="1"/>
    <w:qFormat/>
    <w:rsid w:val="00A55072"/>
    <w:pPr>
      <w:numPr>
        <w:numId w:val="9"/>
      </w:numPr>
      <w:spacing w:before="0"/>
    </w:pPr>
    <w:rPr>
      <w:rFonts w:cs="Times New Roman"/>
      <w:szCs w:val="20"/>
    </w:rPr>
  </w:style>
  <w:style w:type="paragraph" w:customStyle="1" w:styleId="Input-Indent">
    <w:name w:val="Input-Indent"/>
    <w:basedOn w:val="Normal"/>
    <w:semiHidden/>
    <w:rsid w:val="00B57283"/>
    <w:pPr>
      <w:tabs>
        <w:tab w:val="left" w:pos="1418"/>
        <w:tab w:val="left" w:pos="5670"/>
        <w:tab w:val="left" w:pos="6521"/>
      </w:tabs>
      <w:ind w:left="1418"/>
    </w:pPr>
    <w:rPr>
      <w:rFonts w:ascii="Arial" w:eastAsia="Times New Roman" w:hAnsi="Arial" w:cs="Arial"/>
      <w:kern w:val="0"/>
      <w:sz w:val="22"/>
      <w:szCs w:val="22"/>
      <w:lang w:eastAsia="en-GB"/>
      <w14:ligatures w14:val="none"/>
    </w:rPr>
  </w:style>
  <w:style w:type="character" w:styleId="Mention">
    <w:name w:val="Mention"/>
    <w:basedOn w:val="DefaultParagraphFont"/>
    <w:uiPriority w:val="99"/>
    <w:rsid w:val="00B57283"/>
    <w:rPr>
      <w:color w:val="2B579A"/>
      <w:shd w:val="clear" w:color="auto" w:fill="E1DFDD"/>
    </w:rPr>
  </w:style>
  <w:style w:type="character" w:customStyle="1" w:styleId="ListParagraphChar">
    <w:name w:val="List Paragraph Char"/>
    <w:link w:val="ListParagraph1"/>
    <w:uiPriority w:val="34"/>
    <w:semiHidden/>
    <w:locked/>
    <w:rsid w:val="00A55072"/>
    <w:rPr>
      <w:kern w:val="0"/>
      <w:sz w:val="22"/>
      <w:szCs w:val="22"/>
      <w14:ligatures w14:val="none"/>
    </w:rPr>
  </w:style>
  <w:style w:type="paragraph" w:customStyle="1" w:styleId="Numberedpara-Level1">
    <w:name w:val="Numbered para - Level 1"/>
    <w:basedOn w:val="BodyText"/>
    <w:semiHidden/>
    <w:rsid w:val="00B57283"/>
    <w:pPr>
      <w:tabs>
        <w:tab w:val="num" w:pos="567"/>
      </w:tabs>
      <w:spacing w:before="0" w:after="180" w:line="288" w:lineRule="atLeast"/>
      <w:ind w:left="567" w:hanging="567"/>
    </w:pPr>
    <w:rPr>
      <w:rFonts w:eastAsia="Times New Roman" w:cs="Times New Roman"/>
      <w:szCs w:val="24"/>
      <w:lang w:eastAsia="en-GB"/>
    </w:rPr>
  </w:style>
  <w:style w:type="paragraph" w:customStyle="1" w:styleId="Numberedpara-Level2">
    <w:name w:val="Numbered para - Level 2"/>
    <w:basedOn w:val="BodyText"/>
    <w:semiHidden/>
    <w:rsid w:val="00B57283"/>
    <w:pPr>
      <w:tabs>
        <w:tab w:val="num" w:pos="0"/>
      </w:tabs>
      <w:spacing w:before="0" w:after="180" w:line="288" w:lineRule="atLeast"/>
    </w:pPr>
    <w:rPr>
      <w:rFonts w:eastAsia="Times New Roman" w:cs="Times New Roman"/>
      <w:szCs w:val="24"/>
      <w:lang w:eastAsia="en-GB"/>
    </w:rPr>
  </w:style>
  <w:style w:type="paragraph" w:customStyle="1" w:styleId="Numberedpara-Level3">
    <w:name w:val="Numbered para - Level 3"/>
    <w:basedOn w:val="BodyText"/>
    <w:semiHidden/>
    <w:rsid w:val="00B57283"/>
    <w:pPr>
      <w:numPr>
        <w:ilvl w:val="2"/>
        <w:numId w:val="6"/>
      </w:numPr>
      <w:spacing w:before="0" w:after="180" w:line="288" w:lineRule="atLeast"/>
    </w:pPr>
    <w:rPr>
      <w:rFonts w:eastAsia="Times New Roman" w:cs="Times New Roman"/>
      <w:szCs w:val="24"/>
      <w:lang w:eastAsia="en-GB"/>
    </w:rPr>
  </w:style>
  <w:style w:type="paragraph" w:customStyle="1" w:styleId="Alphalist">
    <w:name w:val="Alpha list"/>
    <w:basedOn w:val="BodyText"/>
    <w:semiHidden/>
    <w:rsid w:val="00B57283"/>
    <w:pPr>
      <w:numPr>
        <w:numId w:val="7"/>
      </w:numPr>
      <w:tabs>
        <w:tab w:val="left" w:pos="992"/>
      </w:tabs>
      <w:spacing w:before="0" w:after="180" w:line="288" w:lineRule="atLeast"/>
    </w:pPr>
    <w:rPr>
      <w:rFonts w:eastAsia="Times New Roman" w:cs="Times New Roman"/>
      <w:szCs w:val="24"/>
      <w:lang w:eastAsia="en-GB"/>
    </w:rPr>
  </w:style>
  <w:style w:type="paragraph" w:styleId="NoteHeading">
    <w:name w:val="Note Heading"/>
    <w:basedOn w:val="Normal"/>
    <w:next w:val="Normal"/>
    <w:link w:val="NoteHeadingChar"/>
    <w:semiHidden/>
    <w:rsid w:val="00B57283"/>
    <w:rPr>
      <w:rFonts w:ascii="Calibri" w:eastAsia="Times New Roman" w:hAnsi="Calibri" w:cs="Times New Roman"/>
      <w:kern w:val="0"/>
      <w:sz w:val="22"/>
      <w:lang w:eastAsia="en-GB"/>
      <w14:ligatures w14:val="none"/>
    </w:rPr>
  </w:style>
  <w:style w:type="character" w:customStyle="1" w:styleId="NoteHeadingChar">
    <w:name w:val="Note Heading Char"/>
    <w:basedOn w:val="DefaultParagraphFont"/>
    <w:link w:val="NoteHeading"/>
    <w:semiHidden/>
    <w:rsid w:val="00B57283"/>
    <w:rPr>
      <w:rFonts w:ascii="Calibri" w:eastAsia="Times New Roman" w:hAnsi="Calibri" w:cs="Times New Roman"/>
      <w:kern w:val="0"/>
      <w:sz w:val="22"/>
      <w:lang w:eastAsia="en-GB"/>
      <w14:ligatures w14:val="none"/>
    </w:rPr>
  </w:style>
  <w:style w:type="paragraph" w:customStyle="1" w:styleId="Quotation">
    <w:name w:val="Quotation"/>
    <w:basedOn w:val="BodyText"/>
    <w:semiHidden/>
    <w:rsid w:val="00B57283"/>
    <w:pPr>
      <w:spacing w:before="0" w:after="180" w:line="288" w:lineRule="atLeast"/>
      <w:ind w:left="567"/>
    </w:pPr>
    <w:rPr>
      <w:rFonts w:eastAsia="Times New Roman" w:cs="Times New Roman"/>
      <w:i/>
      <w:sz w:val="20"/>
      <w:szCs w:val="24"/>
      <w:lang w:eastAsia="en-GB"/>
    </w:rPr>
  </w:style>
  <w:style w:type="character" w:customStyle="1" w:styleId="Heading2Char1">
    <w:name w:val="Heading 2 Char1"/>
    <w:basedOn w:val="DefaultParagraphFont"/>
    <w:uiPriority w:val="9"/>
    <w:semiHidden/>
    <w:rsid w:val="00B57283"/>
    <w:rPr>
      <w:rFonts w:asciiTheme="majorHAnsi" w:eastAsiaTheme="majorEastAsia" w:hAnsiTheme="majorHAnsi" w:cstheme="majorBidi"/>
      <w:color w:val="153F50" w:themeColor="accent1" w:themeShade="BF"/>
      <w:sz w:val="26"/>
      <w:szCs w:val="26"/>
    </w:rPr>
  </w:style>
  <w:style w:type="character" w:customStyle="1" w:styleId="Heading5Char1">
    <w:name w:val="Heading 5 Char1"/>
    <w:basedOn w:val="DefaultParagraphFont"/>
    <w:uiPriority w:val="9"/>
    <w:semiHidden/>
    <w:rsid w:val="00B57283"/>
    <w:rPr>
      <w:rFonts w:asciiTheme="majorHAnsi" w:eastAsiaTheme="majorEastAsia" w:hAnsiTheme="majorHAnsi" w:cstheme="majorBidi"/>
      <w:color w:val="153F50" w:themeColor="accent1" w:themeShade="BF"/>
    </w:rPr>
  </w:style>
  <w:style w:type="table" w:styleId="MediumShading1-Accent2">
    <w:name w:val="Medium Shading 1 Accent 2"/>
    <w:basedOn w:val="TableNormal"/>
    <w:uiPriority w:val="63"/>
    <w:semiHidden/>
    <w:unhideWhenUsed/>
    <w:rsid w:val="00B57283"/>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semiHidden/>
    <w:unhideWhenUsed/>
    <w:rsid w:val="00B57283"/>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semiHidden/>
    <w:unhideWhenUsed/>
    <w:rsid w:val="00B57283"/>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character" w:styleId="FollowedHyperlink">
    <w:name w:val="FollowedHyperlink"/>
    <w:basedOn w:val="DefaultParagraphFont"/>
    <w:uiPriority w:val="99"/>
    <w:semiHidden/>
    <w:rsid w:val="00A55072"/>
    <w:rPr>
      <w:color w:val="800080" w:themeColor="followedHyperlink"/>
      <w:u w:val="none"/>
    </w:rPr>
  </w:style>
  <w:style w:type="paragraph" w:styleId="ListParagraph">
    <w:name w:val="List Paragraph"/>
    <w:basedOn w:val="Normal"/>
    <w:uiPriority w:val="34"/>
    <w:semiHidden/>
    <w:qFormat/>
    <w:rsid w:val="00B57283"/>
    <w:pPr>
      <w:ind w:left="720"/>
      <w:contextualSpacing/>
    </w:pPr>
  </w:style>
  <w:style w:type="numbering" w:customStyle="1" w:styleId="NoList2">
    <w:name w:val="No List2"/>
    <w:next w:val="NoList"/>
    <w:uiPriority w:val="99"/>
    <w:semiHidden/>
    <w:unhideWhenUsed/>
    <w:rsid w:val="00B57283"/>
  </w:style>
  <w:style w:type="table" w:customStyle="1" w:styleId="MediumShading1-Accent22">
    <w:name w:val="Medium Shading 1 - Accent 22"/>
    <w:basedOn w:val="TableNormal"/>
    <w:next w:val="MediumShading1-Accent2"/>
    <w:uiPriority w:val="63"/>
    <w:rsid w:val="00B57283"/>
    <w:rPr>
      <w:kern w:val="0"/>
      <w:sz w:val="22"/>
      <w:szCs w:val="22"/>
      <w14:ligatures w14:val="none"/>
    </w:rPr>
    <w:tblPr>
      <w:tblStyleRowBandSize w:val="1"/>
      <w:tblStyleColBandSize w:val="1"/>
      <w:tblBorders>
        <w:top w:val="single" w:sz="8" w:space="0" w:color="00D0C6"/>
        <w:left w:val="single" w:sz="8" w:space="0" w:color="00D0C6"/>
        <w:bottom w:val="single" w:sz="8" w:space="0" w:color="00D0C6"/>
        <w:right w:val="single" w:sz="8" w:space="0" w:color="00D0C6"/>
        <w:insideH w:val="single" w:sz="8" w:space="0" w:color="00D0C6"/>
      </w:tblBorders>
    </w:tblPr>
    <w:tblStylePr w:type="firstRow">
      <w:pPr>
        <w:spacing w:before="0" w:after="0" w:line="240" w:lineRule="auto"/>
      </w:pPr>
      <w:rPr>
        <w:b/>
        <w:bCs/>
        <w:color w:val="FFFFFF"/>
      </w:rPr>
      <w:tblPr/>
      <w:tcPr>
        <w:tcBorders>
          <w:top w:val="single" w:sz="8" w:space="0" w:color="00D0C6"/>
          <w:left w:val="single" w:sz="8" w:space="0" w:color="00D0C6"/>
          <w:bottom w:val="single" w:sz="8" w:space="0" w:color="00D0C6"/>
          <w:right w:val="single" w:sz="8" w:space="0" w:color="00D0C6"/>
          <w:insideH w:val="nil"/>
          <w:insideV w:val="nil"/>
        </w:tcBorders>
        <w:shd w:val="clear" w:color="auto" w:fill="006C67"/>
      </w:tcPr>
    </w:tblStylePr>
    <w:tblStylePr w:type="lastRow">
      <w:pPr>
        <w:spacing w:before="0" w:after="0" w:line="240" w:lineRule="auto"/>
      </w:pPr>
      <w:rPr>
        <w:b/>
        <w:bCs/>
      </w:rPr>
      <w:tblPr/>
      <w:tcPr>
        <w:tcBorders>
          <w:top w:val="double" w:sz="6" w:space="0" w:color="00D0C6"/>
          <w:left w:val="single" w:sz="8" w:space="0" w:color="00D0C6"/>
          <w:bottom w:val="single" w:sz="8" w:space="0" w:color="00D0C6"/>
          <w:right w:val="single" w:sz="8" w:space="0" w:color="00D0C6"/>
          <w:insideH w:val="nil"/>
          <w:insideV w:val="nil"/>
        </w:tcBorders>
      </w:tcPr>
    </w:tblStylePr>
    <w:tblStylePr w:type="firstCol">
      <w:rPr>
        <w:b/>
        <w:bCs/>
      </w:rPr>
    </w:tblStylePr>
    <w:tblStylePr w:type="lastCol">
      <w:rPr>
        <w:b/>
        <w:bCs/>
      </w:rPr>
    </w:tblStylePr>
    <w:tblStylePr w:type="band1Vert">
      <w:tblPr/>
      <w:tcPr>
        <w:shd w:val="clear" w:color="auto" w:fill="9BFFFA"/>
      </w:tcPr>
    </w:tblStylePr>
    <w:tblStylePr w:type="band1Horz">
      <w:tblPr/>
      <w:tcPr>
        <w:tcBorders>
          <w:insideH w:val="nil"/>
          <w:insideV w:val="nil"/>
        </w:tcBorders>
        <w:shd w:val="clear" w:color="auto" w:fill="9BFFFA"/>
      </w:tcPr>
    </w:tblStylePr>
    <w:tblStylePr w:type="band2Horz">
      <w:tblPr/>
      <w:tcPr>
        <w:tcBorders>
          <w:insideH w:val="nil"/>
          <w:insideV w:val="nil"/>
        </w:tcBorders>
      </w:tcPr>
    </w:tblStylePr>
  </w:style>
  <w:style w:type="table" w:customStyle="1" w:styleId="LightList-Accent52">
    <w:name w:val="Light List - Accent 52"/>
    <w:basedOn w:val="TableNormal"/>
    <w:next w:val="LightList-Accent5"/>
    <w:uiPriority w:val="61"/>
    <w:rsid w:val="00B57283"/>
    <w:rPr>
      <w:kern w:val="0"/>
      <w:sz w:val="22"/>
      <w:szCs w:val="22"/>
      <w14:ligatures w14:val="none"/>
    </w:rPr>
    <w:tblPr>
      <w:tblStyleRowBandSize w:val="1"/>
      <w:tblStyleColBandSize w:val="1"/>
      <w:tblBorders>
        <w:top w:val="single" w:sz="8" w:space="0" w:color="6FC7B7"/>
        <w:left w:val="single" w:sz="8" w:space="0" w:color="6FC7B7"/>
        <w:bottom w:val="single" w:sz="8" w:space="0" w:color="6FC7B7"/>
        <w:right w:val="single" w:sz="8" w:space="0" w:color="6FC7B7"/>
      </w:tblBorders>
    </w:tblPr>
    <w:tblStylePr w:type="firstRow">
      <w:pPr>
        <w:spacing w:before="0" w:after="0" w:line="240" w:lineRule="auto"/>
      </w:pPr>
      <w:rPr>
        <w:b/>
        <w:bCs/>
        <w:color w:val="FFFFFF"/>
      </w:rPr>
      <w:tblPr/>
      <w:tcPr>
        <w:shd w:val="clear" w:color="auto" w:fill="6FC7B7"/>
      </w:tcPr>
    </w:tblStylePr>
    <w:tblStylePr w:type="lastRow">
      <w:pPr>
        <w:spacing w:before="0" w:after="0" w:line="240" w:lineRule="auto"/>
      </w:pPr>
      <w:rPr>
        <w:b/>
        <w:bCs/>
      </w:rPr>
      <w:tblPr/>
      <w:tcPr>
        <w:tcBorders>
          <w:top w:val="double" w:sz="6" w:space="0" w:color="6FC7B7"/>
          <w:left w:val="single" w:sz="8" w:space="0" w:color="6FC7B7"/>
          <w:bottom w:val="single" w:sz="8" w:space="0" w:color="6FC7B7"/>
          <w:right w:val="single" w:sz="8" w:space="0" w:color="6FC7B7"/>
        </w:tcBorders>
      </w:tcPr>
    </w:tblStylePr>
    <w:tblStylePr w:type="firstCol">
      <w:rPr>
        <w:b/>
        <w:bCs/>
      </w:rPr>
    </w:tblStylePr>
    <w:tblStylePr w:type="lastCol">
      <w:rPr>
        <w:b/>
        <w:bCs/>
      </w:rPr>
    </w:tblStylePr>
    <w:tblStylePr w:type="band1Vert">
      <w:tblPr/>
      <w:tcPr>
        <w:tcBorders>
          <w:top w:val="single" w:sz="8" w:space="0" w:color="6FC7B7"/>
          <w:left w:val="single" w:sz="8" w:space="0" w:color="6FC7B7"/>
          <w:bottom w:val="single" w:sz="8" w:space="0" w:color="6FC7B7"/>
          <w:right w:val="single" w:sz="8" w:space="0" w:color="6FC7B7"/>
        </w:tcBorders>
      </w:tcPr>
    </w:tblStylePr>
    <w:tblStylePr w:type="band1Horz">
      <w:tblPr/>
      <w:tcPr>
        <w:tcBorders>
          <w:top w:val="single" w:sz="8" w:space="0" w:color="6FC7B7"/>
          <w:left w:val="single" w:sz="8" w:space="0" w:color="6FC7B7"/>
          <w:bottom w:val="single" w:sz="8" w:space="0" w:color="6FC7B7"/>
          <w:right w:val="single" w:sz="8" w:space="0" w:color="6FC7B7"/>
        </w:tcBorders>
      </w:tcPr>
    </w:tblStylePr>
  </w:style>
  <w:style w:type="table" w:customStyle="1" w:styleId="LightGrid-Accent52">
    <w:name w:val="Light Grid - Accent 52"/>
    <w:basedOn w:val="TableNormal"/>
    <w:next w:val="LightGrid-Accent5"/>
    <w:uiPriority w:val="62"/>
    <w:rsid w:val="00B57283"/>
    <w:rPr>
      <w:kern w:val="0"/>
      <w:sz w:val="22"/>
      <w:szCs w:val="22"/>
      <w14:ligatures w14:val="none"/>
    </w:rPr>
    <w:tblPr>
      <w:tblStyleRowBandSize w:val="1"/>
      <w:tblStyleColBandSize w:val="1"/>
      <w:tblBorders>
        <w:top w:val="single" w:sz="8" w:space="0" w:color="6FC7B7"/>
        <w:left w:val="single" w:sz="8" w:space="0" w:color="6FC7B7"/>
        <w:bottom w:val="single" w:sz="8" w:space="0" w:color="6FC7B7"/>
        <w:right w:val="single" w:sz="8" w:space="0" w:color="6FC7B7"/>
        <w:insideH w:val="single" w:sz="8" w:space="0" w:color="6FC7B7"/>
        <w:insideV w:val="single" w:sz="8" w:space="0" w:color="6FC7B7"/>
      </w:tblBorders>
    </w:tblPr>
    <w:tblStylePr w:type="firstRow">
      <w:pPr>
        <w:spacing w:before="0" w:after="0" w:line="240" w:lineRule="auto"/>
      </w:pPr>
      <w:rPr>
        <w:rFonts w:ascii="Lato Medium" w:eastAsia="MS Gothic" w:hAnsi="Lato Medium" w:cs="Times New Roman"/>
        <w:b/>
        <w:bCs/>
      </w:rPr>
      <w:tblPr/>
      <w:tcPr>
        <w:tcBorders>
          <w:top w:val="single" w:sz="8" w:space="0" w:color="6FC7B7"/>
          <w:left w:val="single" w:sz="8" w:space="0" w:color="6FC7B7"/>
          <w:bottom w:val="single" w:sz="18" w:space="0" w:color="6FC7B7"/>
          <w:right w:val="single" w:sz="8" w:space="0" w:color="6FC7B7"/>
          <w:insideH w:val="nil"/>
          <w:insideV w:val="single" w:sz="8" w:space="0" w:color="6FC7B7"/>
        </w:tcBorders>
      </w:tcPr>
    </w:tblStylePr>
    <w:tblStylePr w:type="lastRow">
      <w:pPr>
        <w:spacing w:before="0" w:after="0" w:line="240" w:lineRule="auto"/>
      </w:pPr>
      <w:rPr>
        <w:rFonts w:ascii="Lato Medium" w:eastAsia="MS Gothic" w:hAnsi="Lato Medium" w:cs="Times New Roman"/>
        <w:b/>
        <w:bCs/>
      </w:rPr>
      <w:tblPr/>
      <w:tcPr>
        <w:tcBorders>
          <w:top w:val="double" w:sz="6" w:space="0" w:color="6FC7B7"/>
          <w:left w:val="single" w:sz="8" w:space="0" w:color="6FC7B7"/>
          <w:bottom w:val="single" w:sz="8" w:space="0" w:color="6FC7B7"/>
          <w:right w:val="single" w:sz="8" w:space="0" w:color="6FC7B7"/>
          <w:insideH w:val="nil"/>
          <w:insideV w:val="single" w:sz="8" w:space="0" w:color="6FC7B7"/>
        </w:tcBorders>
      </w:tcPr>
    </w:tblStylePr>
    <w:tblStylePr w:type="firstCol">
      <w:rPr>
        <w:rFonts w:ascii="Lato Medium" w:eastAsia="MS Gothic" w:hAnsi="Lato Medium" w:cs="Times New Roman"/>
        <w:b/>
        <w:bCs/>
      </w:rPr>
    </w:tblStylePr>
    <w:tblStylePr w:type="lastCol">
      <w:rPr>
        <w:rFonts w:ascii="Lato Medium" w:eastAsia="MS Gothic" w:hAnsi="Lato Medium" w:cs="Times New Roman"/>
        <w:b/>
        <w:bCs/>
      </w:rPr>
      <w:tblPr/>
      <w:tcPr>
        <w:tcBorders>
          <w:top w:val="single" w:sz="8" w:space="0" w:color="6FC7B7"/>
          <w:left w:val="single" w:sz="8" w:space="0" w:color="6FC7B7"/>
          <w:bottom w:val="single" w:sz="8" w:space="0" w:color="6FC7B7"/>
          <w:right w:val="single" w:sz="8" w:space="0" w:color="6FC7B7"/>
        </w:tcBorders>
      </w:tcPr>
    </w:tblStylePr>
    <w:tblStylePr w:type="band1Vert">
      <w:tblPr/>
      <w:tcPr>
        <w:tcBorders>
          <w:top w:val="single" w:sz="8" w:space="0" w:color="6FC7B7"/>
          <w:left w:val="single" w:sz="8" w:space="0" w:color="6FC7B7"/>
          <w:bottom w:val="single" w:sz="8" w:space="0" w:color="6FC7B7"/>
          <w:right w:val="single" w:sz="8" w:space="0" w:color="6FC7B7"/>
        </w:tcBorders>
        <w:shd w:val="clear" w:color="auto" w:fill="DBF1ED"/>
      </w:tcPr>
    </w:tblStylePr>
    <w:tblStylePr w:type="band1Horz">
      <w:tblPr/>
      <w:tcPr>
        <w:tcBorders>
          <w:top w:val="single" w:sz="8" w:space="0" w:color="6FC7B7"/>
          <w:left w:val="single" w:sz="8" w:space="0" w:color="6FC7B7"/>
          <w:bottom w:val="single" w:sz="8" w:space="0" w:color="6FC7B7"/>
          <w:right w:val="single" w:sz="8" w:space="0" w:color="6FC7B7"/>
          <w:insideV w:val="single" w:sz="8" w:space="0" w:color="6FC7B7"/>
        </w:tcBorders>
        <w:shd w:val="clear" w:color="auto" w:fill="DBF1ED"/>
      </w:tcPr>
    </w:tblStylePr>
    <w:tblStylePr w:type="band2Horz">
      <w:tblPr/>
      <w:tcPr>
        <w:tcBorders>
          <w:top w:val="single" w:sz="8" w:space="0" w:color="6FC7B7"/>
          <w:left w:val="single" w:sz="8" w:space="0" w:color="6FC7B7"/>
          <w:bottom w:val="single" w:sz="8" w:space="0" w:color="6FC7B7"/>
          <w:right w:val="single" w:sz="8" w:space="0" w:color="6FC7B7"/>
          <w:insideV w:val="single" w:sz="8" w:space="0" w:color="6FC7B7"/>
        </w:tcBorders>
      </w:tcPr>
    </w:tblStylePr>
  </w:style>
  <w:style w:type="table" w:customStyle="1" w:styleId="LightGrid-Accent111">
    <w:name w:val="Light Grid - Accent 111"/>
    <w:basedOn w:val="TableNormal"/>
    <w:uiPriority w:val="62"/>
    <w:rsid w:val="00B57283"/>
    <w:rPr>
      <w:kern w:val="0"/>
      <w:sz w:val="22"/>
      <w:szCs w:val="22"/>
      <w14:ligatures w14:val="none"/>
    </w:rPr>
    <w:tblPr>
      <w:tblStyleRowBandSize w:val="1"/>
      <w:tblStyleColBandSize w:val="1"/>
      <w:tblBorders>
        <w:top w:val="single" w:sz="8" w:space="0" w:color="2C997B"/>
        <w:left w:val="single" w:sz="8" w:space="0" w:color="2C997B"/>
        <w:bottom w:val="single" w:sz="8" w:space="0" w:color="2C997B"/>
        <w:right w:val="single" w:sz="8" w:space="0" w:color="2C997B"/>
        <w:insideH w:val="single" w:sz="8" w:space="0" w:color="2C997B"/>
        <w:insideV w:val="single" w:sz="8" w:space="0" w:color="2C997B"/>
      </w:tblBorders>
    </w:tblPr>
    <w:tblStylePr w:type="firstRow">
      <w:pPr>
        <w:spacing w:before="0" w:after="0" w:line="240" w:lineRule="auto"/>
      </w:pPr>
      <w:rPr>
        <w:rFonts w:ascii="Lato Medium" w:eastAsia="MS Gothic" w:hAnsi="Lato Medium" w:cs="Times New Roman"/>
        <w:b/>
        <w:bCs/>
      </w:rPr>
      <w:tblPr/>
      <w:tcPr>
        <w:tcBorders>
          <w:top w:val="single" w:sz="8" w:space="0" w:color="2C997B"/>
          <w:left w:val="single" w:sz="8" w:space="0" w:color="2C997B"/>
          <w:bottom w:val="single" w:sz="18" w:space="0" w:color="2C997B"/>
          <w:right w:val="single" w:sz="8" w:space="0" w:color="2C997B"/>
          <w:insideH w:val="nil"/>
          <w:insideV w:val="single" w:sz="8" w:space="0" w:color="2C997B"/>
        </w:tcBorders>
      </w:tcPr>
    </w:tblStylePr>
    <w:tblStylePr w:type="lastRow">
      <w:pPr>
        <w:spacing w:before="0" w:after="0" w:line="240" w:lineRule="auto"/>
      </w:pPr>
      <w:rPr>
        <w:rFonts w:ascii="Lato Medium" w:eastAsia="MS Gothic" w:hAnsi="Lato Medium" w:cs="Times New Roman"/>
        <w:b/>
        <w:bCs/>
      </w:rPr>
      <w:tblPr/>
      <w:tcPr>
        <w:tcBorders>
          <w:top w:val="double" w:sz="6" w:space="0" w:color="2C997B"/>
          <w:left w:val="single" w:sz="8" w:space="0" w:color="2C997B"/>
          <w:bottom w:val="single" w:sz="8" w:space="0" w:color="2C997B"/>
          <w:right w:val="single" w:sz="8" w:space="0" w:color="2C997B"/>
          <w:insideH w:val="nil"/>
          <w:insideV w:val="single" w:sz="8" w:space="0" w:color="2C997B"/>
        </w:tcBorders>
      </w:tcPr>
    </w:tblStylePr>
    <w:tblStylePr w:type="firstCol">
      <w:rPr>
        <w:rFonts w:ascii="Lato Medium" w:eastAsia="MS Gothic" w:hAnsi="Lato Medium" w:cs="Times New Roman"/>
        <w:b/>
        <w:bCs/>
      </w:rPr>
    </w:tblStylePr>
    <w:tblStylePr w:type="lastCol">
      <w:rPr>
        <w:rFonts w:ascii="Lato Medium" w:eastAsia="MS Gothic" w:hAnsi="Lato Medium" w:cs="Times New Roman"/>
        <w:b/>
        <w:bCs/>
      </w:rPr>
      <w:tblPr/>
      <w:tcPr>
        <w:tcBorders>
          <w:top w:val="single" w:sz="8" w:space="0" w:color="2C997B"/>
          <w:left w:val="single" w:sz="8" w:space="0" w:color="2C997B"/>
          <w:bottom w:val="single" w:sz="8" w:space="0" w:color="2C997B"/>
          <w:right w:val="single" w:sz="8" w:space="0" w:color="2C997B"/>
        </w:tcBorders>
      </w:tcPr>
    </w:tblStylePr>
    <w:tblStylePr w:type="band1Vert">
      <w:tblPr/>
      <w:tcPr>
        <w:tcBorders>
          <w:top w:val="single" w:sz="8" w:space="0" w:color="2C997B"/>
          <w:left w:val="single" w:sz="8" w:space="0" w:color="2C997B"/>
          <w:bottom w:val="single" w:sz="8" w:space="0" w:color="2C997B"/>
          <w:right w:val="single" w:sz="8" w:space="0" w:color="2C997B"/>
        </w:tcBorders>
        <w:shd w:val="clear" w:color="auto" w:fill="C2EDE1"/>
      </w:tcPr>
    </w:tblStylePr>
    <w:tblStylePr w:type="band1Horz">
      <w:tblPr/>
      <w:tcPr>
        <w:tcBorders>
          <w:top w:val="single" w:sz="8" w:space="0" w:color="2C997B"/>
          <w:left w:val="single" w:sz="8" w:space="0" w:color="2C997B"/>
          <w:bottom w:val="single" w:sz="8" w:space="0" w:color="2C997B"/>
          <w:right w:val="single" w:sz="8" w:space="0" w:color="2C997B"/>
          <w:insideV w:val="single" w:sz="8" w:space="0" w:color="2C997B"/>
        </w:tcBorders>
        <w:shd w:val="clear" w:color="auto" w:fill="C2EDE1"/>
      </w:tcPr>
    </w:tblStylePr>
    <w:tblStylePr w:type="band2Horz">
      <w:tblPr/>
      <w:tcPr>
        <w:tcBorders>
          <w:top w:val="single" w:sz="8" w:space="0" w:color="2C997B"/>
          <w:left w:val="single" w:sz="8" w:space="0" w:color="2C997B"/>
          <w:bottom w:val="single" w:sz="8" w:space="0" w:color="2C997B"/>
          <w:right w:val="single" w:sz="8" w:space="0" w:color="2C997B"/>
          <w:insideV w:val="single" w:sz="8" w:space="0" w:color="2C997B"/>
        </w:tcBorders>
      </w:tcPr>
    </w:tblStylePr>
  </w:style>
  <w:style w:type="table" w:customStyle="1" w:styleId="LightShading-Accent111">
    <w:name w:val="Light Shading - Accent 111"/>
    <w:basedOn w:val="TableNormal"/>
    <w:uiPriority w:val="60"/>
    <w:rsid w:val="00B57283"/>
    <w:rPr>
      <w:color w:val="21725B"/>
      <w:kern w:val="0"/>
      <w:sz w:val="22"/>
      <w:szCs w:val="22"/>
      <w14:ligatures w14:val="none"/>
    </w:rPr>
    <w:tblPr>
      <w:tblStyleRowBandSize w:val="1"/>
      <w:tblStyleColBandSize w:val="1"/>
      <w:tblBorders>
        <w:top w:val="single" w:sz="8" w:space="0" w:color="2C997B"/>
        <w:bottom w:val="single" w:sz="8" w:space="0" w:color="2C997B"/>
      </w:tblBorders>
    </w:tblPr>
    <w:tblStylePr w:type="firstRow">
      <w:pPr>
        <w:spacing w:before="0" w:after="0" w:line="240" w:lineRule="auto"/>
      </w:pPr>
      <w:rPr>
        <w:b/>
        <w:bCs/>
      </w:rPr>
      <w:tblPr/>
      <w:tcPr>
        <w:tcBorders>
          <w:top w:val="single" w:sz="8" w:space="0" w:color="2C997B"/>
          <w:left w:val="nil"/>
          <w:bottom w:val="single" w:sz="8" w:space="0" w:color="2C997B"/>
          <w:right w:val="nil"/>
          <w:insideH w:val="nil"/>
          <w:insideV w:val="nil"/>
        </w:tcBorders>
      </w:tcPr>
    </w:tblStylePr>
    <w:tblStylePr w:type="lastRow">
      <w:pPr>
        <w:spacing w:before="0" w:after="0" w:line="240" w:lineRule="auto"/>
      </w:pPr>
      <w:rPr>
        <w:b/>
        <w:bCs/>
      </w:rPr>
      <w:tblPr/>
      <w:tcPr>
        <w:tcBorders>
          <w:top w:val="single" w:sz="8" w:space="0" w:color="2C997B"/>
          <w:left w:val="nil"/>
          <w:bottom w:val="single" w:sz="8" w:space="0" w:color="2C997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2EDE1"/>
      </w:tcPr>
    </w:tblStylePr>
    <w:tblStylePr w:type="band1Horz">
      <w:tblPr/>
      <w:tcPr>
        <w:tcBorders>
          <w:left w:val="nil"/>
          <w:right w:val="nil"/>
          <w:insideH w:val="nil"/>
          <w:insideV w:val="nil"/>
        </w:tcBorders>
        <w:shd w:val="clear" w:color="auto" w:fill="C2EDE1"/>
      </w:tcPr>
    </w:tblStylePr>
  </w:style>
  <w:style w:type="table" w:customStyle="1" w:styleId="LightList-Accent111">
    <w:name w:val="Light List - Accent 111"/>
    <w:basedOn w:val="TableNormal"/>
    <w:uiPriority w:val="61"/>
    <w:rsid w:val="00B57283"/>
    <w:rPr>
      <w:kern w:val="0"/>
      <w:sz w:val="22"/>
      <w:szCs w:val="22"/>
      <w14:ligatures w14:val="none"/>
    </w:rPr>
    <w:tblPr>
      <w:tblStyleRowBandSize w:val="1"/>
      <w:tblStyleColBandSize w:val="1"/>
      <w:tblBorders>
        <w:top w:val="single" w:sz="8" w:space="0" w:color="2C997B"/>
        <w:left w:val="single" w:sz="8" w:space="0" w:color="2C997B"/>
        <w:bottom w:val="single" w:sz="8" w:space="0" w:color="2C997B"/>
        <w:right w:val="single" w:sz="8" w:space="0" w:color="2C997B"/>
      </w:tblBorders>
    </w:tblPr>
    <w:tblStylePr w:type="firstRow">
      <w:pPr>
        <w:spacing w:before="0" w:after="0" w:line="240" w:lineRule="auto"/>
      </w:pPr>
      <w:rPr>
        <w:b/>
        <w:bCs/>
        <w:color w:val="FFFFFF"/>
      </w:rPr>
      <w:tblPr/>
      <w:tcPr>
        <w:shd w:val="clear" w:color="auto" w:fill="2C997B"/>
      </w:tcPr>
    </w:tblStylePr>
    <w:tblStylePr w:type="lastRow">
      <w:pPr>
        <w:spacing w:before="0" w:after="0" w:line="240" w:lineRule="auto"/>
      </w:pPr>
      <w:rPr>
        <w:b/>
        <w:bCs/>
      </w:rPr>
      <w:tblPr/>
      <w:tcPr>
        <w:tcBorders>
          <w:top w:val="double" w:sz="6" w:space="0" w:color="2C997B"/>
          <w:left w:val="single" w:sz="8" w:space="0" w:color="2C997B"/>
          <w:bottom w:val="single" w:sz="8" w:space="0" w:color="2C997B"/>
          <w:right w:val="single" w:sz="8" w:space="0" w:color="2C997B"/>
        </w:tcBorders>
      </w:tcPr>
    </w:tblStylePr>
    <w:tblStylePr w:type="firstCol">
      <w:rPr>
        <w:b/>
        <w:bCs/>
      </w:rPr>
    </w:tblStylePr>
    <w:tblStylePr w:type="lastCol">
      <w:rPr>
        <w:b/>
        <w:bCs/>
      </w:rPr>
    </w:tblStylePr>
    <w:tblStylePr w:type="band1Vert">
      <w:tblPr/>
      <w:tcPr>
        <w:tcBorders>
          <w:top w:val="single" w:sz="8" w:space="0" w:color="2C997B"/>
          <w:left w:val="single" w:sz="8" w:space="0" w:color="2C997B"/>
          <w:bottom w:val="single" w:sz="8" w:space="0" w:color="2C997B"/>
          <w:right w:val="single" w:sz="8" w:space="0" w:color="2C997B"/>
        </w:tcBorders>
      </w:tcPr>
    </w:tblStylePr>
    <w:tblStylePr w:type="band1Horz">
      <w:tblPr/>
      <w:tcPr>
        <w:tcBorders>
          <w:top w:val="single" w:sz="8" w:space="0" w:color="2C997B"/>
          <w:left w:val="single" w:sz="8" w:space="0" w:color="2C997B"/>
          <w:bottom w:val="single" w:sz="8" w:space="0" w:color="2C997B"/>
          <w:right w:val="single" w:sz="8" w:space="0" w:color="2C997B"/>
        </w:tcBorders>
      </w:tcPr>
    </w:tblStylePr>
  </w:style>
  <w:style w:type="numbering" w:customStyle="1" w:styleId="NoList3">
    <w:name w:val="No List3"/>
    <w:next w:val="NoList"/>
    <w:uiPriority w:val="99"/>
    <w:semiHidden/>
    <w:unhideWhenUsed/>
    <w:rsid w:val="00394B3C"/>
  </w:style>
  <w:style w:type="table" w:customStyle="1" w:styleId="MediumShading1-Accent23">
    <w:name w:val="Medium Shading 1 - Accent 23"/>
    <w:basedOn w:val="TableNormal"/>
    <w:next w:val="MediumShading1-Accent2"/>
    <w:uiPriority w:val="63"/>
    <w:rsid w:val="00394B3C"/>
    <w:rPr>
      <w:kern w:val="0"/>
      <w:sz w:val="22"/>
      <w:szCs w:val="22"/>
      <w14:ligatures w14:val="none"/>
    </w:rPr>
    <w:tblPr>
      <w:tblStyleRowBandSize w:val="1"/>
      <w:tblStyleColBandSize w:val="1"/>
      <w:tblBorders>
        <w:top w:val="single" w:sz="8" w:space="0" w:color="00D0C6"/>
        <w:left w:val="single" w:sz="8" w:space="0" w:color="00D0C6"/>
        <w:bottom w:val="single" w:sz="8" w:space="0" w:color="00D0C6"/>
        <w:right w:val="single" w:sz="8" w:space="0" w:color="00D0C6"/>
        <w:insideH w:val="single" w:sz="8" w:space="0" w:color="00D0C6"/>
      </w:tblBorders>
    </w:tblPr>
    <w:tblStylePr w:type="firstRow">
      <w:pPr>
        <w:spacing w:before="0" w:after="0" w:line="240" w:lineRule="auto"/>
      </w:pPr>
      <w:rPr>
        <w:b/>
        <w:bCs/>
        <w:color w:val="FFFFFF"/>
      </w:rPr>
      <w:tblPr/>
      <w:tcPr>
        <w:tcBorders>
          <w:top w:val="single" w:sz="8" w:space="0" w:color="00D0C6"/>
          <w:left w:val="single" w:sz="8" w:space="0" w:color="00D0C6"/>
          <w:bottom w:val="single" w:sz="8" w:space="0" w:color="00D0C6"/>
          <w:right w:val="single" w:sz="8" w:space="0" w:color="00D0C6"/>
          <w:insideH w:val="nil"/>
          <w:insideV w:val="nil"/>
        </w:tcBorders>
        <w:shd w:val="clear" w:color="auto" w:fill="006C67"/>
      </w:tcPr>
    </w:tblStylePr>
    <w:tblStylePr w:type="lastRow">
      <w:pPr>
        <w:spacing w:before="0" w:after="0" w:line="240" w:lineRule="auto"/>
      </w:pPr>
      <w:rPr>
        <w:b/>
        <w:bCs/>
      </w:rPr>
      <w:tblPr/>
      <w:tcPr>
        <w:tcBorders>
          <w:top w:val="double" w:sz="6" w:space="0" w:color="00D0C6"/>
          <w:left w:val="single" w:sz="8" w:space="0" w:color="00D0C6"/>
          <w:bottom w:val="single" w:sz="8" w:space="0" w:color="00D0C6"/>
          <w:right w:val="single" w:sz="8" w:space="0" w:color="00D0C6"/>
          <w:insideH w:val="nil"/>
          <w:insideV w:val="nil"/>
        </w:tcBorders>
      </w:tcPr>
    </w:tblStylePr>
    <w:tblStylePr w:type="firstCol">
      <w:rPr>
        <w:b/>
        <w:bCs/>
      </w:rPr>
    </w:tblStylePr>
    <w:tblStylePr w:type="lastCol">
      <w:rPr>
        <w:b/>
        <w:bCs/>
      </w:rPr>
    </w:tblStylePr>
    <w:tblStylePr w:type="band1Vert">
      <w:tblPr/>
      <w:tcPr>
        <w:shd w:val="clear" w:color="auto" w:fill="9BFFFA"/>
      </w:tcPr>
    </w:tblStylePr>
    <w:tblStylePr w:type="band1Horz">
      <w:tblPr/>
      <w:tcPr>
        <w:tcBorders>
          <w:insideH w:val="nil"/>
          <w:insideV w:val="nil"/>
        </w:tcBorders>
        <w:shd w:val="clear" w:color="auto" w:fill="9BFFFA"/>
      </w:tcPr>
    </w:tblStylePr>
    <w:tblStylePr w:type="band2Horz">
      <w:tblPr/>
      <w:tcPr>
        <w:tcBorders>
          <w:insideH w:val="nil"/>
          <w:insideV w:val="nil"/>
        </w:tcBorders>
      </w:tcPr>
    </w:tblStylePr>
  </w:style>
  <w:style w:type="table" w:customStyle="1" w:styleId="LightList-Accent53">
    <w:name w:val="Light List - Accent 53"/>
    <w:basedOn w:val="TableNormal"/>
    <w:next w:val="LightList-Accent5"/>
    <w:uiPriority w:val="61"/>
    <w:rsid w:val="00394B3C"/>
    <w:rPr>
      <w:kern w:val="0"/>
      <w:sz w:val="22"/>
      <w:szCs w:val="22"/>
      <w14:ligatures w14:val="none"/>
    </w:rPr>
    <w:tblPr>
      <w:tblStyleRowBandSize w:val="1"/>
      <w:tblStyleColBandSize w:val="1"/>
      <w:tblBorders>
        <w:top w:val="single" w:sz="8" w:space="0" w:color="6FC7B7"/>
        <w:left w:val="single" w:sz="8" w:space="0" w:color="6FC7B7"/>
        <w:bottom w:val="single" w:sz="8" w:space="0" w:color="6FC7B7"/>
        <w:right w:val="single" w:sz="8" w:space="0" w:color="6FC7B7"/>
      </w:tblBorders>
    </w:tblPr>
    <w:tblStylePr w:type="firstRow">
      <w:pPr>
        <w:spacing w:before="0" w:after="0" w:line="240" w:lineRule="auto"/>
      </w:pPr>
      <w:rPr>
        <w:b/>
        <w:bCs/>
        <w:color w:val="FFFFFF"/>
      </w:rPr>
      <w:tblPr/>
      <w:tcPr>
        <w:shd w:val="clear" w:color="auto" w:fill="6FC7B7"/>
      </w:tcPr>
    </w:tblStylePr>
    <w:tblStylePr w:type="lastRow">
      <w:pPr>
        <w:spacing w:before="0" w:after="0" w:line="240" w:lineRule="auto"/>
      </w:pPr>
      <w:rPr>
        <w:b/>
        <w:bCs/>
      </w:rPr>
      <w:tblPr/>
      <w:tcPr>
        <w:tcBorders>
          <w:top w:val="double" w:sz="6" w:space="0" w:color="6FC7B7"/>
          <w:left w:val="single" w:sz="8" w:space="0" w:color="6FC7B7"/>
          <w:bottom w:val="single" w:sz="8" w:space="0" w:color="6FC7B7"/>
          <w:right w:val="single" w:sz="8" w:space="0" w:color="6FC7B7"/>
        </w:tcBorders>
      </w:tcPr>
    </w:tblStylePr>
    <w:tblStylePr w:type="firstCol">
      <w:rPr>
        <w:b/>
        <w:bCs/>
      </w:rPr>
    </w:tblStylePr>
    <w:tblStylePr w:type="lastCol">
      <w:rPr>
        <w:b/>
        <w:bCs/>
      </w:rPr>
    </w:tblStylePr>
    <w:tblStylePr w:type="band1Vert">
      <w:tblPr/>
      <w:tcPr>
        <w:tcBorders>
          <w:top w:val="single" w:sz="8" w:space="0" w:color="6FC7B7"/>
          <w:left w:val="single" w:sz="8" w:space="0" w:color="6FC7B7"/>
          <w:bottom w:val="single" w:sz="8" w:space="0" w:color="6FC7B7"/>
          <w:right w:val="single" w:sz="8" w:space="0" w:color="6FC7B7"/>
        </w:tcBorders>
      </w:tcPr>
    </w:tblStylePr>
    <w:tblStylePr w:type="band1Horz">
      <w:tblPr/>
      <w:tcPr>
        <w:tcBorders>
          <w:top w:val="single" w:sz="8" w:space="0" w:color="6FC7B7"/>
          <w:left w:val="single" w:sz="8" w:space="0" w:color="6FC7B7"/>
          <w:bottom w:val="single" w:sz="8" w:space="0" w:color="6FC7B7"/>
          <w:right w:val="single" w:sz="8" w:space="0" w:color="6FC7B7"/>
        </w:tcBorders>
      </w:tcPr>
    </w:tblStylePr>
  </w:style>
  <w:style w:type="table" w:customStyle="1" w:styleId="LightGrid-Accent53">
    <w:name w:val="Light Grid - Accent 53"/>
    <w:basedOn w:val="TableNormal"/>
    <w:next w:val="LightGrid-Accent5"/>
    <w:uiPriority w:val="62"/>
    <w:rsid w:val="00394B3C"/>
    <w:rPr>
      <w:kern w:val="0"/>
      <w:sz w:val="22"/>
      <w:szCs w:val="22"/>
      <w14:ligatures w14:val="none"/>
    </w:rPr>
    <w:tblPr>
      <w:tblStyleRowBandSize w:val="1"/>
      <w:tblStyleColBandSize w:val="1"/>
      <w:tblBorders>
        <w:top w:val="single" w:sz="8" w:space="0" w:color="6FC7B7"/>
        <w:left w:val="single" w:sz="8" w:space="0" w:color="6FC7B7"/>
        <w:bottom w:val="single" w:sz="8" w:space="0" w:color="6FC7B7"/>
        <w:right w:val="single" w:sz="8" w:space="0" w:color="6FC7B7"/>
        <w:insideH w:val="single" w:sz="8" w:space="0" w:color="6FC7B7"/>
        <w:insideV w:val="single" w:sz="8" w:space="0" w:color="6FC7B7"/>
      </w:tblBorders>
    </w:tblPr>
    <w:tblStylePr w:type="firstRow">
      <w:pPr>
        <w:spacing w:before="0" w:after="0" w:line="240" w:lineRule="auto"/>
      </w:pPr>
      <w:rPr>
        <w:rFonts w:ascii="Lato Medium" w:eastAsia="MS Gothic" w:hAnsi="Lato Medium" w:cs="Times New Roman"/>
        <w:b/>
        <w:bCs/>
      </w:rPr>
      <w:tblPr/>
      <w:tcPr>
        <w:tcBorders>
          <w:top w:val="single" w:sz="8" w:space="0" w:color="6FC7B7"/>
          <w:left w:val="single" w:sz="8" w:space="0" w:color="6FC7B7"/>
          <w:bottom w:val="single" w:sz="18" w:space="0" w:color="6FC7B7"/>
          <w:right w:val="single" w:sz="8" w:space="0" w:color="6FC7B7"/>
          <w:insideH w:val="nil"/>
          <w:insideV w:val="single" w:sz="8" w:space="0" w:color="6FC7B7"/>
        </w:tcBorders>
      </w:tcPr>
    </w:tblStylePr>
    <w:tblStylePr w:type="lastRow">
      <w:pPr>
        <w:spacing w:before="0" w:after="0" w:line="240" w:lineRule="auto"/>
      </w:pPr>
      <w:rPr>
        <w:rFonts w:ascii="Lato Medium" w:eastAsia="MS Gothic" w:hAnsi="Lato Medium" w:cs="Times New Roman"/>
        <w:b/>
        <w:bCs/>
      </w:rPr>
      <w:tblPr/>
      <w:tcPr>
        <w:tcBorders>
          <w:top w:val="double" w:sz="6" w:space="0" w:color="6FC7B7"/>
          <w:left w:val="single" w:sz="8" w:space="0" w:color="6FC7B7"/>
          <w:bottom w:val="single" w:sz="8" w:space="0" w:color="6FC7B7"/>
          <w:right w:val="single" w:sz="8" w:space="0" w:color="6FC7B7"/>
          <w:insideH w:val="nil"/>
          <w:insideV w:val="single" w:sz="8" w:space="0" w:color="6FC7B7"/>
        </w:tcBorders>
      </w:tcPr>
    </w:tblStylePr>
    <w:tblStylePr w:type="firstCol">
      <w:rPr>
        <w:rFonts w:ascii="Lato Medium" w:eastAsia="MS Gothic" w:hAnsi="Lato Medium" w:cs="Times New Roman"/>
        <w:b/>
        <w:bCs/>
      </w:rPr>
    </w:tblStylePr>
    <w:tblStylePr w:type="lastCol">
      <w:rPr>
        <w:rFonts w:ascii="Lato Medium" w:eastAsia="MS Gothic" w:hAnsi="Lato Medium" w:cs="Times New Roman"/>
        <w:b/>
        <w:bCs/>
      </w:rPr>
      <w:tblPr/>
      <w:tcPr>
        <w:tcBorders>
          <w:top w:val="single" w:sz="8" w:space="0" w:color="6FC7B7"/>
          <w:left w:val="single" w:sz="8" w:space="0" w:color="6FC7B7"/>
          <w:bottom w:val="single" w:sz="8" w:space="0" w:color="6FC7B7"/>
          <w:right w:val="single" w:sz="8" w:space="0" w:color="6FC7B7"/>
        </w:tcBorders>
      </w:tcPr>
    </w:tblStylePr>
    <w:tblStylePr w:type="band1Vert">
      <w:tblPr/>
      <w:tcPr>
        <w:tcBorders>
          <w:top w:val="single" w:sz="8" w:space="0" w:color="6FC7B7"/>
          <w:left w:val="single" w:sz="8" w:space="0" w:color="6FC7B7"/>
          <w:bottom w:val="single" w:sz="8" w:space="0" w:color="6FC7B7"/>
          <w:right w:val="single" w:sz="8" w:space="0" w:color="6FC7B7"/>
        </w:tcBorders>
        <w:shd w:val="clear" w:color="auto" w:fill="DBF1ED"/>
      </w:tcPr>
    </w:tblStylePr>
    <w:tblStylePr w:type="band1Horz">
      <w:tblPr/>
      <w:tcPr>
        <w:tcBorders>
          <w:top w:val="single" w:sz="8" w:space="0" w:color="6FC7B7"/>
          <w:left w:val="single" w:sz="8" w:space="0" w:color="6FC7B7"/>
          <w:bottom w:val="single" w:sz="8" w:space="0" w:color="6FC7B7"/>
          <w:right w:val="single" w:sz="8" w:space="0" w:color="6FC7B7"/>
          <w:insideV w:val="single" w:sz="8" w:space="0" w:color="6FC7B7"/>
        </w:tcBorders>
        <w:shd w:val="clear" w:color="auto" w:fill="DBF1ED"/>
      </w:tcPr>
    </w:tblStylePr>
    <w:tblStylePr w:type="band2Horz">
      <w:tblPr/>
      <w:tcPr>
        <w:tcBorders>
          <w:top w:val="single" w:sz="8" w:space="0" w:color="6FC7B7"/>
          <w:left w:val="single" w:sz="8" w:space="0" w:color="6FC7B7"/>
          <w:bottom w:val="single" w:sz="8" w:space="0" w:color="6FC7B7"/>
          <w:right w:val="single" w:sz="8" w:space="0" w:color="6FC7B7"/>
          <w:insideV w:val="single" w:sz="8" w:space="0" w:color="6FC7B7"/>
        </w:tcBorders>
      </w:tcPr>
    </w:tblStylePr>
  </w:style>
  <w:style w:type="table" w:customStyle="1" w:styleId="LightGrid-Accent112">
    <w:name w:val="Light Grid - Accent 112"/>
    <w:basedOn w:val="TableNormal"/>
    <w:uiPriority w:val="62"/>
    <w:rsid w:val="00394B3C"/>
    <w:rPr>
      <w:kern w:val="0"/>
      <w:sz w:val="22"/>
      <w:szCs w:val="22"/>
      <w14:ligatures w14:val="none"/>
    </w:rPr>
    <w:tblPr>
      <w:tblStyleRowBandSize w:val="1"/>
      <w:tblStyleColBandSize w:val="1"/>
      <w:tblBorders>
        <w:top w:val="single" w:sz="8" w:space="0" w:color="2C997B"/>
        <w:left w:val="single" w:sz="8" w:space="0" w:color="2C997B"/>
        <w:bottom w:val="single" w:sz="8" w:space="0" w:color="2C997B"/>
        <w:right w:val="single" w:sz="8" w:space="0" w:color="2C997B"/>
        <w:insideH w:val="single" w:sz="8" w:space="0" w:color="2C997B"/>
        <w:insideV w:val="single" w:sz="8" w:space="0" w:color="2C997B"/>
      </w:tblBorders>
    </w:tblPr>
    <w:tblStylePr w:type="firstRow">
      <w:pPr>
        <w:spacing w:before="0" w:after="0" w:line="240" w:lineRule="auto"/>
      </w:pPr>
      <w:rPr>
        <w:rFonts w:ascii="Lato Medium" w:eastAsia="MS Gothic" w:hAnsi="Lato Medium" w:cs="Times New Roman"/>
        <w:b/>
        <w:bCs/>
      </w:rPr>
      <w:tblPr/>
      <w:tcPr>
        <w:tcBorders>
          <w:top w:val="single" w:sz="8" w:space="0" w:color="2C997B"/>
          <w:left w:val="single" w:sz="8" w:space="0" w:color="2C997B"/>
          <w:bottom w:val="single" w:sz="18" w:space="0" w:color="2C997B"/>
          <w:right w:val="single" w:sz="8" w:space="0" w:color="2C997B"/>
          <w:insideH w:val="nil"/>
          <w:insideV w:val="single" w:sz="8" w:space="0" w:color="2C997B"/>
        </w:tcBorders>
      </w:tcPr>
    </w:tblStylePr>
    <w:tblStylePr w:type="lastRow">
      <w:pPr>
        <w:spacing w:before="0" w:after="0" w:line="240" w:lineRule="auto"/>
      </w:pPr>
      <w:rPr>
        <w:rFonts w:ascii="Lato Medium" w:eastAsia="MS Gothic" w:hAnsi="Lato Medium" w:cs="Times New Roman"/>
        <w:b/>
        <w:bCs/>
      </w:rPr>
      <w:tblPr/>
      <w:tcPr>
        <w:tcBorders>
          <w:top w:val="double" w:sz="6" w:space="0" w:color="2C997B"/>
          <w:left w:val="single" w:sz="8" w:space="0" w:color="2C997B"/>
          <w:bottom w:val="single" w:sz="8" w:space="0" w:color="2C997B"/>
          <w:right w:val="single" w:sz="8" w:space="0" w:color="2C997B"/>
          <w:insideH w:val="nil"/>
          <w:insideV w:val="single" w:sz="8" w:space="0" w:color="2C997B"/>
        </w:tcBorders>
      </w:tcPr>
    </w:tblStylePr>
    <w:tblStylePr w:type="firstCol">
      <w:rPr>
        <w:rFonts w:ascii="Lato Medium" w:eastAsia="MS Gothic" w:hAnsi="Lato Medium" w:cs="Times New Roman"/>
        <w:b/>
        <w:bCs/>
      </w:rPr>
    </w:tblStylePr>
    <w:tblStylePr w:type="lastCol">
      <w:rPr>
        <w:rFonts w:ascii="Lato Medium" w:eastAsia="MS Gothic" w:hAnsi="Lato Medium" w:cs="Times New Roman"/>
        <w:b/>
        <w:bCs/>
      </w:rPr>
      <w:tblPr/>
      <w:tcPr>
        <w:tcBorders>
          <w:top w:val="single" w:sz="8" w:space="0" w:color="2C997B"/>
          <w:left w:val="single" w:sz="8" w:space="0" w:color="2C997B"/>
          <w:bottom w:val="single" w:sz="8" w:space="0" w:color="2C997B"/>
          <w:right w:val="single" w:sz="8" w:space="0" w:color="2C997B"/>
        </w:tcBorders>
      </w:tcPr>
    </w:tblStylePr>
    <w:tblStylePr w:type="band1Vert">
      <w:tblPr/>
      <w:tcPr>
        <w:tcBorders>
          <w:top w:val="single" w:sz="8" w:space="0" w:color="2C997B"/>
          <w:left w:val="single" w:sz="8" w:space="0" w:color="2C997B"/>
          <w:bottom w:val="single" w:sz="8" w:space="0" w:color="2C997B"/>
          <w:right w:val="single" w:sz="8" w:space="0" w:color="2C997B"/>
        </w:tcBorders>
        <w:shd w:val="clear" w:color="auto" w:fill="C2EDE1"/>
      </w:tcPr>
    </w:tblStylePr>
    <w:tblStylePr w:type="band1Horz">
      <w:tblPr/>
      <w:tcPr>
        <w:tcBorders>
          <w:top w:val="single" w:sz="8" w:space="0" w:color="2C997B"/>
          <w:left w:val="single" w:sz="8" w:space="0" w:color="2C997B"/>
          <w:bottom w:val="single" w:sz="8" w:space="0" w:color="2C997B"/>
          <w:right w:val="single" w:sz="8" w:space="0" w:color="2C997B"/>
          <w:insideV w:val="single" w:sz="8" w:space="0" w:color="2C997B"/>
        </w:tcBorders>
        <w:shd w:val="clear" w:color="auto" w:fill="C2EDE1"/>
      </w:tcPr>
    </w:tblStylePr>
    <w:tblStylePr w:type="band2Horz">
      <w:tblPr/>
      <w:tcPr>
        <w:tcBorders>
          <w:top w:val="single" w:sz="8" w:space="0" w:color="2C997B"/>
          <w:left w:val="single" w:sz="8" w:space="0" w:color="2C997B"/>
          <w:bottom w:val="single" w:sz="8" w:space="0" w:color="2C997B"/>
          <w:right w:val="single" w:sz="8" w:space="0" w:color="2C997B"/>
          <w:insideV w:val="single" w:sz="8" w:space="0" w:color="2C997B"/>
        </w:tcBorders>
      </w:tcPr>
    </w:tblStylePr>
  </w:style>
  <w:style w:type="table" w:customStyle="1" w:styleId="LightShading-Accent112">
    <w:name w:val="Light Shading - Accent 112"/>
    <w:basedOn w:val="TableNormal"/>
    <w:uiPriority w:val="60"/>
    <w:rsid w:val="00394B3C"/>
    <w:rPr>
      <w:color w:val="21725B"/>
      <w:kern w:val="0"/>
      <w:sz w:val="22"/>
      <w:szCs w:val="22"/>
      <w14:ligatures w14:val="none"/>
    </w:rPr>
    <w:tblPr>
      <w:tblStyleRowBandSize w:val="1"/>
      <w:tblStyleColBandSize w:val="1"/>
      <w:tblBorders>
        <w:top w:val="single" w:sz="8" w:space="0" w:color="2C997B"/>
        <w:bottom w:val="single" w:sz="8" w:space="0" w:color="2C997B"/>
      </w:tblBorders>
    </w:tblPr>
    <w:tblStylePr w:type="firstRow">
      <w:pPr>
        <w:spacing w:before="0" w:after="0" w:line="240" w:lineRule="auto"/>
      </w:pPr>
      <w:rPr>
        <w:b/>
        <w:bCs/>
      </w:rPr>
      <w:tblPr/>
      <w:tcPr>
        <w:tcBorders>
          <w:top w:val="single" w:sz="8" w:space="0" w:color="2C997B"/>
          <w:left w:val="nil"/>
          <w:bottom w:val="single" w:sz="8" w:space="0" w:color="2C997B"/>
          <w:right w:val="nil"/>
          <w:insideH w:val="nil"/>
          <w:insideV w:val="nil"/>
        </w:tcBorders>
      </w:tcPr>
    </w:tblStylePr>
    <w:tblStylePr w:type="lastRow">
      <w:pPr>
        <w:spacing w:before="0" w:after="0" w:line="240" w:lineRule="auto"/>
      </w:pPr>
      <w:rPr>
        <w:b/>
        <w:bCs/>
      </w:rPr>
      <w:tblPr/>
      <w:tcPr>
        <w:tcBorders>
          <w:top w:val="single" w:sz="8" w:space="0" w:color="2C997B"/>
          <w:left w:val="nil"/>
          <w:bottom w:val="single" w:sz="8" w:space="0" w:color="2C997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2EDE1"/>
      </w:tcPr>
    </w:tblStylePr>
    <w:tblStylePr w:type="band1Horz">
      <w:tblPr/>
      <w:tcPr>
        <w:tcBorders>
          <w:left w:val="nil"/>
          <w:right w:val="nil"/>
          <w:insideH w:val="nil"/>
          <w:insideV w:val="nil"/>
        </w:tcBorders>
        <w:shd w:val="clear" w:color="auto" w:fill="C2EDE1"/>
      </w:tcPr>
    </w:tblStylePr>
  </w:style>
  <w:style w:type="table" w:customStyle="1" w:styleId="LightList-Accent112">
    <w:name w:val="Light List - Accent 112"/>
    <w:basedOn w:val="TableNormal"/>
    <w:uiPriority w:val="61"/>
    <w:rsid w:val="00394B3C"/>
    <w:rPr>
      <w:kern w:val="0"/>
      <w:sz w:val="22"/>
      <w:szCs w:val="22"/>
      <w14:ligatures w14:val="none"/>
    </w:rPr>
    <w:tblPr>
      <w:tblStyleRowBandSize w:val="1"/>
      <w:tblStyleColBandSize w:val="1"/>
      <w:tblBorders>
        <w:top w:val="single" w:sz="8" w:space="0" w:color="2C997B"/>
        <w:left w:val="single" w:sz="8" w:space="0" w:color="2C997B"/>
        <w:bottom w:val="single" w:sz="8" w:space="0" w:color="2C997B"/>
        <w:right w:val="single" w:sz="8" w:space="0" w:color="2C997B"/>
      </w:tblBorders>
    </w:tblPr>
    <w:tblStylePr w:type="firstRow">
      <w:pPr>
        <w:spacing w:before="0" w:after="0" w:line="240" w:lineRule="auto"/>
      </w:pPr>
      <w:rPr>
        <w:b/>
        <w:bCs/>
        <w:color w:val="FFFFFF"/>
      </w:rPr>
      <w:tblPr/>
      <w:tcPr>
        <w:shd w:val="clear" w:color="auto" w:fill="2C997B"/>
      </w:tcPr>
    </w:tblStylePr>
    <w:tblStylePr w:type="lastRow">
      <w:pPr>
        <w:spacing w:before="0" w:after="0" w:line="240" w:lineRule="auto"/>
      </w:pPr>
      <w:rPr>
        <w:b/>
        <w:bCs/>
      </w:rPr>
      <w:tblPr/>
      <w:tcPr>
        <w:tcBorders>
          <w:top w:val="double" w:sz="6" w:space="0" w:color="2C997B"/>
          <w:left w:val="single" w:sz="8" w:space="0" w:color="2C997B"/>
          <w:bottom w:val="single" w:sz="8" w:space="0" w:color="2C997B"/>
          <w:right w:val="single" w:sz="8" w:space="0" w:color="2C997B"/>
        </w:tcBorders>
      </w:tcPr>
    </w:tblStylePr>
    <w:tblStylePr w:type="firstCol">
      <w:rPr>
        <w:b/>
        <w:bCs/>
      </w:rPr>
    </w:tblStylePr>
    <w:tblStylePr w:type="lastCol">
      <w:rPr>
        <w:b/>
        <w:bCs/>
      </w:rPr>
    </w:tblStylePr>
    <w:tblStylePr w:type="band1Vert">
      <w:tblPr/>
      <w:tcPr>
        <w:tcBorders>
          <w:top w:val="single" w:sz="8" w:space="0" w:color="2C997B"/>
          <w:left w:val="single" w:sz="8" w:space="0" w:color="2C997B"/>
          <w:bottom w:val="single" w:sz="8" w:space="0" w:color="2C997B"/>
          <w:right w:val="single" w:sz="8" w:space="0" w:color="2C997B"/>
        </w:tcBorders>
      </w:tcPr>
    </w:tblStylePr>
    <w:tblStylePr w:type="band1Horz">
      <w:tblPr/>
      <w:tcPr>
        <w:tcBorders>
          <w:top w:val="single" w:sz="8" w:space="0" w:color="2C997B"/>
          <w:left w:val="single" w:sz="8" w:space="0" w:color="2C997B"/>
          <w:bottom w:val="single" w:sz="8" w:space="0" w:color="2C997B"/>
          <w:right w:val="single" w:sz="8" w:space="0" w:color="2C997B"/>
        </w:tcBorders>
      </w:tcPr>
    </w:tblStylePr>
  </w:style>
  <w:style w:type="numbering" w:customStyle="1" w:styleId="NoList4">
    <w:name w:val="No List4"/>
    <w:next w:val="NoList"/>
    <w:uiPriority w:val="99"/>
    <w:semiHidden/>
    <w:unhideWhenUsed/>
    <w:rsid w:val="00BC2E1F"/>
  </w:style>
  <w:style w:type="table" w:customStyle="1" w:styleId="MediumShading1-Accent24">
    <w:name w:val="Medium Shading 1 - Accent 24"/>
    <w:basedOn w:val="TableNormal"/>
    <w:next w:val="MediumShading1-Accent2"/>
    <w:uiPriority w:val="63"/>
    <w:rsid w:val="00BC2E1F"/>
    <w:rPr>
      <w:kern w:val="0"/>
      <w:sz w:val="22"/>
      <w:szCs w:val="22"/>
      <w14:ligatures w14:val="none"/>
    </w:r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customStyle="1" w:styleId="LightList-Accent54">
    <w:name w:val="Light List - Accent 54"/>
    <w:basedOn w:val="TableNormal"/>
    <w:next w:val="LightList-Accent5"/>
    <w:uiPriority w:val="61"/>
    <w:rsid w:val="00BC2E1F"/>
    <w:rPr>
      <w:kern w:val="0"/>
      <w:sz w:val="22"/>
      <w:szCs w:val="22"/>
      <w14:ligatures w14:val="none"/>
    </w:r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customStyle="1" w:styleId="LightGrid-Accent54">
    <w:name w:val="Light Grid - Accent 54"/>
    <w:basedOn w:val="TableNormal"/>
    <w:next w:val="LightGrid-Accent5"/>
    <w:uiPriority w:val="62"/>
    <w:rsid w:val="00BC2E1F"/>
    <w:rPr>
      <w:kern w:val="0"/>
      <w:sz w:val="22"/>
      <w:szCs w:val="22"/>
      <w14:ligatures w14:val="none"/>
    </w:r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3">
    <w:name w:val="Light Grid - Accent 113"/>
    <w:basedOn w:val="TableNormal"/>
    <w:uiPriority w:val="62"/>
    <w:rsid w:val="00BC2E1F"/>
    <w:rPr>
      <w:kern w:val="0"/>
      <w:sz w:val="22"/>
      <w:szCs w:val="22"/>
      <w14:ligatures w14:val="none"/>
    </w:r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3">
    <w:name w:val="Light Shading - Accent 113"/>
    <w:basedOn w:val="TableNormal"/>
    <w:uiPriority w:val="60"/>
    <w:rsid w:val="00BC2E1F"/>
    <w:rPr>
      <w:color w:val="153F50" w:themeColor="accent1" w:themeShade="BF"/>
      <w:kern w:val="0"/>
      <w:sz w:val="22"/>
      <w:szCs w:val="22"/>
      <w14:ligatures w14:val="none"/>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3">
    <w:name w:val="Light List - Accent 113"/>
    <w:basedOn w:val="TableNormal"/>
    <w:uiPriority w:val="61"/>
    <w:rsid w:val="00BC2E1F"/>
    <w:rPr>
      <w:kern w:val="0"/>
      <w:sz w:val="22"/>
      <w:szCs w:val="22"/>
      <w14:ligatures w14:val="none"/>
    </w:r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numbering" w:customStyle="1" w:styleId="NoList5">
    <w:name w:val="No List5"/>
    <w:next w:val="NoList"/>
    <w:uiPriority w:val="99"/>
    <w:semiHidden/>
    <w:unhideWhenUsed/>
    <w:rsid w:val="00BC2E1F"/>
  </w:style>
  <w:style w:type="table" w:customStyle="1" w:styleId="MediumShading1-Accent25">
    <w:name w:val="Medium Shading 1 - Accent 25"/>
    <w:basedOn w:val="TableNormal"/>
    <w:next w:val="MediumShading1-Accent2"/>
    <w:uiPriority w:val="63"/>
    <w:rsid w:val="00BC2E1F"/>
    <w:rPr>
      <w:kern w:val="0"/>
      <w:sz w:val="22"/>
      <w:szCs w:val="22"/>
      <w14:ligatures w14:val="none"/>
    </w:r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customStyle="1" w:styleId="LightList-Accent55">
    <w:name w:val="Light List - Accent 55"/>
    <w:basedOn w:val="TableNormal"/>
    <w:next w:val="LightList-Accent5"/>
    <w:uiPriority w:val="61"/>
    <w:rsid w:val="00BC2E1F"/>
    <w:rPr>
      <w:kern w:val="0"/>
      <w:sz w:val="22"/>
      <w:szCs w:val="22"/>
      <w14:ligatures w14:val="none"/>
    </w:r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customStyle="1" w:styleId="LightGrid-Accent55">
    <w:name w:val="Light Grid - Accent 55"/>
    <w:basedOn w:val="TableNormal"/>
    <w:next w:val="LightGrid-Accent5"/>
    <w:uiPriority w:val="62"/>
    <w:rsid w:val="00BC2E1F"/>
    <w:rPr>
      <w:kern w:val="0"/>
      <w:sz w:val="22"/>
      <w:szCs w:val="22"/>
      <w14:ligatures w14:val="none"/>
    </w:r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4">
    <w:name w:val="Light Grid - Accent 114"/>
    <w:basedOn w:val="TableNormal"/>
    <w:uiPriority w:val="62"/>
    <w:rsid w:val="00BC2E1F"/>
    <w:rPr>
      <w:kern w:val="0"/>
      <w:sz w:val="22"/>
      <w:szCs w:val="22"/>
      <w14:ligatures w14:val="none"/>
    </w:r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4">
    <w:name w:val="Light Shading - Accent 114"/>
    <w:basedOn w:val="TableNormal"/>
    <w:uiPriority w:val="60"/>
    <w:rsid w:val="00BC2E1F"/>
    <w:rPr>
      <w:color w:val="153F50" w:themeColor="accent1" w:themeShade="BF"/>
      <w:kern w:val="0"/>
      <w:sz w:val="22"/>
      <w:szCs w:val="22"/>
      <w14:ligatures w14:val="none"/>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4">
    <w:name w:val="Light List - Accent 114"/>
    <w:basedOn w:val="TableNormal"/>
    <w:uiPriority w:val="61"/>
    <w:rsid w:val="00BC2E1F"/>
    <w:rPr>
      <w:kern w:val="0"/>
      <w:sz w:val="22"/>
      <w:szCs w:val="22"/>
      <w14:ligatures w14:val="none"/>
    </w:r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paragraph" w:styleId="ListBullet">
    <w:name w:val="List Bullet"/>
    <w:basedOn w:val="BodyText"/>
    <w:semiHidden/>
    <w:qFormat/>
    <w:rsid w:val="00F3517D"/>
    <w:pPr>
      <w:spacing w:line="240" w:lineRule="auto"/>
      <w:ind w:left="397" w:hanging="397"/>
    </w:pPr>
    <w:rPr>
      <w:rFonts w:eastAsia="Times New Roman" w:cs="Times New Roman"/>
      <w:lang w:eastAsia="en-AU"/>
    </w:rPr>
  </w:style>
  <w:style w:type="paragraph" w:styleId="ListBullet2">
    <w:name w:val="List Bullet 2"/>
    <w:basedOn w:val="ListBullet"/>
    <w:uiPriority w:val="1"/>
    <w:semiHidden/>
    <w:rsid w:val="00F3517D"/>
    <w:pPr>
      <w:ind w:left="794"/>
    </w:pPr>
  </w:style>
  <w:style w:type="paragraph" w:customStyle="1" w:styleId="IntroHeading1">
    <w:name w:val="Intro Heading 1"/>
    <w:basedOn w:val="Heading1"/>
    <w:semiHidden/>
    <w:qFormat/>
    <w:rsid w:val="005B653E"/>
  </w:style>
  <w:style w:type="paragraph" w:customStyle="1" w:styleId="IntroHeading2">
    <w:name w:val="Intro Heading 2"/>
    <w:semiHidden/>
    <w:qFormat/>
    <w:rsid w:val="00711DAA"/>
    <w:rPr>
      <w:rFonts w:ascii="Georgia" w:eastAsia="MS Gothic" w:hAnsi="Georgia" w:cs="Times New Roman"/>
      <w:b/>
      <w:bCs/>
      <w:color w:val="1B556B"/>
      <w:kern w:val="0"/>
      <w:sz w:val="36"/>
      <w:szCs w:val="26"/>
      <w:lang w:eastAsia="en-NZ"/>
      <w14:ligatures w14:val="none"/>
    </w:rPr>
  </w:style>
  <w:style w:type="table" w:customStyle="1" w:styleId="TableGrid30">
    <w:name w:val="Table Grid3"/>
    <w:basedOn w:val="TableNormal"/>
    <w:next w:val="TableGrid"/>
    <w:uiPriority w:val="39"/>
    <w:rsid w:val="00226ED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Gheaderstyyle">
    <w:name w:val="CHG header styyle"/>
    <w:basedOn w:val="Header"/>
    <w:semiHidden/>
    <w:qFormat/>
    <w:rsid w:val="000F2B9E"/>
    <w:pPr>
      <w:ind w:firstLine="720"/>
    </w:pPr>
    <w:rPr>
      <w:rFonts w:cs="Calibri"/>
      <w:color w:val="2C9986" w:themeColor="accent4"/>
      <w:spacing w:val="20"/>
      <w:szCs w:val="20"/>
    </w:rPr>
  </w:style>
  <w:style w:type="character" w:customStyle="1" w:styleId="AppendixHeading2Char">
    <w:name w:val="Appendix Heading 2 Char"/>
    <w:basedOn w:val="Heading2Char"/>
    <w:link w:val="AppendixHeading2"/>
    <w:semiHidden/>
    <w:rsid w:val="00310AE2"/>
    <w:rPr>
      <w:rFonts w:ascii="Georgia" w:eastAsiaTheme="majorEastAsia" w:hAnsi="Georgia" w:cstheme="majorBidi"/>
      <w:b/>
      <w:bCs/>
      <w:color w:val="1B556B"/>
      <w:kern w:val="0"/>
      <w:sz w:val="36"/>
      <w:szCs w:val="26"/>
      <w:lang w:eastAsia="en-NZ"/>
      <w14:ligatures w14:val="none"/>
    </w:rPr>
  </w:style>
  <w:style w:type="character" w:customStyle="1" w:styleId="cf01">
    <w:name w:val="cf01"/>
    <w:basedOn w:val="DefaultParagraphFont"/>
    <w:rsid w:val="00112B15"/>
    <w:rPr>
      <w:rFonts w:ascii="Segoe UI" w:hAnsi="Segoe UI" w:cs="Segoe UI" w:hint="default"/>
      <w:sz w:val="18"/>
      <w:szCs w:val="18"/>
    </w:rPr>
  </w:style>
  <w:style w:type="character" w:customStyle="1" w:styleId="normaltextrun">
    <w:name w:val="normaltextrun"/>
    <w:basedOn w:val="DefaultParagraphFont"/>
    <w:rsid w:val="008D27AE"/>
  </w:style>
  <w:style w:type="paragraph" w:customStyle="1" w:styleId="BulletFIX">
    <w:name w:val="Bullet FIX"/>
    <w:basedOn w:val="Bullet"/>
    <w:uiPriority w:val="99"/>
    <w:qFormat/>
    <w:rsid w:val="006B48DE"/>
    <w:rPr>
      <w:rFonts w:eastAsia="MS Mincho"/>
    </w:rPr>
  </w:style>
  <w:style w:type="character" w:customStyle="1" w:styleId="findhit">
    <w:name w:val="findhit"/>
    <w:basedOn w:val="DefaultParagraphFont"/>
    <w:rsid w:val="006D4DC1"/>
  </w:style>
  <w:style w:type="character" w:customStyle="1" w:styleId="eop">
    <w:name w:val="eop"/>
    <w:basedOn w:val="DefaultParagraphFont"/>
    <w:rsid w:val="006D4DC1"/>
  </w:style>
  <w:style w:type="paragraph" w:customStyle="1" w:styleId="paragraph">
    <w:name w:val="paragraph"/>
    <w:basedOn w:val="Normal"/>
    <w:rsid w:val="006D4DC1"/>
    <w:pPr>
      <w:spacing w:before="100" w:beforeAutospacing="1" w:after="100" w:afterAutospacing="1"/>
    </w:pPr>
    <w:rPr>
      <w:rFonts w:ascii="Times New Roman" w:eastAsia="Times New Roman" w:hAnsi="Times New Roman" w:cs="Times New Roman"/>
      <w:kern w:val="0"/>
      <w:lang w:eastAsia="en-NZ"/>
      <w14:ligatures w14:val="none"/>
    </w:rPr>
  </w:style>
  <w:style w:type="character" w:customStyle="1" w:styleId="ui-provider">
    <w:name w:val="ui-provider"/>
    <w:basedOn w:val="DefaultParagraphFont"/>
    <w:rsid w:val="00E5557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758">
      <w:bodyDiv w:val="1"/>
      <w:marLeft w:val="0"/>
      <w:marRight w:val="0"/>
      <w:marTop w:val="0"/>
      <w:marBottom w:val="0"/>
      <w:divBdr>
        <w:top w:val="none" w:sz="0" w:space="0" w:color="auto"/>
        <w:left w:val="none" w:sz="0" w:space="0" w:color="auto"/>
        <w:bottom w:val="none" w:sz="0" w:space="0" w:color="auto"/>
        <w:right w:val="none" w:sz="0" w:space="0" w:color="auto"/>
      </w:divBdr>
    </w:div>
    <w:div w:id="38016849">
      <w:bodyDiv w:val="1"/>
      <w:marLeft w:val="0"/>
      <w:marRight w:val="0"/>
      <w:marTop w:val="0"/>
      <w:marBottom w:val="0"/>
      <w:divBdr>
        <w:top w:val="none" w:sz="0" w:space="0" w:color="auto"/>
        <w:left w:val="none" w:sz="0" w:space="0" w:color="auto"/>
        <w:bottom w:val="none" w:sz="0" w:space="0" w:color="auto"/>
        <w:right w:val="none" w:sz="0" w:space="0" w:color="auto"/>
      </w:divBdr>
      <w:divsChild>
        <w:div w:id="314578361">
          <w:marLeft w:val="0"/>
          <w:marRight w:val="0"/>
          <w:marTop w:val="0"/>
          <w:marBottom w:val="0"/>
          <w:divBdr>
            <w:top w:val="none" w:sz="0" w:space="0" w:color="auto"/>
            <w:left w:val="none" w:sz="0" w:space="0" w:color="auto"/>
            <w:bottom w:val="none" w:sz="0" w:space="0" w:color="auto"/>
            <w:right w:val="none" w:sz="0" w:space="0" w:color="auto"/>
          </w:divBdr>
        </w:div>
        <w:div w:id="463935450">
          <w:marLeft w:val="0"/>
          <w:marRight w:val="0"/>
          <w:marTop w:val="0"/>
          <w:marBottom w:val="0"/>
          <w:divBdr>
            <w:top w:val="none" w:sz="0" w:space="0" w:color="auto"/>
            <w:left w:val="none" w:sz="0" w:space="0" w:color="auto"/>
            <w:bottom w:val="none" w:sz="0" w:space="0" w:color="auto"/>
            <w:right w:val="none" w:sz="0" w:space="0" w:color="auto"/>
          </w:divBdr>
        </w:div>
        <w:div w:id="1870947922">
          <w:marLeft w:val="0"/>
          <w:marRight w:val="0"/>
          <w:marTop w:val="0"/>
          <w:marBottom w:val="0"/>
          <w:divBdr>
            <w:top w:val="none" w:sz="0" w:space="0" w:color="auto"/>
            <w:left w:val="none" w:sz="0" w:space="0" w:color="auto"/>
            <w:bottom w:val="none" w:sz="0" w:space="0" w:color="auto"/>
            <w:right w:val="none" w:sz="0" w:space="0" w:color="auto"/>
          </w:divBdr>
        </w:div>
      </w:divsChild>
    </w:div>
    <w:div w:id="46806598">
      <w:bodyDiv w:val="1"/>
      <w:marLeft w:val="0"/>
      <w:marRight w:val="0"/>
      <w:marTop w:val="0"/>
      <w:marBottom w:val="0"/>
      <w:divBdr>
        <w:top w:val="none" w:sz="0" w:space="0" w:color="auto"/>
        <w:left w:val="none" w:sz="0" w:space="0" w:color="auto"/>
        <w:bottom w:val="none" w:sz="0" w:space="0" w:color="auto"/>
        <w:right w:val="none" w:sz="0" w:space="0" w:color="auto"/>
      </w:divBdr>
      <w:divsChild>
        <w:div w:id="612588733">
          <w:marLeft w:val="0"/>
          <w:marRight w:val="0"/>
          <w:marTop w:val="0"/>
          <w:marBottom w:val="0"/>
          <w:divBdr>
            <w:top w:val="none" w:sz="0" w:space="0" w:color="auto"/>
            <w:left w:val="none" w:sz="0" w:space="0" w:color="auto"/>
            <w:bottom w:val="none" w:sz="0" w:space="0" w:color="auto"/>
            <w:right w:val="none" w:sz="0" w:space="0" w:color="auto"/>
          </w:divBdr>
        </w:div>
        <w:div w:id="1101418983">
          <w:marLeft w:val="0"/>
          <w:marRight w:val="0"/>
          <w:marTop w:val="0"/>
          <w:marBottom w:val="0"/>
          <w:divBdr>
            <w:top w:val="none" w:sz="0" w:space="0" w:color="auto"/>
            <w:left w:val="none" w:sz="0" w:space="0" w:color="auto"/>
            <w:bottom w:val="none" w:sz="0" w:space="0" w:color="auto"/>
            <w:right w:val="none" w:sz="0" w:space="0" w:color="auto"/>
          </w:divBdr>
        </w:div>
        <w:div w:id="1475177862">
          <w:marLeft w:val="0"/>
          <w:marRight w:val="0"/>
          <w:marTop w:val="0"/>
          <w:marBottom w:val="0"/>
          <w:divBdr>
            <w:top w:val="none" w:sz="0" w:space="0" w:color="auto"/>
            <w:left w:val="none" w:sz="0" w:space="0" w:color="auto"/>
            <w:bottom w:val="none" w:sz="0" w:space="0" w:color="auto"/>
            <w:right w:val="none" w:sz="0" w:space="0" w:color="auto"/>
          </w:divBdr>
        </w:div>
        <w:div w:id="1513451427">
          <w:marLeft w:val="0"/>
          <w:marRight w:val="0"/>
          <w:marTop w:val="0"/>
          <w:marBottom w:val="0"/>
          <w:divBdr>
            <w:top w:val="none" w:sz="0" w:space="0" w:color="auto"/>
            <w:left w:val="none" w:sz="0" w:space="0" w:color="auto"/>
            <w:bottom w:val="none" w:sz="0" w:space="0" w:color="auto"/>
            <w:right w:val="none" w:sz="0" w:space="0" w:color="auto"/>
          </w:divBdr>
        </w:div>
        <w:div w:id="1820264902">
          <w:marLeft w:val="0"/>
          <w:marRight w:val="0"/>
          <w:marTop w:val="0"/>
          <w:marBottom w:val="0"/>
          <w:divBdr>
            <w:top w:val="none" w:sz="0" w:space="0" w:color="auto"/>
            <w:left w:val="none" w:sz="0" w:space="0" w:color="auto"/>
            <w:bottom w:val="none" w:sz="0" w:space="0" w:color="auto"/>
            <w:right w:val="none" w:sz="0" w:space="0" w:color="auto"/>
          </w:divBdr>
        </w:div>
        <w:div w:id="1959291970">
          <w:marLeft w:val="0"/>
          <w:marRight w:val="0"/>
          <w:marTop w:val="0"/>
          <w:marBottom w:val="0"/>
          <w:divBdr>
            <w:top w:val="none" w:sz="0" w:space="0" w:color="auto"/>
            <w:left w:val="none" w:sz="0" w:space="0" w:color="auto"/>
            <w:bottom w:val="none" w:sz="0" w:space="0" w:color="auto"/>
            <w:right w:val="none" w:sz="0" w:space="0" w:color="auto"/>
          </w:divBdr>
        </w:div>
      </w:divsChild>
    </w:div>
    <w:div w:id="65033044">
      <w:bodyDiv w:val="1"/>
      <w:marLeft w:val="0"/>
      <w:marRight w:val="0"/>
      <w:marTop w:val="0"/>
      <w:marBottom w:val="0"/>
      <w:divBdr>
        <w:top w:val="none" w:sz="0" w:space="0" w:color="auto"/>
        <w:left w:val="none" w:sz="0" w:space="0" w:color="auto"/>
        <w:bottom w:val="none" w:sz="0" w:space="0" w:color="auto"/>
        <w:right w:val="none" w:sz="0" w:space="0" w:color="auto"/>
      </w:divBdr>
    </w:div>
    <w:div w:id="113868021">
      <w:bodyDiv w:val="1"/>
      <w:marLeft w:val="0"/>
      <w:marRight w:val="0"/>
      <w:marTop w:val="0"/>
      <w:marBottom w:val="0"/>
      <w:divBdr>
        <w:top w:val="none" w:sz="0" w:space="0" w:color="auto"/>
        <w:left w:val="none" w:sz="0" w:space="0" w:color="auto"/>
        <w:bottom w:val="none" w:sz="0" w:space="0" w:color="auto"/>
        <w:right w:val="none" w:sz="0" w:space="0" w:color="auto"/>
      </w:divBdr>
    </w:div>
    <w:div w:id="122770220">
      <w:bodyDiv w:val="1"/>
      <w:marLeft w:val="0"/>
      <w:marRight w:val="0"/>
      <w:marTop w:val="0"/>
      <w:marBottom w:val="0"/>
      <w:divBdr>
        <w:top w:val="none" w:sz="0" w:space="0" w:color="auto"/>
        <w:left w:val="none" w:sz="0" w:space="0" w:color="auto"/>
        <w:bottom w:val="none" w:sz="0" w:space="0" w:color="auto"/>
        <w:right w:val="none" w:sz="0" w:space="0" w:color="auto"/>
      </w:divBdr>
    </w:div>
    <w:div w:id="130174733">
      <w:bodyDiv w:val="1"/>
      <w:marLeft w:val="0"/>
      <w:marRight w:val="0"/>
      <w:marTop w:val="0"/>
      <w:marBottom w:val="0"/>
      <w:divBdr>
        <w:top w:val="none" w:sz="0" w:space="0" w:color="auto"/>
        <w:left w:val="none" w:sz="0" w:space="0" w:color="auto"/>
        <w:bottom w:val="none" w:sz="0" w:space="0" w:color="auto"/>
        <w:right w:val="none" w:sz="0" w:space="0" w:color="auto"/>
      </w:divBdr>
    </w:div>
    <w:div w:id="137113779">
      <w:bodyDiv w:val="1"/>
      <w:marLeft w:val="0"/>
      <w:marRight w:val="0"/>
      <w:marTop w:val="0"/>
      <w:marBottom w:val="0"/>
      <w:divBdr>
        <w:top w:val="none" w:sz="0" w:space="0" w:color="auto"/>
        <w:left w:val="none" w:sz="0" w:space="0" w:color="auto"/>
        <w:bottom w:val="none" w:sz="0" w:space="0" w:color="auto"/>
        <w:right w:val="none" w:sz="0" w:space="0" w:color="auto"/>
      </w:divBdr>
    </w:div>
    <w:div w:id="159348947">
      <w:bodyDiv w:val="1"/>
      <w:marLeft w:val="0"/>
      <w:marRight w:val="0"/>
      <w:marTop w:val="0"/>
      <w:marBottom w:val="0"/>
      <w:divBdr>
        <w:top w:val="none" w:sz="0" w:space="0" w:color="auto"/>
        <w:left w:val="none" w:sz="0" w:space="0" w:color="auto"/>
        <w:bottom w:val="none" w:sz="0" w:space="0" w:color="auto"/>
        <w:right w:val="none" w:sz="0" w:space="0" w:color="auto"/>
      </w:divBdr>
      <w:divsChild>
        <w:div w:id="576521760">
          <w:marLeft w:val="0"/>
          <w:marRight w:val="0"/>
          <w:marTop w:val="0"/>
          <w:marBottom w:val="0"/>
          <w:divBdr>
            <w:top w:val="none" w:sz="0" w:space="0" w:color="auto"/>
            <w:left w:val="none" w:sz="0" w:space="0" w:color="auto"/>
            <w:bottom w:val="none" w:sz="0" w:space="0" w:color="auto"/>
            <w:right w:val="none" w:sz="0" w:space="0" w:color="auto"/>
          </w:divBdr>
        </w:div>
        <w:div w:id="1009137553">
          <w:marLeft w:val="0"/>
          <w:marRight w:val="0"/>
          <w:marTop w:val="0"/>
          <w:marBottom w:val="0"/>
          <w:divBdr>
            <w:top w:val="none" w:sz="0" w:space="0" w:color="auto"/>
            <w:left w:val="none" w:sz="0" w:space="0" w:color="auto"/>
            <w:bottom w:val="none" w:sz="0" w:space="0" w:color="auto"/>
            <w:right w:val="none" w:sz="0" w:space="0" w:color="auto"/>
          </w:divBdr>
        </w:div>
        <w:div w:id="1047728874">
          <w:marLeft w:val="0"/>
          <w:marRight w:val="0"/>
          <w:marTop w:val="0"/>
          <w:marBottom w:val="0"/>
          <w:divBdr>
            <w:top w:val="none" w:sz="0" w:space="0" w:color="auto"/>
            <w:left w:val="none" w:sz="0" w:space="0" w:color="auto"/>
            <w:bottom w:val="none" w:sz="0" w:space="0" w:color="auto"/>
            <w:right w:val="none" w:sz="0" w:space="0" w:color="auto"/>
          </w:divBdr>
        </w:div>
        <w:div w:id="1201087443">
          <w:marLeft w:val="0"/>
          <w:marRight w:val="0"/>
          <w:marTop w:val="0"/>
          <w:marBottom w:val="0"/>
          <w:divBdr>
            <w:top w:val="none" w:sz="0" w:space="0" w:color="auto"/>
            <w:left w:val="none" w:sz="0" w:space="0" w:color="auto"/>
            <w:bottom w:val="none" w:sz="0" w:space="0" w:color="auto"/>
            <w:right w:val="none" w:sz="0" w:space="0" w:color="auto"/>
          </w:divBdr>
        </w:div>
        <w:div w:id="1730179905">
          <w:marLeft w:val="0"/>
          <w:marRight w:val="0"/>
          <w:marTop w:val="0"/>
          <w:marBottom w:val="0"/>
          <w:divBdr>
            <w:top w:val="none" w:sz="0" w:space="0" w:color="auto"/>
            <w:left w:val="none" w:sz="0" w:space="0" w:color="auto"/>
            <w:bottom w:val="none" w:sz="0" w:space="0" w:color="auto"/>
            <w:right w:val="none" w:sz="0" w:space="0" w:color="auto"/>
          </w:divBdr>
        </w:div>
      </w:divsChild>
    </w:div>
    <w:div w:id="165825288">
      <w:bodyDiv w:val="1"/>
      <w:marLeft w:val="0"/>
      <w:marRight w:val="0"/>
      <w:marTop w:val="0"/>
      <w:marBottom w:val="0"/>
      <w:divBdr>
        <w:top w:val="none" w:sz="0" w:space="0" w:color="auto"/>
        <w:left w:val="none" w:sz="0" w:space="0" w:color="auto"/>
        <w:bottom w:val="none" w:sz="0" w:space="0" w:color="auto"/>
        <w:right w:val="none" w:sz="0" w:space="0" w:color="auto"/>
      </w:divBdr>
    </w:div>
    <w:div w:id="197353036">
      <w:bodyDiv w:val="1"/>
      <w:marLeft w:val="0"/>
      <w:marRight w:val="0"/>
      <w:marTop w:val="0"/>
      <w:marBottom w:val="0"/>
      <w:divBdr>
        <w:top w:val="none" w:sz="0" w:space="0" w:color="auto"/>
        <w:left w:val="none" w:sz="0" w:space="0" w:color="auto"/>
        <w:bottom w:val="none" w:sz="0" w:space="0" w:color="auto"/>
        <w:right w:val="none" w:sz="0" w:space="0" w:color="auto"/>
      </w:divBdr>
    </w:div>
    <w:div w:id="202329389">
      <w:bodyDiv w:val="1"/>
      <w:marLeft w:val="0"/>
      <w:marRight w:val="0"/>
      <w:marTop w:val="0"/>
      <w:marBottom w:val="0"/>
      <w:divBdr>
        <w:top w:val="none" w:sz="0" w:space="0" w:color="auto"/>
        <w:left w:val="none" w:sz="0" w:space="0" w:color="auto"/>
        <w:bottom w:val="none" w:sz="0" w:space="0" w:color="auto"/>
        <w:right w:val="none" w:sz="0" w:space="0" w:color="auto"/>
      </w:divBdr>
      <w:divsChild>
        <w:div w:id="392310998">
          <w:marLeft w:val="0"/>
          <w:marRight w:val="0"/>
          <w:marTop w:val="0"/>
          <w:marBottom w:val="0"/>
          <w:divBdr>
            <w:top w:val="none" w:sz="0" w:space="0" w:color="auto"/>
            <w:left w:val="none" w:sz="0" w:space="0" w:color="auto"/>
            <w:bottom w:val="none" w:sz="0" w:space="0" w:color="auto"/>
            <w:right w:val="none" w:sz="0" w:space="0" w:color="auto"/>
          </w:divBdr>
        </w:div>
        <w:div w:id="494538857">
          <w:marLeft w:val="0"/>
          <w:marRight w:val="0"/>
          <w:marTop w:val="0"/>
          <w:marBottom w:val="0"/>
          <w:divBdr>
            <w:top w:val="none" w:sz="0" w:space="0" w:color="auto"/>
            <w:left w:val="none" w:sz="0" w:space="0" w:color="auto"/>
            <w:bottom w:val="none" w:sz="0" w:space="0" w:color="auto"/>
            <w:right w:val="none" w:sz="0" w:space="0" w:color="auto"/>
          </w:divBdr>
        </w:div>
        <w:div w:id="1983149224">
          <w:marLeft w:val="0"/>
          <w:marRight w:val="0"/>
          <w:marTop w:val="0"/>
          <w:marBottom w:val="0"/>
          <w:divBdr>
            <w:top w:val="none" w:sz="0" w:space="0" w:color="auto"/>
            <w:left w:val="none" w:sz="0" w:space="0" w:color="auto"/>
            <w:bottom w:val="none" w:sz="0" w:space="0" w:color="auto"/>
            <w:right w:val="none" w:sz="0" w:space="0" w:color="auto"/>
          </w:divBdr>
        </w:div>
      </w:divsChild>
    </w:div>
    <w:div w:id="214589923">
      <w:bodyDiv w:val="1"/>
      <w:marLeft w:val="0"/>
      <w:marRight w:val="0"/>
      <w:marTop w:val="0"/>
      <w:marBottom w:val="0"/>
      <w:divBdr>
        <w:top w:val="none" w:sz="0" w:space="0" w:color="auto"/>
        <w:left w:val="none" w:sz="0" w:space="0" w:color="auto"/>
        <w:bottom w:val="none" w:sz="0" w:space="0" w:color="auto"/>
        <w:right w:val="none" w:sz="0" w:space="0" w:color="auto"/>
      </w:divBdr>
    </w:div>
    <w:div w:id="230429508">
      <w:bodyDiv w:val="1"/>
      <w:marLeft w:val="0"/>
      <w:marRight w:val="0"/>
      <w:marTop w:val="0"/>
      <w:marBottom w:val="0"/>
      <w:divBdr>
        <w:top w:val="none" w:sz="0" w:space="0" w:color="auto"/>
        <w:left w:val="none" w:sz="0" w:space="0" w:color="auto"/>
        <w:bottom w:val="none" w:sz="0" w:space="0" w:color="auto"/>
        <w:right w:val="none" w:sz="0" w:space="0" w:color="auto"/>
      </w:divBdr>
    </w:div>
    <w:div w:id="246350074">
      <w:bodyDiv w:val="1"/>
      <w:marLeft w:val="0"/>
      <w:marRight w:val="0"/>
      <w:marTop w:val="0"/>
      <w:marBottom w:val="0"/>
      <w:divBdr>
        <w:top w:val="none" w:sz="0" w:space="0" w:color="auto"/>
        <w:left w:val="none" w:sz="0" w:space="0" w:color="auto"/>
        <w:bottom w:val="none" w:sz="0" w:space="0" w:color="auto"/>
        <w:right w:val="none" w:sz="0" w:space="0" w:color="auto"/>
      </w:divBdr>
      <w:divsChild>
        <w:div w:id="19472490">
          <w:marLeft w:val="0"/>
          <w:marRight w:val="0"/>
          <w:marTop w:val="0"/>
          <w:marBottom w:val="0"/>
          <w:divBdr>
            <w:top w:val="none" w:sz="0" w:space="0" w:color="auto"/>
            <w:left w:val="none" w:sz="0" w:space="0" w:color="auto"/>
            <w:bottom w:val="none" w:sz="0" w:space="0" w:color="auto"/>
            <w:right w:val="none" w:sz="0" w:space="0" w:color="auto"/>
          </w:divBdr>
        </w:div>
        <w:div w:id="23140154">
          <w:marLeft w:val="0"/>
          <w:marRight w:val="0"/>
          <w:marTop w:val="0"/>
          <w:marBottom w:val="0"/>
          <w:divBdr>
            <w:top w:val="none" w:sz="0" w:space="0" w:color="auto"/>
            <w:left w:val="none" w:sz="0" w:space="0" w:color="auto"/>
            <w:bottom w:val="none" w:sz="0" w:space="0" w:color="auto"/>
            <w:right w:val="none" w:sz="0" w:space="0" w:color="auto"/>
          </w:divBdr>
        </w:div>
        <w:div w:id="335231724">
          <w:marLeft w:val="0"/>
          <w:marRight w:val="0"/>
          <w:marTop w:val="0"/>
          <w:marBottom w:val="0"/>
          <w:divBdr>
            <w:top w:val="none" w:sz="0" w:space="0" w:color="auto"/>
            <w:left w:val="none" w:sz="0" w:space="0" w:color="auto"/>
            <w:bottom w:val="none" w:sz="0" w:space="0" w:color="auto"/>
            <w:right w:val="none" w:sz="0" w:space="0" w:color="auto"/>
          </w:divBdr>
        </w:div>
      </w:divsChild>
    </w:div>
    <w:div w:id="278295528">
      <w:bodyDiv w:val="1"/>
      <w:marLeft w:val="0"/>
      <w:marRight w:val="0"/>
      <w:marTop w:val="0"/>
      <w:marBottom w:val="0"/>
      <w:divBdr>
        <w:top w:val="none" w:sz="0" w:space="0" w:color="auto"/>
        <w:left w:val="none" w:sz="0" w:space="0" w:color="auto"/>
        <w:bottom w:val="none" w:sz="0" w:space="0" w:color="auto"/>
        <w:right w:val="none" w:sz="0" w:space="0" w:color="auto"/>
      </w:divBdr>
    </w:div>
    <w:div w:id="293760583">
      <w:bodyDiv w:val="1"/>
      <w:marLeft w:val="0"/>
      <w:marRight w:val="0"/>
      <w:marTop w:val="0"/>
      <w:marBottom w:val="0"/>
      <w:divBdr>
        <w:top w:val="none" w:sz="0" w:space="0" w:color="auto"/>
        <w:left w:val="none" w:sz="0" w:space="0" w:color="auto"/>
        <w:bottom w:val="none" w:sz="0" w:space="0" w:color="auto"/>
        <w:right w:val="none" w:sz="0" w:space="0" w:color="auto"/>
      </w:divBdr>
    </w:div>
    <w:div w:id="317421775">
      <w:bodyDiv w:val="1"/>
      <w:marLeft w:val="0"/>
      <w:marRight w:val="0"/>
      <w:marTop w:val="0"/>
      <w:marBottom w:val="0"/>
      <w:divBdr>
        <w:top w:val="none" w:sz="0" w:space="0" w:color="auto"/>
        <w:left w:val="none" w:sz="0" w:space="0" w:color="auto"/>
        <w:bottom w:val="none" w:sz="0" w:space="0" w:color="auto"/>
        <w:right w:val="none" w:sz="0" w:space="0" w:color="auto"/>
      </w:divBdr>
    </w:div>
    <w:div w:id="357317849">
      <w:bodyDiv w:val="1"/>
      <w:marLeft w:val="0"/>
      <w:marRight w:val="0"/>
      <w:marTop w:val="0"/>
      <w:marBottom w:val="0"/>
      <w:divBdr>
        <w:top w:val="none" w:sz="0" w:space="0" w:color="auto"/>
        <w:left w:val="none" w:sz="0" w:space="0" w:color="auto"/>
        <w:bottom w:val="none" w:sz="0" w:space="0" w:color="auto"/>
        <w:right w:val="none" w:sz="0" w:space="0" w:color="auto"/>
      </w:divBdr>
    </w:div>
    <w:div w:id="377439696">
      <w:bodyDiv w:val="1"/>
      <w:marLeft w:val="0"/>
      <w:marRight w:val="0"/>
      <w:marTop w:val="0"/>
      <w:marBottom w:val="0"/>
      <w:divBdr>
        <w:top w:val="none" w:sz="0" w:space="0" w:color="auto"/>
        <w:left w:val="none" w:sz="0" w:space="0" w:color="auto"/>
        <w:bottom w:val="none" w:sz="0" w:space="0" w:color="auto"/>
        <w:right w:val="none" w:sz="0" w:space="0" w:color="auto"/>
      </w:divBdr>
      <w:divsChild>
        <w:div w:id="36052231">
          <w:marLeft w:val="0"/>
          <w:marRight w:val="0"/>
          <w:marTop w:val="0"/>
          <w:marBottom w:val="0"/>
          <w:divBdr>
            <w:top w:val="none" w:sz="0" w:space="0" w:color="auto"/>
            <w:left w:val="none" w:sz="0" w:space="0" w:color="auto"/>
            <w:bottom w:val="none" w:sz="0" w:space="0" w:color="auto"/>
            <w:right w:val="none" w:sz="0" w:space="0" w:color="auto"/>
          </w:divBdr>
          <w:divsChild>
            <w:div w:id="2013869240">
              <w:marLeft w:val="0"/>
              <w:marRight w:val="0"/>
              <w:marTop w:val="0"/>
              <w:marBottom w:val="0"/>
              <w:divBdr>
                <w:top w:val="none" w:sz="0" w:space="0" w:color="auto"/>
                <w:left w:val="none" w:sz="0" w:space="0" w:color="auto"/>
                <w:bottom w:val="none" w:sz="0" w:space="0" w:color="auto"/>
                <w:right w:val="none" w:sz="0" w:space="0" w:color="auto"/>
              </w:divBdr>
            </w:div>
          </w:divsChild>
        </w:div>
        <w:div w:id="69666978">
          <w:marLeft w:val="0"/>
          <w:marRight w:val="0"/>
          <w:marTop w:val="0"/>
          <w:marBottom w:val="0"/>
          <w:divBdr>
            <w:top w:val="none" w:sz="0" w:space="0" w:color="auto"/>
            <w:left w:val="none" w:sz="0" w:space="0" w:color="auto"/>
            <w:bottom w:val="none" w:sz="0" w:space="0" w:color="auto"/>
            <w:right w:val="none" w:sz="0" w:space="0" w:color="auto"/>
          </w:divBdr>
          <w:divsChild>
            <w:div w:id="375549423">
              <w:marLeft w:val="0"/>
              <w:marRight w:val="0"/>
              <w:marTop w:val="0"/>
              <w:marBottom w:val="0"/>
              <w:divBdr>
                <w:top w:val="none" w:sz="0" w:space="0" w:color="auto"/>
                <w:left w:val="none" w:sz="0" w:space="0" w:color="auto"/>
                <w:bottom w:val="none" w:sz="0" w:space="0" w:color="auto"/>
                <w:right w:val="none" w:sz="0" w:space="0" w:color="auto"/>
              </w:divBdr>
            </w:div>
          </w:divsChild>
        </w:div>
        <w:div w:id="86275194">
          <w:marLeft w:val="0"/>
          <w:marRight w:val="0"/>
          <w:marTop w:val="0"/>
          <w:marBottom w:val="0"/>
          <w:divBdr>
            <w:top w:val="none" w:sz="0" w:space="0" w:color="auto"/>
            <w:left w:val="none" w:sz="0" w:space="0" w:color="auto"/>
            <w:bottom w:val="none" w:sz="0" w:space="0" w:color="auto"/>
            <w:right w:val="none" w:sz="0" w:space="0" w:color="auto"/>
          </w:divBdr>
          <w:divsChild>
            <w:div w:id="1009024809">
              <w:marLeft w:val="0"/>
              <w:marRight w:val="0"/>
              <w:marTop w:val="0"/>
              <w:marBottom w:val="0"/>
              <w:divBdr>
                <w:top w:val="none" w:sz="0" w:space="0" w:color="auto"/>
                <w:left w:val="none" w:sz="0" w:space="0" w:color="auto"/>
                <w:bottom w:val="none" w:sz="0" w:space="0" w:color="auto"/>
                <w:right w:val="none" w:sz="0" w:space="0" w:color="auto"/>
              </w:divBdr>
            </w:div>
          </w:divsChild>
        </w:div>
        <w:div w:id="105319973">
          <w:marLeft w:val="0"/>
          <w:marRight w:val="0"/>
          <w:marTop w:val="0"/>
          <w:marBottom w:val="0"/>
          <w:divBdr>
            <w:top w:val="none" w:sz="0" w:space="0" w:color="auto"/>
            <w:left w:val="none" w:sz="0" w:space="0" w:color="auto"/>
            <w:bottom w:val="none" w:sz="0" w:space="0" w:color="auto"/>
            <w:right w:val="none" w:sz="0" w:space="0" w:color="auto"/>
          </w:divBdr>
          <w:divsChild>
            <w:div w:id="1316226409">
              <w:marLeft w:val="0"/>
              <w:marRight w:val="0"/>
              <w:marTop w:val="0"/>
              <w:marBottom w:val="0"/>
              <w:divBdr>
                <w:top w:val="none" w:sz="0" w:space="0" w:color="auto"/>
                <w:left w:val="none" w:sz="0" w:space="0" w:color="auto"/>
                <w:bottom w:val="none" w:sz="0" w:space="0" w:color="auto"/>
                <w:right w:val="none" w:sz="0" w:space="0" w:color="auto"/>
              </w:divBdr>
            </w:div>
          </w:divsChild>
        </w:div>
        <w:div w:id="115099058">
          <w:marLeft w:val="0"/>
          <w:marRight w:val="0"/>
          <w:marTop w:val="0"/>
          <w:marBottom w:val="0"/>
          <w:divBdr>
            <w:top w:val="none" w:sz="0" w:space="0" w:color="auto"/>
            <w:left w:val="none" w:sz="0" w:space="0" w:color="auto"/>
            <w:bottom w:val="none" w:sz="0" w:space="0" w:color="auto"/>
            <w:right w:val="none" w:sz="0" w:space="0" w:color="auto"/>
          </w:divBdr>
          <w:divsChild>
            <w:div w:id="211693014">
              <w:marLeft w:val="0"/>
              <w:marRight w:val="0"/>
              <w:marTop w:val="0"/>
              <w:marBottom w:val="0"/>
              <w:divBdr>
                <w:top w:val="none" w:sz="0" w:space="0" w:color="auto"/>
                <w:left w:val="none" w:sz="0" w:space="0" w:color="auto"/>
                <w:bottom w:val="none" w:sz="0" w:space="0" w:color="auto"/>
                <w:right w:val="none" w:sz="0" w:space="0" w:color="auto"/>
              </w:divBdr>
            </w:div>
          </w:divsChild>
        </w:div>
        <w:div w:id="115175826">
          <w:marLeft w:val="0"/>
          <w:marRight w:val="0"/>
          <w:marTop w:val="0"/>
          <w:marBottom w:val="0"/>
          <w:divBdr>
            <w:top w:val="none" w:sz="0" w:space="0" w:color="auto"/>
            <w:left w:val="none" w:sz="0" w:space="0" w:color="auto"/>
            <w:bottom w:val="none" w:sz="0" w:space="0" w:color="auto"/>
            <w:right w:val="none" w:sz="0" w:space="0" w:color="auto"/>
          </w:divBdr>
          <w:divsChild>
            <w:div w:id="1591812342">
              <w:marLeft w:val="0"/>
              <w:marRight w:val="0"/>
              <w:marTop w:val="0"/>
              <w:marBottom w:val="0"/>
              <w:divBdr>
                <w:top w:val="none" w:sz="0" w:space="0" w:color="auto"/>
                <w:left w:val="none" w:sz="0" w:space="0" w:color="auto"/>
                <w:bottom w:val="none" w:sz="0" w:space="0" w:color="auto"/>
                <w:right w:val="none" w:sz="0" w:space="0" w:color="auto"/>
              </w:divBdr>
            </w:div>
          </w:divsChild>
        </w:div>
        <w:div w:id="157615603">
          <w:marLeft w:val="0"/>
          <w:marRight w:val="0"/>
          <w:marTop w:val="0"/>
          <w:marBottom w:val="0"/>
          <w:divBdr>
            <w:top w:val="none" w:sz="0" w:space="0" w:color="auto"/>
            <w:left w:val="none" w:sz="0" w:space="0" w:color="auto"/>
            <w:bottom w:val="none" w:sz="0" w:space="0" w:color="auto"/>
            <w:right w:val="none" w:sz="0" w:space="0" w:color="auto"/>
          </w:divBdr>
          <w:divsChild>
            <w:div w:id="920137838">
              <w:marLeft w:val="0"/>
              <w:marRight w:val="0"/>
              <w:marTop w:val="0"/>
              <w:marBottom w:val="0"/>
              <w:divBdr>
                <w:top w:val="none" w:sz="0" w:space="0" w:color="auto"/>
                <w:left w:val="none" w:sz="0" w:space="0" w:color="auto"/>
                <w:bottom w:val="none" w:sz="0" w:space="0" w:color="auto"/>
                <w:right w:val="none" w:sz="0" w:space="0" w:color="auto"/>
              </w:divBdr>
            </w:div>
          </w:divsChild>
        </w:div>
        <w:div w:id="183134550">
          <w:marLeft w:val="0"/>
          <w:marRight w:val="0"/>
          <w:marTop w:val="0"/>
          <w:marBottom w:val="0"/>
          <w:divBdr>
            <w:top w:val="none" w:sz="0" w:space="0" w:color="auto"/>
            <w:left w:val="none" w:sz="0" w:space="0" w:color="auto"/>
            <w:bottom w:val="none" w:sz="0" w:space="0" w:color="auto"/>
            <w:right w:val="none" w:sz="0" w:space="0" w:color="auto"/>
          </w:divBdr>
          <w:divsChild>
            <w:div w:id="1117800210">
              <w:marLeft w:val="0"/>
              <w:marRight w:val="0"/>
              <w:marTop w:val="0"/>
              <w:marBottom w:val="0"/>
              <w:divBdr>
                <w:top w:val="none" w:sz="0" w:space="0" w:color="auto"/>
                <w:left w:val="none" w:sz="0" w:space="0" w:color="auto"/>
                <w:bottom w:val="none" w:sz="0" w:space="0" w:color="auto"/>
                <w:right w:val="none" w:sz="0" w:space="0" w:color="auto"/>
              </w:divBdr>
            </w:div>
          </w:divsChild>
        </w:div>
        <w:div w:id="192043037">
          <w:marLeft w:val="0"/>
          <w:marRight w:val="0"/>
          <w:marTop w:val="0"/>
          <w:marBottom w:val="0"/>
          <w:divBdr>
            <w:top w:val="none" w:sz="0" w:space="0" w:color="auto"/>
            <w:left w:val="none" w:sz="0" w:space="0" w:color="auto"/>
            <w:bottom w:val="none" w:sz="0" w:space="0" w:color="auto"/>
            <w:right w:val="none" w:sz="0" w:space="0" w:color="auto"/>
          </w:divBdr>
          <w:divsChild>
            <w:div w:id="944268115">
              <w:marLeft w:val="0"/>
              <w:marRight w:val="0"/>
              <w:marTop w:val="0"/>
              <w:marBottom w:val="0"/>
              <w:divBdr>
                <w:top w:val="none" w:sz="0" w:space="0" w:color="auto"/>
                <w:left w:val="none" w:sz="0" w:space="0" w:color="auto"/>
                <w:bottom w:val="none" w:sz="0" w:space="0" w:color="auto"/>
                <w:right w:val="none" w:sz="0" w:space="0" w:color="auto"/>
              </w:divBdr>
            </w:div>
          </w:divsChild>
        </w:div>
        <w:div w:id="196549020">
          <w:marLeft w:val="0"/>
          <w:marRight w:val="0"/>
          <w:marTop w:val="0"/>
          <w:marBottom w:val="0"/>
          <w:divBdr>
            <w:top w:val="none" w:sz="0" w:space="0" w:color="auto"/>
            <w:left w:val="none" w:sz="0" w:space="0" w:color="auto"/>
            <w:bottom w:val="none" w:sz="0" w:space="0" w:color="auto"/>
            <w:right w:val="none" w:sz="0" w:space="0" w:color="auto"/>
          </w:divBdr>
          <w:divsChild>
            <w:div w:id="1246065559">
              <w:marLeft w:val="0"/>
              <w:marRight w:val="0"/>
              <w:marTop w:val="0"/>
              <w:marBottom w:val="0"/>
              <w:divBdr>
                <w:top w:val="none" w:sz="0" w:space="0" w:color="auto"/>
                <w:left w:val="none" w:sz="0" w:space="0" w:color="auto"/>
                <w:bottom w:val="none" w:sz="0" w:space="0" w:color="auto"/>
                <w:right w:val="none" w:sz="0" w:space="0" w:color="auto"/>
              </w:divBdr>
            </w:div>
          </w:divsChild>
        </w:div>
        <w:div w:id="227348469">
          <w:marLeft w:val="0"/>
          <w:marRight w:val="0"/>
          <w:marTop w:val="0"/>
          <w:marBottom w:val="0"/>
          <w:divBdr>
            <w:top w:val="none" w:sz="0" w:space="0" w:color="auto"/>
            <w:left w:val="none" w:sz="0" w:space="0" w:color="auto"/>
            <w:bottom w:val="none" w:sz="0" w:space="0" w:color="auto"/>
            <w:right w:val="none" w:sz="0" w:space="0" w:color="auto"/>
          </w:divBdr>
          <w:divsChild>
            <w:div w:id="272593782">
              <w:marLeft w:val="0"/>
              <w:marRight w:val="0"/>
              <w:marTop w:val="0"/>
              <w:marBottom w:val="0"/>
              <w:divBdr>
                <w:top w:val="none" w:sz="0" w:space="0" w:color="auto"/>
                <w:left w:val="none" w:sz="0" w:space="0" w:color="auto"/>
                <w:bottom w:val="none" w:sz="0" w:space="0" w:color="auto"/>
                <w:right w:val="none" w:sz="0" w:space="0" w:color="auto"/>
              </w:divBdr>
            </w:div>
          </w:divsChild>
        </w:div>
        <w:div w:id="229314946">
          <w:marLeft w:val="0"/>
          <w:marRight w:val="0"/>
          <w:marTop w:val="0"/>
          <w:marBottom w:val="0"/>
          <w:divBdr>
            <w:top w:val="none" w:sz="0" w:space="0" w:color="auto"/>
            <w:left w:val="none" w:sz="0" w:space="0" w:color="auto"/>
            <w:bottom w:val="none" w:sz="0" w:space="0" w:color="auto"/>
            <w:right w:val="none" w:sz="0" w:space="0" w:color="auto"/>
          </w:divBdr>
          <w:divsChild>
            <w:div w:id="987897762">
              <w:marLeft w:val="0"/>
              <w:marRight w:val="0"/>
              <w:marTop w:val="0"/>
              <w:marBottom w:val="0"/>
              <w:divBdr>
                <w:top w:val="none" w:sz="0" w:space="0" w:color="auto"/>
                <w:left w:val="none" w:sz="0" w:space="0" w:color="auto"/>
                <w:bottom w:val="none" w:sz="0" w:space="0" w:color="auto"/>
                <w:right w:val="none" w:sz="0" w:space="0" w:color="auto"/>
              </w:divBdr>
            </w:div>
          </w:divsChild>
        </w:div>
        <w:div w:id="276646646">
          <w:marLeft w:val="0"/>
          <w:marRight w:val="0"/>
          <w:marTop w:val="0"/>
          <w:marBottom w:val="0"/>
          <w:divBdr>
            <w:top w:val="none" w:sz="0" w:space="0" w:color="auto"/>
            <w:left w:val="none" w:sz="0" w:space="0" w:color="auto"/>
            <w:bottom w:val="none" w:sz="0" w:space="0" w:color="auto"/>
            <w:right w:val="none" w:sz="0" w:space="0" w:color="auto"/>
          </w:divBdr>
          <w:divsChild>
            <w:div w:id="1923292379">
              <w:marLeft w:val="0"/>
              <w:marRight w:val="0"/>
              <w:marTop w:val="0"/>
              <w:marBottom w:val="0"/>
              <w:divBdr>
                <w:top w:val="none" w:sz="0" w:space="0" w:color="auto"/>
                <w:left w:val="none" w:sz="0" w:space="0" w:color="auto"/>
                <w:bottom w:val="none" w:sz="0" w:space="0" w:color="auto"/>
                <w:right w:val="none" w:sz="0" w:space="0" w:color="auto"/>
              </w:divBdr>
            </w:div>
          </w:divsChild>
        </w:div>
        <w:div w:id="289866262">
          <w:marLeft w:val="0"/>
          <w:marRight w:val="0"/>
          <w:marTop w:val="0"/>
          <w:marBottom w:val="0"/>
          <w:divBdr>
            <w:top w:val="none" w:sz="0" w:space="0" w:color="auto"/>
            <w:left w:val="none" w:sz="0" w:space="0" w:color="auto"/>
            <w:bottom w:val="none" w:sz="0" w:space="0" w:color="auto"/>
            <w:right w:val="none" w:sz="0" w:space="0" w:color="auto"/>
          </w:divBdr>
          <w:divsChild>
            <w:div w:id="1783836185">
              <w:marLeft w:val="0"/>
              <w:marRight w:val="0"/>
              <w:marTop w:val="0"/>
              <w:marBottom w:val="0"/>
              <w:divBdr>
                <w:top w:val="none" w:sz="0" w:space="0" w:color="auto"/>
                <w:left w:val="none" w:sz="0" w:space="0" w:color="auto"/>
                <w:bottom w:val="none" w:sz="0" w:space="0" w:color="auto"/>
                <w:right w:val="none" w:sz="0" w:space="0" w:color="auto"/>
              </w:divBdr>
            </w:div>
          </w:divsChild>
        </w:div>
        <w:div w:id="296377417">
          <w:marLeft w:val="0"/>
          <w:marRight w:val="0"/>
          <w:marTop w:val="0"/>
          <w:marBottom w:val="0"/>
          <w:divBdr>
            <w:top w:val="none" w:sz="0" w:space="0" w:color="auto"/>
            <w:left w:val="none" w:sz="0" w:space="0" w:color="auto"/>
            <w:bottom w:val="none" w:sz="0" w:space="0" w:color="auto"/>
            <w:right w:val="none" w:sz="0" w:space="0" w:color="auto"/>
          </w:divBdr>
          <w:divsChild>
            <w:div w:id="1086805729">
              <w:marLeft w:val="0"/>
              <w:marRight w:val="0"/>
              <w:marTop w:val="0"/>
              <w:marBottom w:val="0"/>
              <w:divBdr>
                <w:top w:val="none" w:sz="0" w:space="0" w:color="auto"/>
                <w:left w:val="none" w:sz="0" w:space="0" w:color="auto"/>
                <w:bottom w:val="none" w:sz="0" w:space="0" w:color="auto"/>
                <w:right w:val="none" w:sz="0" w:space="0" w:color="auto"/>
              </w:divBdr>
            </w:div>
          </w:divsChild>
        </w:div>
        <w:div w:id="306784142">
          <w:marLeft w:val="0"/>
          <w:marRight w:val="0"/>
          <w:marTop w:val="0"/>
          <w:marBottom w:val="0"/>
          <w:divBdr>
            <w:top w:val="none" w:sz="0" w:space="0" w:color="auto"/>
            <w:left w:val="none" w:sz="0" w:space="0" w:color="auto"/>
            <w:bottom w:val="none" w:sz="0" w:space="0" w:color="auto"/>
            <w:right w:val="none" w:sz="0" w:space="0" w:color="auto"/>
          </w:divBdr>
          <w:divsChild>
            <w:div w:id="5402539">
              <w:marLeft w:val="0"/>
              <w:marRight w:val="0"/>
              <w:marTop w:val="0"/>
              <w:marBottom w:val="0"/>
              <w:divBdr>
                <w:top w:val="none" w:sz="0" w:space="0" w:color="auto"/>
                <w:left w:val="none" w:sz="0" w:space="0" w:color="auto"/>
                <w:bottom w:val="none" w:sz="0" w:space="0" w:color="auto"/>
                <w:right w:val="none" w:sz="0" w:space="0" w:color="auto"/>
              </w:divBdr>
            </w:div>
          </w:divsChild>
        </w:div>
        <w:div w:id="310600154">
          <w:marLeft w:val="0"/>
          <w:marRight w:val="0"/>
          <w:marTop w:val="0"/>
          <w:marBottom w:val="0"/>
          <w:divBdr>
            <w:top w:val="none" w:sz="0" w:space="0" w:color="auto"/>
            <w:left w:val="none" w:sz="0" w:space="0" w:color="auto"/>
            <w:bottom w:val="none" w:sz="0" w:space="0" w:color="auto"/>
            <w:right w:val="none" w:sz="0" w:space="0" w:color="auto"/>
          </w:divBdr>
          <w:divsChild>
            <w:div w:id="1411585496">
              <w:marLeft w:val="0"/>
              <w:marRight w:val="0"/>
              <w:marTop w:val="0"/>
              <w:marBottom w:val="0"/>
              <w:divBdr>
                <w:top w:val="none" w:sz="0" w:space="0" w:color="auto"/>
                <w:left w:val="none" w:sz="0" w:space="0" w:color="auto"/>
                <w:bottom w:val="none" w:sz="0" w:space="0" w:color="auto"/>
                <w:right w:val="none" w:sz="0" w:space="0" w:color="auto"/>
              </w:divBdr>
            </w:div>
          </w:divsChild>
        </w:div>
        <w:div w:id="314064577">
          <w:marLeft w:val="0"/>
          <w:marRight w:val="0"/>
          <w:marTop w:val="0"/>
          <w:marBottom w:val="0"/>
          <w:divBdr>
            <w:top w:val="none" w:sz="0" w:space="0" w:color="auto"/>
            <w:left w:val="none" w:sz="0" w:space="0" w:color="auto"/>
            <w:bottom w:val="none" w:sz="0" w:space="0" w:color="auto"/>
            <w:right w:val="none" w:sz="0" w:space="0" w:color="auto"/>
          </w:divBdr>
          <w:divsChild>
            <w:div w:id="1799762691">
              <w:marLeft w:val="0"/>
              <w:marRight w:val="0"/>
              <w:marTop w:val="0"/>
              <w:marBottom w:val="0"/>
              <w:divBdr>
                <w:top w:val="none" w:sz="0" w:space="0" w:color="auto"/>
                <w:left w:val="none" w:sz="0" w:space="0" w:color="auto"/>
                <w:bottom w:val="none" w:sz="0" w:space="0" w:color="auto"/>
                <w:right w:val="none" w:sz="0" w:space="0" w:color="auto"/>
              </w:divBdr>
            </w:div>
          </w:divsChild>
        </w:div>
        <w:div w:id="362370046">
          <w:marLeft w:val="0"/>
          <w:marRight w:val="0"/>
          <w:marTop w:val="0"/>
          <w:marBottom w:val="0"/>
          <w:divBdr>
            <w:top w:val="none" w:sz="0" w:space="0" w:color="auto"/>
            <w:left w:val="none" w:sz="0" w:space="0" w:color="auto"/>
            <w:bottom w:val="none" w:sz="0" w:space="0" w:color="auto"/>
            <w:right w:val="none" w:sz="0" w:space="0" w:color="auto"/>
          </w:divBdr>
          <w:divsChild>
            <w:div w:id="1028606848">
              <w:marLeft w:val="0"/>
              <w:marRight w:val="0"/>
              <w:marTop w:val="0"/>
              <w:marBottom w:val="0"/>
              <w:divBdr>
                <w:top w:val="none" w:sz="0" w:space="0" w:color="auto"/>
                <w:left w:val="none" w:sz="0" w:space="0" w:color="auto"/>
                <w:bottom w:val="none" w:sz="0" w:space="0" w:color="auto"/>
                <w:right w:val="none" w:sz="0" w:space="0" w:color="auto"/>
              </w:divBdr>
            </w:div>
          </w:divsChild>
        </w:div>
        <w:div w:id="403845602">
          <w:marLeft w:val="0"/>
          <w:marRight w:val="0"/>
          <w:marTop w:val="0"/>
          <w:marBottom w:val="0"/>
          <w:divBdr>
            <w:top w:val="none" w:sz="0" w:space="0" w:color="auto"/>
            <w:left w:val="none" w:sz="0" w:space="0" w:color="auto"/>
            <w:bottom w:val="none" w:sz="0" w:space="0" w:color="auto"/>
            <w:right w:val="none" w:sz="0" w:space="0" w:color="auto"/>
          </w:divBdr>
          <w:divsChild>
            <w:div w:id="410156572">
              <w:marLeft w:val="0"/>
              <w:marRight w:val="0"/>
              <w:marTop w:val="0"/>
              <w:marBottom w:val="0"/>
              <w:divBdr>
                <w:top w:val="none" w:sz="0" w:space="0" w:color="auto"/>
                <w:left w:val="none" w:sz="0" w:space="0" w:color="auto"/>
                <w:bottom w:val="none" w:sz="0" w:space="0" w:color="auto"/>
                <w:right w:val="none" w:sz="0" w:space="0" w:color="auto"/>
              </w:divBdr>
            </w:div>
          </w:divsChild>
        </w:div>
        <w:div w:id="421992888">
          <w:marLeft w:val="0"/>
          <w:marRight w:val="0"/>
          <w:marTop w:val="0"/>
          <w:marBottom w:val="0"/>
          <w:divBdr>
            <w:top w:val="none" w:sz="0" w:space="0" w:color="auto"/>
            <w:left w:val="none" w:sz="0" w:space="0" w:color="auto"/>
            <w:bottom w:val="none" w:sz="0" w:space="0" w:color="auto"/>
            <w:right w:val="none" w:sz="0" w:space="0" w:color="auto"/>
          </w:divBdr>
          <w:divsChild>
            <w:div w:id="618536125">
              <w:marLeft w:val="0"/>
              <w:marRight w:val="0"/>
              <w:marTop w:val="0"/>
              <w:marBottom w:val="0"/>
              <w:divBdr>
                <w:top w:val="none" w:sz="0" w:space="0" w:color="auto"/>
                <w:left w:val="none" w:sz="0" w:space="0" w:color="auto"/>
                <w:bottom w:val="none" w:sz="0" w:space="0" w:color="auto"/>
                <w:right w:val="none" w:sz="0" w:space="0" w:color="auto"/>
              </w:divBdr>
            </w:div>
          </w:divsChild>
        </w:div>
        <w:div w:id="432433896">
          <w:marLeft w:val="0"/>
          <w:marRight w:val="0"/>
          <w:marTop w:val="0"/>
          <w:marBottom w:val="0"/>
          <w:divBdr>
            <w:top w:val="none" w:sz="0" w:space="0" w:color="auto"/>
            <w:left w:val="none" w:sz="0" w:space="0" w:color="auto"/>
            <w:bottom w:val="none" w:sz="0" w:space="0" w:color="auto"/>
            <w:right w:val="none" w:sz="0" w:space="0" w:color="auto"/>
          </w:divBdr>
          <w:divsChild>
            <w:div w:id="1053313093">
              <w:marLeft w:val="0"/>
              <w:marRight w:val="0"/>
              <w:marTop w:val="0"/>
              <w:marBottom w:val="0"/>
              <w:divBdr>
                <w:top w:val="none" w:sz="0" w:space="0" w:color="auto"/>
                <w:left w:val="none" w:sz="0" w:space="0" w:color="auto"/>
                <w:bottom w:val="none" w:sz="0" w:space="0" w:color="auto"/>
                <w:right w:val="none" w:sz="0" w:space="0" w:color="auto"/>
              </w:divBdr>
            </w:div>
          </w:divsChild>
        </w:div>
        <w:div w:id="445660215">
          <w:marLeft w:val="0"/>
          <w:marRight w:val="0"/>
          <w:marTop w:val="0"/>
          <w:marBottom w:val="0"/>
          <w:divBdr>
            <w:top w:val="none" w:sz="0" w:space="0" w:color="auto"/>
            <w:left w:val="none" w:sz="0" w:space="0" w:color="auto"/>
            <w:bottom w:val="none" w:sz="0" w:space="0" w:color="auto"/>
            <w:right w:val="none" w:sz="0" w:space="0" w:color="auto"/>
          </w:divBdr>
          <w:divsChild>
            <w:div w:id="878393452">
              <w:marLeft w:val="0"/>
              <w:marRight w:val="0"/>
              <w:marTop w:val="0"/>
              <w:marBottom w:val="0"/>
              <w:divBdr>
                <w:top w:val="none" w:sz="0" w:space="0" w:color="auto"/>
                <w:left w:val="none" w:sz="0" w:space="0" w:color="auto"/>
                <w:bottom w:val="none" w:sz="0" w:space="0" w:color="auto"/>
                <w:right w:val="none" w:sz="0" w:space="0" w:color="auto"/>
              </w:divBdr>
            </w:div>
          </w:divsChild>
        </w:div>
        <w:div w:id="524369517">
          <w:marLeft w:val="0"/>
          <w:marRight w:val="0"/>
          <w:marTop w:val="0"/>
          <w:marBottom w:val="0"/>
          <w:divBdr>
            <w:top w:val="none" w:sz="0" w:space="0" w:color="auto"/>
            <w:left w:val="none" w:sz="0" w:space="0" w:color="auto"/>
            <w:bottom w:val="none" w:sz="0" w:space="0" w:color="auto"/>
            <w:right w:val="none" w:sz="0" w:space="0" w:color="auto"/>
          </w:divBdr>
          <w:divsChild>
            <w:div w:id="991375541">
              <w:marLeft w:val="0"/>
              <w:marRight w:val="0"/>
              <w:marTop w:val="0"/>
              <w:marBottom w:val="0"/>
              <w:divBdr>
                <w:top w:val="none" w:sz="0" w:space="0" w:color="auto"/>
                <w:left w:val="none" w:sz="0" w:space="0" w:color="auto"/>
                <w:bottom w:val="none" w:sz="0" w:space="0" w:color="auto"/>
                <w:right w:val="none" w:sz="0" w:space="0" w:color="auto"/>
              </w:divBdr>
            </w:div>
          </w:divsChild>
        </w:div>
        <w:div w:id="557009121">
          <w:marLeft w:val="0"/>
          <w:marRight w:val="0"/>
          <w:marTop w:val="0"/>
          <w:marBottom w:val="0"/>
          <w:divBdr>
            <w:top w:val="none" w:sz="0" w:space="0" w:color="auto"/>
            <w:left w:val="none" w:sz="0" w:space="0" w:color="auto"/>
            <w:bottom w:val="none" w:sz="0" w:space="0" w:color="auto"/>
            <w:right w:val="none" w:sz="0" w:space="0" w:color="auto"/>
          </w:divBdr>
          <w:divsChild>
            <w:div w:id="1719621459">
              <w:marLeft w:val="0"/>
              <w:marRight w:val="0"/>
              <w:marTop w:val="0"/>
              <w:marBottom w:val="0"/>
              <w:divBdr>
                <w:top w:val="none" w:sz="0" w:space="0" w:color="auto"/>
                <w:left w:val="none" w:sz="0" w:space="0" w:color="auto"/>
                <w:bottom w:val="none" w:sz="0" w:space="0" w:color="auto"/>
                <w:right w:val="none" w:sz="0" w:space="0" w:color="auto"/>
              </w:divBdr>
            </w:div>
          </w:divsChild>
        </w:div>
        <w:div w:id="604843613">
          <w:marLeft w:val="0"/>
          <w:marRight w:val="0"/>
          <w:marTop w:val="0"/>
          <w:marBottom w:val="0"/>
          <w:divBdr>
            <w:top w:val="none" w:sz="0" w:space="0" w:color="auto"/>
            <w:left w:val="none" w:sz="0" w:space="0" w:color="auto"/>
            <w:bottom w:val="none" w:sz="0" w:space="0" w:color="auto"/>
            <w:right w:val="none" w:sz="0" w:space="0" w:color="auto"/>
          </w:divBdr>
          <w:divsChild>
            <w:div w:id="683554464">
              <w:marLeft w:val="0"/>
              <w:marRight w:val="0"/>
              <w:marTop w:val="0"/>
              <w:marBottom w:val="0"/>
              <w:divBdr>
                <w:top w:val="none" w:sz="0" w:space="0" w:color="auto"/>
                <w:left w:val="none" w:sz="0" w:space="0" w:color="auto"/>
                <w:bottom w:val="none" w:sz="0" w:space="0" w:color="auto"/>
                <w:right w:val="none" w:sz="0" w:space="0" w:color="auto"/>
              </w:divBdr>
            </w:div>
          </w:divsChild>
        </w:div>
        <w:div w:id="629360477">
          <w:marLeft w:val="0"/>
          <w:marRight w:val="0"/>
          <w:marTop w:val="0"/>
          <w:marBottom w:val="0"/>
          <w:divBdr>
            <w:top w:val="none" w:sz="0" w:space="0" w:color="auto"/>
            <w:left w:val="none" w:sz="0" w:space="0" w:color="auto"/>
            <w:bottom w:val="none" w:sz="0" w:space="0" w:color="auto"/>
            <w:right w:val="none" w:sz="0" w:space="0" w:color="auto"/>
          </w:divBdr>
          <w:divsChild>
            <w:div w:id="1807352780">
              <w:marLeft w:val="0"/>
              <w:marRight w:val="0"/>
              <w:marTop w:val="0"/>
              <w:marBottom w:val="0"/>
              <w:divBdr>
                <w:top w:val="none" w:sz="0" w:space="0" w:color="auto"/>
                <w:left w:val="none" w:sz="0" w:space="0" w:color="auto"/>
                <w:bottom w:val="none" w:sz="0" w:space="0" w:color="auto"/>
                <w:right w:val="none" w:sz="0" w:space="0" w:color="auto"/>
              </w:divBdr>
            </w:div>
          </w:divsChild>
        </w:div>
        <w:div w:id="668992266">
          <w:marLeft w:val="0"/>
          <w:marRight w:val="0"/>
          <w:marTop w:val="0"/>
          <w:marBottom w:val="0"/>
          <w:divBdr>
            <w:top w:val="none" w:sz="0" w:space="0" w:color="auto"/>
            <w:left w:val="none" w:sz="0" w:space="0" w:color="auto"/>
            <w:bottom w:val="none" w:sz="0" w:space="0" w:color="auto"/>
            <w:right w:val="none" w:sz="0" w:space="0" w:color="auto"/>
          </w:divBdr>
          <w:divsChild>
            <w:div w:id="1386102479">
              <w:marLeft w:val="0"/>
              <w:marRight w:val="0"/>
              <w:marTop w:val="0"/>
              <w:marBottom w:val="0"/>
              <w:divBdr>
                <w:top w:val="none" w:sz="0" w:space="0" w:color="auto"/>
                <w:left w:val="none" w:sz="0" w:space="0" w:color="auto"/>
                <w:bottom w:val="none" w:sz="0" w:space="0" w:color="auto"/>
                <w:right w:val="none" w:sz="0" w:space="0" w:color="auto"/>
              </w:divBdr>
            </w:div>
          </w:divsChild>
        </w:div>
        <w:div w:id="727529323">
          <w:marLeft w:val="0"/>
          <w:marRight w:val="0"/>
          <w:marTop w:val="0"/>
          <w:marBottom w:val="0"/>
          <w:divBdr>
            <w:top w:val="none" w:sz="0" w:space="0" w:color="auto"/>
            <w:left w:val="none" w:sz="0" w:space="0" w:color="auto"/>
            <w:bottom w:val="none" w:sz="0" w:space="0" w:color="auto"/>
            <w:right w:val="none" w:sz="0" w:space="0" w:color="auto"/>
          </w:divBdr>
          <w:divsChild>
            <w:div w:id="751203187">
              <w:marLeft w:val="0"/>
              <w:marRight w:val="0"/>
              <w:marTop w:val="0"/>
              <w:marBottom w:val="0"/>
              <w:divBdr>
                <w:top w:val="none" w:sz="0" w:space="0" w:color="auto"/>
                <w:left w:val="none" w:sz="0" w:space="0" w:color="auto"/>
                <w:bottom w:val="none" w:sz="0" w:space="0" w:color="auto"/>
                <w:right w:val="none" w:sz="0" w:space="0" w:color="auto"/>
              </w:divBdr>
            </w:div>
          </w:divsChild>
        </w:div>
        <w:div w:id="759064719">
          <w:marLeft w:val="0"/>
          <w:marRight w:val="0"/>
          <w:marTop w:val="0"/>
          <w:marBottom w:val="0"/>
          <w:divBdr>
            <w:top w:val="none" w:sz="0" w:space="0" w:color="auto"/>
            <w:left w:val="none" w:sz="0" w:space="0" w:color="auto"/>
            <w:bottom w:val="none" w:sz="0" w:space="0" w:color="auto"/>
            <w:right w:val="none" w:sz="0" w:space="0" w:color="auto"/>
          </w:divBdr>
          <w:divsChild>
            <w:div w:id="881139632">
              <w:marLeft w:val="0"/>
              <w:marRight w:val="0"/>
              <w:marTop w:val="0"/>
              <w:marBottom w:val="0"/>
              <w:divBdr>
                <w:top w:val="none" w:sz="0" w:space="0" w:color="auto"/>
                <w:left w:val="none" w:sz="0" w:space="0" w:color="auto"/>
                <w:bottom w:val="none" w:sz="0" w:space="0" w:color="auto"/>
                <w:right w:val="none" w:sz="0" w:space="0" w:color="auto"/>
              </w:divBdr>
            </w:div>
          </w:divsChild>
        </w:div>
        <w:div w:id="777600913">
          <w:marLeft w:val="0"/>
          <w:marRight w:val="0"/>
          <w:marTop w:val="0"/>
          <w:marBottom w:val="0"/>
          <w:divBdr>
            <w:top w:val="none" w:sz="0" w:space="0" w:color="auto"/>
            <w:left w:val="none" w:sz="0" w:space="0" w:color="auto"/>
            <w:bottom w:val="none" w:sz="0" w:space="0" w:color="auto"/>
            <w:right w:val="none" w:sz="0" w:space="0" w:color="auto"/>
          </w:divBdr>
          <w:divsChild>
            <w:div w:id="1578251612">
              <w:marLeft w:val="0"/>
              <w:marRight w:val="0"/>
              <w:marTop w:val="0"/>
              <w:marBottom w:val="0"/>
              <w:divBdr>
                <w:top w:val="none" w:sz="0" w:space="0" w:color="auto"/>
                <w:left w:val="none" w:sz="0" w:space="0" w:color="auto"/>
                <w:bottom w:val="none" w:sz="0" w:space="0" w:color="auto"/>
                <w:right w:val="none" w:sz="0" w:space="0" w:color="auto"/>
              </w:divBdr>
            </w:div>
          </w:divsChild>
        </w:div>
        <w:div w:id="781537404">
          <w:marLeft w:val="0"/>
          <w:marRight w:val="0"/>
          <w:marTop w:val="0"/>
          <w:marBottom w:val="0"/>
          <w:divBdr>
            <w:top w:val="none" w:sz="0" w:space="0" w:color="auto"/>
            <w:left w:val="none" w:sz="0" w:space="0" w:color="auto"/>
            <w:bottom w:val="none" w:sz="0" w:space="0" w:color="auto"/>
            <w:right w:val="none" w:sz="0" w:space="0" w:color="auto"/>
          </w:divBdr>
          <w:divsChild>
            <w:div w:id="358361082">
              <w:marLeft w:val="0"/>
              <w:marRight w:val="0"/>
              <w:marTop w:val="0"/>
              <w:marBottom w:val="0"/>
              <w:divBdr>
                <w:top w:val="none" w:sz="0" w:space="0" w:color="auto"/>
                <w:left w:val="none" w:sz="0" w:space="0" w:color="auto"/>
                <w:bottom w:val="none" w:sz="0" w:space="0" w:color="auto"/>
                <w:right w:val="none" w:sz="0" w:space="0" w:color="auto"/>
              </w:divBdr>
            </w:div>
          </w:divsChild>
        </w:div>
        <w:div w:id="785738489">
          <w:marLeft w:val="0"/>
          <w:marRight w:val="0"/>
          <w:marTop w:val="0"/>
          <w:marBottom w:val="0"/>
          <w:divBdr>
            <w:top w:val="none" w:sz="0" w:space="0" w:color="auto"/>
            <w:left w:val="none" w:sz="0" w:space="0" w:color="auto"/>
            <w:bottom w:val="none" w:sz="0" w:space="0" w:color="auto"/>
            <w:right w:val="none" w:sz="0" w:space="0" w:color="auto"/>
          </w:divBdr>
          <w:divsChild>
            <w:div w:id="394814696">
              <w:marLeft w:val="0"/>
              <w:marRight w:val="0"/>
              <w:marTop w:val="0"/>
              <w:marBottom w:val="0"/>
              <w:divBdr>
                <w:top w:val="none" w:sz="0" w:space="0" w:color="auto"/>
                <w:left w:val="none" w:sz="0" w:space="0" w:color="auto"/>
                <w:bottom w:val="none" w:sz="0" w:space="0" w:color="auto"/>
                <w:right w:val="none" w:sz="0" w:space="0" w:color="auto"/>
              </w:divBdr>
            </w:div>
          </w:divsChild>
        </w:div>
        <w:div w:id="791707115">
          <w:marLeft w:val="0"/>
          <w:marRight w:val="0"/>
          <w:marTop w:val="0"/>
          <w:marBottom w:val="0"/>
          <w:divBdr>
            <w:top w:val="none" w:sz="0" w:space="0" w:color="auto"/>
            <w:left w:val="none" w:sz="0" w:space="0" w:color="auto"/>
            <w:bottom w:val="none" w:sz="0" w:space="0" w:color="auto"/>
            <w:right w:val="none" w:sz="0" w:space="0" w:color="auto"/>
          </w:divBdr>
          <w:divsChild>
            <w:div w:id="2033651911">
              <w:marLeft w:val="0"/>
              <w:marRight w:val="0"/>
              <w:marTop w:val="0"/>
              <w:marBottom w:val="0"/>
              <w:divBdr>
                <w:top w:val="none" w:sz="0" w:space="0" w:color="auto"/>
                <w:left w:val="none" w:sz="0" w:space="0" w:color="auto"/>
                <w:bottom w:val="none" w:sz="0" w:space="0" w:color="auto"/>
                <w:right w:val="none" w:sz="0" w:space="0" w:color="auto"/>
              </w:divBdr>
            </w:div>
          </w:divsChild>
        </w:div>
        <w:div w:id="856578313">
          <w:marLeft w:val="0"/>
          <w:marRight w:val="0"/>
          <w:marTop w:val="0"/>
          <w:marBottom w:val="0"/>
          <w:divBdr>
            <w:top w:val="none" w:sz="0" w:space="0" w:color="auto"/>
            <w:left w:val="none" w:sz="0" w:space="0" w:color="auto"/>
            <w:bottom w:val="none" w:sz="0" w:space="0" w:color="auto"/>
            <w:right w:val="none" w:sz="0" w:space="0" w:color="auto"/>
          </w:divBdr>
          <w:divsChild>
            <w:div w:id="1528788421">
              <w:marLeft w:val="0"/>
              <w:marRight w:val="0"/>
              <w:marTop w:val="0"/>
              <w:marBottom w:val="0"/>
              <w:divBdr>
                <w:top w:val="none" w:sz="0" w:space="0" w:color="auto"/>
                <w:left w:val="none" w:sz="0" w:space="0" w:color="auto"/>
                <w:bottom w:val="none" w:sz="0" w:space="0" w:color="auto"/>
                <w:right w:val="none" w:sz="0" w:space="0" w:color="auto"/>
              </w:divBdr>
            </w:div>
          </w:divsChild>
        </w:div>
        <w:div w:id="901334903">
          <w:marLeft w:val="0"/>
          <w:marRight w:val="0"/>
          <w:marTop w:val="0"/>
          <w:marBottom w:val="0"/>
          <w:divBdr>
            <w:top w:val="none" w:sz="0" w:space="0" w:color="auto"/>
            <w:left w:val="none" w:sz="0" w:space="0" w:color="auto"/>
            <w:bottom w:val="none" w:sz="0" w:space="0" w:color="auto"/>
            <w:right w:val="none" w:sz="0" w:space="0" w:color="auto"/>
          </w:divBdr>
          <w:divsChild>
            <w:div w:id="748960917">
              <w:marLeft w:val="0"/>
              <w:marRight w:val="0"/>
              <w:marTop w:val="0"/>
              <w:marBottom w:val="0"/>
              <w:divBdr>
                <w:top w:val="none" w:sz="0" w:space="0" w:color="auto"/>
                <w:left w:val="none" w:sz="0" w:space="0" w:color="auto"/>
                <w:bottom w:val="none" w:sz="0" w:space="0" w:color="auto"/>
                <w:right w:val="none" w:sz="0" w:space="0" w:color="auto"/>
              </w:divBdr>
            </w:div>
          </w:divsChild>
        </w:div>
        <w:div w:id="914628232">
          <w:marLeft w:val="0"/>
          <w:marRight w:val="0"/>
          <w:marTop w:val="0"/>
          <w:marBottom w:val="0"/>
          <w:divBdr>
            <w:top w:val="none" w:sz="0" w:space="0" w:color="auto"/>
            <w:left w:val="none" w:sz="0" w:space="0" w:color="auto"/>
            <w:bottom w:val="none" w:sz="0" w:space="0" w:color="auto"/>
            <w:right w:val="none" w:sz="0" w:space="0" w:color="auto"/>
          </w:divBdr>
          <w:divsChild>
            <w:div w:id="1923760591">
              <w:marLeft w:val="0"/>
              <w:marRight w:val="0"/>
              <w:marTop w:val="0"/>
              <w:marBottom w:val="0"/>
              <w:divBdr>
                <w:top w:val="none" w:sz="0" w:space="0" w:color="auto"/>
                <w:left w:val="none" w:sz="0" w:space="0" w:color="auto"/>
                <w:bottom w:val="none" w:sz="0" w:space="0" w:color="auto"/>
                <w:right w:val="none" w:sz="0" w:space="0" w:color="auto"/>
              </w:divBdr>
            </w:div>
          </w:divsChild>
        </w:div>
        <w:div w:id="927277197">
          <w:marLeft w:val="0"/>
          <w:marRight w:val="0"/>
          <w:marTop w:val="0"/>
          <w:marBottom w:val="0"/>
          <w:divBdr>
            <w:top w:val="none" w:sz="0" w:space="0" w:color="auto"/>
            <w:left w:val="none" w:sz="0" w:space="0" w:color="auto"/>
            <w:bottom w:val="none" w:sz="0" w:space="0" w:color="auto"/>
            <w:right w:val="none" w:sz="0" w:space="0" w:color="auto"/>
          </w:divBdr>
          <w:divsChild>
            <w:div w:id="1674801438">
              <w:marLeft w:val="0"/>
              <w:marRight w:val="0"/>
              <w:marTop w:val="0"/>
              <w:marBottom w:val="0"/>
              <w:divBdr>
                <w:top w:val="none" w:sz="0" w:space="0" w:color="auto"/>
                <w:left w:val="none" w:sz="0" w:space="0" w:color="auto"/>
                <w:bottom w:val="none" w:sz="0" w:space="0" w:color="auto"/>
                <w:right w:val="none" w:sz="0" w:space="0" w:color="auto"/>
              </w:divBdr>
            </w:div>
          </w:divsChild>
        </w:div>
        <w:div w:id="937375053">
          <w:marLeft w:val="0"/>
          <w:marRight w:val="0"/>
          <w:marTop w:val="0"/>
          <w:marBottom w:val="0"/>
          <w:divBdr>
            <w:top w:val="none" w:sz="0" w:space="0" w:color="auto"/>
            <w:left w:val="none" w:sz="0" w:space="0" w:color="auto"/>
            <w:bottom w:val="none" w:sz="0" w:space="0" w:color="auto"/>
            <w:right w:val="none" w:sz="0" w:space="0" w:color="auto"/>
          </w:divBdr>
          <w:divsChild>
            <w:div w:id="744497386">
              <w:marLeft w:val="0"/>
              <w:marRight w:val="0"/>
              <w:marTop w:val="0"/>
              <w:marBottom w:val="0"/>
              <w:divBdr>
                <w:top w:val="none" w:sz="0" w:space="0" w:color="auto"/>
                <w:left w:val="none" w:sz="0" w:space="0" w:color="auto"/>
                <w:bottom w:val="none" w:sz="0" w:space="0" w:color="auto"/>
                <w:right w:val="none" w:sz="0" w:space="0" w:color="auto"/>
              </w:divBdr>
            </w:div>
          </w:divsChild>
        </w:div>
        <w:div w:id="949165497">
          <w:marLeft w:val="0"/>
          <w:marRight w:val="0"/>
          <w:marTop w:val="0"/>
          <w:marBottom w:val="0"/>
          <w:divBdr>
            <w:top w:val="none" w:sz="0" w:space="0" w:color="auto"/>
            <w:left w:val="none" w:sz="0" w:space="0" w:color="auto"/>
            <w:bottom w:val="none" w:sz="0" w:space="0" w:color="auto"/>
            <w:right w:val="none" w:sz="0" w:space="0" w:color="auto"/>
          </w:divBdr>
          <w:divsChild>
            <w:div w:id="1989164835">
              <w:marLeft w:val="0"/>
              <w:marRight w:val="0"/>
              <w:marTop w:val="0"/>
              <w:marBottom w:val="0"/>
              <w:divBdr>
                <w:top w:val="none" w:sz="0" w:space="0" w:color="auto"/>
                <w:left w:val="none" w:sz="0" w:space="0" w:color="auto"/>
                <w:bottom w:val="none" w:sz="0" w:space="0" w:color="auto"/>
                <w:right w:val="none" w:sz="0" w:space="0" w:color="auto"/>
              </w:divBdr>
            </w:div>
          </w:divsChild>
        </w:div>
        <w:div w:id="972439808">
          <w:marLeft w:val="0"/>
          <w:marRight w:val="0"/>
          <w:marTop w:val="0"/>
          <w:marBottom w:val="0"/>
          <w:divBdr>
            <w:top w:val="none" w:sz="0" w:space="0" w:color="auto"/>
            <w:left w:val="none" w:sz="0" w:space="0" w:color="auto"/>
            <w:bottom w:val="none" w:sz="0" w:space="0" w:color="auto"/>
            <w:right w:val="none" w:sz="0" w:space="0" w:color="auto"/>
          </w:divBdr>
          <w:divsChild>
            <w:div w:id="1484003805">
              <w:marLeft w:val="0"/>
              <w:marRight w:val="0"/>
              <w:marTop w:val="0"/>
              <w:marBottom w:val="0"/>
              <w:divBdr>
                <w:top w:val="none" w:sz="0" w:space="0" w:color="auto"/>
                <w:left w:val="none" w:sz="0" w:space="0" w:color="auto"/>
                <w:bottom w:val="none" w:sz="0" w:space="0" w:color="auto"/>
                <w:right w:val="none" w:sz="0" w:space="0" w:color="auto"/>
              </w:divBdr>
            </w:div>
          </w:divsChild>
        </w:div>
        <w:div w:id="1000894147">
          <w:marLeft w:val="0"/>
          <w:marRight w:val="0"/>
          <w:marTop w:val="0"/>
          <w:marBottom w:val="0"/>
          <w:divBdr>
            <w:top w:val="none" w:sz="0" w:space="0" w:color="auto"/>
            <w:left w:val="none" w:sz="0" w:space="0" w:color="auto"/>
            <w:bottom w:val="none" w:sz="0" w:space="0" w:color="auto"/>
            <w:right w:val="none" w:sz="0" w:space="0" w:color="auto"/>
          </w:divBdr>
          <w:divsChild>
            <w:div w:id="1181775645">
              <w:marLeft w:val="0"/>
              <w:marRight w:val="0"/>
              <w:marTop w:val="0"/>
              <w:marBottom w:val="0"/>
              <w:divBdr>
                <w:top w:val="none" w:sz="0" w:space="0" w:color="auto"/>
                <w:left w:val="none" w:sz="0" w:space="0" w:color="auto"/>
                <w:bottom w:val="none" w:sz="0" w:space="0" w:color="auto"/>
                <w:right w:val="none" w:sz="0" w:space="0" w:color="auto"/>
              </w:divBdr>
            </w:div>
          </w:divsChild>
        </w:div>
        <w:div w:id="1009257978">
          <w:marLeft w:val="0"/>
          <w:marRight w:val="0"/>
          <w:marTop w:val="0"/>
          <w:marBottom w:val="0"/>
          <w:divBdr>
            <w:top w:val="none" w:sz="0" w:space="0" w:color="auto"/>
            <w:left w:val="none" w:sz="0" w:space="0" w:color="auto"/>
            <w:bottom w:val="none" w:sz="0" w:space="0" w:color="auto"/>
            <w:right w:val="none" w:sz="0" w:space="0" w:color="auto"/>
          </w:divBdr>
          <w:divsChild>
            <w:div w:id="331878359">
              <w:marLeft w:val="0"/>
              <w:marRight w:val="0"/>
              <w:marTop w:val="0"/>
              <w:marBottom w:val="0"/>
              <w:divBdr>
                <w:top w:val="none" w:sz="0" w:space="0" w:color="auto"/>
                <w:left w:val="none" w:sz="0" w:space="0" w:color="auto"/>
                <w:bottom w:val="none" w:sz="0" w:space="0" w:color="auto"/>
                <w:right w:val="none" w:sz="0" w:space="0" w:color="auto"/>
              </w:divBdr>
            </w:div>
          </w:divsChild>
        </w:div>
        <w:div w:id="1033572828">
          <w:marLeft w:val="0"/>
          <w:marRight w:val="0"/>
          <w:marTop w:val="0"/>
          <w:marBottom w:val="0"/>
          <w:divBdr>
            <w:top w:val="none" w:sz="0" w:space="0" w:color="auto"/>
            <w:left w:val="none" w:sz="0" w:space="0" w:color="auto"/>
            <w:bottom w:val="none" w:sz="0" w:space="0" w:color="auto"/>
            <w:right w:val="none" w:sz="0" w:space="0" w:color="auto"/>
          </w:divBdr>
          <w:divsChild>
            <w:div w:id="306135006">
              <w:marLeft w:val="0"/>
              <w:marRight w:val="0"/>
              <w:marTop w:val="0"/>
              <w:marBottom w:val="0"/>
              <w:divBdr>
                <w:top w:val="none" w:sz="0" w:space="0" w:color="auto"/>
                <w:left w:val="none" w:sz="0" w:space="0" w:color="auto"/>
                <w:bottom w:val="none" w:sz="0" w:space="0" w:color="auto"/>
                <w:right w:val="none" w:sz="0" w:space="0" w:color="auto"/>
              </w:divBdr>
            </w:div>
          </w:divsChild>
        </w:div>
        <w:div w:id="1039668590">
          <w:marLeft w:val="0"/>
          <w:marRight w:val="0"/>
          <w:marTop w:val="0"/>
          <w:marBottom w:val="0"/>
          <w:divBdr>
            <w:top w:val="none" w:sz="0" w:space="0" w:color="auto"/>
            <w:left w:val="none" w:sz="0" w:space="0" w:color="auto"/>
            <w:bottom w:val="none" w:sz="0" w:space="0" w:color="auto"/>
            <w:right w:val="none" w:sz="0" w:space="0" w:color="auto"/>
          </w:divBdr>
          <w:divsChild>
            <w:div w:id="2005467821">
              <w:marLeft w:val="0"/>
              <w:marRight w:val="0"/>
              <w:marTop w:val="0"/>
              <w:marBottom w:val="0"/>
              <w:divBdr>
                <w:top w:val="none" w:sz="0" w:space="0" w:color="auto"/>
                <w:left w:val="none" w:sz="0" w:space="0" w:color="auto"/>
                <w:bottom w:val="none" w:sz="0" w:space="0" w:color="auto"/>
                <w:right w:val="none" w:sz="0" w:space="0" w:color="auto"/>
              </w:divBdr>
            </w:div>
          </w:divsChild>
        </w:div>
        <w:div w:id="1048722728">
          <w:marLeft w:val="0"/>
          <w:marRight w:val="0"/>
          <w:marTop w:val="0"/>
          <w:marBottom w:val="0"/>
          <w:divBdr>
            <w:top w:val="none" w:sz="0" w:space="0" w:color="auto"/>
            <w:left w:val="none" w:sz="0" w:space="0" w:color="auto"/>
            <w:bottom w:val="none" w:sz="0" w:space="0" w:color="auto"/>
            <w:right w:val="none" w:sz="0" w:space="0" w:color="auto"/>
          </w:divBdr>
          <w:divsChild>
            <w:div w:id="894700673">
              <w:marLeft w:val="0"/>
              <w:marRight w:val="0"/>
              <w:marTop w:val="0"/>
              <w:marBottom w:val="0"/>
              <w:divBdr>
                <w:top w:val="none" w:sz="0" w:space="0" w:color="auto"/>
                <w:left w:val="none" w:sz="0" w:space="0" w:color="auto"/>
                <w:bottom w:val="none" w:sz="0" w:space="0" w:color="auto"/>
                <w:right w:val="none" w:sz="0" w:space="0" w:color="auto"/>
              </w:divBdr>
            </w:div>
          </w:divsChild>
        </w:div>
        <w:div w:id="1074359655">
          <w:marLeft w:val="0"/>
          <w:marRight w:val="0"/>
          <w:marTop w:val="0"/>
          <w:marBottom w:val="0"/>
          <w:divBdr>
            <w:top w:val="none" w:sz="0" w:space="0" w:color="auto"/>
            <w:left w:val="none" w:sz="0" w:space="0" w:color="auto"/>
            <w:bottom w:val="none" w:sz="0" w:space="0" w:color="auto"/>
            <w:right w:val="none" w:sz="0" w:space="0" w:color="auto"/>
          </w:divBdr>
          <w:divsChild>
            <w:div w:id="1578052079">
              <w:marLeft w:val="0"/>
              <w:marRight w:val="0"/>
              <w:marTop w:val="0"/>
              <w:marBottom w:val="0"/>
              <w:divBdr>
                <w:top w:val="none" w:sz="0" w:space="0" w:color="auto"/>
                <w:left w:val="none" w:sz="0" w:space="0" w:color="auto"/>
                <w:bottom w:val="none" w:sz="0" w:space="0" w:color="auto"/>
                <w:right w:val="none" w:sz="0" w:space="0" w:color="auto"/>
              </w:divBdr>
            </w:div>
          </w:divsChild>
        </w:div>
        <w:div w:id="1087267874">
          <w:marLeft w:val="0"/>
          <w:marRight w:val="0"/>
          <w:marTop w:val="0"/>
          <w:marBottom w:val="0"/>
          <w:divBdr>
            <w:top w:val="none" w:sz="0" w:space="0" w:color="auto"/>
            <w:left w:val="none" w:sz="0" w:space="0" w:color="auto"/>
            <w:bottom w:val="none" w:sz="0" w:space="0" w:color="auto"/>
            <w:right w:val="none" w:sz="0" w:space="0" w:color="auto"/>
          </w:divBdr>
          <w:divsChild>
            <w:div w:id="1682970397">
              <w:marLeft w:val="0"/>
              <w:marRight w:val="0"/>
              <w:marTop w:val="0"/>
              <w:marBottom w:val="0"/>
              <w:divBdr>
                <w:top w:val="none" w:sz="0" w:space="0" w:color="auto"/>
                <w:left w:val="none" w:sz="0" w:space="0" w:color="auto"/>
                <w:bottom w:val="none" w:sz="0" w:space="0" w:color="auto"/>
                <w:right w:val="none" w:sz="0" w:space="0" w:color="auto"/>
              </w:divBdr>
            </w:div>
          </w:divsChild>
        </w:div>
        <w:div w:id="1115096532">
          <w:marLeft w:val="0"/>
          <w:marRight w:val="0"/>
          <w:marTop w:val="0"/>
          <w:marBottom w:val="0"/>
          <w:divBdr>
            <w:top w:val="none" w:sz="0" w:space="0" w:color="auto"/>
            <w:left w:val="none" w:sz="0" w:space="0" w:color="auto"/>
            <w:bottom w:val="none" w:sz="0" w:space="0" w:color="auto"/>
            <w:right w:val="none" w:sz="0" w:space="0" w:color="auto"/>
          </w:divBdr>
          <w:divsChild>
            <w:div w:id="711267344">
              <w:marLeft w:val="0"/>
              <w:marRight w:val="0"/>
              <w:marTop w:val="0"/>
              <w:marBottom w:val="0"/>
              <w:divBdr>
                <w:top w:val="none" w:sz="0" w:space="0" w:color="auto"/>
                <w:left w:val="none" w:sz="0" w:space="0" w:color="auto"/>
                <w:bottom w:val="none" w:sz="0" w:space="0" w:color="auto"/>
                <w:right w:val="none" w:sz="0" w:space="0" w:color="auto"/>
              </w:divBdr>
            </w:div>
          </w:divsChild>
        </w:div>
        <w:div w:id="1159923855">
          <w:marLeft w:val="0"/>
          <w:marRight w:val="0"/>
          <w:marTop w:val="0"/>
          <w:marBottom w:val="0"/>
          <w:divBdr>
            <w:top w:val="none" w:sz="0" w:space="0" w:color="auto"/>
            <w:left w:val="none" w:sz="0" w:space="0" w:color="auto"/>
            <w:bottom w:val="none" w:sz="0" w:space="0" w:color="auto"/>
            <w:right w:val="none" w:sz="0" w:space="0" w:color="auto"/>
          </w:divBdr>
          <w:divsChild>
            <w:div w:id="264771624">
              <w:marLeft w:val="0"/>
              <w:marRight w:val="0"/>
              <w:marTop w:val="0"/>
              <w:marBottom w:val="0"/>
              <w:divBdr>
                <w:top w:val="none" w:sz="0" w:space="0" w:color="auto"/>
                <w:left w:val="none" w:sz="0" w:space="0" w:color="auto"/>
                <w:bottom w:val="none" w:sz="0" w:space="0" w:color="auto"/>
                <w:right w:val="none" w:sz="0" w:space="0" w:color="auto"/>
              </w:divBdr>
            </w:div>
          </w:divsChild>
        </w:div>
        <w:div w:id="1191451884">
          <w:marLeft w:val="0"/>
          <w:marRight w:val="0"/>
          <w:marTop w:val="0"/>
          <w:marBottom w:val="0"/>
          <w:divBdr>
            <w:top w:val="none" w:sz="0" w:space="0" w:color="auto"/>
            <w:left w:val="none" w:sz="0" w:space="0" w:color="auto"/>
            <w:bottom w:val="none" w:sz="0" w:space="0" w:color="auto"/>
            <w:right w:val="none" w:sz="0" w:space="0" w:color="auto"/>
          </w:divBdr>
          <w:divsChild>
            <w:div w:id="106122104">
              <w:marLeft w:val="0"/>
              <w:marRight w:val="0"/>
              <w:marTop w:val="0"/>
              <w:marBottom w:val="0"/>
              <w:divBdr>
                <w:top w:val="none" w:sz="0" w:space="0" w:color="auto"/>
                <w:left w:val="none" w:sz="0" w:space="0" w:color="auto"/>
                <w:bottom w:val="none" w:sz="0" w:space="0" w:color="auto"/>
                <w:right w:val="none" w:sz="0" w:space="0" w:color="auto"/>
              </w:divBdr>
            </w:div>
          </w:divsChild>
        </w:div>
        <w:div w:id="1204095420">
          <w:marLeft w:val="0"/>
          <w:marRight w:val="0"/>
          <w:marTop w:val="0"/>
          <w:marBottom w:val="0"/>
          <w:divBdr>
            <w:top w:val="none" w:sz="0" w:space="0" w:color="auto"/>
            <w:left w:val="none" w:sz="0" w:space="0" w:color="auto"/>
            <w:bottom w:val="none" w:sz="0" w:space="0" w:color="auto"/>
            <w:right w:val="none" w:sz="0" w:space="0" w:color="auto"/>
          </w:divBdr>
          <w:divsChild>
            <w:div w:id="406152094">
              <w:marLeft w:val="0"/>
              <w:marRight w:val="0"/>
              <w:marTop w:val="0"/>
              <w:marBottom w:val="0"/>
              <w:divBdr>
                <w:top w:val="none" w:sz="0" w:space="0" w:color="auto"/>
                <w:left w:val="none" w:sz="0" w:space="0" w:color="auto"/>
                <w:bottom w:val="none" w:sz="0" w:space="0" w:color="auto"/>
                <w:right w:val="none" w:sz="0" w:space="0" w:color="auto"/>
              </w:divBdr>
            </w:div>
          </w:divsChild>
        </w:div>
        <w:div w:id="1212185959">
          <w:marLeft w:val="0"/>
          <w:marRight w:val="0"/>
          <w:marTop w:val="0"/>
          <w:marBottom w:val="0"/>
          <w:divBdr>
            <w:top w:val="none" w:sz="0" w:space="0" w:color="auto"/>
            <w:left w:val="none" w:sz="0" w:space="0" w:color="auto"/>
            <w:bottom w:val="none" w:sz="0" w:space="0" w:color="auto"/>
            <w:right w:val="none" w:sz="0" w:space="0" w:color="auto"/>
          </w:divBdr>
          <w:divsChild>
            <w:div w:id="467599749">
              <w:marLeft w:val="0"/>
              <w:marRight w:val="0"/>
              <w:marTop w:val="0"/>
              <w:marBottom w:val="0"/>
              <w:divBdr>
                <w:top w:val="none" w:sz="0" w:space="0" w:color="auto"/>
                <w:left w:val="none" w:sz="0" w:space="0" w:color="auto"/>
                <w:bottom w:val="none" w:sz="0" w:space="0" w:color="auto"/>
                <w:right w:val="none" w:sz="0" w:space="0" w:color="auto"/>
              </w:divBdr>
            </w:div>
          </w:divsChild>
        </w:div>
        <w:div w:id="1212575198">
          <w:marLeft w:val="0"/>
          <w:marRight w:val="0"/>
          <w:marTop w:val="0"/>
          <w:marBottom w:val="0"/>
          <w:divBdr>
            <w:top w:val="none" w:sz="0" w:space="0" w:color="auto"/>
            <w:left w:val="none" w:sz="0" w:space="0" w:color="auto"/>
            <w:bottom w:val="none" w:sz="0" w:space="0" w:color="auto"/>
            <w:right w:val="none" w:sz="0" w:space="0" w:color="auto"/>
          </w:divBdr>
          <w:divsChild>
            <w:div w:id="714428610">
              <w:marLeft w:val="0"/>
              <w:marRight w:val="0"/>
              <w:marTop w:val="0"/>
              <w:marBottom w:val="0"/>
              <w:divBdr>
                <w:top w:val="none" w:sz="0" w:space="0" w:color="auto"/>
                <w:left w:val="none" w:sz="0" w:space="0" w:color="auto"/>
                <w:bottom w:val="none" w:sz="0" w:space="0" w:color="auto"/>
                <w:right w:val="none" w:sz="0" w:space="0" w:color="auto"/>
              </w:divBdr>
            </w:div>
          </w:divsChild>
        </w:div>
        <w:div w:id="1263801843">
          <w:marLeft w:val="0"/>
          <w:marRight w:val="0"/>
          <w:marTop w:val="0"/>
          <w:marBottom w:val="0"/>
          <w:divBdr>
            <w:top w:val="none" w:sz="0" w:space="0" w:color="auto"/>
            <w:left w:val="none" w:sz="0" w:space="0" w:color="auto"/>
            <w:bottom w:val="none" w:sz="0" w:space="0" w:color="auto"/>
            <w:right w:val="none" w:sz="0" w:space="0" w:color="auto"/>
          </w:divBdr>
          <w:divsChild>
            <w:div w:id="1143161936">
              <w:marLeft w:val="0"/>
              <w:marRight w:val="0"/>
              <w:marTop w:val="0"/>
              <w:marBottom w:val="0"/>
              <w:divBdr>
                <w:top w:val="none" w:sz="0" w:space="0" w:color="auto"/>
                <w:left w:val="none" w:sz="0" w:space="0" w:color="auto"/>
                <w:bottom w:val="none" w:sz="0" w:space="0" w:color="auto"/>
                <w:right w:val="none" w:sz="0" w:space="0" w:color="auto"/>
              </w:divBdr>
            </w:div>
          </w:divsChild>
        </w:div>
        <w:div w:id="1283415960">
          <w:marLeft w:val="0"/>
          <w:marRight w:val="0"/>
          <w:marTop w:val="0"/>
          <w:marBottom w:val="0"/>
          <w:divBdr>
            <w:top w:val="none" w:sz="0" w:space="0" w:color="auto"/>
            <w:left w:val="none" w:sz="0" w:space="0" w:color="auto"/>
            <w:bottom w:val="none" w:sz="0" w:space="0" w:color="auto"/>
            <w:right w:val="none" w:sz="0" w:space="0" w:color="auto"/>
          </w:divBdr>
          <w:divsChild>
            <w:div w:id="164630471">
              <w:marLeft w:val="0"/>
              <w:marRight w:val="0"/>
              <w:marTop w:val="0"/>
              <w:marBottom w:val="0"/>
              <w:divBdr>
                <w:top w:val="none" w:sz="0" w:space="0" w:color="auto"/>
                <w:left w:val="none" w:sz="0" w:space="0" w:color="auto"/>
                <w:bottom w:val="none" w:sz="0" w:space="0" w:color="auto"/>
                <w:right w:val="none" w:sz="0" w:space="0" w:color="auto"/>
              </w:divBdr>
            </w:div>
          </w:divsChild>
        </w:div>
        <w:div w:id="1299336286">
          <w:marLeft w:val="0"/>
          <w:marRight w:val="0"/>
          <w:marTop w:val="0"/>
          <w:marBottom w:val="0"/>
          <w:divBdr>
            <w:top w:val="none" w:sz="0" w:space="0" w:color="auto"/>
            <w:left w:val="none" w:sz="0" w:space="0" w:color="auto"/>
            <w:bottom w:val="none" w:sz="0" w:space="0" w:color="auto"/>
            <w:right w:val="none" w:sz="0" w:space="0" w:color="auto"/>
          </w:divBdr>
          <w:divsChild>
            <w:div w:id="1026829437">
              <w:marLeft w:val="0"/>
              <w:marRight w:val="0"/>
              <w:marTop w:val="0"/>
              <w:marBottom w:val="0"/>
              <w:divBdr>
                <w:top w:val="none" w:sz="0" w:space="0" w:color="auto"/>
                <w:left w:val="none" w:sz="0" w:space="0" w:color="auto"/>
                <w:bottom w:val="none" w:sz="0" w:space="0" w:color="auto"/>
                <w:right w:val="none" w:sz="0" w:space="0" w:color="auto"/>
              </w:divBdr>
            </w:div>
          </w:divsChild>
        </w:div>
        <w:div w:id="1304046360">
          <w:marLeft w:val="0"/>
          <w:marRight w:val="0"/>
          <w:marTop w:val="0"/>
          <w:marBottom w:val="0"/>
          <w:divBdr>
            <w:top w:val="none" w:sz="0" w:space="0" w:color="auto"/>
            <w:left w:val="none" w:sz="0" w:space="0" w:color="auto"/>
            <w:bottom w:val="none" w:sz="0" w:space="0" w:color="auto"/>
            <w:right w:val="none" w:sz="0" w:space="0" w:color="auto"/>
          </w:divBdr>
          <w:divsChild>
            <w:div w:id="1803497264">
              <w:marLeft w:val="0"/>
              <w:marRight w:val="0"/>
              <w:marTop w:val="0"/>
              <w:marBottom w:val="0"/>
              <w:divBdr>
                <w:top w:val="none" w:sz="0" w:space="0" w:color="auto"/>
                <w:left w:val="none" w:sz="0" w:space="0" w:color="auto"/>
                <w:bottom w:val="none" w:sz="0" w:space="0" w:color="auto"/>
                <w:right w:val="none" w:sz="0" w:space="0" w:color="auto"/>
              </w:divBdr>
            </w:div>
          </w:divsChild>
        </w:div>
        <w:div w:id="1318265497">
          <w:marLeft w:val="0"/>
          <w:marRight w:val="0"/>
          <w:marTop w:val="0"/>
          <w:marBottom w:val="0"/>
          <w:divBdr>
            <w:top w:val="none" w:sz="0" w:space="0" w:color="auto"/>
            <w:left w:val="none" w:sz="0" w:space="0" w:color="auto"/>
            <w:bottom w:val="none" w:sz="0" w:space="0" w:color="auto"/>
            <w:right w:val="none" w:sz="0" w:space="0" w:color="auto"/>
          </w:divBdr>
          <w:divsChild>
            <w:div w:id="577176501">
              <w:marLeft w:val="0"/>
              <w:marRight w:val="0"/>
              <w:marTop w:val="0"/>
              <w:marBottom w:val="0"/>
              <w:divBdr>
                <w:top w:val="none" w:sz="0" w:space="0" w:color="auto"/>
                <w:left w:val="none" w:sz="0" w:space="0" w:color="auto"/>
                <w:bottom w:val="none" w:sz="0" w:space="0" w:color="auto"/>
                <w:right w:val="none" w:sz="0" w:space="0" w:color="auto"/>
              </w:divBdr>
            </w:div>
          </w:divsChild>
        </w:div>
        <w:div w:id="1327593125">
          <w:marLeft w:val="0"/>
          <w:marRight w:val="0"/>
          <w:marTop w:val="0"/>
          <w:marBottom w:val="0"/>
          <w:divBdr>
            <w:top w:val="none" w:sz="0" w:space="0" w:color="auto"/>
            <w:left w:val="none" w:sz="0" w:space="0" w:color="auto"/>
            <w:bottom w:val="none" w:sz="0" w:space="0" w:color="auto"/>
            <w:right w:val="none" w:sz="0" w:space="0" w:color="auto"/>
          </w:divBdr>
          <w:divsChild>
            <w:div w:id="875460909">
              <w:marLeft w:val="0"/>
              <w:marRight w:val="0"/>
              <w:marTop w:val="0"/>
              <w:marBottom w:val="0"/>
              <w:divBdr>
                <w:top w:val="none" w:sz="0" w:space="0" w:color="auto"/>
                <w:left w:val="none" w:sz="0" w:space="0" w:color="auto"/>
                <w:bottom w:val="none" w:sz="0" w:space="0" w:color="auto"/>
                <w:right w:val="none" w:sz="0" w:space="0" w:color="auto"/>
              </w:divBdr>
            </w:div>
          </w:divsChild>
        </w:div>
        <w:div w:id="1363359891">
          <w:marLeft w:val="0"/>
          <w:marRight w:val="0"/>
          <w:marTop w:val="0"/>
          <w:marBottom w:val="0"/>
          <w:divBdr>
            <w:top w:val="none" w:sz="0" w:space="0" w:color="auto"/>
            <w:left w:val="none" w:sz="0" w:space="0" w:color="auto"/>
            <w:bottom w:val="none" w:sz="0" w:space="0" w:color="auto"/>
            <w:right w:val="none" w:sz="0" w:space="0" w:color="auto"/>
          </w:divBdr>
          <w:divsChild>
            <w:div w:id="1434281870">
              <w:marLeft w:val="0"/>
              <w:marRight w:val="0"/>
              <w:marTop w:val="0"/>
              <w:marBottom w:val="0"/>
              <w:divBdr>
                <w:top w:val="none" w:sz="0" w:space="0" w:color="auto"/>
                <w:left w:val="none" w:sz="0" w:space="0" w:color="auto"/>
                <w:bottom w:val="none" w:sz="0" w:space="0" w:color="auto"/>
                <w:right w:val="none" w:sz="0" w:space="0" w:color="auto"/>
              </w:divBdr>
            </w:div>
          </w:divsChild>
        </w:div>
        <w:div w:id="1468207814">
          <w:marLeft w:val="0"/>
          <w:marRight w:val="0"/>
          <w:marTop w:val="0"/>
          <w:marBottom w:val="0"/>
          <w:divBdr>
            <w:top w:val="none" w:sz="0" w:space="0" w:color="auto"/>
            <w:left w:val="none" w:sz="0" w:space="0" w:color="auto"/>
            <w:bottom w:val="none" w:sz="0" w:space="0" w:color="auto"/>
            <w:right w:val="none" w:sz="0" w:space="0" w:color="auto"/>
          </w:divBdr>
          <w:divsChild>
            <w:div w:id="1116292884">
              <w:marLeft w:val="0"/>
              <w:marRight w:val="0"/>
              <w:marTop w:val="0"/>
              <w:marBottom w:val="0"/>
              <w:divBdr>
                <w:top w:val="none" w:sz="0" w:space="0" w:color="auto"/>
                <w:left w:val="none" w:sz="0" w:space="0" w:color="auto"/>
                <w:bottom w:val="none" w:sz="0" w:space="0" w:color="auto"/>
                <w:right w:val="none" w:sz="0" w:space="0" w:color="auto"/>
              </w:divBdr>
            </w:div>
          </w:divsChild>
        </w:div>
        <w:div w:id="1468280959">
          <w:marLeft w:val="0"/>
          <w:marRight w:val="0"/>
          <w:marTop w:val="0"/>
          <w:marBottom w:val="0"/>
          <w:divBdr>
            <w:top w:val="none" w:sz="0" w:space="0" w:color="auto"/>
            <w:left w:val="none" w:sz="0" w:space="0" w:color="auto"/>
            <w:bottom w:val="none" w:sz="0" w:space="0" w:color="auto"/>
            <w:right w:val="none" w:sz="0" w:space="0" w:color="auto"/>
          </w:divBdr>
          <w:divsChild>
            <w:div w:id="170225624">
              <w:marLeft w:val="0"/>
              <w:marRight w:val="0"/>
              <w:marTop w:val="0"/>
              <w:marBottom w:val="0"/>
              <w:divBdr>
                <w:top w:val="none" w:sz="0" w:space="0" w:color="auto"/>
                <w:left w:val="none" w:sz="0" w:space="0" w:color="auto"/>
                <w:bottom w:val="none" w:sz="0" w:space="0" w:color="auto"/>
                <w:right w:val="none" w:sz="0" w:space="0" w:color="auto"/>
              </w:divBdr>
            </w:div>
          </w:divsChild>
        </w:div>
        <w:div w:id="1559314677">
          <w:marLeft w:val="0"/>
          <w:marRight w:val="0"/>
          <w:marTop w:val="0"/>
          <w:marBottom w:val="0"/>
          <w:divBdr>
            <w:top w:val="none" w:sz="0" w:space="0" w:color="auto"/>
            <w:left w:val="none" w:sz="0" w:space="0" w:color="auto"/>
            <w:bottom w:val="none" w:sz="0" w:space="0" w:color="auto"/>
            <w:right w:val="none" w:sz="0" w:space="0" w:color="auto"/>
          </w:divBdr>
          <w:divsChild>
            <w:div w:id="1587617626">
              <w:marLeft w:val="0"/>
              <w:marRight w:val="0"/>
              <w:marTop w:val="0"/>
              <w:marBottom w:val="0"/>
              <w:divBdr>
                <w:top w:val="none" w:sz="0" w:space="0" w:color="auto"/>
                <w:left w:val="none" w:sz="0" w:space="0" w:color="auto"/>
                <w:bottom w:val="none" w:sz="0" w:space="0" w:color="auto"/>
                <w:right w:val="none" w:sz="0" w:space="0" w:color="auto"/>
              </w:divBdr>
            </w:div>
          </w:divsChild>
        </w:div>
        <w:div w:id="1562906780">
          <w:marLeft w:val="0"/>
          <w:marRight w:val="0"/>
          <w:marTop w:val="0"/>
          <w:marBottom w:val="0"/>
          <w:divBdr>
            <w:top w:val="none" w:sz="0" w:space="0" w:color="auto"/>
            <w:left w:val="none" w:sz="0" w:space="0" w:color="auto"/>
            <w:bottom w:val="none" w:sz="0" w:space="0" w:color="auto"/>
            <w:right w:val="none" w:sz="0" w:space="0" w:color="auto"/>
          </w:divBdr>
          <w:divsChild>
            <w:div w:id="1038894377">
              <w:marLeft w:val="0"/>
              <w:marRight w:val="0"/>
              <w:marTop w:val="0"/>
              <w:marBottom w:val="0"/>
              <w:divBdr>
                <w:top w:val="none" w:sz="0" w:space="0" w:color="auto"/>
                <w:left w:val="none" w:sz="0" w:space="0" w:color="auto"/>
                <w:bottom w:val="none" w:sz="0" w:space="0" w:color="auto"/>
                <w:right w:val="none" w:sz="0" w:space="0" w:color="auto"/>
              </w:divBdr>
            </w:div>
          </w:divsChild>
        </w:div>
        <w:div w:id="1592425261">
          <w:marLeft w:val="0"/>
          <w:marRight w:val="0"/>
          <w:marTop w:val="0"/>
          <w:marBottom w:val="0"/>
          <w:divBdr>
            <w:top w:val="none" w:sz="0" w:space="0" w:color="auto"/>
            <w:left w:val="none" w:sz="0" w:space="0" w:color="auto"/>
            <w:bottom w:val="none" w:sz="0" w:space="0" w:color="auto"/>
            <w:right w:val="none" w:sz="0" w:space="0" w:color="auto"/>
          </w:divBdr>
          <w:divsChild>
            <w:div w:id="1350986178">
              <w:marLeft w:val="0"/>
              <w:marRight w:val="0"/>
              <w:marTop w:val="0"/>
              <w:marBottom w:val="0"/>
              <w:divBdr>
                <w:top w:val="none" w:sz="0" w:space="0" w:color="auto"/>
                <w:left w:val="none" w:sz="0" w:space="0" w:color="auto"/>
                <w:bottom w:val="none" w:sz="0" w:space="0" w:color="auto"/>
                <w:right w:val="none" w:sz="0" w:space="0" w:color="auto"/>
              </w:divBdr>
            </w:div>
          </w:divsChild>
        </w:div>
        <w:div w:id="1605529392">
          <w:marLeft w:val="0"/>
          <w:marRight w:val="0"/>
          <w:marTop w:val="0"/>
          <w:marBottom w:val="0"/>
          <w:divBdr>
            <w:top w:val="none" w:sz="0" w:space="0" w:color="auto"/>
            <w:left w:val="none" w:sz="0" w:space="0" w:color="auto"/>
            <w:bottom w:val="none" w:sz="0" w:space="0" w:color="auto"/>
            <w:right w:val="none" w:sz="0" w:space="0" w:color="auto"/>
          </w:divBdr>
          <w:divsChild>
            <w:div w:id="192042796">
              <w:marLeft w:val="0"/>
              <w:marRight w:val="0"/>
              <w:marTop w:val="0"/>
              <w:marBottom w:val="0"/>
              <w:divBdr>
                <w:top w:val="none" w:sz="0" w:space="0" w:color="auto"/>
                <w:left w:val="none" w:sz="0" w:space="0" w:color="auto"/>
                <w:bottom w:val="none" w:sz="0" w:space="0" w:color="auto"/>
                <w:right w:val="none" w:sz="0" w:space="0" w:color="auto"/>
              </w:divBdr>
            </w:div>
          </w:divsChild>
        </w:div>
        <w:div w:id="1621838502">
          <w:marLeft w:val="0"/>
          <w:marRight w:val="0"/>
          <w:marTop w:val="0"/>
          <w:marBottom w:val="0"/>
          <w:divBdr>
            <w:top w:val="none" w:sz="0" w:space="0" w:color="auto"/>
            <w:left w:val="none" w:sz="0" w:space="0" w:color="auto"/>
            <w:bottom w:val="none" w:sz="0" w:space="0" w:color="auto"/>
            <w:right w:val="none" w:sz="0" w:space="0" w:color="auto"/>
          </w:divBdr>
          <w:divsChild>
            <w:div w:id="1603143903">
              <w:marLeft w:val="0"/>
              <w:marRight w:val="0"/>
              <w:marTop w:val="0"/>
              <w:marBottom w:val="0"/>
              <w:divBdr>
                <w:top w:val="none" w:sz="0" w:space="0" w:color="auto"/>
                <w:left w:val="none" w:sz="0" w:space="0" w:color="auto"/>
                <w:bottom w:val="none" w:sz="0" w:space="0" w:color="auto"/>
                <w:right w:val="none" w:sz="0" w:space="0" w:color="auto"/>
              </w:divBdr>
            </w:div>
          </w:divsChild>
        </w:div>
        <w:div w:id="1633360167">
          <w:marLeft w:val="0"/>
          <w:marRight w:val="0"/>
          <w:marTop w:val="0"/>
          <w:marBottom w:val="0"/>
          <w:divBdr>
            <w:top w:val="none" w:sz="0" w:space="0" w:color="auto"/>
            <w:left w:val="none" w:sz="0" w:space="0" w:color="auto"/>
            <w:bottom w:val="none" w:sz="0" w:space="0" w:color="auto"/>
            <w:right w:val="none" w:sz="0" w:space="0" w:color="auto"/>
          </w:divBdr>
          <w:divsChild>
            <w:div w:id="1480072039">
              <w:marLeft w:val="0"/>
              <w:marRight w:val="0"/>
              <w:marTop w:val="0"/>
              <w:marBottom w:val="0"/>
              <w:divBdr>
                <w:top w:val="none" w:sz="0" w:space="0" w:color="auto"/>
                <w:left w:val="none" w:sz="0" w:space="0" w:color="auto"/>
                <w:bottom w:val="none" w:sz="0" w:space="0" w:color="auto"/>
                <w:right w:val="none" w:sz="0" w:space="0" w:color="auto"/>
              </w:divBdr>
            </w:div>
          </w:divsChild>
        </w:div>
        <w:div w:id="1634672289">
          <w:marLeft w:val="0"/>
          <w:marRight w:val="0"/>
          <w:marTop w:val="0"/>
          <w:marBottom w:val="0"/>
          <w:divBdr>
            <w:top w:val="none" w:sz="0" w:space="0" w:color="auto"/>
            <w:left w:val="none" w:sz="0" w:space="0" w:color="auto"/>
            <w:bottom w:val="none" w:sz="0" w:space="0" w:color="auto"/>
            <w:right w:val="none" w:sz="0" w:space="0" w:color="auto"/>
          </w:divBdr>
          <w:divsChild>
            <w:div w:id="1123771618">
              <w:marLeft w:val="0"/>
              <w:marRight w:val="0"/>
              <w:marTop w:val="0"/>
              <w:marBottom w:val="0"/>
              <w:divBdr>
                <w:top w:val="none" w:sz="0" w:space="0" w:color="auto"/>
                <w:left w:val="none" w:sz="0" w:space="0" w:color="auto"/>
                <w:bottom w:val="none" w:sz="0" w:space="0" w:color="auto"/>
                <w:right w:val="none" w:sz="0" w:space="0" w:color="auto"/>
              </w:divBdr>
            </w:div>
          </w:divsChild>
        </w:div>
        <w:div w:id="1660497751">
          <w:marLeft w:val="0"/>
          <w:marRight w:val="0"/>
          <w:marTop w:val="0"/>
          <w:marBottom w:val="0"/>
          <w:divBdr>
            <w:top w:val="none" w:sz="0" w:space="0" w:color="auto"/>
            <w:left w:val="none" w:sz="0" w:space="0" w:color="auto"/>
            <w:bottom w:val="none" w:sz="0" w:space="0" w:color="auto"/>
            <w:right w:val="none" w:sz="0" w:space="0" w:color="auto"/>
          </w:divBdr>
          <w:divsChild>
            <w:div w:id="789125331">
              <w:marLeft w:val="0"/>
              <w:marRight w:val="0"/>
              <w:marTop w:val="0"/>
              <w:marBottom w:val="0"/>
              <w:divBdr>
                <w:top w:val="none" w:sz="0" w:space="0" w:color="auto"/>
                <w:left w:val="none" w:sz="0" w:space="0" w:color="auto"/>
                <w:bottom w:val="none" w:sz="0" w:space="0" w:color="auto"/>
                <w:right w:val="none" w:sz="0" w:space="0" w:color="auto"/>
              </w:divBdr>
            </w:div>
          </w:divsChild>
        </w:div>
        <w:div w:id="1729063417">
          <w:marLeft w:val="0"/>
          <w:marRight w:val="0"/>
          <w:marTop w:val="0"/>
          <w:marBottom w:val="0"/>
          <w:divBdr>
            <w:top w:val="none" w:sz="0" w:space="0" w:color="auto"/>
            <w:left w:val="none" w:sz="0" w:space="0" w:color="auto"/>
            <w:bottom w:val="none" w:sz="0" w:space="0" w:color="auto"/>
            <w:right w:val="none" w:sz="0" w:space="0" w:color="auto"/>
          </w:divBdr>
          <w:divsChild>
            <w:div w:id="8797254">
              <w:marLeft w:val="0"/>
              <w:marRight w:val="0"/>
              <w:marTop w:val="0"/>
              <w:marBottom w:val="0"/>
              <w:divBdr>
                <w:top w:val="none" w:sz="0" w:space="0" w:color="auto"/>
                <w:left w:val="none" w:sz="0" w:space="0" w:color="auto"/>
                <w:bottom w:val="none" w:sz="0" w:space="0" w:color="auto"/>
                <w:right w:val="none" w:sz="0" w:space="0" w:color="auto"/>
              </w:divBdr>
            </w:div>
          </w:divsChild>
        </w:div>
        <w:div w:id="1736120442">
          <w:marLeft w:val="0"/>
          <w:marRight w:val="0"/>
          <w:marTop w:val="0"/>
          <w:marBottom w:val="0"/>
          <w:divBdr>
            <w:top w:val="none" w:sz="0" w:space="0" w:color="auto"/>
            <w:left w:val="none" w:sz="0" w:space="0" w:color="auto"/>
            <w:bottom w:val="none" w:sz="0" w:space="0" w:color="auto"/>
            <w:right w:val="none" w:sz="0" w:space="0" w:color="auto"/>
          </w:divBdr>
          <w:divsChild>
            <w:div w:id="1094203569">
              <w:marLeft w:val="0"/>
              <w:marRight w:val="0"/>
              <w:marTop w:val="0"/>
              <w:marBottom w:val="0"/>
              <w:divBdr>
                <w:top w:val="none" w:sz="0" w:space="0" w:color="auto"/>
                <w:left w:val="none" w:sz="0" w:space="0" w:color="auto"/>
                <w:bottom w:val="none" w:sz="0" w:space="0" w:color="auto"/>
                <w:right w:val="none" w:sz="0" w:space="0" w:color="auto"/>
              </w:divBdr>
            </w:div>
          </w:divsChild>
        </w:div>
        <w:div w:id="1748991650">
          <w:marLeft w:val="0"/>
          <w:marRight w:val="0"/>
          <w:marTop w:val="0"/>
          <w:marBottom w:val="0"/>
          <w:divBdr>
            <w:top w:val="none" w:sz="0" w:space="0" w:color="auto"/>
            <w:left w:val="none" w:sz="0" w:space="0" w:color="auto"/>
            <w:bottom w:val="none" w:sz="0" w:space="0" w:color="auto"/>
            <w:right w:val="none" w:sz="0" w:space="0" w:color="auto"/>
          </w:divBdr>
          <w:divsChild>
            <w:div w:id="669336827">
              <w:marLeft w:val="0"/>
              <w:marRight w:val="0"/>
              <w:marTop w:val="0"/>
              <w:marBottom w:val="0"/>
              <w:divBdr>
                <w:top w:val="none" w:sz="0" w:space="0" w:color="auto"/>
                <w:left w:val="none" w:sz="0" w:space="0" w:color="auto"/>
                <w:bottom w:val="none" w:sz="0" w:space="0" w:color="auto"/>
                <w:right w:val="none" w:sz="0" w:space="0" w:color="auto"/>
              </w:divBdr>
            </w:div>
          </w:divsChild>
        </w:div>
        <w:div w:id="1759212328">
          <w:marLeft w:val="0"/>
          <w:marRight w:val="0"/>
          <w:marTop w:val="0"/>
          <w:marBottom w:val="0"/>
          <w:divBdr>
            <w:top w:val="none" w:sz="0" w:space="0" w:color="auto"/>
            <w:left w:val="none" w:sz="0" w:space="0" w:color="auto"/>
            <w:bottom w:val="none" w:sz="0" w:space="0" w:color="auto"/>
            <w:right w:val="none" w:sz="0" w:space="0" w:color="auto"/>
          </w:divBdr>
          <w:divsChild>
            <w:div w:id="42413168">
              <w:marLeft w:val="0"/>
              <w:marRight w:val="0"/>
              <w:marTop w:val="0"/>
              <w:marBottom w:val="0"/>
              <w:divBdr>
                <w:top w:val="none" w:sz="0" w:space="0" w:color="auto"/>
                <w:left w:val="none" w:sz="0" w:space="0" w:color="auto"/>
                <w:bottom w:val="none" w:sz="0" w:space="0" w:color="auto"/>
                <w:right w:val="none" w:sz="0" w:space="0" w:color="auto"/>
              </w:divBdr>
            </w:div>
          </w:divsChild>
        </w:div>
        <w:div w:id="1777870951">
          <w:marLeft w:val="0"/>
          <w:marRight w:val="0"/>
          <w:marTop w:val="0"/>
          <w:marBottom w:val="0"/>
          <w:divBdr>
            <w:top w:val="none" w:sz="0" w:space="0" w:color="auto"/>
            <w:left w:val="none" w:sz="0" w:space="0" w:color="auto"/>
            <w:bottom w:val="none" w:sz="0" w:space="0" w:color="auto"/>
            <w:right w:val="none" w:sz="0" w:space="0" w:color="auto"/>
          </w:divBdr>
          <w:divsChild>
            <w:div w:id="1780292366">
              <w:marLeft w:val="0"/>
              <w:marRight w:val="0"/>
              <w:marTop w:val="0"/>
              <w:marBottom w:val="0"/>
              <w:divBdr>
                <w:top w:val="none" w:sz="0" w:space="0" w:color="auto"/>
                <w:left w:val="none" w:sz="0" w:space="0" w:color="auto"/>
                <w:bottom w:val="none" w:sz="0" w:space="0" w:color="auto"/>
                <w:right w:val="none" w:sz="0" w:space="0" w:color="auto"/>
              </w:divBdr>
            </w:div>
          </w:divsChild>
        </w:div>
        <w:div w:id="1819178305">
          <w:marLeft w:val="0"/>
          <w:marRight w:val="0"/>
          <w:marTop w:val="0"/>
          <w:marBottom w:val="0"/>
          <w:divBdr>
            <w:top w:val="none" w:sz="0" w:space="0" w:color="auto"/>
            <w:left w:val="none" w:sz="0" w:space="0" w:color="auto"/>
            <w:bottom w:val="none" w:sz="0" w:space="0" w:color="auto"/>
            <w:right w:val="none" w:sz="0" w:space="0" w:color="auto"/>
          </w:divBdr>
          <w:divsChild>
            <w:div w:id="1278215628">
              <w:marLeft w:val="0"/>
              <w:marRight w:val="0"/>
              <w:marTop w:val="0"/>
              <w:marBottom w:val="0"/>
              <w:divBdr>
                <w:top w:val="none" w:sz="0" w:space="0" w:color="auto"/>
                <w:left w:val="none" w:sz="0" w:space="0" w:color="auto"/>
                <w:bottom w:val="none" w:sz="0" w:space="0" w:color="auto"/>
                <w:right w:val="none" w:sz="0" w:space="0" w:color="auto"/>
              </w:divBdr>
            </w:div>
          </w:divsChild>
        </w:div>
        <w:div w:id="1858692218">
          <w:marLeft w:val="0"/>
          <w:marRight w:val="0"/>
          <w:marTop w:val="0"/>
          <w:marBottom w:val="0"/>
          <w:divBdr>
            <w:top w:val="none" w:sz="0" w:space="0" w:color="auto"/>
            <w:left w:val="none" w:sz="0" w:space="0" w:color="auto"/>
            <w:bottom w:val="none" w:sz="0" w:space="0" w:color="auto"/>
            <w:right w:val="none" w:sz="0" w:space="0" w:color="auto"/>
          </w:divBdr>
          <w:divsChild>
            <w:div w:id="1274895052">
              <w:marLeft w:val="0"/>
              <w:marRight w:val="0"/>
              <w:marTop w:val="0"/>
              <w:marBottom w:val="0"/>
              <w:divBdr>
                <w:top w:val="none" w:sz="0" w:space="0" w:color="auto"/>
                <w:left w:val="none" w:sz="0" w:space="0" w:color="auto"/>
                <w:bottom w:val="none" w:sz="0" w:space="0" w:color="auto"/>
                <w:right w:val="none" w:sz="0" w:space="0" w:color="auto"/>
              </w:divBdr>
            </w:div>
          </w:divsChild>
        </w:div>
        <w:div w:id="1886334053">
          <w:marLeft w:val="0"/>
          <w:marRight w:val="0"/>
          <w:marTop w:val="0"/>
          <w:marBottom w:val="0"/>
          <w:divBdr>
            <w:top w:val="none" w:sz="0" w:space="0" w:color="auto"/>
            <w:left w:val="none" w:sz="0" w:space="0" w:color="auto"/>
            <w:bottom w:val="none" w:sz="0" w:space="0" w:color="auto"/>
            <w:right w:val="none" w:sz="0" w:space="0" w:color="auto"/>
          </w:divBdr>
          <w:divsChild>
            <w:div w:id="656962047">
              <w:marLeft w:val="0"/>
              <w:marRight w:val="0"/>
              <w:marTop w:val="0"/>
              <w:marBottom w:val="0"/>
              <w:divBdr>
                <w:top w:val="none" w:sz="0" w:space="0" w:color="auto"/>
                <w:left w:val="none" w:sz="0" w:space="0" w:color="auto"/>
                <w:bottom w:val="none" w:sz="0" w:space="0" w:color="auto"/>
                <w:right w:val="none" w:sz="0" w:space="0" w:color="auto"/>
              </w:divBdr>
            </w:div>
          </w:divsChild>
        </w:div>
        <w:div w:id="2017296055">
          <w:marLeft w:val="0"/>
          <w:marRight w:val="0"/>
          <w:marTop w:val="0"/>
          <w:marBottom w:val="0"/>
          <w:divBdr>
            <w:top w:val="none" w:sz="0" w:space="0" w:color="auto"/>
            <w:left w:val="none" w:sz="0" w:space="0" w:color="auto"/>
            <w:bottom w:val="none" w:sz="0" w:space="0" w:color="auto"/>
            <w:right w:val="none" w:sz="0" w:space="0" w:color="auto"/>
          </w:divBdr>
          <w:divsChild>
            <w:div w:id="1517503055">
              <w:marLeft w:val="0"/>
              <w:marRight w:val="0"/>
              <w:marTop w:val="0"/>
              <w:marBottom w:val="0"/>
              <w:divBdr>
                <w:top w:val="none" w:sz="0" w:space="0" w:color="auto"/>
                <w:left w:val="none" w:sz="0" w:space="0" w:color="auto"/>
                <w:bottom w:val="none" w:sz="0" w:space="0" w:color="auto"/>
                <w:right w:val="none" w:sz="0" w:space="0" w:color="auto"/>
              </w:divBdr>
            </w:div>
          </w:divsChild>
        </w:div>
        <w:div w:id="2038386153">
          <w:marLeft w:val="0"/>
          <w:marRight w:val="0"/>
          <w:marTop w:val="0"/>
          <w:marBottom w:val="0"/>
          <w:divBdr>
            <w:top w:val="none" w:sz="0" w:space="0" w:color="auto"/>
            <w:left w:val="none" w:sz="0" w:space="0" w:color="auto"/>
            <w:bottom w:val="none" w:sz="0" w:space="0" w:color="auto"/>
            <w:right w:val="none" w:sz="0" w:space="0" w:color="auto"/>
          </w:divBdr>
          <w:divsChild>
            <w:div w:id="231477315">
              <w:marLeft w:val="0"/>
              <w:marRight w:val="0"/>
              <w:marTop w:val="0"/>
              <w:marBottom w:val="0"/>
              <w:divBdr>
                <w:top w:val="none" w:sz="0" w:space="0" w:color="auto"/>
                <w:left w:val="none" w:sz="0" w:space="0" w:color="auto"/>
                <w:bottom w:val="none" w:sz="0" w:space="0" w:color="auto"/>
                <w:right w:val="none" w:sz="0" w:space="0" w:color="auto"/>
              </w:divBdr>
            </w:div>
          </w:divsChild>
        </w:div>
        <w:div w:id="2047560056">
          <w:marLeft w:val="0"/>
          <w:marRight w:val="0"/>
          <w:marTop w:val="0"/>
          <w:marBottom w:val="0"/>
          <w:divBdr>
            <w:top w:val="none" w:sz="0" w:space="0" w:color="auto"/>
            <w:left w:val="none" w:sz="0" w:space="0" w:color="auto"/>
            <w:bottom w:val="none" w:sz="0" w:space="0" w:color="auto"/>
            <w:right w:val="none" w:sz="0" w:space="0" w:color="auto"/>
          </w:divBdr>
          <w:divsChild>
            <w:div w:id="622005205">
              <w:marLeft w:val="0"/>
              <w:marRight w:val="0"/>
              <w:marTop w:val="0"/>
              <w:marBottom w:val="0"/>
              <w:divBdr>
                <w:top w:val="none" w:sz="0" w:space="0" w:color="auto"/>
                <w:left w:val="none" w:sz="0" w:space="0" w:color="auto"/>
                <w:bottom w:val="none" w:sz="0" w:space="0" w:color="auto"/>
                <w:right w:val="none" w:sz="0" w:space="0" w:color="auto"/>
              </w:divBdr>
            </w:div>
          </w:divsChild>
        </w:div>
        <w:div w:id="2074351232">
          <w:marLeft w:val="0"/>
          <w:marRight w:val="0"/>
          <w:marTop w:val="0"/>
          <w:marBottom w:val="0"/>
          <w:divBdr>
            <w:top w:val="none" w:sz="0" w:space="0" w:color="auto"/>
            <w:left w:val="none" w:sz="0" w:space="0" w:color="auto"/>
            <w:bottom w:val="none" w:sz="0" w:space="0" w:color="auto"/>
            <w:right w:val="none" w:sz="0" w:space="0" w:color="auto"/>
          </w:divBdr>
          <w:divsChild>
            <w:div w:id="2062091931">
              <w:marLeft w:val="0"/>
              <w:marRight w:val="0"/>
              <w:marTop w:val="0"/>
              <w:marBottom w:val="0"/>
              <w:divBdr>
                <w:top w:val="none" w:sz="0" w:space="0" w:color="auto"/>
                <w:left w:val="none" w:sz="0" w:space="0" w:color="auto"/>
                <w:bottom w:val="none" w:sz="0" w:space="0" w:color="auto"/>
                <w:right w:val="none" w:sz="0" w:space="0" w:color="auto"/>
              </w:divBdr>
            </w:div>
          </w:divsChild>
        </w:div>
        <w:div w:id="2078284894">
          <w:marLeft w:val="0"/>
          <w:marRight w:val="0"/>
          <w:marTop w:val="0"/>
          <w:marBottom w:val="0"/>
          <w:divBdr>
            <w:top w:val="none" w:sz="0" w:space="0" w:color="auto"/>
            <w:left w:val="none" w:sz="0" w:space="0" w:color="auto"/>
            <w:bottom w:val="none" w:sz="0" w:space="0" w:color="auto"/>
            <w:right w:val="none" w:sz="0" w:space="0" w:color="auto"/>
          </w:divBdr>
          <w:divsChild>
            <w:div w:id="1592548295">
              <w:marLeft w:val="0"/>
              <w:marRight w:val="0"/>
              <w:marTop w:val="0"/>
              <w:marBottom w:val="0"/>
              <w:divBdr>
                <w:top w:val="none" w:sz="0" w:space="0" w:color="auto"/>
                <w:left w:val="none" w:sz="0" w:space="0" w:color="auto"/>
                <w:bottom w:val="none" w:sz="0" w:space="0" w:color="auto"/>
                <w:right w:val="none" w:sz="0" w:space="0" w:color="auto"/>
              </w:divBdr>
            </w:div>
          </w:divsChild>
        </w:div>
        <w:div w:id="2082098014">
          <w:marLeft w:val="0"/>
          <w:marRight w:val="0"/>
          <w:marTop w:val="0"/>
          <w:marBottom w:val="0"/>
          <w:divBdr>
            <w:top w:val="none" w:sz="0" w:space="0" w:color="auto"/>
            <w:left w:val="none" w:sz="0" w:space="0" w:color="auto"/>
            <w:bottom w:val="none" w:sz="0" w:space="0" w:color="auto"/>
            <w:right w:val="none" w:sz="0" w:space="0" w:color="auto"/>
          </w:divBdr>
          <w:divsChild>
            <w:div w:id="909267707">
              <w:marLeft w:val="0"/>
              <w:marRight w:val="0"/>
              <w:marTop w:val="0"/>
              <w:marBottom w:val="0"/>
              <w:divBdr>
                <w:top w:val="none" w:sz="0" w:space="0" w:color="auto"/>
                <w:left w:val="none" w:sz="0" w:space="0" w:color="auto"/>
                <w:bottom w:val="none" w:sz="0" w:space="0" w:color="auto"/>
                <w:right w:val="none" w:sz="0" w:space="0" w:color="auto"/>
              </w:divBdr>
            </w:div>
          </w:divsChild>
        </w:div>
        <w:div w:id="2083410263">
          <w:marLeft w:val="0"/>
          <w:marRight w:val="0"/>
          <w:marTop w:val="0"/>
          <w:marBottom w:val="0"/>
          <w:divBdr>
            <w:top w:val="none" w:sz="0" w:space="0" w:color="auto"/>
            <w:left w:val="none" w:sz="0" w:space="0" w:color="auto"/>
            <w:bottom w:val="none" w:sz="0" w:space="0" w:color="auto"/>
            <w:right w:val="none" w:sz="0" w:space="0" w:color="auto"/>
          </w:divBdr>
          <w:divsChild>
            <w:div w:id="326251897">
              <w:marLeft w:val="0"/>
              <w:marRight w:val="0"/>
              <w:marTop w:val="0"/>
              <w:marBottom w:val="0"/>
              <w:divBdr>
                <w:top w:val="none" w:sz="0" w:space="0" w:color="auto"/>
                <w:left w:val="none" w:sz="0" w:space="0" w:color="auto"/>
                <w:bottom w:val="none" w:sz="0" w:space="0" w:color="auto"/>
                <w:right w:val="none" w:sz="0" w:space="0" w:color="auto"/>
              </w:divBdr>
            </w:div>
          </w:divsChild>
        </w:div>
        <w:div w:id="2099521697">
          <w:marLeft w:val="0"/>
          <w:marRight w:val="0"/>
          <w:marTop w:val="0"/>
          <w:marBottom w:val="0"/>
          <w:divBdr>
            <w:top w:val="none" w:sz="0" w:space="0" w:color="auto"/>
            <w:left w:val="none" w:sz="0" w:space="0" w:color="auto"/>
            <w:bottom w:val="none" w:sz="0" w:space="0" w:color="auto"/>
            <w:right w:val="none" w:sz="0" w:space="0" w:color="auto"/>
          </w:divBdr>
          <w:divsChild>
            <w:div w:id="2016760531">
              <w:marLeft w:val="0"/>
              <w:marRight w:val="0"/>
              <w:marTop w:val="0"/>
              <w:marBottom w:val="0"/>
              <w:divBdr>
                <w:top w:val="none" w:sz="0" w:space="0" w:color="auto"/>
                <w:left w:val="none" w:sz="0" w:space="0" w:color="auto"/>
                <w:bottom w:val="none" w:sz="0" w:space="0" w:color="auto"/>
                <w:right w:val="none" w:sz="0" w:space="0" w:color="auto"/>
              </w:divBdr>
            </w:div>
          </w:divsChild>
        </w:div>
        <w:div w:id="2104911490">
          <w:marLeft w:val="0"/>
          <w:marRight w:val="0"/>
          <w:marTop w:val="0"/>
          <w:marBottom w:val="0"/>
          <w:divBdr>
            <w:top w:val="none" w:sz="0" w:space="0" w:color="auto"/>
            <w:left w:val="none" w:sz="0" w:space="0" w:color="auto"/>
            <w:bottom w:val="none" w:sz="0" w:space="0" w:color="auto"/>
            <w:right w:val="none" w:sz="0" w:space="0" w:color="auto"/>
          </w:divBdr>
          <w:divsChild>
            <w:div w:id="627903579">
              <w:marLeft w:val="0"/>
              <w:marRight w:val="0"/>
              <w:marTop w:val="0"/>
              <w:marBottom w:val="0"/>
              <w:divBdr>
                <w:top w:val="none" w:sz="0" w:space="0" w:color="auto"/>
                <w:left w:val="none" w:sz="0" w:space="0" w:color="auto"/>
                <w:bottom w:val="none" w:sz="0" w:space="0" w:color="auto"/>
                <w:right w:val="none" w:sz="0" w:space="0" w:color="auto"/>
              </w:divBdr>
            </w:div>
          </w:divsChild>
        </w:div>
        <w:div w:id="2124107083">
          <w:marLeft w:val="0"/>
          <w:marRight w:val="0"/>
          <w:marTop w:val="0"/>
          <w:marBottom w:val="0"/>
          <w:divBdr>
            <w:top w:val="none" w:sz="0" w:space="0" w:color="auto"/>
            <w:left w:val="none" w:sz="0" w:space="0" w:color="auto"/>
            <w:bottom w:val="none" w:sz="0" w:space="0" w:color="auto"/>
            <w:right w:val="none" w:sz="0" w:space="0" w:color="auto"/>
          </w:divBdr>
          <w:divsChild>
            <w:div w:id="488446687">
              <w:marLeft w:val="0"/>
              <w:marRight w:val="0"/>
              <w:marTop w:val="0"/>
              <w:marBottom w:val="0"/>
              <w:divBdr>
                <w:top w:val="none" w:sz="0" w:space="0" w:color="auto"/>
                <w:left w:val="none" w:sz="0" w:space="0" w:color="auto"/>
                <w:bottom w:val="none" w:sz="0" w:space="0" w:color="auto"/>
                <w:right w:val="none" w:sz="0" w:space="0" w:color="auto"/>
              </w:divBdr>
            </w:div>
          </w:divsChild>
        </w:div>
        <w:div w:id="2135515832">
          <w:marLeft w:val="0"/>
          <w:marRight w:val="0"/>
          <w:marTop w:val="0"/>
          <w:marBottom w:val="0"/>
          <w:divBdr>
            <w:top w:val="none" w:sz="0" w:space="0" w:color="auto"/>
            <w:left w:val="none" w:sz="0" w:space="0" w:color="auto"/>
            <w:bottom w:val="none" w:sz="0" w:space="0" w:color="auto"/>
            <w:right w:val="none" w:sz="0" w:space="0" w:color="auto"/>
          </w:divBdr>
          <w:divsChild>
            <w:div w:id="2032486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7001172">
      <w:bodyDiv w:val="1"/>
      <w:marLeft w:val="0"/>
      <w:marRight w:val="0"/>
      <w:marTop w:val="0"/>
      <w:marBottom w:val="0"/>
      <w:divBdr>
        <w:top w:val="none" w:sz="0" w:space="0" w:color="auto"/>
        <w:left w:val="none" w:sz="0" w:space="0" w:color="auto"/>
        <w:bottom w:val="none" w:sz="0" w:space="0" w:color="auto"/>
        <w:right w:val="none" w:sz="0" w:space="0" w:color="auto"/>
      </w:divBdr>
    </w:div>
    <w:div w:id="408162136">
      <w:bodyDiv w:val="1"/>
      <w:marLeft w:val="0"/>
      <w:marRight w:val="0"/>
      <w:marTop w:val="0"/>
      <w:marBottom w:val="0"/>
      <w:divBdr>
        <w:top w:val="none" w:sz="0" w:space="0" w:color="auto"/>
        <w:left w:val="none" w:sz="0" w:space="0" w:color="auto"/>
        <w:bottom w:val="none" w:sz="0" w:space="0" w:color="auto"/>
        <w:right w:val="none" w:sz="0" w:space="0" w:color="auto"/>
      </w:divBdr>
    </w:div>
    <w:div w:id="524099513">
      <w:bodyDiv w:val="1"/>
      <w:marLeft w:val="0"/>
      <w:marRight w:val="0"/>
      <w:marTop w:val="0"/>
      <w:marBottom w:val="0"/>
      <w:divBdr>
        <w:top w:val="none" w:sz="0" w:space="0" w:color="auto"/>
        <w:left w:val="none" w:sz="0" w:space="0" w:color="auto"/>
        <w:bottom w:val="none" w:sz="0" w:space="0" w:color="auto"/>
        <w:right w:val="none" w:sz="0" w:space="0" w:color="auto"/>
      </w:divBdr>
    </w:div>
    <w:div w:id="537548444">
      <w:bodyDiv w:val="1"/>
      <w:marLeft w:val="0"/>
      <w:marRight w:val="0"/>
      <w:marTop w:val="0"/>
      <w:marBottom w:val="0"/>
      <w:divBdr>
        <w:top w:val="none" w:sz="0" w:space="0" w:color="auto"/>
        <w:left w:val="none" w:sz="0" w:space="0" w:color="auto"/>
        <w:bottom w:val="none" w:sz="0" w:space="0" w:color="auto"/>
        <w:right w:val="none" w:sz="0" w:space="0" w:color="auto"/>
      </w:divBdr>
    </w:div>
    <w:div w:id="541095199">
      <w:bodyDiv w:val="1"/>
      <w:marLeft w:val="0"/>
      <w:marRight w:val="0"/>
      <w:marTop w:val="0"/>
      <w:marBottom w:val="0"/>
      <w:divBdr>
        <w:top w:val="none" w:sz="0" w:space="0" w:color="auto"/>
        <w:left w:val="none" w:sz="0" w:space="0" w:color="auto"/>
        <w:bottom w:val="none" w:sz="0" w:space="0" w:color="auto"/>
        <w:right w:val="none" w:sz="0" w:space="0" w:color="auto"/>
      </w:divBdr>
    </w:div>
    <w:div w:id="569653392">
      <w:bodyDiv w:val="1"/>
      <w:marLeft w:val="0"/>
      <w:marRight w:val="0"/>
      <w:marTop w:val="0"/>
      <w:marBottom w:val="0"/>
      <w:divBdr>
        <w:top w:val="none" w:sz="0" w:space="0" w:color="auto"/>
        <w:left w:val="none" w:sz="0" w:space="0" w:color="auto"/>
        <w:bottom w:val="none" w:sz="0" w:space="0" w:color="auto"/>
        <w:right w:val="none" w:sz="0" w:space="0" w:color="auto"/>
      </w:divBdr>
    </w:div>
    <w:div w:id="614747598">
      <w:bodyDiv w:val="1"/>
      <w:marLeft w:val="0"/>
      <w:marRight w:val="0"/>
      <w:marTop w:val="0"/>
      <w:marBottom w:val="0"/>
      <w:divBdr>
        <w:top w:val="none" w:sz="0" w:space="0" w:color="auto"/>
        <w:left w:val="none" w:sz="0" w:space="0" w:color="auto"/>
        <w:bottom w:val="none" w:sz="0" w:space="0" w:color="auto"/>
        <w:right w:val="none" w:sz="0" w:space="0" w:color="auto"/>
      </w:divBdr>
      <w:divsChild>
        <w:div w:id="978458619">
          <w:marLeft w:val="0"/>
          <w:marRight w:val="0"/>
          <w:marTop w:val="0"/>
          <w:marBottom w:val="0"/>
          <w:divBdr>
            <w:top w:val="none" w:sz="0" w:space="0" w:color="auto"/>
            <w:left w:val="none" w:sz="0" w:space="0" w:color="auto"/>
            <w:bottom w:val="none" w:sz="0" w:space="0" w:color="auto"/>
            <w:right w:val="none" w:sz="0" w:space="0" w:color="auto"/>
          </w:divBdr>
        </w:div>
        <w:div w:id="1545601986">
          <w:marLeft w:val="0"/>
          <w:marRight w:val="0"/>
          <w:marTop w:val="0"/>
          <w:marBottom w:val="0"/>
          <w:divBdr>
            <w:top w:val="none" w:sz="0" w:space="0" w:color="auto"/>
            <w:left w:val="none" w:sz="0" w:space="0" w:color="auto"/>
            <w:bottom w:val="none" w:sz="0" w:space="0" w:color="auto"/>
            <w:right w:val="none" w:sz="0" w:space="0" w:color="auto"/>
          </w:divBdr>
        </w:div>
      </w:divsChild>
    </w:div>
    <w:div w:id="652876884">
      <w:bodyDiv w:val="1"/>
      <w:marLeft w:val="0"/>
      <w:marRight w:val="0"/>
      <w:marTop w:val="0"/>
      <w:marBottom w:val="0"/>
      <w:divBdr>
        <w:top w:val="none" w:sz="0" w:space="0" w:color="auto"/>
        <w:left w:val="none" w:sz="0" w:space="0" w:color="auto"/>
        <w:bottom w:val="none" w:sz="0" w:space="0" w:color="auto"/>
        <w:right w:val="none" w:sz="0" w:space="0" w:color="auto"/>
      </w:divBdr>
    </w:div>
    <w:div w:id="661274766">
      <w:bodyDiv w:val="1"/>
      <w:marLeft w:val="0"/>
      <w:marRight w:val="0"/>
      <w:marTop w:val="0"/>
      <w:marBottom w:val="0"/>
      <w:divBdr>
        <w:top w:val="none" w:sz="0" w:space="0" w:color="auto"/>
        <w:left w:val="none" w:sz="0" w:space="0" w:color="auto"/>
        <w:bottom w:val="none" w:sz="0" w:space="0" w:color="auto"/>
        <w:right w:val="none" w:sz="0" w:space="0" w:color="auto"/>
      </w:divBdr>
    </w:div>
    <w:div w:id="665936163">
      <w:bodyDiv w:val="1"/>
      <w:marLeft w:val="0"/>
      <w:marRight w:val="0"/>
      <w:marTop w:val="0"/>
      <w:marBottom w:val="0"/>
      <w:divBdr>
        <w:top w:val="none" w:sz="0" w:space="0" w:color="auto"/>
        <w:left w:val="none" w:sz="0" w:space="0" w:color="auto"/>
        <w:bottom w:val="none" w:sz="0" w:space="0" w:color="auto"/>
        <w:right w:val="none" w:sz="0" w:space="0" w:color="auto"/>
      </w:divBdr>
      <w:divsChild>
        <w:div w:id="762847802">
          <w:marLeft w:val="0"/>
          <w:marRight w:val="0"/>
          <w:marTop w:val="0"/>
          <w:marBottom w:val="0"/>
          <w:divBdr>
            <w:top w:val="none" w:sz="0" w:space="0" w:color="auto"/>
            <w:left w:val="none" w:sz="0" w:space="0" w:color="auto"/>
            <w:bottom w:val="none" w:sz="0" w:space="0" w:color="auto"/>
            <w:right w:val="none" w:sz="0" w:space="0" w:color="auto"/>
          </w:divBdr>
        </w:div>
        <w:div w:id="1527479841">
          <w:marLeft w:val="0"/>
          <w:marRight w:val="0"/>
          <w:marTop w:val="0"/>
          <w:marBottom w:val="0"/>
          <w:divBdr>
            <w:top w:val="none" w:sz="0" w:space="0" w:color="auto"/>
            <w:left w:val="none" w:sz="0" w:space="0" w:color="auto"/>
            <w:bottom w:val="none" w:sz="0" w:space="0" w:color="auto"/>
            <w:right w:val="none" w:sz="0" w:space="0" w:color="auto"/>
          </w:divBdr>
          <w:divsChild>
            <w:div w:id="1223642847">
              <w:marLeft w:val="-75"/>
              <w:marRight w:val="0"/>
              <w:marTop w:val="30"/>
              <w:marBottom w:val="30"/>
              <w:divBdr>
                <w:top w:val="none" w:sz="0" w:space="0" w:color="auto"/>
                <w:left w:val="none" w:sz="0" w:space="0" w:color="auto"/>
                <w:bottom w:val="none" w:sz="0" w:space="0" w:color="auto"/>
                <w:right w:val="none" w:sz="0" w:space="0" w:color="auto"/>
              </w:divBdr>
              <w:divsChild>
                <w:div w:id="50856594">
                  <w:marLeft w:val="0"/>
                  <w:marRight w:val="0"/>
                  <w:marTop w:val="0"/>
                  <w:marBottom w:val="0"/>
                  <w:divBdr>
                    <w:top w:val="none" w:sz="0" w:space="0" w:color="auto"/>
                    <w:left w:val="none" w:sz="0" w:space="0" w:color="auto"/>
                    <w:bottom w:val="none" w:sz="0" w:space="0" w:color="auto"/>
                    <w:right w:val="none" w:sz="0" w:space="0" w:color="auto"/>
                  </w:divBdr>
                  <w:divsChild>
                    <w:div w:id="852381024">
                      <w:marLeft w:val="0"/>
                      <w:marRight w:val="0"/>
                      <w:marTop w:val="0"/>
                      <w:marBottom w:val="0"/>
                      <w:divBdr>
                        <w:top w:val="none" w:sz="0" w:space="0" w:color="auto"/>
                        <w:left w:val="none" w:sz="0" w:space="0" w:color="auto"/>
                        <w:bottom w:val="none" w:sz="0" w:space="0" w:color="auto"/>
                        <w:right w:val="none" w:sz="0" w:space="0" w:color="auto"/>
                      </w:divBdr>
                    </w:div>
                  </w:divsChild>
                </w:div>
                <w:div w:id="68845111">
                  <w:marLeft w:val="0"/>
                  <w:marRight w:val="0"/>
                  <w:marTop w:val="0"/>
                  <w:marBottom w:val="0"/>
                  <w:divBdr>
                    <w:top w:val="none" w:sz="0" w:space="0" w:color="auto"/>
                    <w:left w:val="none" w:sz="0" w:space="0" w:color="auto"/>
                    <w:bottom w:val="none" w:sz="0" w:space="0" w:color="auto"/>
                    <w:right w:val="none" w:sz="0" w:space="0" w:color="auto"/>
                  </w:divBdr>
                  <w:divsChild>
                    <w:div w:id="1979650856">
                      <w:marLeft w:val="0"/>
                      <w:marRight w:val="0"/>
                      <w:marTop w:val="0"/>
                      <w:marBottom w:val="0"/>
                      <w:divBdr>
                        <w:top w:val="none" w:sz="0" w:space="0" w:color="auto"/>
                        <w:left w:val="none" w:sz="0" w:space="0" w:color="auto"/>
                        <w:bottom w:val="none" w:sz="0" w:space="0" w:color="auto"/>
                        <w:right w:val="none" w:sz="0" w:space="0" w:color="auto"/>
                      </w:divBdr>
                    </w:div>
                  </w:divsChild>
                </w:div>
                <w:div w:id="74783186">
                  <w:marLeft w:val="0"/>
                  <w:marRight w:val="0"/>
                  <w:marTop w:val="0"/>
                  <w:marBottom w:val="0"/>
                  <w:divBdr>
                    <w:top w:val="none" w:sz="0" w:space="0" w:color="auto"/>
                    <w:left w:val="none" w:sz="0" w:space="0" w:color="auto"/>
                    <w:bottom w:val="none" w:sz="0" w:space="0" w:color="auto"/>
                    <w:right w:val="none" w:sz="0" w:space="0" w:color="auto"/>
                  </w:divBdr>
                  <w:divsChild>
                    <w:div w:id="487751412">
                      <w:marLeft w:val="0"/>
                      <w:marRight w:val="0"/>
                      <w:marTop w:val="0"/>
                      <w:marBottom w:val="0"/>
                      <w:divBdr>
                        <w:top w:val="none" w:sz="0" w:space="0" w:color="auto"/>
                        <w:left w:val="none" w:sz="0" w:space="0" w:color="auto"/>
                        <w:bottom w:val="none" w:sz="0" w:space="0" w:color="auto"/>
                        <w:right w:val="none" w:sz="0" w:space="0" w:color="auto"/>
                      </w:divBdr>
                    </w:div>
                  </w:divsChild>
                </w:div>
                <w:div w:id="92284547">
                  <w:marLeft w:val="0"/>
                  <w:marRight w:val="0"/>
                  <w:marTop w:val="0"/>
                  <w:marBottom w:val="0"/>
                  <w:divBdr>
                    <w:top w:val="none" w:sz="0" w:space="0" w:color="auto"/>
                    <w:left w:val="none" w:sz="0" w:space="0" w:color="auto"/>
                    <w:bottom w:val="none" w:sz="0" w:space="0" w:color="auto"/>
                    <w:right w:val="none" w:sz="0" w:space="0" w:color="auto"/>
                  </w:divBdr>
                  <w:divsChild>
                    <w:div w:id="1872497131">
                      <w:marLeft w:val="0"/>
                      <w:marRight w:val="0"/>
                      <w:marTop w:val="0"/>
                      <w:marBottom w:val="0"/>
                      <w:divBdr>
                        <w:top w:val="none" w:sz="0" w:space="0" w:color="auto"/>
                        <w:left w:val="none" w:sz="0" w:space="0" w:color="auto"/>
                        <w:bottom w:val="none" w:sz="0" w:space="0" w:color="auto"/>
                        <w:right w:val="none" w:sz="0" w:space="0" w:color="auto"/>
                      </w:divBdr>
                    </w:div>
                  </w:divsChild>
                </w:div>
                <w:div w:id="138152034">
                  <w:marLeft w:val="0"/>
                  <w:marRight w:val="0"/>
                  <w:marTop w:val="0"/>
                  <w:marBottom w:val="0"/>
                  <w:divBdr>
                    <w:top w:val="none" w:sz="0" w:space="0" w:color="auto"/>
                    <w:left w:val="none" w:sz="0" w:space="0" w:color="auto"/>
                    <w:bottom w:val="none" w:sz="0" w:space="0" w:color="auto"/>
                    <w:right w:val="none" w:sz="0" w:space="0" w:color="auto"/>
                  </w:divBdr>
                  <w:divsChild>
                    <w:div w:id="326060498">
                      <w:marLeft w:val="0"/>
                      <w:marRight w:val="0"/>
                      <w:marTop w:val="0"/>
                      <w:marBottom w:val="0"/>
                      <w:divBdr>
                        <w:top w:val="none" w:sz="0" w:space="0" w:color="auto"/>
                        <w:left w:val="none" w:sz="0" w:space="0" w:color="auto"/>
                        <w:bottom w:val="none" w:sz="0" w:space="0" w:color="auto"/>
                        <w:right w:val="none" w:sz="0" w:space="0" w:color="auto"/>
                      </w:divBdr>
                    </w:div>
                  </w:divsChild>
                </w:div>
                <w:div w:id="165633744">
                  <w:marLeft w:val="0"/>
                  <w:marRight w:val="0"/>
                  <w:marTop w:val="0"/>
                  <w:marBottom w:val="0"/>
                  <w:divBdr>
                    <w:top w:val="none" w:sz="0" w:space="0" w:color="auto"/>
                    <w:left w:val="none" w:sz="0" w:space="0" w:color="auto"/>
                    <w:bottom w:val="none" w:sz="0" w:space="0" w:color="auto"/>
                    <w:right w:val="none" w:sz="0" w:space="0" w:color="auto"/>
                  </w:divBdr>
                  <w:divsChild>
                    <w:div w:id="1299342517">
                      <w:marLeft w:val="0"/>
                      <w:marRight w:val="0"/>
                      <w:marTop w:val="0"/>
                      <w:marBottom w:val="0"/>
                      <w:divBdr>
                        <w:top w:val="none" w:sz="0" w:space="0" w:color="auto"/>
                        <w:left w:val="none" w:sz="0" w:space="0" w:color="auto"/>
                        <w:bottom w:val="none" w:sz="0" w:space="0" w:color="auto"/>
                        <w:right w:val="none" w:sz="0" w:space="0" w:color="auto"/>
                      </w:divBdr>
                    </w:div>
                  </w:divsChild>
                </w:div>
                <w:div w:id="192428076">
                  <w:marLeft w:val="0"/>
                  <w:marRight w:val="0"/>
                  <w:marTop w:val="0"/>
                  <w:marBottom w:val="0"/>
                  <w:divBdr>
                    <w:top w:val="none" w:sz="0" w:space="0" w:color="auto"/>
                    <w:left w:val="none" w:sz="0" w:space="0" w:color="auto"/>
                    <w:bottom w:val="none" w:sz="0" w:space="0" w:color="auto"/>
                    <w:right w:val="none" w:sz="0" w:space="0" w:color="auto"/>
                  </w:divBdr>
                  <w:divsChild>
                    <w:div w:id="125243563">
                      <w:marLeft w:val="0"/>
                      <w:marRight w:val="0"/>
                      <w:marTop w:val="0"/>
                      <w:marBottom w:val="0"/>
                      <w:divBdr>
                        <w:top w:val="none" w:sz="0" w:space="0" w:color="auto"/>
                        <w:left w:val="none" w:sz="0" w:space="0" w:color="auto"/>
                        <w:bottom w:val="none" w:sz="0" w:space="0" w:color="auto"/>
                        <w:right w:val="none" w:sz="0" w:space="0" w:color="auto"/>
                      </w:divBdr>
                    </w:div>
                  </w:divsChild>
                </w:div>
                <w:div w:id="210729340">
                  <w:marLeft w:val="0"/>
                  <w:marRight w:val="0"/>
                  <w:marTop w:val="0"/>
                  <w:marBottom w:val="0"/>
                  <w:divBdr>
                    <w:top w:val="none" w:sz="0" w:space="0" w:color="auto"/>
                    <w:left w:val="none" w:sz="0" w:space="0" w:color="auto"/>
                    <w:bottom w:val="none" w:sz="0" w:space="0" w:color="auto"/>
                    <w:right w:val="none" w:sz="0" w:space="0" w:color="auto"/>
                  </w:divBdr>
                  <w:divsChild>
                    <w:div w:id="1254163873">
                      <w:marLeft w:val="0"/>
                      <w:marRight w:val="0"/>
                      <w:marTop w:val="0"/>
                      <w:marBottom w:val="0"/>
                      <w:divBdr>
                        <w:top w:val="none" w:sz="0" w:space="0" w:color="auto"/>
                        <w:left w:val="none" w:sz="0" w:space="0" w:color="auto"/>
                        <w:bottom w:val="none" w:sz="0" w:space="0" w:color="auto"/>
                        <w:right w:val="none" w:sz="0" w:space="0" w:color="auto"/>
                      </w:divBdr>
                    </w:div>
                  </w:divsChild>
                </w:div>
                <w:div w:id="238952500">
                  <w:marLeft w:val="0"/>
                  <w:marRight w:val="0"/>
                  <w:marTop w:val="0"/>
                  <w:marBottom w:val="0"/>
                  <w:divBdr>
                    <w:top w:val="none" w:sz="0" w:space="0" w:color="auto"/>
                    <w:left w:val="none" w:sz="0" w:space="0" w:color="auto"/>
                    <w:bottom w:val="none" w:sz="0" w:space="0" w:color="auto"/>
                    <w:right w:val="none" w:sz="0" w:space="0" w:color="auto"/>
                  </w:divBdr>
                  <w:divsChild>
                    <w:div w:id="481393072">
                      <w:marLeft w:val="0"/>
                      <w:marRight w:val="0"/>
                      <w:marTop w:val="0"/>
                      <w:marBottom w:val="0"/>
                      <w:divBdr>
                        <w:top w:val="none" w:sz="0" w:space="0" w:color="auto"/>
                        <w:left w:val="none" w:sz="0" w:space="0" w:color="auto"/>
                        <w:bottom w:val="none" w:sz="0" w:space="0" w:color="auto"/>
                        <w:right w:val="none" w:sz="0" w:space="0" w:color="auto"/>
                      </w:divBdr>
                    </w:div>
                  </w:divsChild>
                </w:div>
                <w:div w:id="240994065">
                  <w:marLeft w:val="0"/>
                  <w:marRight w:val="0"/>
                  <w:marTop w:val="0"/>
                  <w:marBottom w:val="0"/>
                  <w:divBdr>
                    <w:top w:val="none" w:sz="0" w:space="0" w:color="auto"/>
                    <w:left w:val="none" w:sz="0" w:space="0" w:color="auto"/>
                    <w:bottom w:val="none" w:sz="0" w:space="0" w:color="auto"/>
                    <w:right w:val="none" w:sz="0" w:space="0" w:color="auto"/>
                  </w:divBdr>
                  <w:divsChild>
                    <w:div w:id="260384174">
                      <w:marLeft w:val="0"/>
                      <w:marRight w:val="0"/>
                      <w:marTop w:val="0"/>
                      <w:marBottom w:val="0"/>
                      <w:divBdr>
                        <w:top w:val="none" w:sz="0" w:space="0" w:color="auto"/>
                        <w:left w:val="none" w:sz="0" w:space="0" w:color="auto"/>
                        <w:bottom w:val="none" w:sz="0" w:space="0" w:color="auto"/>
                        <w:right w:val="none" w:sz="0" w:space="0" w:color="auto"/>
                      </w:divBdr>
                    </w:div>
                  </w:divsChild>
                </w:div>
                <w:div w:id="258148960">
                  <w:marLeft w:val="0"/>
                  <w:marRight w:val="0"/>
                  <w:marTop w:val="0"/>
                  <w:marBottom w:val="0"/>
                  <w:divBdr>
                    <w:top w:val="none" w:sz="0" w:space="0" w:color="auto"/>
                    <w:left w:val="none" w:sz="0" w:space="0" w:color="auto"/>
                    <w:bottom w:val="none" w:sz="0" w:space="0" w:color="auto"/>
                    <w:right w:val="none" w:sz="0" w:space="0" w:color="auto"/>
                  </w:divBdr>
                  <w:divsChild>
                    <w:div w:id="634873246">
                      <w:marLeft w:val="0"/>
                      <w:marRight w:val="0"/>
                      <w:marTop w:val="0"/>
                      <w:marBottom w:val="0"/>
                      <w:divBdr>
                        <w:top w:val="none" w:sz="0" w:space="0" w:color="auto"/>
                        <w:left w:val="none" w:sz="0" w:space="0" w:color="auto"/>
                        <w:bottom w:val="none" w:sz="0" w:space="0" w:color="auto"/>
                        <w:right w:val="none" w:sz="0" w:space="0" w:color="auto"/>
                      </w:divBdr>
                    </w:div>
                  </w:divsChild>
                </w:div>
                <w:div w:id="276180917">
                  <w:marLeft w:val="0"/>
                  <w:marRight w:val="0"/>
                  <w:marTop w:val="0"/>
                  <w:marBottom w:val="0"/>
                  <w:divBdr>
                    <w:top w:val="none" w:sz="0" w:space="0" w:color="auto"/>
                    <w:left w:val="none" w:sz="0" w:space="0" w:color="auto"/>
                    <w:bottom w:val="none" w:sz="0" w:space="0" w:color="auto"/>
                    <w:right w:val="none" w:sz="0" w:space="0" w:color="auto"/>
                  </w:divBdr>
                  <w:divsChild>
                    <w:div w:id="166558722">
                      <w:marLeft w:val="0"/>
                      <w:marRight w:val="0"/>
                      <w:marTop w:val="0"/>
                      <w:marBottom w:val="0"/>
                      <w:divBdr>
                        <w:top w:val="none" w:sz="0" w:space="0" w:color="auto"/>
                        <w:left w:val="none" w:sz="0" w:space="0" w:color="auto"/>
                        <w:bottom w:val="none" w:sz="0" w:space="0" w:color="auto"/>
                        <w:right w:val="none" w:sz="0" w:space="0" w:color="auto"/>
                      </w:divBdr>
                    </w:div>
                  </w:divsChild>
                </w:div>
                <w:div w:id="320471822">
                  <w:marLeft w:val="0"/>
                  <w:marRight w:val="0"/>
                  <w:marTop w:val="0"/>
                  <w:marBottom w:val="0"/>
                  <w:divBdr>
                    <w:top w:val="none" w:sz="0" w:space="0" w:color="auto"/>
                    <w:left w:val="none" w:sz="0" w:space="0" w:color="auto"/>
                    <w:bottom w:val="none" w:sz="0" w:space="0" w:color="auto"/>
                    <w:right w:val="none" w:sz="0" w:space="0" w:color="auto"/>
                  </w:divBdr>
                  <w:divsChild>
                    <w:div w:id="1050306528">
                      <w:marLeft w:val="0"/>
                      <w:marRight w:val="0"/>
                      <w:marTop w:val="0"/>
                      <w:marBottom w:val="0"/>
                      <w:divBdr>
                        <w:top w:val="none" w:sz="0" w:space="0" w:color="auto"/>
                        <w:left w:val="none" w:sz="0" w:space="0" w:color="auto"/>
                        <w:bottom w:val="none" w:sz="0" w:space="0" w:color="auto"/>
                        <w:right w:val="none" w:sz="0" w:space="0" w:color="auto"/>
                      </w:divBdr>
                    </w:div>
                  </w:divsChild>
                </w:div>
                <w:div w:id="329524104">
                  <w:marLeft w:val="0"/>
                  <w:marRight w:val="0"/>
                  <w:marTop w:val="0"/>
                  <w:marBottom w:val="0"/>
                  <w:divBdr>
                    <w:top w:val="none" w:sz="0" w:space="0" w:color="auto"/>
                    <w:left w:val="none" w:sz="0" w:space="0" w:color="auto"/>
                    <w:bottom w:val="none" w:sz="0" w:space="0" w:color="auto"/>
                    <w:right w:val="none" w:sz="0" w:space="0" w:color="auto"/>
                  </w:divBdr>
                  <w:divsChild>
                    <w:div w:id="1229001319">
                      <w:marLeft w:val="0"/>
                      <w:marRight w:val="0"/>
                      <w:marTop w:val="0"/>
                      <w:marBottom w:val="0"/>
                      <w:divBdr>
                        <w:top w:val="none" w:sz="0" w:space="0" w:color="auto"/>
                        <w:left w:val="none" w:sz="0" w:space="0" w:color="auto"/>
                        <w:bottom w:val="none" w:sz="0" w:space="0" w:color="auto"/>
                        <w:right w:val="none" w:sz="0" w:space="0" w:color="auto"/>
                      </w:divBdr>
                    </w:div>
                  </w:divsChild>
                </w:div>
                <w:div w:id="367875007">
                  <w:marLeft w:val="0"/>
                  <w:marRight w:val="0"/>
                  <w:marTop w:val="0"/>
                  <w:marBottom w:val="0"/>
                  <w:divBdr>
                    <w:top w:val="none" w:sz="0" w:space="0" w:color="auto"/>
                    <w:left w:val="none" w:sz="0" w:space="0" w:color="auto"/>
                    <w:bottom w:val="none" w:sz="0" w:space="0" w:color="auto"/>
                    <w:right w:val="none" w:sz="0" w:space="0" w:color="auto"/>
                  </w:divBdr>
                  <w:divsChild>
                    <w:div w:id="573005704">
                      <w:marLeft w:val="0"/>
                      <w:marRight w:val="0"/>
                      <w:marTop w:val="0"/>
                      <w:marBottom w:val="0"/>
                      <w:divBdr>
                        <w:top w:val="none" w:sz="0" w:space="0" w:color="auto"/>
                        <w:left w:val="none" w:sz="0" w:space="0" w:color="auto"/>
                        <w:bottom w:val="none" w:sz="0" w:space="0" w:color="auto"/>
                        <w:right w:val="none" w:sz="0" w:space="0" w:color="auto"/>
                      </w:divBdr>
                    </w:div>
                  </w:divsChild>
                </w:div>
                <w:div w:id="402605029">
                  <w:marLeft w:val="0"/>
                  <w:marRight w:val="0"/>
                  <w:marTop w:val="0"/>
                  <w:marBottom w:val="0"/>
                  <w:divBdr>
                    <w:top w:val="none" w:sz="0" w:space="0" w:color="auto"/>
                    <w:left w:val="none" w:sz="0" w:space="0" w:color="auto"/>
                    <w:bottom w:val="none" w:sz="0" w:space="0" w:color="auto"/>
                    <w:right w:val="none" w:sz="0" w:space="0" w:color="auto"/>
                  </w:divBdr>
                  <w:divsChild>
                    <w:div w:id="271279038">
                      <w:marLeft w:val="0"/>
                      <w:marRight w:val="0"/>
                      <w:marTop w:val="0"/>
                      <w:marBottom w:val="0"/>
                      <w:divBdr>
                        <w:top w:val="none" w:sz="0" w:space="0" w:color="auto"/>
                        <w:left w:val="none" w:sz="0" w:space="0" w:color="auto"/>
                        <w:bottom w:val="none" w:sz="0" w:space="0" w:color="auto"/>
                        <w:right w:val="none" w:sz="0" w:space="0" w:color="auto"/>
                      </w:divBdr>
                    </w:div>
                  </w:divsChild>
                </w:div>
                <w:div w:id="430396472">
                  <w:marLeft w:val="0"/>
                  <w:marRight w:val="0"/>
                  <w:marTop w:val="0"/>
                  <w:marBottom w:val="0"/>
                  <w:divBdr>
                    <w:top w:val="none" w:sz="0" w:space="0" w:color="auto"/>
                    <w:left w:val="none" w:sz="0" w:space="0" w:color="auto"/>
                    <w:bottom w:val="none" w:sz="0" w:space="0" w:color="auto"/>
                    <w:right w:val="none" w:sz="0" w:space="0" w:color="auto"/>
                  </w:divBdr>
                  <w:divsChild>
                    <w:div w:id="264577474">
                      <w:marLeft w:val="0"/>
                      <w:marRight w:val="0"/>
                      <w:marTop w:val="0"/>
                      <w:marBottom w:val="0"/>
                      <w:divBdr>
                        <w:top w:val="none" w:sz="0" w:space="0" w:color="auto"/>
                        <w:left w:val="none" w:sz="0" w:space="0" w:color="auto"/>
                        <w:bottom w:val="none" w:sz="0" w:space="0" w:color="auto"/>
                        <w:right w:val="none" w:sz="0" w:space="0" w:color="auto"/>
                      </w:divBdr>
                    </w:div>
                  </w:divsChild>
                </w:div>
                <w:div w:id="432289061">
                  <w:marLeft w:val="0"/>
                  <w:marRight w:val="0"/>
                  <w:marTop w:val="0"/>
                  <w:marBottom w:val="0"/>
                  <w:divBdr>
                    <w:top w:val="none" w:sz="0" w:space="0" w:color="auto"/>
                    <w:left w:val="none" w:sz="0" w:space="0" w:color="auto"/>
                    <w:bottom w:val="none" w:sz="0" w:space="0" w:color="auto"/>
                    <w:right w:val="none" w:sz="0" w:space="0" w:color="auto"/>
                  </w:divBdr>
                  <w:divsChild>
                    <w:div w:id="867253613">
                      <w:marLeft w:val="0"/>
                      <w:marRight w:val="0"/>
                      <w:marTop w:val="0"/>
                      <w:marBottom w:val="0"/>
                      <w:divBdr>
                        <w:top w:val="none" w:sz="0" w:space="0" w:color="auto"/>
                        <w:left w:val="none" w:sz="0" w:space="0" w:color="auto"/>
                        <w:bottom w:val="none" w:sz="0" w:space="0" w:color="auto"/>
                        <w:right w:val="none" w:sz="0" w:space="0" w:color="auto"/>
                      </w:divBdr>
                    </w:div>
                  </w:divsChild>
                </w:div>
                <w:div w:id="433483204">
                  <w:marLeft w:val="0"/>
                  <w:marRight w:val="0"/>
                  <w:marTop w:val="0"/>
                  <w:marBottom w:val="0"/>
                  <w:divBdr>
                    <w:top w:val="none" w:sz="0" w:space="0" w:color="auto"/>
                    <w:left w:val="none" w:sz="0" w:space="0" w:color="auto"/>
                    <w:bottom w:val="none" w:sz="0" w:space="0" w:color="auto"/>
                    <w:right w:val="none" w:sz="0" w:space="0" w:color="auto"/>
                  </w:divBdr>
                  <w:divsChild>
                    <w:div w:id="307445995">
                      <w:marLeft w:val="0"/>
                      <w:marRight w:val="0"/>
                      <w:marTop w:val="0"/>
                      <w:marBottom w:val="0"/>
                      <w:divBdr>
                        <w:top w:val="none" w:sz="0" w:space="0" w:color="auto"/>
                        <w:left w:val="none" w:sz="0" w:space="0" w:color="auto"/>
                        <w:bottom w:val="none" w:sz="0" w:space="0" w:color="auto"/>
                        <w:right w:val="none" w:sz="0" w:space="0" w:color="auto"/>
                      </w:divBdr>
                    </w:div>
                    <w:div w:id="591470014">
                      <w:marLeft w:val="0"/>
                      <w:marRight w:val="0"/>
                      <w:marTop w:val="0"/>
                      <w:marBottom w:val="0"/>
                      <w:divBdr>
                        <w:top w:val="none" w:sz="0" w:space="0" w:color="auto"/>
                        <w:left w:val="none" w:sz="0" w:space="0" w:color="auto"/>
                        <w:bottom w:val="none" w:sz="0" w:space="0" w:color="auto"/>
                        <w:right w:val="none" w:sz="0" w:space="0" w:color="auto"/>
                      </w:divBdr>
                    </w:div>
                  </w:divsChild>
                </w:div>
                <w:div w:id="499462950">
                  <w:marLeft w:val="0"/>
                  <w:marRight w:val="0"/>
                  <w:marTop w:val="0"/>
                  <w:marBottom w:val="0"/>
                  <w:divBdr>
                    <w:top w:val="none" w:sz="0" w:space="0" w:color="auto"/>
                    <w:left w:val="none" w:sz="0" w:space="0" w:color="auto"/>
                    <w:bottom w:val="none" w:sz="0" w:space="0" w:color="auto"/>
                    <w:right w:val="none" w:sz="0" w:space="0" w:color="auto"/>
                  </w:divBdr>
                  <w:divsChild>
                    <w:div w:id="1303196016">
                      <w:marLeft w:val="0"/>
                      <w:marRight w:val="0"/>
                      <w:marTop w:val="0"/>
                      <w:marBottom w:val="0"/>
                      <w:divBdr>
                        <w:top w:val="none" w:sz="0" w:space="0" w:color="auto"/>
                        <w:left w:val="none" w:sz="0" w:space="0" w:color="auto"/>
                        <w:bottom w:val="none" w:sz="0" w:space="0" w:color="auto"/>
                        <w:right w:val="none" w:sz="0" w:space="0" w:color="auto"/>
                      </w:divBdr>
                    </w:div>
                  </w:divsChild>
                </w:div>
                <w:div w:id="515265747">
                  <w:marLeft w:val="0"/>
                  <w:marRight w:val="0"/>
                  <w:marTop w:val="0"/>
                  <w:marBottom w:val="0"/>
                  <w:divBdr>
                    <w:top w:val="none" w:sz="0" w:space="0" w:color="auto"/>
                    <w:left w:val="none" w:sz="0" w:space="0" w:color="auto"/>
                    <w:bottom w:val="none" w:sz="0" w:space="0" w:color="auto"/>
                    <w:right w:val="none" w:sz="0" w:space="0" w:color="auto"/>
                  </w:divBdr>
                  <w:divsChild>
                    <w:div w:id="2082362798">
                      <w:marLeft w:val="0"/>
                      <w:marRight w:val="0"/>
                      <w:marTop w:val="0"/>
                      <w:marBottom w:val="0"/>
                      <w:divBdr>
                        <w:top w:val="none" w:sz="0" w:space="0" w:color="auto"/>
                        <w:left w:val="none" w:sz="0" w:space="0" w:color="auto"/>
                        <w:bottom w:val="none" w:sz="0" w:space="0" w:color="auto"/>
                        <w:right w:val="none" w:sz="0" w:space="0" w:color="auto"/>
                      </w:divBdr>
                    </w:div>
                  </w:divsChild>
                </w:div>
                <w:div w:id="518471931">
                  <w:marLeft w:val="0"/>
                  <w:marRight w:val="0"/>
                  <w:marTop w:val="0"/>
                  <w:marBottom w:val="0"/>
                  <w:divBdr>
                    <w:top w:val="none" w:sz="0" w:space="0" w:color="auto"/>
                    <w:left w:val="none" w:sz="0" w:space="0" w:color="auto"/>
                    <w:bottom w:val="none" w:sz="0" w:space="0" w:color="auto"/>
                    <w:right w:val="none" w:sz="0" w:space="0" w:color="auto"/>
                  </w:divBdr>
                  <w:divsChild>
                    <w:div w:id="784814720">
                      <w:marLeft w:val="0"/>
                      <w:marRight w:val="0"/>
                      <w:marTop w:val="0"/>
                      <w:marBottom w:val="0"/>
                      <w:divBdr>
                        <w:top w:val="none" w:sz="0" w:space="0" w:color="auto"/>
                        <w:left w:val="none" w:sz="0" w:space="0" w:color="auto"/>
                        <w:bottom w:val="none" w:sz="0" w:space="0" w:color="auto"/>
                        <w:right w:val="none" w:sz="0" w:space="0" w:color="auto"/>
                      </w:divBdr>
                    </w:div>
                  </w:divsChild>
                </w:div>
                <w:div w:id="539630976">
                  <w:marLeft w:val="0"/>
                  <w:marRight w:val="0"/>
                  <w:marTop w:val="0"/>
                  <w:marBottom w:val="0"/>
                  <w:divBdr>
                    <w:top w:val="none" w:sz="0" w:space="0" w:color="auto"/>
                    <w:left w:val="none" w:sz="0" w:space="0" w:color="auto"/>
                    <w:bottom w:val="none" w:sz="0" w:space="0" w:color="auto"/>
                    <w:right w:val="none" w:sz="0" w:space="0" w:color="auto"/>
                  </w:divBdr>
                  <w:divsChild>
                    <w:div w:id="1534151469">
                      <w:marLeft w:val="0"/>
                      <w:marRight w:val="0"/>
                      <w:marTop w:val="0"/>
                      <w:marBottom w:val="0"/>
                      <w:divBdr>
                        <w:top w:val="none" w:sz="0" w:space="0" w:color="auto"/>
                        <w:left w:val="none" w:sz="0" w:space="0" w:color="auto"/>
                        <w:bottom w:val="none" w:sz="0" w:space="0" w:color="auto"/>
                        <w:right w:val="none" w:sz="0" w:space="0" w:color="auto"/>
                      </w:divBdr>
                    </w:div>
                  </w:divsChild>
                </w:div>
                <w:div w:id="550656139">
                  <w:marLeft w:val="0"/>
                  <w:marRight w:val="0"/>
                  <w:marTop w:val="0"/>
                  <w:marBottom w:val="0"/>
                  <w:divBdr>
                    <w:top w:val="none" w:sz="0" w:space="0" w:color="auto"/>
                    <w:left w:val="none" w:sz="0" w:space="0" w:color="auto"/>
                    <w:bottom w:val="none" w:sz="0" w:space="0" w:color="auto"/>
                    <w:right w:val="none" w:sz="0" w:space="0" w:color="auto"/>
                  </w:divBdr>
                  <w:divsChild>
                    <w:div w:id="49766090">
                      <w:marLeft w:val="0"/>
                      <w:marRight w:val="0"/>
                      <w:marTop w:val="0"/>
                      <w:marBottom w:val="0"/>
                      <w:divBdr>
                        <w:top w:val="none" w:sz="0" w:space="0" w:color="auto"/>
                        <w:left w:val="none" w:sz="0" w:space="0" w:color="auto"/>
                        <w:bottom w:val="none" w:sz="0" w:space="0" w:color="auto"/>
                        <w:right w:val="none" w:sz="0" w:space="0" w:color="auto"/>
                      </w:divBdr>
                    </w:div>
                  </w:divsChild>
                </w:div>
                <w:div w:id="592250152">
                  <w:marLeft w:val="0"/>
                  <w:marRight w:val="0"/>
                  <w:marTop w:val="0"/>
                  <w:marBottom w:val="0"/>
                  <w:divBdr>
                    <w:top w:val="none" w:sz="0" w:space="0" w:color="auto"/>
                    <w:left w:val="none" w:sz="0" w:space="0" w:color="auto"/>
                    <w:bottom w:val="none" w:sz="0" w:space="0" w:color="auto"/>
                    <w:right w:val="none" w:sz="0" w:space="0" w:color="auto"/>
                  </w:divBdr>
                  <w:divsChild>
                    <w:div w:id="156963896">
                      <w:marLeft w:val="0"/>
                      <w:marRight w:val="0"/>
                      <w:marTop w:val="0"/>
                      <w:marBottom w:val="0"/>
                      <w:divBdr>
                        <w:top w:val="none" w:sz="0" w:space="0" w:color="auto"/>
                        <w:left w:val="none" w:sz="0" w:space="0" w:color="auto"/>
                        <w:bottom w:val="none" w:sz="0" w:space="0" w:color="auto"/>
                        <w:right w:val="none" w:sz="0" w:space="0" w:color="auto"/>
                      </w:divBdr>
                    </w:div>
                  </w:divsChild>
                </w:div>
                <w:div w:id="626277919">
                  <w:marLeft w:val="0"/>
                  <w:marRight w:val="0"/>
                  <w:marTop w:val="0"/>
                  <w:marBottom w:val="0"/>
                  <w:divBdr>
                    <w:top w:val="none" w:sz="0" w:space="0" w:color="auto"/>
                    <w:left w:val="none" w:sz="0" w:space="0" w:color="auto"/>
                    <w:bottom w:val="none" w:sz="0" w:space="0" w:color="auto"/>
                    <w:right w:val="none" w:sz="0" w:space="0" w:color="auto"/>
                  </w:divBdr>
                  <w:divsChild>
                    <w:div w:id="1155493196">
                      <w:marLeft w:val="0"/>
                      <w:marRight w:val="0"/>
                      <w:marTop w:val="0"/>
                      <w:marBottom w:val="0"/>
                      <w:divBdr>
                        <w:top w:val="none" w:sz="0" w:space="0" w:color="auto"/>
                        <w:left w:val="none" w:sz="0" w:space="0" w:color="auto"/>
                        <w:bottom w:val="none" w:sz="0" w:space="0" w:color="auto"/>
                        <w:right w:val="none" w:sz="0" w:space="0" w:color="auto"/>
                      </w:divBdr>
                    </w:div>
                  </w:divsChild>
                </w:div>
                <w:div w:id="636955344">
                  <w:marLeft w:val="0"/>
                  <w:marRight w:val="0"/>
                  <w:marTop w:val="0"/>
                  <w:marBottom w:val="0"/>
                  <w:divBdr>
                    <w:top w:val="none" w:sz="0" w:space="0" w:color="auto"/>
                    <w:left w:val="none" w:sz="0" w:space="0" w:color="auto"/>
                    <w:bottom w:val="none" w:sz="0" w:space="0" w:color="auto"/>
                    <w:right w:val="none" w:sz="0" w:space="0" w:color="auto"/>
                  </w:divBdr>
                  <w:divsChild>
                    <w:div w:id="629701755">
                      <w:marLeft w:val="0"/>
                      <w:marRight w:val="0"/>
                      <w:marTop w:val="0"/>
                      <w:marBottom w:val="0"/>
                      <w:divBdr>
                        <w:top w:val="none" w:sz="0" w:space="0" w:color="auto"/>
                        <w:left w:val="none" w:sz="0" w:space="0" w:color="auto"/>
                        <w:bottom w:val="none" w:sz="0" w:space="0" w:color="auto"/>
                        <w:right w:val="none" w:sz="0" w:space="0" w:color="auto"/>
                      </w:divBdr>
                    </w:div>
                  </w:divsChild>
                </w:div>
                <w:div w:id="693456535">
                  <w:marLeft w:val="0"/>
                  <w:marRight w:val="0"/>
                  <w:marTop w:val="0"/>
                  <w:marBottom w:val="0"/>
                  <w:divBdr>
                    <w:top w:val="none" w:sz="0" w:space="0" w:color="auto"/>
                    <w:left w:val="none" w:sz="0" w:space="0" w:color="auto"/>
                    <w:bottom w:val="none" w:sz="0" w:space="0" w:color="auto"/>
                    <w:right w:val="none" w:sz="0" w:space="0" w:color="auto"/>
                  </w:divBdr>
                  <w:divsChild>
                    <w:div w:id="918832147">
                      <w:marLeft w:val="0"/>
                      <w:marRight w:val="0"/>
                      <w:marTop w:val="0"/>
                      <w:marBottom w:val="0"/>
                      <w:divBdr>
                        <w:top w:val="none" w:sz="0" w:space="0" w:color="auto"/>
                        <w:left w:val="none" w:sz="0" w:space="0" w:color="auto"/>
                        <w:bottom w:val="none" w:sz="0" w:space="0" w:color="auto"/>
                        <w:right w:val="none" w:sz="0" w:space="0" w:color="auto"/>
                      </w:divBdr>
                    </w:div>
                  </w:divsChild>
                </w:div>
                <w:div w:id="709691478">
                  <w:marLeft w:val="0"/>
                  <w:marRight w:val="0"/>
                  <w:marTop w:val="0"/>
                  <w:marBottom w:val="0"/>
                  <w:divBdr>
                    <w:top w:val="none" w:sz="0" w:space="0" w:color="auto"/>
                    <w:left w:val="none" w:sz="0" w:space="0" w:color="auto"/>
                    <w:bottom w:val="none" w:sz="0" w:space="0" w:color="auto"/>
                    <w:right w:val="none" w:sz="0" w:space="0" w:color="auto"/>
                  </w:divBdr>
                  <w:divsChild>
                    <w:div w:id="1474179123">
                      <w:marLeft w:val="0"/>
                      <w:marRight w:val="0"/>
                      <w:marTop w:val="0"/>
                      <w:marBottom w:val="0"/>
                      <w:divBdr>
                        <w:top w:val="none" w:sz="0" w:space="0" w:color="auto"/>
                        <w:left w:val="none" w:sz="0" w:space="0" w:color="auto"/>
                        <w:bottom w:val="none" w:sz="0" w:space="0" w:color="auto"/>
                        <w:right w:val="none" w:sz="0" w:space="0" w:color="auto"/>
                      </w:divBdr>
                    </w:div>
                  </w:divsChild>
                </w:div>
                <w:div w:id="726806239">
                  <w:marLeft w:val="0"/>
                  <w:marRight w:val="0"/>
                  <w:marTop w:val="0"/>
                  <w:marBottom w:val="0"/>
                  <w:divBdr>
                    <w:top w:val="none" w:sz="0" w:space="0" w:color="auto"/>
                    <w:left w:val="none" w:sz="0" w:space="0" w:color="auto"/>
                    <w:bottom w:val="none" w:sz="0" w:space="0" w:color="auto"/>
                    <w:right w:val="none" w:sz="0" w:space="0" w:color="auto"/>
                  </w:divBdr>
                  <w:divsChild>
                    <w:div w:id="1562716584">
                      <w:marLeft w:val="0"/>
                      <w:marRight w:val="0"/>
                      <w:marTop w:val="0"/>
                      <w:marBottom w:val="0"/>
                      <w:divBdr>
                        <w:top w:val="none" w:sz="0" w:space="0" w:color="auto"/>
                        <w:left w:val="none" w:sz="0" w:space="0" w:color="auto"/>
                        <w:bottom w:val="none" w:sz="0" w:space="0" w:color="auto"/>
                        <w:right w:val="none" w:sz="0" w:space="0" w:color="auto"/>
                      </w:divBdr>
                    </w:div>
                  </w:divsChild>
                </w:div>
                <w:div w:id="728109368">
                  <w:marLeft w:val="0"/>
                  <w:marRight w:val="0"/>
                  <w:marTop w:val="0"/>
                  <w:marBottom w:val="0"/>
                  <w:divBdr>
                    <w:top w:val="none" w:sz="0" w:space="0" w:color="auto"/>
                    <w:left w:val="none" w:sz="0" w:space="0" w:color="auto"/>
                    <w:bottom w:val="none" w:sz="0" w:space="0" w:color="auto"/>
                    <w:right w:val="none" w:sz="0" w:space="0" w:color="auto"/>
                  </w:divBdr>
                  <w:divsChild>
                    <w:div w:id="1188061682">
                      <w:marLeft w:val="0"/>
                      <w:marRight w:val="0"/>
                      <w:marTop w:val="0"/>
                      <w:marBottom w:val="0"/>
                      <w:divBdr>
                        <w:top w:val="none" w:sz="0" w:space="0" w:color="auto"/>
                        <w:left w:val="none" w:sz="0" w:space="0" w:color="auto"/>
                        <w:bottom w:val="none" w:sz="0" w:space="0" w:color="auto"/>
                        <w:right w:val="none" w:sz="0" w:space="0" w:color="auto"/>
                      </w:divBdr>
                    </w:div>
                  </w:divsChild>
                </w:div>
                <w:div w:id="775750739">
                  <w:marLeft w:val="0"/>
                  <w:marRight w:val="0"/>
                  <w:marTop w:val="0"/>
                  <w:marBottom w:val="0"/>
                  <w:divBdr>
                    <w:top w:val="none" w:sz="0" w:space="0" w:color="auto"/>
                    <w:left w:val="none" w:sz="0" w:space="0" w:color="auto"/>
                    <w:bottom w:val="none" w:sz="0" w:space="0" w:color="auto"/>
                    <w:right w:val="none" w:sz="0" w:space="0" w:color="auto"/>
                  </w:divBdr>
                  <w:divsChild>
                    <w:div w:id="1220360437">
                      <w:marLeft w:val="0"/>
                      <w:marRight w:val="0"/>
                      <w:marTop w:val="0"/>
                      <w:marBottom w:val="0"/>
                      <w:divBdr>
                        <w:top w:val="none" w:sz="0" w:space="0" w:color="auto"/>
                        <w:left w:val="none" w:sz="0" w:space="0" w:color="auto"/>
                        <w:bottom w:val="none" w:sz="0" w:space="0" w:color="auto"/>
                        <w:right w:val="none" w:sz="0" w:space="0" w:color="auto"/>
                      </w:divBdr>
                    </w:div>
                  </w:divsChild>
                </w:div>
                <w:div w:id="808791731">
                  <w:marLeft w:val="0"/>
                  <w:marRight w:val="0"/>
                  <w:marTop w:val="0"/>
                  <w:marBottom w:val="0"/>
                  <w:divBdr>
                    <w:top w:val="none" w:sz="0" w:space="0" w:color="auto"/>
                    <w:left w:val="none" w:sz="0" w:space="0" w:color="auto"/>
                    <w:bottom w:val="none" w:sz="0" w:space="0" w:color="auto"/>
                    <w:right w:val="none" w:sz="0" w:space="0" w:color="auto"/>
                  </w:divBdr>
                  <w:divsChild>
                    <w:div w:id="1044256577">
                      <w:marLeft w:val="0"/>
                      <w:marRight w:val="0"/>
                      <w:marTop w:val="0"/>
                      <w:marBottom w:val="0"/>
                      <w:divBdr>
                        <w:top w:val="none" w:sz="0" w:space="0" w:color="auto"/>
                        <w:left w:val="none" w:sz="0" w:space="0" w:color="auto"/>
                        <w:bottom w:val="none" w:sz="0" w:space="0" w:color="auto"/>
                        <w:right w:val="none" w:sz="0" w:space="0" w:color="auto"/>
                      </w:divBdr>
                    </w:div>
                  </w:divsChild>
                </w:div>
                <w:div w:id="809522797">
                  <w:marLeft w:val="0"/>
                  <w:marRight w:val="0"/>
                  <w:marTop w:val="0"/>
                  <w:marBottom w:val="0"/>
                  <w:divBdr>
                    <w:top w:val="none" w:sz="0" w:space="0" w:color="auto"/>
                    <w:left w:val="none" w:sz="0" w:space="0" w:color="auto"/>
                    <w:bottom w:val="none" w:sz="0" w:space="0" w:color="auto"/>
                    <w:right w:val="none" w:sz="0" w:space="0" w:color="auto"/>
                  </w:divBdr>
                  <w:divsChild>
                    <w:div w:id="951941230">
                      <w:marLeft w:val="0"/>
                      <w:marRight w:val="0"/>
                      <w:marTop w:val="0"/>
                      <w:marBottom w:val="0"/>
                      <w:divBdr>
                        <w:top w:val="none" w:sz="0" w:space="0" w:color="auto"/>
                        <w:left w:val="none" w:sz="0" w:space="0" w:color="auto"/>
                        <w:bottom w:val="none" w:sz="0" w:space="0" w:color="auto"/>
                        <w:right w:val="none" w:sz="0" w:space="0" w:color="auto"/>
                      </w:divBdr>
                    </w:div>
                  </w:divsChild>
                </w:div>
                <w:div w:id="837504113">
                  <w:marLeft w:val="0"/>
                  <w:marRight w:val="0"/>
                  <w:marTop w:val="0"/>
                  <w:marBottom w:val="0"/>
                  <w:divBdr>
                    <w:top w:val="none" w:sz="0" w:space="0" w:color="auto"/>
                    <w:left w:val="none" w:sz="0" w:space="0" w:color="auto"/>
                    <w:bottom w:val="none" w:sz="0" w:space="0" w:color="auto"/>
                    <w:right w:val="none" w:sz="0" w:space="0" w:color="auto"/>
                  </w:divBdr>
                  <w:divsChild>
                    <w:div w:id="1832911750">
                      <w:marLeft w:val="0"/>
                      <w:marRight w:val="0"/>
                      <w:marTop w:val="0"/>
                      <w:marBottom w:val="0"/>
                      <w:divBdr>
                        <w:top w:val="none" w:sz="0" w:space="0" w:color="auto"/>
                        <w:left w:val="none" w:sz="0" w:space="0" w:color="auto"/>
                        <w:bottom w:val="none" w:sz="0" w:space="0" w:color="auto"/>
                        <w:right w:val="none" w:sz="0" w:space="0" w:color="auto"/>
                      </w:divBdr>
                    </w:div>
                  </w:divsChild>
                </w:div>
                <w:div w:id="838350408">
                  <w:marLeft w:val="0"/>
                  <w:marRight w:val="0"/>
                  <w:marTop w:val="0"/>
                  <w:marBottom w:val="0"/>
                  <w:divBdr>
                    <w:top w:val="none" w:sz="0" w:space="0" w:color="auto"/>
                    <w:left w:val="none" w:sz="0" w:space="0" w:color="auto"/>
                    <w:bottom w:val="none" w:sz="0" w:space="0" w:color="auto"/>
                    <w:right w:val="none" w:sz="0" w:space="0" w:color="auto"/>
                  </w:divBdr>
                  <w:divsChild>
                    <w:div w:id="690105398">
                      <w:marLeft w:val="0"/>
                      <w:marRight w:val="0"/>
                      <w:marTop w:val="0"/>
                      <w:marBottom w:val="0"/>
                      <w:divBdr>
                        <w:top w:val="none" w:sz="0" w:space="0" w:color="auto"/>
                        <w:left w:val="none" w:sz="0" w:space="0" w:color="auto"/>
                        <w:bottom w:val="none" w:sz="0" w:space="0" w:color="auto"/>
                        <w:right w:val="none" w:sz="0" w:space="0" w:color="auto"/>
                      </w:divBdr>
                    </w:div>
                  </w:divsChild>
                </w:div>
                <w:div w:id="855970305">
                  <w:marLeft w:val="0"/>
                  <w:marRight w:val="0"/>
                  <w:marTop w:val="0"/>
                  <w:marBottom w:val="0"/>
                  <w:divBdr>
                    <w:top w:val="none" w:sz="0" w:space="0" w:color="auto"/>
                    <w:left w:val="none" w:sz="0" w:space="0" w:color="auto"/>
                    <w:bottom w:val="none" w:sz="0" w:space="0" w:color="auto"/>
                    <w:right w:val="none" w:sz="0" w:space="0" w:color="auto"/>
                  </w:divBdr>
                  <w:divsChild>
                    <w:div w:id="348797911">
                      <w:marLeft w:val="0"/>
                      <w:marRight w:val="0"/>
                      <w:marTop w:val="0"/>
                      <w:marBottom w:val="0"/>
                      <w:divBdr>
                        <w:top w:val="none" w:sz="0" w:space="0" w:color="auto"/>
                        <w:left w:val="none" w:sz="0" w:space="0" w:color="auto"/>
                        <w:bottom w:val="none" w:sz="0" w:space="0" w:color="auto"/>
                        <w:right w:val="none" w:sz="0" w:space="0" w:color="auto"/>
                      </w:divBdr>
                    </w:div>
                  </w:divsChild>
                </w:div>
                <w:div w:id="883250353">
                  <w:marLeft w:val="0"/>
                  <w:marRight w:val="0"/>
                  <w:marTop w:val="0"/>
                  <w:marBottom w:val="0"/>
                  <w:divBdr>
                    <w:top w:val="none" w:sz="0" w:space="0" w:color="auto"/>
                    <w:left w:val="none" w:sz="0" w:space="0" w:color="auto"/>
                    <w:bottom w:val="none" w:sz="0" w:space="0" w:color="auto"/>
                    <w:right w:val="none" w:sz="0" w:space="0" w:color="auto"/>
                  </w:divBdr>
                  <w:divsChild>
                    <w:div w:id="440031246">
                      <w:marLeft w:val="0"/>
                      <w:marRight w:val="0"/>
                      <w:marTop w:val="0"/>
                      <w:marBottom w:val="0"/>
                      <w:divBdr>
                        <w:top w:val="none" w:sz="0" w:space="0" w:color="auto"/>
                        <w:left w:val="none" w:sz="0" w:space="0" w:color="auto"/>
                        <w:bottom w:val="none" w:sz="0" w:space="0" w:color="auto"/>
                        <w:right w:val="none" w:sz="0" w:space="0" w:color="auto"/>
                      </w:divBdr>
                    </w:div>
                  </w:divsChild>
                </w:div>
                <w:div w:id="908345458">
                  <w:marLeft w:val="0"/>
                  <w:marRight w:val="0"/>
                  <w:marTop w:val="0"/>
                  <w:marBottom w:val="0"/>
                  <w:divBdr>
                    <w:top w:val="none" w:sz="0" w:space="0" w:color="auto"/>
                    <w:left w:val="none" w:sz="0" w:space="0" w:color="auto"/>
                    <w:bottom w:val="none" w:sz="0" w:space="0" w:color="auto"/>
                    <w:right w:val="none" w:sz="0" w:space="0" w:color="auto"/>
                  </w:divBdr>
                  <w:divsChild>
                    <w:div w:id="1867206379">
                      <w:marLeft w:val="0"/>
                      <w:marRight w:val="0"/>
                      <w:marTop w:val="0"/>
                      <w:marBottom w:val="0"/>
                      <w:divBdr>
                        <w:top w:val="none" w:sz="0" w:space="0" w:color="auto"/>
                        <w:left w:val="none" w:sz="0" w:space="0" w:color="auto"/>
                        <w:bottom w:val="none" w:sz="0" w:space="0" w:color="auto"/>
                        <w:right w:val="none" w:sz="0" w:space="0" w:color="auto"/>
                      </w:divBdr>
                    </w:div>
                  </w:divsChild>
                </w:div>
                <w:div w:id="924917238">
                  <w:marLeft w:val="0"/>
                  <w:marRight w:val="0"/>
                  <w:marTop w:val="0"/>
                  <w:marBottom w:val="0"/>
                  <w:divBdr>
                    <w:top w:val="none" w:sz="0" w:space="0" w:color="auto"/>
                    <w:left w:val="none" w:sz="0" w:space="0" w:color="auto"/>
                    <w:bottom w:val="none" w:sz="0" w:space="0" w:color="auto"/>
                    <w:right w:val="none" w:sz="0" w:space="0" w:color="auto"/>
                  </w:divBdr>
                  <w:divsChild>
                    <w:div w:id="476149009">
                      <w:marLeft w:val="0"/>
                      <w:marRight w:val="0"/>
                      <w:marTop w:val="0"/>
                      <w:marBottom w:val="0"/>
                      <w:divBdr>
                        <w:top w:val="none" w:sz="0" w:space="0" w:color="auto"/>
                        <w:left w:val="none" w:sz="0" w:space="0" w:color="auto"/>
                        <w:bottom w:val="none" w:sz="0" w:space="0" w:color="auto"/>
                        <w:right w:val="none" w:sz="0" w:space="0" w:color="auto"/>
                      </w:divBdr>
                    </w:div>
                  </w:divsChild>
                </w:div>
                <w:div w:id="938827954">
                  <w:marLeft w:val="0"/>
                  <w:marRight w:val="0"/>
                  <w:marTop w:val="0"/>
                  <w:marBottom w:val="0"/>
                  <w:divBdr>
                    <w:top w:val="none" w:sz="0" w:space="0" w:color="auto"/>
                    <w:left w:val="none" w:sz="0" w:space="0" w:color="auto"/>
                    <w:bottom w:val="none" w:sz="0" w:space="0" w:color="auto"/>
                    <w:right w:val="none" w:sz="0" w:space="0" w:color="auto"/>
                  </w:divBdr>
                  <w:divsChild>
                    <w:div w:id="2145005476">
                      <w:marLeft w:val="0"/>
                      <w:marRight w:val="0"/>
                      <w:marTop w:val="0"/>
                      <w:marBottom w:val="0"/>
                      <w:divBdr>
                        <w:top w:val="none" w:sz="0" w:space="0" w:color="auto"/>
                        <w:left w:val="none" w:sz="0" w:space="0" w:color="auto"/>
                        <w:bottom w:val="none" w:sz="0" w:space="0" w:color="auto"/>
                        <w:right w:val="none" w:sz="0" w:space="0" w:color="auto"/>
                      </w:divBdr>
                    </w:div>
                  </w:divsChild>
                </w:div>
                <w:div w:id="946036164">
                  <w:marLeft w:val="0"/>
                  <w:marRight w:val="0"/>
                  <w:marTop w:val="0"/>
                  <w:marBottom w:val="0"/>
                  <w:divBdr>
                    <w:top w:val="none" w:sz="0" w:space="0" w:color="auto"/>
                    <w:left w:val="none" w:sz="0" w:space="0" w:color="auto"/>
                    <w:bottom w:val="none" w:sz="0" w:space="0" w:color="auto"/>
                    <w:right w:val="none" w:sz="0" w:space="0" w:color="auto"/>
                  </w:divBdr>
                  <w:divsChild>
                    <w:div w:id="1044208554">
                      <w:marLeft w:val="0"/>
                      <w:marRight w:val="0"/>
                      <w:marTop w:val="0"/>
                      <w:marBottom w:val="0"/>
                      <w:divBdr>
                        <w:top w:val="none" w:sz="0" w:space="0" w:color="auto"/>
                        <w:left w:val="none" w:sz="0" w:space="0" w:color="auto"/>
                        <w:bottom w:val="none" w:sz="0" w:space="0" w:color="auto"/>
                        <w:right w:val="none" w:sz="0" w:space="0" w:color="auto"/>
                      </w:divBdr>
                    </w:div>
                  </w:divsChild>
                </w:div>
                <w:div w:id="946082732">
                  <w:marLeft w:val="0"/>
                  <w:marRight w:val="0"/>
                  <w:marTop w:val="0"/>
                  <w:marBottom w:val="0"/>
                  <w:divBdr>
                    <w:top w:val="none" w:sz="0" w:space="0" w:color="auto"/>
                    <w:left w:val="none" w:sz="0" w:space="0" w:color="auto"/>
                    <w:bottom w:val="none" w:sz="0" w:space="0" w:color="auto"/>
                    <w:right w:val="none" w:sz="0" w:space="0" w:color="auto"/>
                  </w:divBdr>
                  <w:divsChild>
                    <w:div w:id="2105879193">
                      <w:marLeft w:val="0"/>
                      <w:marRight w:val="0"/>
                      <w:marTop w:val="0"/>
                      <w:marBottom w:val="0"/>
                      <w:divBdr>
                        <w:top w:val="none" w:sz="0" w:space="0" w:color="auto"/>
                        <w:left w:val="none" w:sz="0" w:space="0" w:color="auto"/>
                        <w:bottom w:val="none" w:sz="0" w:space="0" w:color="auto"/>
                        <w:right w:val="none" w:sz="0" w:space="0" w:color="auto"/>
                      </w:divBdr>
                    </w:div>
                  </w:divsChild>
                </w:div>
                <w:div w:id="987980024">
                  <w:marLeft w:val="0"/>
                  <w:marRight w:val="0"/>
                  <w:marTop w:val="0"/>
                  <w:marBottom w:val="0"/>
                  <w:divBdr>
                    <w:top w:val="none" w:sz="0" w:space="0" w:color="auto"/>
                    <w:left w:val="none" w:sz="0" w:space="0" w:color="auto"/>
                    <w:bottom w:val="none" w:sz="0" w:space="0" w:color="auto"/>
                    <w:right w:val="none" w:sz="0" w:space="0" w:color="auto"/>
                  </w:divBdr>
                  <w:divsChild>
                    <w:div w:id="1025521456">
                      <w:marLeft w:val="0"/>
                      <w:marRight w:val="0"/>
                      <w:marTop w:val="0"/>
                      <w:marBottom w:val="0"/>
                      <w:divBdr>
                        <w:top w:val="none" w:sz="0" w:space="0" w:color="auto"/>
                        <w:left w:val="none" w:sz="0" w:space="0" w:color="auto"/>
                        <w:bottom w:val="none" w:sz="0" w:space="0" w:color="auto"/>
                        <w:right w:val="none" w:sz="0" w:space="0" w:color="auto"/>
                      </w:divBdr>
                    </w:div>
                  </w:divsChild>
                </w:div>
                <w:div w:id="990712222">
                  <w:marLeft w:val="0"/>
                  <w:marRight w:val="0"/>
                  <w:marTop w:val="0"/>
                  <w:marBottom w:val="0"/>
                  <w:divBdr>
                    <w:top w:val="none" w:sz="0" w:space="0" w:color="auto"/>
                    <w:left w:val="none" w:sz="0" w:space="0" w:color="auto"/>
                    <w:bottom w:val="none" w:sz="0" w:space="0" w:color="auto"/>
                    <w:right w:val="none" w:sz="0" w:space="0" w:color="auto"/>
                  </w:divBdr>
                  <w:divsChild>
                    <w:div w:id="615333247">
                      <w:marLeft w:val="0"/>
                      <w:marRight w:val="0"/>
                      <w:marTop w:val="0"/>
                      <w:marBottom w:val="0"/>
                      <w:divBdr>
                        <w:top w:val="none" w:sz="0" w:space="0" w:color="auto"/>
                        <w:left w:val="none" w:sz="0" w:space="0" w:color="auto"/>
                        <w:bottom w:val="none" w:sz="0" w:space="0" w:color="auto"/>
                        <w:right w:val="none" w:sz="0" w:space="0" w:color="auto"/>
                      </w:divBdr>
                    </w:div>
                  </w:divsChild>
                </w:div>
                <w:div w:id="1014303081">
                  <w:marLeft w:val="0"/>
                  <w:marRight w:val="0"/>
                  <w:marTop w:val="0"/>
                  <w:marBottom w:val="0"/>
                  <w:divBdr>
                    <w:top w:val="none" w:sz="0" w:space="0" w:color="auto"/>
                    <w:left w:val="none" w:sz="0" w:space="0" w:color="auto"/>
                    <w:bottom w:val="none" w:sz="0" w:space="0" w:color="auto"/>
                    <w:right w:val="none" w:sz="0" w:space="0" w:color="auto"/>
                  </w:divBdr>
                  <w:divsChild>
                    <w:div w:id="50734331">
                      <w:marLeft w:val="0"/>
                      <w:marRight w:val="0"/>
                      <w:marTop w:val="0"/>
                      <w:marBottom w:val="0"/>
                      <w:divBdr>
                        <w:top w:val="none" w:sz="0" w:space="0" w:color="auto"/>
                        <w:left w:val="none" w:sz="0" w:space="0" w:color="auto"/>
                        <w:bottom w:val="none" w:sz="0" w:space="0" w:color="auto"/>
                        <w:right w:val="none" w:sz="0" w:space="0" w:color="auto"/>
                      </w:divBdr>
                    </w:div>
                  </w:divsChild>
                </w:div>
                <w:div w:id="1083794652">
                  <w:marLeft w:val="0"/>
                  <w:marRight w:val="0"/>
                  <w:marTop w:val="0"/>
                  <w:marBottom w:val="0"/>
                  <w:divBdr>
                    <w:top w:val="none" w:sz="0" w:space="0" w:color="auto"/>
                    <w:left w:val="none" w:sz="0" w:space="0" w:color="auto"/>
                    <w:bottom w:val="none" w:sz="0" w:space="0" w:color="auto"/>
                    <w:right w:val="none" w:sz="0" w:space="0" w:color="auto"/>
                  </w:divBdr>
                  <w:divsChild>
                    <w:div w:id="1966352468">
                      <w:marLeft w:val="0"/>
                      <w:marRight w:val="0"/>
                      <w:marTop w:val="0"/>
                      <w:marBottom w:val="0"/>
                      <w:divBdr>
                        <w:top w:val="none" w:sz="0" w:space="0" w:color="auto"/>
                        <w:left w:val="none" w:sz="0" w:space="0" w:color="auto"/>
                        <w:bottom w:val="none" w:sz="0" w:space="0" w:color="auto"/>
                        <w:right w:val="none" w:sz="0" w:space="0" w:color="auto"/>
                      </w:divBdr>
                    </w:div>
                  </w:divsChild>
                </w:div>
                <w:div w:id="1123159480">
                  <w:marLeft w:val="0"/>
                  <w:marRight w:val="0"/>
                  <w:marTop w:val="0"/>
                  <w:marBottom w:val="0"/>
                  <w:divBdr>
                    <w:top w:val="none" w:sz="0" w:space="0" w:color="auto"/>
                    <w:left w:val="none" w:sz="0" w:space="0" w:color="auto"/>
                    <w:bottom w:val="none" w:sz="0" w:space="0" w:color="auto"/>
                    <w:right w:val="none" w:sz="0" w:space="0" w:color="auto"/>
                  </w:divBdr>
                  <w:divsChild>
                    <w:div w:id="1853375281">
                      <w:marLeft w:val="0"/>
                      <w:marRight w:val="0"/>
                      <w:marTop w:val="0"/>
                      <w:marBottom w:val="0"/>
                      <w:divBdr>
                        <w:top w:val="none" w:sz="0" w:space="0" w:color="auto"/>
                        <w:left w:val="none" w:sz="0" w:space="0" w:color="auto"/>
                        <w:bottom w:val="none" w:sz="0" w:space="0" w:color="auto"/>
                        <w:right w:val="none" w:sz="0" w:space="0" w:color="auto"/>
                      </w:divBdr>
                    </w:div>
                  </w:divsChild>
                </w:div>
                <w:div w:id="1168521786">
                  <w:marLeft w:val="0"/>
                  <w:marRight w:val="0"/>
                  <w:marTop w:val="0"/>
                  <w:marBottom w:val="0"/>
                  <w:divBdr>
                    <w:top w:val="none" w:sz="0" w:space="0" w:color="auto"/>
                    <w:left w:val="none" w:sz="0" w:space="0" w:color="auto"/>
                    <w:bottom w:val="none" w:sz="0" w:space="0" w:color="auto"/>
                    <w:right w:val="none" w:sz="0" w:space="0" w:color="auto"/>
                  </w:divBdr>
                  <w:divsChild>
                    <w:div w:id="1966161145">
                      <w:marLeft w:val="0"/>
                      <w:marRight w:val="0"/>
                      <w:marTop w:val="0"/>
                      <w:marBottom w:val="0"/>
                      <w:divBdr>
                        <w:top w:val="none" w:sz="0" w:space="0" w:color="auto"/>
                        <w:left w:val="none" w:sz="0" w:space="0" w:color="auto"/>
                        <w:bottom w:val="none" w:sz="0" w:space="0" w:color="auto"/>
                        <w:right w:val="none" w:sz="0" w:space="0" w:color="auto"/>
                      </w:divBdr>
                    </w:div>
                  </w:divsChild>
                </w:div>
                <w:div w:id="1184367940">
                  <w:marLeft w:val="0"/>
                  <w:marRight w:val="0"/>
                  <w:marTop w:val="0"/>
                  <w:marBottom w:val="0"/>
                  <w:divBdr>
                    <w:top w:val="none" w:sz="0" w:space="0" w:color="auto"/>
                    <w:left w:val="none" w:sz="0" w:space="0" w:color="auto"/>
                    <w:bottom w:val="none" w:sz="0" w:space="0" w:color="auto"/>
                    <w:right w:val="none" w:sz="0" w:space="0" w:color="auto"/>
                  </w:divBdr>
                  <w:divsChild>
                    <w:div w:id="669605239">
                      <w:marLeft w:val="0"/>
                      <w:marRight w:val="0"/>
                      <w:marTop w:val="0"/>
                      <w:marBottom w:val="0"/>
                      <w:divBdr>
                        <w:top w:val="none" w:sz="0" w:space="0" w:color="auto"/>
                        <w:left w:val="none" w:sz="0" w:space="0" w:color="auto"/>
                        <w:bottom w:val="none" w:sz="0" w:space="0" w:color="auto"/>
                        <w:right w:val="none" w:sz="0" w:space="0" w:color="auto"/>
                      </w:divBdr>
                    </w:div>
                  </w:divsChild>
                </w:div>
                <w:div w:id="1196576706">
                  <w:marLeft w:val="0"/>
                  <w:marRight w:val="0"/>
                  <w:marTop w:val="0"/>
                  <w:marBottom w:val="0"/>
                  <w:divBdr>
                    <w:top w:val="none" w:sz="0" w:space="0" w:color="auto"/>
                    <w:left w:val="none" w:sz="0" w:space="0" w:color="auto"/>
                    <w:bottom w:val="none" w:sz="0" w:space="0" w:color="auto"/>
                    <w:right w:val="none" w:sz="0" w:space="0" w:color="auto"/>
                  </w:divBdr>
                  <w:divsChild>
                    <w:div w:id="825781658">
                      <w:marLeft w:val="0"/>
                      <w:marRight w:val="0"/>
                      <w:marTop w:val="0"/>
                      <w:marBottom w:val="0"/>
                      <w:divBdr>
                        <w:top w:val="none" w:sz="0" w:space="0" w:color="auto"/>
                        <w:left w:val="none" w:sz="0" w:space="0" w:color="auto"/>
                        <w:bottom w:val="none" w:sz="0" w:space="0" w:color="auto"/>
                        <w:right w:val="none" w:sz="0" w:space="0" w:color="auto"/>
                      </w:divBdr>
                    </w:div>
                  </w:divsChild>
                </w:div>
                <w:div w:id="1215659181">
                  <w:marLeft w:val="0"/>
                  <w:marRight w:val="0"/>
                  <w:marTop w:val="0"/>
                  <w:marBottom w:val="0"/>
                  <w:divBdr>
                    <w:top w:val="none" w:sz="0" w:space="0" w:color="auto"/>
                    <w:left w:val="none" w:sz="0" w:space="0" w:color="auto"/>
                    <w:bottom w:val="none" w:sz="0" w:space="0" w:color="auto"/>
                    <w:right w:val="none" w:sz="0" w:space="0" w:color="auto"/>
                  </w:divBdr>
                  <w:divsChild>
                    <w:div w:id="1297225147">
                      <w:marLeft w:val="0"/>
                      <w:marRight w:val="0"/>
                      <w:marTop w:val="0"/>
                      <w:marBottom w:val="0"/>
                      <w:divBdr>
                        <w:top w:val="none" w:sz="0" w:space="0" w:color="auto"/>
                        <w:left w:val="none" w:sz="0" w:space="0" w:color="auto"/>
                        <w:bottom w:val="none" w:sz="0" w:space="0" w:color="auto"/>
                        <w:right w:val="none" w:sz="0" w:space="0" w:color="auto"/>
                      </w:divBdr>
                    </w:div>
                  </w:divsChild>
                </w:div>
                <w:div w:id="1255020420">
                  <w:marLeft w:val="0"/>
                  <w:marRight w:val="0"/>
                  <w:marTop w:val="0"/>
                  <w:marBottom w:val="0"/>
                  <w:divBdr>
                    <w:top w:val="none" w:sz="0" w:space="0" w:color="auto"/>
                    <w:left w:val="none" w:sz="0" w:space="0" w:color="auto"/>
                    <w:bottom w:val="none" w:sz="0" w:space="0" w:color="auto"/>
                    <w:right w:val="none" w:sz="0" w:space="0" w:color="auto"/>
                  </w:divBdr>
                  <w:divsChild>
                    <w:div w:id="464471777">
                      <w:marLeft w:val="0"/>
                      <w:marRight w:val="0"/>
                      <w:marTop w:val="0"/>
                      <w:marBottom w:val="0"/>
                      <w:divBdr>
                        <w:top w:val="none" w:sz="0" w:space="0" w:color="auto"/>
                        <w:left w:val="none" w:sz="0" w:space="0" w:color="auto"/>
                        <w:bottom w:val="none" w:sz="0" w:space="0" w:color="auto"/>
                        <w:right w:val="none" w:sz="0" w:space="0" w:color="auto"/>
                      </w:divBdr>
                    </w:div>
                  </w:divsChild>
                </w:div>
                <w:div w:id="1279143667">
                  <w:marLeft w:val="0"/>
                  <w:marRight w:val="0"/>
                  <w:marTop w:val="0"/>
                  <w:marBottom w:val="0"/>
                  <w:divBdr>
                    <w:top w:val="none" w:sz="0" w:space="0" w:color="auto"/>
                    <w:left w:val="none" w:sz="0" w:space="0" w:color="auto"/>
                    <w:bottom w:val="none" w:sz="0" w:space="0" w:color="auto"/>
                    <w:right w:val="none" w:sz="0" w:space="0" w:color="auto"/>
                  </w:divBdr>
                  <w:divsChild>
                    <w:div w:id="1152910532">
                      <w:marLeft w:val="0"/>
                      <w:marRight w:val="0"/>
                      <w:marTop w:val="0"/>
                      <w:marBottom w:val="0"/>
                      <w:divBdr>
                        <w:top w:val="none" w:sz="0" w:space="0" w:color="auto"/>
                        <w:left w:val="none" w:sz="0" w:space="0" w:color="auto"/>
                        <w:bottom w:val="none" w:sz="0" w:space="0" w:color="auto"/>
                        <w:right w:val="none" w:sz="0" w:space="0" w:color="auto"/>
                      </w:divBdr>
                    </w:div>
                  </w:divsChild>
                </w:div>
                <w:div w:id="1313488425">
                  <w:marLeft w:val="0"/>
                  <w:marRight w:val="0"/>
                  <w:marTop w:val="0"/>
                  <w:marBottom w:val="0"/>
                  <w:divBdr>
                    <w:top w:val="none" w:sz="0" w:space="0" w:color="auto"/>
                    <w:left w:val="none" w:sz="0" w:space="0" w:color="auto"/>
                    <w:bottom w:val="none" w:sz="0" w:space="0" w:color="auto"/>
                    <w:right w:val="none" w:sz="0" w:space="0" w:color="auto"/>
                  </w:divBdr>
                  <w:divsChild>
                    <w:div w:id="1139692899">
                      <w:marLeft w:val="0"/>
                      <w:marRight w:val="0"/>
                      <w:marTop w:val="0"/>
                      <w:marBottom w:val="0"/>
                      <w:divBdr>
                        <w:top w:val="none" w:sz="0" w:space="0" w:color="auto"/>
                        <w:left w:val="none" w:sz="0" w:space="0" w:color="auto"/>
                        <w:bottom w:val="none" w:sz="0" w:space="0" w:color="auto"/>
                        <w:right w:val="none" w:sz="0" w:space="0" w:color="auto"/>
                      </w:divBdr>
                    </w:div>
                  </w:divsChild>
                </w:div>
                <w:div w:id="1314871032">
                  <w:marLeft w:val="0"/>
                  <w:marRight w:val="0"/>
                  <w:marTop w:val="0"/>
                  <w:marBottom w:val="0"/>
                  <w:divBdr>
                    <w:top w:val="none" w:sz="0" w:space="0" w:color="auto"/>
                    <w:left w:val="none" w:sz="0" w:space="0" w:color="auto"/>
                    <w:bottom w:val="none" w:sz="0" w:space="0" w:color="auto"/>
                    <w:right w:val="none" w:sz="0" w:space="0" w:color="auto"/>
                  </w:divBdr>
                  <w:divsChild>
                    <w:div w:id="1831670934">
                      <w:marLeft w:val="0"/>
                      <w:marRight w:val="0"/>
                      <w:marTop w:val="0"/>
                      <w:marBottom w:val="0"/>
                      <w:divBdr>
                        <w:top w:val="none" w:sz="0" w:space="0" w:color="auto"/>
                        <w:left w:val="none" w:sz="0" w:space="0" w:color="auto"/>
                        <w:bottom w:val="none" w:sz="0" w:space="0" w:color="auto"/>
                        <w:right w:val="none" w:sz="0" w:space="0" w:color="auto"/>
                      </w:divBdr>
                    </w:div>
                  </w:divsChild>
                </w:div>
                <w:div w:id="1373580319">
                  <w:marLeft w:val="0"/>
                  <w:marRight w:val="0"/>
                  <w:marTop w:val="0"/>
                  <w:marBottom w:val="0"/>
                  <w:divBdr>
                    <w:top w:val="none" w:sz="0" w:space="0" w:color="auto"/>
                    <w:left w:val="none" w:sz="0" w:space="0" w:color="auto"/>
                    <w:bottom w:val="none" w:sz="0" w:space="0" w:color="auto"/>
                    <w:right w:val="none" w:sz="0" w:space="0" w:color="auto"/>
                  </w:divBdr>
                  <w:divsChild>
                    <w:div w:id="662247368">
                      <w:marLeft w:val="0"/>
                      <w:marRight w:val="0"/>
                      <w:marTop w:val="0"/>
                      <w:marBottom w:val="0"/>
                      <w:divBdr>
                        <w:top w:val="none" w:sz="0" w:space="0" w:color="auto"/>
                        <w:left w:val="none" w:sz="0" w:space="0" w:color="auto"/>
                        <w:bottom w:val="none" w:sz="0" w:space="0" w:color="auto"/>
                        <w:right w:val="none" w:sz="0" w:space="0" w:color="auto"/>
                      </w:divBdr>
                    </w:div>
                  </w:divsChild>
                </w:div>
                <w:div w:id="1385330453">
                  <w:marLeft w:val="0"/>
                  <w:marRight w:val="0"/>
                  <w:marTop w:val="0"/>
                  <w:marBottom w:val="0"/>
                  <w:divBdr>
                    <w:top w:val="none" w:sz="0" w:space="0" w:color="auto"/>
                    <w:left w:val="none" w:sz="0" w:space="0" w:color="auto"/>
                    <w:bottom w:val="none" w:sz="0" w:space="0" w:color="auto"/>
                    <w:right w:val="none" w:sz="0" w:space="0" w:color="auto"/>
                  </w:divBdr>
                  <w:divsChild>
                    <w:div w:id="1977754398">
                      <w:marLeft w:val="0"/>
                      <w:marRight w:val="0"/>
                      <w:marTop w:val="0"/>
                      <w:marBottom w:val="0"/>
                      <w:divBdr>
                        <w:top w:val="none" w:sz="0" w:space="0" w:color="auto"/>
                        <w:left w:val="none" w:sz="0" w:space="0" w:color="auto"/>
                        <w:bottom w:val="none" w:sz="0" w:space="0" w:color="auto"/>
                        <w:right w:val="none" w:sz="0" w:space="0" w:color="auto"/>
                      </w:divBdr>
                    </w:div>
                  </w:divsChild>
                </w:div>
                <w:div w:id="1411777444">
                  <w:marLeft w:val="0"/>
                  <w:marRight w:val="0"/>
                  <w:marTop w:val="0"/>
                  <w:marBottom w:val="0"/>
                  <w:divBdr>
                    <w:top w:val="none" w:sz="0" w:space="0" w:color="auto"/>
                    <w:left w:val="none" w:sz="0" w:space="0" w:color="auto"/>
                    <w:bottom w:val="none" w:sz="0" w:space="0" w:color="auto"/>
                    <w:right w:val="none" w:sz="0" w:space="0" w:color="auto"/>
                  </w:divBdr>
                  <w:divsChild>
                    <w:div w:id="1450511149">
                      <w:marLeft w:val="0"/>
                      <w:marRight w:val="0"/>
                      <w:marTop w:val="0"/>
                      <w:marBottom w:val="0"/>
                      <w:divBdr>
                        <w:top w:val="none" w:sz="0" w:space="0" w:color="auto"/>
                        <w:left w:val="none" w:sz="0" w:space="0" w:color="auto"/>
                        <w:bottom w:val="none" w:sz="0" w:space="0" w:color="auto"/>
                        <w:right w:val="none" w:sz="0" w:space="0" w:color="auto"/>
                      </w:divBdr>
                    </w:div>
                  </w:divsChild>
                </w:div>
                <w:div w:id="1431006434">
                  <w:marLeft w:val="0"/>
                  <w:marRight w:val="0"/>
                  <w:marTop w:val="0"/>
                  <w:marBottom w:val="0"/>
                  <w:divBdr>
                    <w:top w:val="none" w:sz="0" w:space="0" w:color="auto"/>
                    <w:left w:val="none" w:sz="0" w:space="0" w:color="auto"/>
                    <w:bottom w:val="none" w:sz="0" w:space="0" w:color="auto"/>
                    <w:right w:val="none" w:sz="0" w:space="0" w:color="auto"/>
                  </w:divBdr>
                  <w:divsChild>
                    <w:div w:id="2142073853">
                      <w:marLeft w:val="0"/>
                      <w:marRight w:val="0"/>
                      <w:marTop w:val="0"/>
                      <w:marBottom w:val="0"/>
                      <w:divBdr>
                        <w:top w:val="none" w:sz="0" w:space="0" w:color="auto"/>
                        <w:left w:val="none" w:sz="0" w:space="0" w:color="auto"/>
                        <w:bottom w:val="none" w:sz="0" w:space="0" w:color="auto"/>
                        <w:right w:val="none" w:sz="0" w:space="0" w:color="auto"/>
                      </w:divBdr>
                    </w:div>
                  </w:divsChild>
                </w:div>
                <w:div w:id="1434933507">
                  <w:marLeft w:val="0"/>
                  <w:marRight w:val="0"/>
                  <w:marTop w:val="0"/>
                  <w:marBottom w:val="0"/>
                  <w:divBdr>
                    <w:top w:val="none" w:sz="0" w:space="0" w:color="auto"/>
                    <w:left w:val="none" w:sz="0" w:space="0" w:color="auto"/>
                    <w:bottom w:val="none" w:sz="0" w:space="0" w:color="auto"/>
                    <w:right w:val="none" w:sz="0" w:space="0" w:color="auto"/>
                  </w:divBdr>
                  <w:divsChild>
                    <w:div w:id="1865289121">
                      <w:marLeft w:val="0"/>
                      <w:marRight w:val="0"/>
                      <w:marTop w:val="0"/>
                      <w:marBottom w:val="0"/>
                      <w:divBdr>
                        <w:top w:val="none" w:sz="0" w:space="0" w:color="auto"/>
                        <w:left w:val="none" w:sz="0" w:space="0" w:color="auto"/>
                        <w:bottom w:val="none" w:sz="0" w:space="0" w:color="auto"/>
                        <w:right w:val="none" w:sz="0" w:space="0" w:color="auto"/>
                      </w:divBdr>
                    </w:div>
                  </w:divsChild>
                </w:div>
                <w:div w:id="1460952465">
                  <w:marLeft w:val="0"/>
                  <w:marRight w:val="0"/>
                  <w:marTop w:val="0"/>
                  <w:marBottom w:val="0"/>
                  <w:divBdr>
                    <w:top w:val="none" w:sz="0" w:space="0" w:color="auto"/>
                    <w:left w:val="none" w:sz="0" w:space="0" w:color="auto"/>
                    <w:bottom w:val="none" w:sz="0" w:space="0" w:color="auto"/>
                    <w:right w:val="none" w:sz="0" w:space="0" w:color="auto"/>
                  </w:divBdr>
                  <w:divsChild>
                    <w:div w:id="359479849">
                      <w:marLeft w:val="0"/>
                      <w:marRight w:val="0"/>
                      <w:marTop w:val="0"/>
                      <w:marBottom w:val="0"/>
                      <w:divBdr>
                        <w:top w:val="none" w:sz="0" w:space="0" w:color="auto"/>
                        <w:left w:val="none" w:sz="0" w:space="0" w:color="auto"/>
                        <w:bottom w:val="none" w:sz="0" w:space="0" w:color="auto"/>
                        <w:right w:val="none" w:sz="0" w:space="0" w:color="auto"/>
                      </w:divBdr>
                    </w:div>
                  </w:divsChild>
                </w:div>
                <w:div w:id="1504738054">
                  <w:marLeft w:val="0"/>
                  <w:marRight w:val="0"/>
                  <w:marTop w:val="0"/>
                  <w:marBottom w:val="0"/>
                  <w:divBdr>
                    <w:top w:val="none" w:sz="0" w:space="0" w:color="auto"/>
                    <w:left w:val="none" w:sz="0" w:space="0" w:color="auto"/>
                    <w:bottom w:val="none" w:sz="0" w:space="0" w:color="auto"/>
                    <w:right w:val="none" w:sz="0" w:space="0" w:color="auto"/>
                  </w:divBdr>
                  <w:divsChild>
                    <w:div w:id="1436096419">
                      <w:marLeft w:val="0"/>
                      <w:marRight w:val="0"/>
                      <w:marTop w:val="0"/>
                      <w:marBottom w:val="0"/>
                      <w:divBdr>
                        <w:top w:val="none" w:sz="0" w:space="0" w:color="auto"/>
                        <w:left w:val="none" w:sz="0" w:space="0" w:color="auto"/>
                        <w:bottom w:val="none" w:sz="0" w:space="0" w:color="auto"/>
                        <w:right w:val="none" w:sz="0" w:space="0" w:color="auto"/>
                      </w:divBdr>
                    </w:div>
                  </w:divsChild>
                </w:div>
                <w:div w:id="1524436521">
                  <w:marLeft w:val="0"/>
                  <w:marRight w:val="0"/>
                  <w:marTop w:val="0"/>
                  <w:marBottom w:val="0"/>
                  <w:divBdr>
                    <w:top w:val="none" w:sz="0" w:space="0" w:color="auto"/>
                    <w:left w:val="none" w:sz="0" w:space="0" w:color="auto"/>
                    <w:bottom w:val="none" w:sz="0" w:space="0" w:color="auto"/>
                    <w:right w:val="none" w:sz="0" w:space="0" w:color="auto"/>
                  </w:divBdr>
                  <w:divsChild>
                    <w:div w:id="1362779288">
                      <w:marLeft w:val="0"/>
                      <w:marRight w:val="0"/>
                      <w:marTop w:val="0"/>
                      <w:marBottom w:val="0"/>
                      <w:divBdr>
                        <w:top w:val="none" w:sz="0" w:space="0" w:color="auto"/>
                        <w:left w:val="none" w:sz="0" w:space="0" w:color="auto"/>
                        <w:bottom w:val="none" w:sz="0" w:space="0" w:color="auto"/>
                        <w:right w:val="none" w:sz="0" w:space="0" w:color="auto"/>
                      </w:divBdr>
                    </w:div>
                  </w:divsChild>
                </w:div>
                <w:div w:id="1548371083">
                  <w:marLeft w:val="0"/>
                  <w:marRight w:val="0"/>
                  <w:marTop w:val="0"/>
                  <w:marBottom w:val="0"/>
                  <w:divBdr>
                    <w:top w:val="none" w:sz="0" w:space="0" w:color="auto"/>
                    <w:left w:val="none" w:sz="0" w:space="0" w:color="auto"/>
                    <w:bottom w:val="none" w:sz="0" w:space="0" w:color="auto"/>
                    <w:right w:val="none" w:sz="0" w:space="0" w:color="auto"/>
                  </w:divBdr>
                  <w:divsChild>
                    <w:div w:id="107630009">
                      <w:marLeft w:val="0"/>
                      <w:marRight w:val="0"/>
                      <w:marTop w:val="0"/>
                      <w:marBottom w:val="0"/>
                      <w:divBdr>
                        <w:top w:val="none" w:sz="0" w:space="0" w:color="auto"/>
                        <w:left w:val="none" w:sz="0" w:space="0" w:color="auto"/>
                        <w:bottom w:val="none" w:sz="0" w:space="0" w:color="auto"/>
                        <w:right w:val="none" w:sz="0" w:space="0" w:color="auto"/>
                      </w:divBdr>
                    </w:div>
                  </w:divsChild>
                </w:div>
                <w:div w:id="1571575542">
                  <w:marLeft w:val="0"/>
                  <w:marRight w:val="0"/>
                  <w:marTop w:val="0"/>
                  <w:marBottom w:val="0"/>
                  <w:divBdr>
                    <w:top w:val="none" w:sz="0" w:space="0" w:color="auto"/>
                    <w:left w:val="none" w:sz="0" w:space="0" w:color="auto"/>
                    <w:bottom w:val="none" w:sz="0" w:space="0" w:color="auto"/>
                    <w:right w:val="none" w:sz="0" w:space="0" w:color="auto"/>
                  </w:divBdr>
                  <w:divsChild>
                    <w:div w:id="1279217852">
                      <w:marLeft w:val="0"/>
                      <w:marRight w:val="0"/>
                      <w:marTop w:val="0"/>
                      <w:marBottom w:val="0"/>
                      <w:divBdr>
                        <w:top w:val="none" w:sz="0" w:space="0" w:color="auto"/>
                        <w:left w:val="none" w:sz="0" w:space="0" w:color="auto"/>
                        <w:bottom w:val="none" w:sz="0" w:space="0" w:color="auto"/>
                        <w:right w:val="none" w:sz="0" w:space="0" w:color="auto"/>
                      </w:divBdr>
                    </w:div>
                  </w:divsChild>
                </w:div>
                <w:div w:id="1583681798">
                  <w:marLeft w:val="0"/>
                  <w:marRight w:val="0"/>
                  <w:marTop w:val="0"/>
                  <w:marBottom w:val="0"/>
                  <w:divBdr>
                    <w:top w:val="none" w:sz="0" w:space="0" w:color="auto"/>
                    <w:left w:val="none" w:sz="0" w:space="0" w:color="auto"/>
                    <w:bottom w:val="none" w:sz="0" w:space="0" w:color="auto"/>
                    <w:right w:val="none" w:sz="0" w:space="0" w:color="auto"/>
                  </w:divBdr>
                  <w:divsChild>
                    <w:div w:id="1215779441">
                      <w:marLeft w:val="0"/>
                      <w:marRight w:val="0"/>
                      <w:marTop w:val="0"/>
                      <w:marBottom w:val="0"/>
                      <w:divBdr>
                        <w:top w:val="none" w:sz="0" w:space="0" w:color="auto"/>
                        <w:left w:val="none" w:sz="0" w:space="0" w:color="auto"/>
                        <w:bottom w:val="none" w:sz="0" w:space="0" w:color="auto"/>
                        <w:right w:val="none" w:sz="0" w:space="0" w:color="auto"/>
                      </w:divBdr>
                    </w:div>
                  </w:divsChild>
                </w:div>
                <w:div w:id="1586261641">
                  <w:marLeft w:val="0"/>
                  <w:marRight w:val="0"/>
                  <w:marTop w:val="0"/>
                  <w:marBottom w:val="0"/>
                  <w:divBdr>
                    <w:top w:val="none" w:sz="0" w:space="0" w:color="auto"/>
                    <w:left w:val="none" w:sz="0" w:space="0" w:color="auto"/>
                    <w:bottom w:val="none" w:sz="0" w:space="0" w:color="auto"/>
                    <w:right w:val="none" w:sz="0" w:space="0" w:color="auto"/>
                  </w:divBdr>
                  <w:divsChild>
                    <w:div w:id="817381460">
                      <w:marLeft w:val="0"/>
                      <w:marRight w:val="0"/>
                      <w:marTop w:val="0"/>
                      <w:marBottom w:val="0"/>
                      <w:divBdr>
                        <w:top w:val="none" w:sz="0" w:space="0" w:color="auto"/>
                        <w:left w:val="none" w:sz="0" w:space="0" w:color="auto"/>
                        <w:bottom w:val="none" w:sz="0" w:space="0" w:color="auto"/>
                        <w:right w:val="none" w:sz="0" w:space="0" w:color="auto"/>
                      </w:divBdr>
                    </w:div>
                  </w:divsChild>
                </w:div>
                <w:div w:id="1599605996">
                  <w:marLeft w:val="0"/>
                  <w:marRight w:val="0"/>
                  <w:marTop w:val="0"/>
                  <w:marBottom w:val="0"/>
                  <w:divBdr>
                    <w:top w:val="none" w:sz="0" w:space="0" w:color="auto"/>
                    <w:left w:val="none" w:sz="0" w:space="0" w:color="auto"/>
                    <w:bottom w:val="none" w:sz="0" w:space="0" w:color="auto"/>
                    <w:right w:val="none" w:sz="0" w:space="0" w:color="auto"/>
                  </w:divBdr>
                  <w:divsChild>
                    <w:div w:id="1224871539">
                      <w:marLeft w:val="0"/>
                      <w:marRight w:val="0"/>
                      <w:marTop w:val="0"/>
                      <w:marBottom w:val="0"/>
                      <w:divBdr>
                        <w:top w:val="none" w:sz="0" w:space="0" w:color="auto"/>
                        <w:left w:val="none" w:sz="0" w:space="0" w:color="auto"/>
                        <w:bottom w:val="none" w:sz="0" w:space="0" w:color="auto"/>
                        <w:right w:val="none" w:sz="0" w:space="0" w:color="auto"/>
                      </w:divBdr>
                    </w:div>
                  </w:divsChild>
                </w:div>
                <w:div w:id="1653288390">
                  <w:marLeft w:val="0"/>
                  <w:marRight w:val="0"/>
                  <w:marTop w:val="0"/>
                  <w:marBottom w:val="0"/>
                  <w:divBdr>
                    <w:top w:val="none" w:sz="0" w:space="0" w:color="auto"/>
                    <w:left w:val="none" w:sz="0" w:space="0" w:color="auto"/>
                    <w:bottom w:val="none" w:sz="0" w:space="0" w:color="auto"/>
                    <w:right w:val="none" w:sz="0" w:space="0" w:color="auto"/>
                  </w:divBdr>
                  <w:divsChild>
                    <w:div w:id="838890954">
                      <w:marLeft w:val="0"/>
                      <w:marRight w:val="0"/>
                      <w:marTop w:val="0"/>
                      <w:marBottom w:val="0"/>
                      <w:divBdr>
                        <w:top w:val="none" w:sz="0" w:space="0" w:color="auto"/>
                        <w:left w:val="none" w:sz="0" w:space="0" w:color="auto"/>
                        <w:bottom w:val="none" w:sz="0" w:space="0" w:color="auto"/>
                        <w:right w:val="none" w:sz="0" w:space="0" w:color="auto"/>
                      </w:divBdr>
                    </w:div>
                  </w:divsChild>
                </w:div>
                <w:div w:id="1654210626">
                  <w:marLeft w:val="0"/>
                  <w:marRight w:val="0"/>
                  <w:marTop w:val="0"/>
                  <w:marBottom w:val="0"/>
                  <w:divBdr>
                    <w:top w:val="none" w:sz="0" w:space="0" w:color="auto"/>
                    <w:left w:val="none" w:sz="0" w:space="0" w:color="auto"/>
                    <w:bottom w:val="none" w:sz="0" w:space="0" w:color="auto"/>
                    <w:right w:val="none" w:sz="0" w:space="0" w:color="auto"/>
                  </w:divBdr>
                  <w:divsChild>
                    <w:div w:id="381103376">
                      <w:marLeft w:val="0"/>
                      <w:marRight w:val="0"/>
                      <w:marTop w:val="0"/>
                      <w:marBottom w:val="0"/>
                      <w:divBdr>
                        <w:top w:val="none" w:sz="0" w:space="0" w:color="auto"/>
                        <w:left w:val="none" w:sz="0" w:space="0" w:color="auto"/>
                        <w:bottom w:val="none" w:sz="0" w:space="0" w:color="auto"/>
                        <w:right w:val="none" w:sz="0" w:space="0" w:color="auto"/>
                      </w:divBdr>
                    </w:div>
                  </w:divsChild>
                </w:div>
                <w:div w:id="1678577182">
                  <w:marLeft w:val="0"/>
                  <w:marRight w:val="0"/>
                  <w:marTop w:val="0"/>
                  <w:marBottom w:val="0"/>
                  <w:divBdr>
                    <w:top w:val="none" w:sz="0" w:space="0" w:color="auto"/>
                    <w:left w:val="none" w:sz="0" w:space="0" w:color="auto"/>
                    <w:bottom w:val="none" w:sz="0" w:space="0" w:color="auto"/>
                    <w:right w:val="none" w:sz="0" w:space="0" w:color="auto"/>
                  </w:divBdr>
                  <w:divsChild>
                    <w:div w:id="1581870764">
                      <w:marLeft w:val="0"/>
                      <w:marRight w:val="0"/>
                      <w:marTop w:val="0"/>
                      <w:marBottom w:val="0"/>
                      <w:divBdr>
                        <w:top w:val="none" w:sz="0" w:space="0" w:color="auto"/>
                        <w:left w:val="none" w:sz="0" w:space="0" w:color="auto"/>
                        <w:bottom w:val="none" w:sz="0" w:space="0" w:color="auto"/>
                        <w:right w:val="none" w:sz="0" w:space="0" w:color="auto"/>
                      </w:divBdr>
                    </w:div>
                  </w:divsChild>
                </w:div>
                <w:div w:id="1691225513">
                  <w:marLeft w:val="0"/>
                  <w:marRight w:val="0"/>
                  <w:marTop w:val="0"/>
                  <w:marBottom w:val="0"/>
                  <w:divBdr>
                    <w:top w:val="none" w:sz="0" w:space="0" w:color="auto"/>
                    <w:left w:val="none" w:sz="0" w:space="0" w:color="auto"/>
                    <w:bottom w:val="none" w:sz="0" w:space="0" w:color="auto"/>
                    <w:right w:val="none" w:sz="0" w:space="0" w:color="auto"/>
                  </w:divBdr>
                  <w:divsChild>
                    <w:div w:id="1761945315">
                      <w:marLeft w:val="0"/>
                      <w:marRight w:val="0"/>
                      <w:marTop w:val="0"/>
                      <w:marBottom w:val="0"/>
                      <w:divBdr>
                        <w:top w:val="none" w:sz="0" w:space="0" w:color="auto"/>
                        <w:left w:val="none" w:sz="0" w:space="0" w:color="auto"/>
                        <w:bottom w:val="none" w:sz="0" w:space="0" w:color="auto"/>
                        <w:right w:val="none" w:sz="0" w:space="0" w:color="auto"/>
                      </w:divBdr>
                    </w:div>
                  </w:divsChild>
                </w:div>
                <w:div w:id="1740059781">
                  <w:marLeft w:val="0"/>
                  <w:marRight w:val="0"/>
                  <w:marTop w:val="0"/>
                  <w:marBottom w:val="0"/>
                  <w:divBdr>
                    <w:top w:val="none" w:sz="0" w:space="0" w:color="auto"/>
                    <w:left w:val="none" w:sz="0" w:space="0" w:color="auto"/>
                    <w:bottom w:val="none" w:sz="0" w:space="0" w:color="auto"/>
                    <w:right w:val="none" w:sz="0" w:space="0" w:color="auto"/>
                  </w:divBdr>
                  <w:divsChild>
                    <w:div w:id="2017999962">
                      <w:marLeft w:val="0"/>
                      <w:marRight w:val="0"/>
                      <w:marTop w:val="0"/>
                      <w:marBottom w:val="0"/>
                      <w:divBdr>
                        <w:top w:val="none" w:sz="0" w:space="0" w:color="auto"/>
                        <w:left w:val="none" w:sz="0" w:space="0" w:color="auto"/>
                        <w:bottom w:val="none" w:sz="0" w:space="0" w:color="auto"/>
                        <w:right w:val="none" w:sz="0" w:space="0" w:color="auto"/>
                      </w:divBdr>
                    </w:div>
                  </w:divsChild>
                </w:div>
                <w:div w:id="1747461282">
                  <w:marLeft w:val="0"/>
                  <w:marRight w:val="0"/>
                  <w:marTop w:val="0"/>
                  <w:marBottom w:val="0"/>
                  <w:divBdr>
                    <w:top w:val="none" w:sz="0" w:space="0" w:color="auto"/>
                    <w:left w:val="none" w:sz="0" w:space="0" w:color="auto"/>
                    <w:bottom w:val="none" w:sz="0" w:space="0" w:color="auto"/>
                    <w:right w:val="none" w:sz="0" w:space="0" w:color="auto"/>
                  </w:divBdr>
                  <w:divsChild>
                    <w:div w:id="1929342419">
                      <w:marLeft w:val="0"/>
                      <w:marRight w:val="0"/>
                      <w:marTop w:val="0"/>
                      <w:marBottom w:val="0"/>
                      <w:divBdr>
                        <w:top w:val="none" w:sz="0" w:space="0" w:color="auto"/>
                        <w:left w:val="none" w:sz="0" w:space="0" w:color="auto"/>
                        <w:bottom w:val="none" w:sz="0" w:space="0" w:color="auto"/>
                        <w:right w:val="none" w:sz="0" w:space="0" w:color="auto"/>
                      </w:divBdr>
                    </w:div>
                  </w:divsChild>
                </w:div>
                <w:div w:id="1781728000">
                  <w:marLeft w:val="0"/>
                  <w:marRight w:val="0"/>
                  <w:marTop w:val="0"/>
                  <w:marBottom w:val="0"/>
                  <w:divBdr>
                    <w:top w:val="none" w:sz="0" w:space="0" w:color="auto"/>
                    <w:left w:val="none" w:sz="0" w:space="0" w:color="auto"/>
                    <w:bottom w:val="none" w:sz="0" w:space="0" w:color="auto"/>
                    <w:right w:val="none" w:sz="0" w:space="0" w:color="auto"/>
                  </w:divBdr>
                  <w:divsChild>
                    <w:div w:id="1491945747">
                      <w:marLeft w:val="0"/>
                      <w:marRight w:val="0"/>
                      <w:marTop w:val="0"/>
                      <w:marBottom w:val="0"/>
                      <w:divBdr>
                        <w:top w:val="none" w:sz="0" w:space="0" w:color="auto"/>
                        <w:left w:val="none" w:sz="0" w:space="0" w:color="auto"/>
                        <w:bottom w:val="none" w:sz="0" w:space="0" w:color="auto"/>
                        <w:right w:val="none" w:sz="0" w:space="0" w:color="auto"/>
                      </w:divBdr>
                    </w:div>
                  </w:divsChild>
                </w:div>
                <w:div w:id="1818493705">
                  <w:marLeft w:val="0"/>
                  <w:marRight w:val="0"/>
                  <w:marTop w:val="0"/>
                  <w:marBottom w:val="0"/>
                  <w:divBdr>
                    <w:top w:val="none" w:sz="0" w:space="0" w:color="auto"/>
                    <w:left w:val="none" w:sz="0" w:space="0" w:color="auto"/>
                    <w:bottom w:val="none" w:sz="0" w:space="0" w:color="auto"/>
                    <w:right w:val="none" w:sz="0" w:space="0" w:color="auto"/>
                  </w:divBdr>
                  <w:divsChild>
                    <w:div w:id="1219514336">
                      <w:marLeft w:val="0"/>
                      <w:marRight w:val="0"/>
                      <w:marTop w:val="0"/>
                      <w:marBottom w:val="0"/>
                      <w:divBdr>
                        <w:top w:val="none" w:sz="0" w:space="0" w:color="auto"/>
                        <w:left w:val="none" w:sz="0" w:space="0" w:color="auto"/>
                        <w:bottom w:val="none" w:sz="0" w:space="0" w:color="auto"/>
                        <w:right w:val="none" w:sz="0" w:space="0" w:color="auto"/>
                      </w:divBdr>
                    </w:div>
                  </w:divsChild>
                </w:div>
                <w:div w:id="1824196952">
                  <w:marLeft w:val="0"/>
                  <w:marRight w:val="0"/>
                  <w:marTop w:val="0"/>
                  <w:marBottom w:val="0"/>
                  <w:divBdr>
                    <w:top w:val="none" w:sz="0" w:space="0" w:color="auto"/>
                    <w:left w:val="none" w:sz="0" w:space="0" w:color="auto"/>
                    <w:bottom w:val="none" w:sz="0" w:space="0" w:color="auto"/>
                    <w:right w:val="none" w:sz="0" w:space="0" w:color="auto"/>
                  </w:divBdr>
                  <w:divsChild>
                    <w:div w:id="1721632044">
                      <w:marLeft w:val="0"/>
                      <w:marRight w:val="0"/>
                      <w:marTop w:val="0"/>
                      <w:marBottom w:val="0"/>
                      <w:divBdr>
                        <w:top w:val="none" w:sz="0" w:space="0" w:color="auto"/>
                        <w:left w:val="none" w:sz="0" w:space="0" w:color="auto"/>
                        <w:bottom w:val="none" w:sz="0" w:space="0" w:color="auto"/>
                        <w:right w:val="none" w:sz="0" w:space="0" w:color="auto"/>
                      </w:divBdr>
                    </w:div>
                  </w:divsChild>
                </w:div>
                <w:div w:id="1828134192">
                  <w:marLeft w:val="0"/>
                  <w:marRight w:val="0"/>
                  <w:marTop w:val="0"/>
                  <w:marBottom w:val="0"/>
                  <w:divBdr>
                    <w:top w:val="none" w:sz="0" w:space="0" w:color="auto"/>
                    <w:left w:val="none" w:sz="0" w:space="0" w:color="auto"/>
                    <w:bottom w:val="none" w:sz="0" w:space="0" w:color="auto"/>
                    <w:right w:val="none" w:sz="0" w:space="0" w:color="auto"/>
                  </w:divBdr>
                  <w:divsChild>
                    <w:div w:id="928544028">
                      <w:marLeft w:val="0"/>
                      <w:marRight w:val="0"/>
                      <w:marTop w:val="0"/>
                      <w:marBottom w:val="0"/>
                      <w:divBdr>
                        <w:top w:val="none" w:sz="0" w:space="0" w:color="auto"/>
                        <w:left w:val="none" w:sz="0" w:space="0" w:color="auto"/>
                        <w:bottom w:val="none" w:sz="0" w:space="0" w:color="auto"/>
                        <w:right w:val="none" w:sz="0" w:space="0" w:color="auto"/>
                      </w:divBdr>
                    </w:div>
                  </w:divsChild>
                </w:div>
                <w:div w:id="1832287590">
                  <w:marLeft w:val="0"/>
                  <w:marRight w:val="0"/>
                  <w:marTop w:val="0"/>
                  <w:marBottom w:val="0"/>
                  <w:divBdr>
                    <w:top w:val="none" w:sz="0" w:space="0" w:color="auto"/>
                    <w:left w:val="none" w:sz="0" w:space="0" w:color="auto"/>
                    <w:bottom w:val="none" w:sz="0" w:space="0" w:color="auto"/>
                    <w:right w:val="none" w:sz="0" w:space="0" w:color="auto"/>
                  </w:divBdr>
                  <w:divsChild>
                    <w:div w:id="877006818">
                      <w:marLeft w:val="0"/>
                      <w:marRight w:val="0"/>
                      <w:marTop w:val="0"/>
                      <w:marBottom w:val="0"/>
                      <w:divBdr>
                        <w:top w:val="none" w:sz="0" w:space="0" w:color="auto"/>
                        <w:left w:val="none" w:sz="0" w:space="0" w:color="auto"/>
                        <w:bottom w:val="none" w:sz="0" w:space="0" w:color="auto"/>
                        <w:right w:val="none" w:sz="0" w:space="0" w:color="auto"/>
                      </w:divBdr>
                    </w:div>
                  </w:divsChild>
                </w:div>
                <w:div w:id="1885436193">
                  <w:marLeft w:val="0"/>
                  <w:marRight w:val="0"/>
                  <w:marTop w:val="0"/>
                  <w:marBottom w:val="0"/>
                  <w:divBdr>
                    <w:top w:val="none" w:sz="0" w:space="0" w:color="auto"/>
                    <w:left w:val="none" w:sz="0" w:space="0" w:color="auto"/>
                    <w:bottom w:val="none" w:sz="0" w:space="0" w:color="auto"/>
                    <w:right w:val="none" w:sz="0" w:space="0" w:color="auto"/>
                  </w:divBdr>
                  <w:divsChild>
                    <w:div w:id="533466739">
                      <w:marLeft w:val="0"/>
                      <w:marRight w:val="0"/>
                      <w:marTop w:val="0"/>
                      <w:marBottom w:val="0"/>
                      <w:divBdr>
                        <w:top w:val="none" w:sz="0" w:space="0" w:color="auto"/>
                        <w:left w:val="none" w:sz="0" w:space="0" w:color="auto"/>
                        <w:bottom w:val="none" w:sz="0" w:space="0" w:color="auto"/>
                        <w:right w:val="none" w:sz="0" w:space="0" w:color="auto"/>
                      </w:divBdr>
                    </w:div>
                  </w:divsChild>
                </w:div>
                <w:div w:id="1888713028">
                  <w:marLeft w:val="0"/>
                  <w:marRight w:val="0"/>
                  <w:marTop w:val="0"/>
                  <w:marBottom w:val="0"/>
                  <w:divBdr>
                    <w:top w:val="none" w:sz="0" w:space="0" w:color="auto"/>
                    <w:left w:val="none" w:sz="0" w:space="0" w:color="auto"/>
                    <w:bottom w:val="none" w:sz="0" w:space="0" w:color="auto"/>
                    <w:right w:val="none" w:sz="0" w:space="0" w:color="auto"/>
                  </w:divBdr>
                  <w:divsChild>
                    <w:div w:id="1051270105">
                      <w:marLeft w:val="0"/>
                      <w:marRight w:val="0"/>
                      <w:marTop w:val="0"/>
                      <w:marBottom w:val="0"/>
                      <w:divBdr>
                        <w:top w:val="none" w:sz="0" w:space="0" w:color="auto"/>
                        <w:left w:val="none" w:sz="0" w:space="0" w:color="auto"/>
                        <w:bottom w:val="none" w:sz="0" w:space="0" w:color="auto"/>
                        <w:right w:val="none" w:sz="0" w:space="0" w:color="auto"/>
                      </w:divBdr>
                    </w:div>
                  </w:divsChild>
                </w:div>
                <w:div w:id="1902254896">
                  <w:marLeft w:val="0"/>
                  <w:marRight w:val="0"/>
                  <w:marTop w:val="0"/>
                  <w:marBottom w:val="0"/>
                  <w:divBdr>
                    <w:top w:val="none" w:sz="0" w:space="0" w:color="auto"/>
                    <w:left w:val="none" w:sz="0" w:space="0" w:color="auto"/>
                    <w:bottom w:val="none" w:sz="0" w:space="0" w:color="auto"/>
                    <w:right w:val="none" w:sz="0" w:space="0" w:color="auto"/>
                  </w:divBdr>
                  <w:divsChild>
                    <w:div w:id="247351077">
                      <w:marLeft w:val="0"/>
                      <w:marRight w:val="0"/>
                      <w:marTop w:val="0"/>
                      <w:marBottom w:val="0"/>
                      <w:divBdr>
                        <w:top w:val="none" w:sz="0" w:space="0" w:color="auto"/>
                        <w:left w:val="none" w:sz="0" w:space="0" w:color="auto"/>
                        <w:bottom w:val="none" w:sz="0" w:space="0" w:color="auto"/>
                        <w:right w:val="none" w:sz="0" w:space="0" w:color="auto"/>
                      </w:divBdr>
                    </w:div>
                  </w:divsChild>
                </w:div>
                <w:div w:id="1921791957">
                  <w:marLeft w:val="0"/>
                  <w:marRight w:val="0"/>
                  <w:marTop w:val="0"/>
                  <w:marBottom w:val="0"/>
                  <w:divBdr>
                    <w:top w:val="none" w:sz="0" w:space="0" w:color="auto"/>
                    <w:left w:val="none" w:sz="0" w:space="0" w:color="auto"/>
                    <w:bottom w:val="none" w:sz="0" w:space="0" w:color="auto"/>
                    <w:right w:val="none" w:sz="0" w:space="0" w:color="auto"/>
                  </w:divBdr>
                  <w:divsChild>
                    <w:div w:id="918715727">
                      <w:marLeft w:val="0"/>
                      <w:marRight w:val="0"/>
                      <w:marTop w:val="0"/>
                      <w:marBottom w:val="0"/>
                      <w:divBdr>
                        <w:top w:val="none" w:sz="0" w:space="0" w:color="auto"/>
                        <w:left w:val="none" w:sz="0" w:space="0" w:color="auto"/>
                        <w:bottom w:val="none" w:sz="0" w:space="0" w:color="auto"/>
                        <w:right w:val="none" w:sz="0" w:space="0" w:color="auto"/>
                      </w:divBdr>
                    </w:div>
                  </w:divsChild>
                </w:div>
                <w:div w:id="1924292624">
                  <w:marLeft w:val="0"/>
                  <w:marRight w:val="0"/>
                  <w:marTop w:val="0"/>
                  <w:marBottom w:val="0"/>
                  <w:divBdr>
                    <w:top w:val="none" w:sz="0" w:space="0" w:color="auto"/>
                    <w:left w:val="none" w:sz="0" w:space="0" w:color="auto"/>
                    <w:bottom w:val="none" w:sz="0" w:space="0" w:color="auto"/>
                    <w:right w:val="none" w:sz="0" w:space="0" w:color="auto"/>
                  </w:divBdr>
                  <w:divsChild>
                    <w:div w:id="1254124294">
                      <w:marLeft w:val="0"/>
                      <w:marRight w:val="0"/>
                      <w:marTop w:val="0"/>
                      <w:marBottom w:val="0"/>
                      <w:divBdr>
                        <w:top w:val="none" w:sz="0" w:space="0" w:color="auto"/>
                        <w:left w:val="none" w:sz="0" w:space="0" w:color="auto"/>
                        <w:bottom w:val="none" w:sz="0" w:space="0" w:color="auto"/>
                        <w:right w:val="none" w:sz="0" w:space="0" w:color="auto"/>
                      </w:divBdr>
                    </w:div>
                  </w:divsChild>
                </w:div>
                <w:div w:id="1936546446">
                  <w:marLeft w:val="0"/>
                  <w:marRight w:val="0"/>
                  <w:marTop w:val="0"/>
                  <w:marBottom w:val="0"/>
                  <w:divBdr>
                    <w:top w:val="none" w:sz="0" w:space="0" w:color="auto"/>
                    <w:left w:val="none" w:sz="0" w:space="0" w:color="auto"/>
                    <w:bottom w:val="none" w:sz="0" w:space="0" w:color="auto"/>
                    <w:right w:val="none" w:sz="0" w:space="0" w:color="auto"/>
                  </w:divBdr>
                  <w:divsChild>
                    <w:div w:id="316342959">
                      <w:marLeft w:val="0"/>
                      <w:marRight w:val="0"/>
                      <w:marTop w:val="0"/>
                      <w:marBottom w:val="0"/>
                      <w:divBdr>
                        <w:top w:val="none" w:sz="0" w:space="0" w:color="auto"/>
                        <w:left w:val="none" w:sz="0" w:space="0" w:color="auto"/>
                        <w:bottom w:val="none" w:sz="0" w:space="0" w:color="auto"/>
                        <w:right w:val="none" w:sz="0" w:space="0" w:color="auto"/>
                      </w:divBdr>
                    </w:div>
                  </w:divsChild>
                </w:div>
                <w:div w:id="1950310897">
                  <w:marLeft w:val="0"/>
                  <w:marRight w:val="0"/>
                  <w:marTop w:val="0"/>
                  <w:marBottom w:val="0"/>
                  <w:divBdr>
                    <w:top w:val="none" w:sz="0" w:space="0" w:color="auto"/>
                    <w:left w:val="none" w:sz="0" w:space="0" w:color="auto"/>
                    <w:bottom w:val="none" w:sz="0" w:space="0" w:color="auto"/>
                    <w:right w:val="none" w:sz="0" w:space="0" w:color="auto"/>
                  </w:divBdr>
                  <w:divsChild>
                    <w:div w:id="1593053485">
                      <w:marLeft w:val="0"/>
                      <w:marRight w:val="0"/>
                      <w:marTop w:val="0"/>
                      <w:marBottom w:val="0"/>
                      <w:divBdr>
                        <w:top w:val="none" w:sz="0" w:space="0" w:color="auto"/>
                        <w:left w:val="none" w:sz="0" w:space="0" w:color="auto"/>
                        <w:bottom w:val="none" w:sz="0" w:space="0" w:color="auto"/>
                        <w:right w:val="none" w:sz="0" w:space="0" w:color="auto"/>
                      </w:divBdr>
                    </w:div>
                  </w:divsChild>
                </w:div>
                <w:div w:id="1952082425">
                  <w:marLeft w:val="0"/>
                  <w:marRight w:val="0"/>
                  <w:marTop w:val="0"/>
                  <w:marBottom w:val="0"/>
                  <w:divBdr>
                    <w:top w:val="none" w:sz="0" w:space="0" w:color="auto"/>
                    <w:left w:val="none" w:sz="0" w:space="0" w:color="auto"/>
                    <w:bottom w:val="none" w:sz="0" w:space="0" w:color="auto"/>
                    <w:right w:val="none" w:sz="0" w:space="0" w:color="auto"/>
                  </w:divBdr>
                  <w:divsChild>
                    <w:div w:id="1866090884">
                      <w:marLeft w:val="0"/>
                      <w:marRight w:val="0"/>
                      <w:marTop w:val="0"/>
                      <w:marBottom w:val="0"/>
                      <w:divBdr>
                        <w:top w:val="none" w:sz="0" w:space="0" w:color="auto"/>
                        <w:left w:val="none" w:sz="0" w:space="0" w:color="auto"/>
                        <w:bottom w:val="none" w:sz="0" w:space="0" w:color="auto"/>
                        <w:right w:val="none" w:sz="0" w:space="0" w:color="auto"/>
                      </w:divBdr>
                    </w:div>
                  </w:divsChild>
                </w:div>
                <w:div w:id="1955137688">
                  <w:marLeft w:val="0"/>
                  <w:marRight w:val="0"/>
                  <w:marTop w:val="0"/>
                  <w:marBottom w:val="0"/>
                  <w:divBdr>
                    <w:top w:val="none" w:sz="0" w:space="0" w:color="auto"/>
                    <w:left w:val="none" w:sz="0" w:space="0" w:color="auto"/>
                    <w:bottom w:val="none" w:sz="0" w:space="0" w:color="auto"/>
                    <w:right w:val="none" w:sz="0" w:space="0" w:color="auto"/>
                  </w:divBdr>
                  <w:divsChild>
                    <w:div w:id="602223229">
                      <w:marLeft w:val="0"/>
                      <w:marRight w:val="0"/>
                      <w:marTop w:val="0"/>
                      <w:marBottom w:val="0"/>
                      <w:divBdr>
                        <w:top w:val="none" w:sz="0" w:space="0" w:color="auto"/>
                        <w:left w:val="none" w:sz="0" w:space="0" w:color="auto"/>
                        <w:bottom w:val="none" w:sz="0" w:space="0" w:color="auto"/>
                        <w:right w:val="none" w:sz="0" w:space="0" w:color="auto"/>
                      </w:divBdr>
                    </w:div>
                  </w:divsChild>
                </w:div>
                <w:div w:id="1971403018">
                  <w:marLeft w:val="0"/>
                  <w:marRight w:val="0"/>
                  <w:marTop w:val="0"/>
                  <w:marBottom w:val="0"/>
                  <w:divBdr>
                    <w:top w:val="none" w:sz="0" w:space="0" w:color="auto"/>
                    <w:left w:val="none" w:sz="0" w:space="0" w:color="auto"/>
                    <w:bottom w:val="none" w:sz="0" w:space="0" w:color="auto"/>
                    <w:right w:val="none" w:sz="0" w:space="0" w:color="auto"/>
                  </w:divBdr>
                  <w:divsChild>
                    <w:div w:id="147719551">
                      <w:marLeft w:val="0"/>
                      <w:marRight w:val="0"/>
                      <w:marTop w:val="0"/>
                      <w:marBottom w:val="0"/>
                      <w:divBdr>
                        <w:top w:val="none" w:sz="0" w:space="0" w:color="auto"/>
                        <w:left w:val="none" w:sz="0" w:space="0" w:color="auto"/>
                        <w:bottom w:val="none" w:sz="0" w:space="0" w:color="auto"/>
                        <w:right w:val="none" w:sz="0" w:space="0" w:color="auto"/>
                      </w:divBdr>
                    </w:div>
                  </w:divsChild>
                </w:div>
                <w:div w:id="2097364264">
                  <w:marLeft w:val="0"/>
                  <w:marRight w:val="0"/>
                  <w:marTop w:val="0"/>
                  <w:marBottom w:val="0"/>
                  <w:divBdr>
                    <w:top w:val="none" w:sz="0" w:space="0" w:color="auto"/>
                    <w:left w:val="none" w:sz="0" w:space="0" w:color="auto"/>
                    <w:bottom w:val="none" w:sz="0" w:space="0" w:color="auto"/>
                    <w:right w:val="none" w:sz="0" w:space="0" w:color="auto"/>
                  </w:divBdr>
                  <w:divsChild>
                    <w:div w:id="2045402989">
                      <w:marLeft w:val="0"/>
                      <w:marRight w:val="0"/>
                      <w:marTop w:val="0"/>
                      <w:marBottom w:val="0"/>
                      <w:divBdr>
                        <w:top w:val="none" w:sz="0" w:space="0" w:color="auto"/>
                        <w:left w:val="none" w:sz="0" w:space="0" w:color="auto"/>
                        <w:bottom w:val="none" w:sz="0" w:space="0" w:color="auto"/>
                        <w:right w:val="none" w:sz="0" w:space="0" w:color="auto"/>
                      </w:divBdr>
                    </w:div>
                  </w:divsChild>
                </w:div>
                <w:div w:id="2100174435">
                  <w:marLeft w:val="0"/>
                  <w:marRight w:val="0"/>
                  <w:marTop w:val="0"/>
                  <w:marBottom w:val="0"/>
                  <w:divBdr>
                    <w:top w:val="none" w:sz="0" w:space="0" w:color="auto"/>
                    <w:left w:val="none" w:sz="0" w:space="0" w:color="auto"/>
                    <w:bottom w:val="none" w:sz="0" w:space="0" w:color="auto"/>
                    <w:right w:val="none" w:sz="0" w:space="0" w:color="auto"/>
                  </w:divBdr>
                  <w:divsChild>
                    <w:div w:id="593637860">
                      <w:marLeft w:val="0"/>
                      <w:marRight w:val="0"/>
                      <w:marTop w:val="0"/>
                      <w:marBottom w:val="0"/>
                      <w:divBdr>
                        <w:top w:val="none" w:sz="0" w:space="0" w:color="auto"/>
                        <w:left w:val="none" w:sz="0" w:space="0" w:color="auto"/>
                        <w:bottom w:val="none" w:sz="0" w:space="0" w:color="auto"/>
                        <w:right w:val="none" w:sz="0" w:space="0" w:color="auto"/>
                      </w:divBdr>
                    </w:div>
                  </w:divsChild>
                </w:div>
                <w:div w:id="2114546258">
                  <w:marLeft w:val="0"/>
                  <w:marRight w:val="0"/>
                  <w:marTop w:val="0"/>
                  <w:marBottom w:val="0"/>
                  <w:divBdr>
                    <w:top w:val="none" w:sz="0" w:space="0" w:color="auto"/>
                    <w:left w:val="none" w:sz="0" w:space="0" w:color="auto"/>
                    <w:bottom w:val="none" w:sz="0" w:space="0" w:color="auto"/>
                    <w:right w:val="none" w:sz="0" w:space="0" w:color="auto"/>
                  </w:divBdr>
                  <w:divsChild>
                    <w:div w:id="1994792432">
                      <w:marLeft w:val="0"/>
                      <w:marRight w:val="0"/>
                      <w:marTop w:val="0"/>
                      <w:marBottom w:val="0"/>
                      <w:divBdr>
                        <w:top w:val="none" w:sz="0" w:space="0" w:color="auto"/>
                        <w:left w:val="none" w:sz="0" w:space="0" w:color="auto"/>
                        <w:bottom w:val="none" w:sz="0" w:space="0" w:color="auto"/>
                        <w:right w:val="none" w:sz="0" w:space="0" w:color="auto"/>
                      </w:divBdr>
                    </w:div>
                  </w:divsChild>
                </w:div>
                <w:div w:id="2127113181">
                  <w:marLeft w:val="0"/>
                  <w:marRight w:val="0"/>
                  <w:marTop w:val="0"/>
                  <w:marBottom w:val="0"/>
                  <w:divBdr>
                    <w:top w:val="none" w:sz="0" w:space="0" w:color="auto"/>
                    <w:left w:val="none" w:sz="0" w:space="0" w:color="auto"/>
                    <w:bottom w:val="none" w:sz="0" w:space="0" w:color="auto"/>
                    <w:right w:val="none" w:sz="0" w:space="0" w:color="auto"/>
                  </w:divBdr>
                  <w:divsChild>
                    <w:div w:id="114909661">
                      <w:marLeft w:val="0"/>
                      <w:marRight w:val="0"/>
                      <w:marTop w:val="0"/>
                      <w:marBottom w:val="0"/>
                      <w:divBdr>
                        <w:top w:val="none" w:sz="0" w:space="0" w:color="auto"/>
                        <w:left w:val="none" w:sz="0" w:space="0" w:color="auto"/>
                        <w:bottom w:val="none" w:sz="0" w:space="0" w:color="auto"/>
                        <w:right w:val="none" w:sz="0" w:space="0" w:color="auto"/>
                      </w:divBdr>
                    </w:div>
                  </w:divsChild>
                </w:div>
                <w:div w:id="2138987967">
                  <w:marLeft w:val="0"/>
                  <w:marRight w:val="0"/>
                  <w:marTop w:val="0"/>
                  <w:marBottom w:val="0"/>
                  <w:divBdr>
                    <w:top w:val="none" w:sz="0" w:space="0" w:color="auto"/>
                    <w:left w:val="none" w:sz="0" w:space="0" w:color="auto"/>
                    <w:bottom w:val="none" w:sz="0" w:space="0" w:color="auto"/>
                    <w:right w:val="none" w:sz="0" w:space="0" w:color="auto"/>
                  </w:divBdr>
                  <w:divsChild>
                    <w:div w:id="2093970156">
                      <w:marLeft w:val="0"/>
                      <w:marRight w:val="0"/>
                      <w:marTop w:val="0"/>
                      <w:marBottom w:val="0"/>
                      <w:divBdr>
                        <w:top w:val="none" w:sz="0" w:space="0" w:color="auto"/>
                        <w:left w:val="none" w:sz="0" w:space="0" w:color="auto"/>
                        <w:bottom w:val="none" w:sz="0" w:space="0" w:color="auto"/>
                        <w:right w:val="none" w:sz="0" w:space="0" w:color="auto"/>
                      </w:divBdr>
                    </w:div>
                  </w:divsChild>
                </w:div>
                <w:div w:id="2147237289">
                  <w:marLeft w:val="0"/>
                  <w:marRight w:val="0"/>
                  <w:marTop w:val="0"/>
                  <w:marBottom w:val="0"/>
                  <w:divBdr>
                    <w:top w:val="none" w:sz="0" w:space="0" w:color="auto"/>
                    <w:left w:val="none" w:sz="0" w:space="0" w:color="auto"/>
                    <w:bottom w:val="none" w:sz="0" w:space="0" w:color="auto"/>
                    <w:right w:val="none" w:sz="0" w:space="0" w:color="auto"/>
                  </w:divBdr>
                  <w:divsChild>
                    <w:div w:id="1062559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046479">
          <w:marLeft w:val="0"/>
          <w:marRight w:val="0"/>
          <w:marTop w:val="0"/>
          <w:marBottom w:val="0"/>
          <w:divBdr>
            <w:top w:val="none" w:sz="0" w:space="0" w:color="auto"/>
            <w:left w:val="none" w:sz="0" w:space="0" w:color="auto"/>
            <w:bottom w:val="none" w:sz="0" w:space="0" w:color="auto"/>
            <w:right w:val="none" w:sz="0" w:space="0" w:color="auto"/>
          </w:divBdr>
        </w:div>
        <w:div w:id="1971861190">
          <w:marLeft w:val="0"/>
          <w:marRight w:val="0"/>
          <w:marTop w:val="0"/>
          <w:marBottom w:val="0"/>
          <w:divBdr>
            <w:top w:val="none" w:sz="0" w:space="0" w:color="auto"/>
            <w:left w:val="none" w:sz="0" w:space="0" w:color="auto"/>
            <w:bottom w:val="none" w:sz="0" w:space="0" w:color="auto"/>
            <w:right w:val="none" w:sz="0" w:space="0" w:color="auto"/>
          </w:divBdr>
        </w:div>
      </w:divsChild>
    </w:div>
    <w:div w:id="729689957">
      <w:bodyDiv w:val="1"/>
      <w:marLeft w:val="0"/>
      <w:marRight w:val="0"/>
      <w:marTop w:val="0"/>
      <w:marBottom w:val="0"/>
      <w:divBdr>
        <w:top w:val="none" w:sz="0" w:space="0" w:color="auto"/>
        <w:left w:val="none" w:sz="0" w:space="0" w:color="auto"/>
        <w:bottom w:val="none" w:sz="0" w:space="0" w:color="auto"/>
        <w:right w:val="none" w:sz="0" w:space="0" w:color="auto"/>
      </w:divBdr>
      <w:divsChild>
        <w:div w:id="313292113">
          <w:marLeft w:val="0"/>
          <w:marRight w:val="0"/>
          <w:marTop w:val="0"/>
          <w:marBottom w:val="0"/>
          <w:divBdr>
            <w:top w:val="none" w:sz="0" w:space="0" w:color="auto"/>
            <w:left w:val="none" w:sz="0" w:space="0" w:color="auto"/>
            <w:bottom w:val="none" w:sz="0" w:space="0" w:color="auto"/>
            <w:right w:val="none" w:sz="0" w:space="0" w:color="auto"/>
          </w:divBdr>
        </w:div>
        <w:div w:id="576861249">
          <w:marLeft w:val="0"/>
          <w:marRight w:val="0"/>
          <w:marTop w:val="0"/>
          <w:marBottom w:val="0"/>
          <w:divBdr>
            <w:top w:val="none" w:sz="0" w:space="0" w:color="auto"/>
            <w:left w:val="none" w:sz="0" w:space="0" w:color="auto"/>
            <w:bottom w:val="none" w:sz="0" w:space="0" w:color="auto"/>
            <w:right w:val="none" w:sz="0" w:space="0" w:color="auto"/>
          </w:divBdr>
        </w:div>
        <w:div w:id="939022925">
          <w:marLeft w:val="0"/>
          <w:marRight w:val="0"/>
          <w:marTop w:val="0"/>
          <w:marBottom w:val="0"/>
          <w:divBdr>
            <w:top w:val="none" w:sz="0" w:space="0" w:color="auto"/>
            <w:left w:val="none" w:sz="0" w:space="0" w:color="auto"/>
            <w:bottom w:val="none" w:sz="0" w:space="0" w:color="auto"/>
            <w:right w:val="none" w:sz="0" w:space="0" w:color="auto"/>
          </w:divBdr>
        </w:div>
        <w:div w:id="1412383640">
          <w:marLeft w:val="0"/>
          <w:marRight w:val="0"/>
          <w:marTop w:val="0"/>
          <w:marBottom w:val="0"/>
          <w:divBdr>
            <w:top w:val="none" w:sz="0" w:space="0" w:color="auto"/>
            <w:left w:val="none" w:sz="0" w:space="0" w:color="auto"/>
            <w:bottom w:val="none" w:sz="0" w:space="0" w:color="auto"/>
            <w:right w:val="none" w:sz="0" w:space="0" w:color="auto"/>
          </w:divBdr>
        </w:div>
        <w:div w:id="1664311007">
          <w:marLeft w:val="0"/>
          <w:marRight w:val="0"/>
          <w:marTop w:val="0"/>
          <w:marBottom w:val="0"/>
          <w:divBdr>
            <w:top w:val="none" w:sz="0" w:space="0" w:color="auto"/>
            <w:left w:val="none" w:sz="0" w:space="0" w:color="auto"/>
            <w:bottom w:val="none" w:sz="0" w:space="0" w:color="auto"/>
            <w:right w:val="none" w:sz="0" w:space="0" w:color="auto"/>
          </w:divBdr>
        </w:div>
      </w:divsChild>
    </w:div>
    <w:div w:id="746195271">
      <w:bodyDiv w:val="1"/>
      <w:marLeft w:val="0"/>
      <w:marRight w:val="0"/>
      <w:marTop w:val="0"/>
      <w:marBottom w:val="0"/>
      <w:divBdr>
        <w:top w:val="none" w:sz="0" w:space="0" w:color="auto"/>
        <w:left w:val="none" w:sz="0" w:space="0" w:color="auto"/>
        <w:bottom w:val="none" w:sz="0" w:space="0" w:color="auto"/>
        <w:right w:val="none" w:sz="0" w:space="0" w:color="auto"/>
      </w:divBdr>
    </w:div>
    <w:div w:id="760836144">
      <w:bodyDiv w:val="1"/>
      <w:marLeft w:val="0"/>
      <w:marRight w:val="0"/>
      <w:marTop w:val="0"/>
      <w:marBottom w:val="0"/>
      <w:divBdr>
        <w:top w:val="none" w:sz="0" w:space="0" w:color="auto"/>
        <w:left w:val="none" w:sz="0" w:space="0" w:color="auto"/>
        <w:bottom w:val="none" w:sz="0" w:space="0" w:color="auto"/>
        <w:right w:val="none" w:sz="0" w:space="0" w:color="auto"/>
      </w:divBdr>
      <w:divsChild>
        <w:div w:id="1426608442">
          <w:marLeft w:val="0"/>
          <w:marRight w:val="0"/>
          <w:marTop w:val="0"/>
          <w:marBottom w:val="0"/>
          <w:divBdr>
            <w:top w:val="none" w:sz="0" w:space="0" w:color="auto"/>
            <w:left w:val="none" w:sz="0" w:space="0" w:color="auto"/>
            <w:bottom w:val="none" w:sz="0" w:space="0" w:color="auto"/>
            <w:right w:val="none" w:sz="0" w:space="0" w:color="auto"/>
          </w:divBdr>
        </w:div>
        <w:div w:id="1627272785">
          <w:marLeft w:val="0"/>
          <w:marRight w:val="0"/>
          <w:marTop w:val="0"/>
          <w:marBottom w:val="0"/>
          <w:divBdr>
            <w:top w:val="none" w:sz="0" w:space="0" w:color="auto"/>
            <w:left w:val="none" w:sz="0" w:space="0" w:color="auto"/>
            <w:bottom w:val="none" w:sz="0" w:space="0" w:color="auto"/>
            <w:right w:val="none" w:sz="0" w:space="0" w:color="auto"/>
          </w:divBdr>
        </w:div>
      </w:divsChild>
    </w:div>
    <w:div w:id="771438857">
      <w:bodyDiv w:val="1"/>
      <w:marLeft w:val="0"/>
      <w:marRight w:val="0"/>
      <w:marTop w:val="0"/>
      <w:marBottom w:val="0"/>
      <w:divBdr>
        <w:top w:val="none" w:sz="0" w:space="0" w:color="auto"/>
        <w:left w:val="none" w:sz="0" w:space="0" w:color="auto"/>
        <w:bottom w:val="none" w:sz="0" w:space="0" w:color="auto"/>
        <w:right w:val="none" w:sz="0" w:space="0" w:color="auto"/>
      </w:divBdr>
    </w:div>
    <w:div w:id="776370376">
      <w:bodyDiv w:val="1"/>
      <w:marLeft w:val="0"/>
      <w:marRight w:val="0"/>
      <w:marTop w:val="0"/>
      <w:marBottom w:val="0"/>
      <w:divBdr>
        <w:top w:val="none" w:sz="0" w:space="0" w:color="auto"/>
        <w:left w:val="none" w:sz="0" w:space="0" w:color="auto"/>
        <w:bottom w:val="none" w:sz="0" w:space="0" w:color="auto"/>
        <w:right w:val="none" w:sz="0" w:space="0" w:color="auto"/>
      </w:divBdr>
      <w:divsChild>
        <w:div w:id="825706851">
          <w:marLeft w:val="0"/>
          <w:marRight w:val="0"/>
          <w:marTop w:val="0"/>
          <w:marBottom w:val="0"/>
          <w:divBdr>
            <w:top w:val="none" w:sz="0" w:space="0" w:color="auto"/>
            <w:left w:val="none" w:sz="0" w:space="0" w:color="auto"/>
            <w:bottom w:val="none" w:sz="0" w:space="0" w:color="auto"/>
            <w:right w:val="none" w:sz="0" w:space="0" w:color="auto"/>
          </w:divBdr>
        </w:div>
        <w:div w:id="1158571830">
          <w:marLeft w:val="0"/>
          <w:marRight w:val="0"/>
          <w:marTop w:val="0"/>
          <w:marBottom w:val="0"/>
          <w:divBdr>
            <w:top w:val="none" w:sz="0" w:space="0" w:color="auto"/>
            <w:left w:val="none" w:sz="0" w:space="0" w:color="auto"/>
            <w:bottom w:val="none" w:sz="0" w:space="0" w:color="auto"/>
            <w:right w:val="none" w:sz="0" w:space="0" w:color="auto"/>
          </w:divBdr>
        </w:div>
        <w:div w:id="1385179173">
          <w:marLeft w:val="0"/>
          <w:marRight w:val="0"/>
          <w:marTop w:val="0"/>
          <w:marBottom w:val="0"/>
          <w:divBdr>
            <w:top w:val="none" w:sz="0" w:space="0" w:color="auto"/>
            <w:left w:val="none" w:sz="0" w:space="0" w:color="auto"/>
            <w:bottom w:val="none" w:sz="0" w:space="0" w:color="auto"/>
            <w:right w:val="none" w:sz="0" w:space="0" w:color="auto"/>
          </w:divBdr>
        </w:div>
        <w:div w:id="1468860578">
          <w:marLeft w:val="0"/>
          <w:marRight w:val="0"/>
          <w:marTop w:val="0"/>
          <w:marBottom w:val="0"/>
          <w:divBdr>
            <w:top w:val="none" w:sz="0" w:space="0" w:color="auto"/>
            <w:left w:val="none" w:sz="0" w:space="0" w:color="auto"/>
            <w:bottom w:val="none" w:sz="0" w:space="0" w:color="auto"/>
            <w:right w:val="none" w:sz="0" w:space="0" w:color="auto"/>
          </w:divBdr>
        </w:div>
      </w:divsChild>
    </w:div>
    <w:div w:id="800852336">
      <w:bodyDiv w:val="1"/>
      <w:marLeft w:val="0"/>
      <w:marRight w:val="0"/>
      <w:marTop w:val="0"/>
      <w:marBottom w:val="0"/>
      <w:divBdr>
        <w:top w:val="none" w:sz="0" w:space="0" w:color="auto"/>
        <w:left w:val="none" w:sz="0" w:space="0" w:color="auto"/>
        <w:bottom w:val="none" w:sz="0" w:space="0" w:color="auto"/>
        <w:right w:val="none" w:sz="0" w:space="0" w:color="auto"/>
      </w:divBdr>
      <w:divsChild>
        <w:div w:id="224924034">
          <w:marLeft w:val="0"/>
          <w:marRight w:val="0"/>
          <w:marTop w:val="0"/>
          <w:marBottom w:val="0"/>
          <w:divBdr>
            <w:top w:val="none" w:sz="0" w:space="0" w:color="auto"/>
            <w:left w:val="none" w:sz="0" w:space="0" w:color="auto"/>
            <w:bottom w:val="none" w:sz="0" w:space="0" w:color="auto"/>
            <w:right w:val="none" w:sz="0" w:space="0" w:color="auto"/>
          </w:divBdr>
        </w:div>
        <w:div w:id="1957560467">
          <w:marLeft w:val="0"/>
          <w:marRight w:val="0"/>
          <w:marTop w:val="0"/>
          <w:marBottom w:val="0"/>
          <w:divBdr>
            <w:top w:val="none" w:sz="0" w:space="0" w:color="auto"/>
            <w:left w:val="none" w:sz="0" w:space="0" w:color="auto"/>
            <w:bottom w:val="none" w:sz="0" w:space="0" w:color="auto"/>
            <w:right w:val="none" w:sz="0" w:space="0" w:color="auto"/>
          </w:divBdr>
        </w:div>
      </w:divsChild>
    </w:div>
    <w:div w:id="814567047">
      <w:bodyDiv w:val="1"/>
      <w:marLeft w:val="0"/>
      <w:marRight w:val="0"/>
      <w:marTop w:val="0"/>
      <w:marBottom w:val="0"/>
      <w:divBdr>
        <w:top w:val="none" w:sz="0" w:space="0" w:color="auto"/>
        <w:left w:val="none" w:sz="0" w:space="0" w:color="auto"/>
        <w:bottom w:val="none" w:sz="0" w:space="0" w:color="auto"/>
        <w:right w:val="none" w:sz="0" w:space="0" w:color="auto"/>
      </w:divBdr>
      <w:divsChild>
        <w:div w:id="123355665">
          <w:marLeft w:val="0"/>
          <w:marRight w:val="0"/>
          <w:marTop w:val="0"/>
          <w:marBottom w:val="0"/>
          <w:divBdr>
            <w:top w:val="none" w:sz="0" w:space="0" w:color="auto"/>
            <w:left w:val="none" w:sz="0" w:space="0" w:color="auto"/>
            <w:bottom w:val="none" w:sz="0" w:space="0" w:color="auto"/>
            <w:right w:val="none" w:sz="0" w:space="0" w:color="auto"/>
          </w:divBdr>
        </w:div>
        <w:div w:id="579948832">
          <w:marLeft w:val="0"/>
          <w:marRight w:val="0"/>
          <w:marTop w:val="0"/>
          <w:marBottom w:val="0"/>
          <w:divBdr>
            <w:top w:val="none" w:sz="0" w:space="0" w:color="auto"/>
            <w:left w:val="none" w:sz="0" w:space="0" w:color="auto"/>
            <w:bottom w:val="none" w:sz="0" w:space="0" w:color="auto"/>
            <w:right w:val="none" w:sz="0" w:space="0" w:color="auto"/>
          </w:divBdr>
        </w:div>
        <w:div w:id="1078793954">
          <w:marLeft w:val="0"/>
          <w:marRight w:val="0"/>
          <w:marTop w:val="0"/>
          <w:marBottom w:val="0"/>
          <w:divBdr>
            <w:top w:val="none" w:sz="0" w:space="0" w:color="auto"/>
            <w:left w:val="none" w:sz="0" w:space="0" w:color="auto"/>
            <w:bottom w:val="none" w:sz="0" w:space="0" w:color="auto"/>
            <w:right w:val="none" w:sz="0" w:space="0" w:color="auto"/>
          </w:divBdr>
        </w:div>
        <w:div w:id="1233812015">
          <w:marLeft w:val="0"/>
          <w:marRight w:val="0"/>
          <w:marTop w:val="0"/>
          <w:marBottom w:val="0"/>
          <w:divBdr>
            <w:top w:val="none" w:sz="0" w:space="0" w:color="auto"/>
            <w:left w:val="none" w:sz="0" w:space="0" w:color="auto"/>
            <w:bottom w:val="none" w:sz="0" w:space="0" w:color="auto"/>
            <w:right w:val="none" w:sz="0" w:space="0" w:color="auto"/>
          </w:divBdr>
          <w:divsChild>
            <w:div w:id="24060929">
              <w:marLeft w:val="0"/>
              <w:marRight w:val="0"/>
              <w:marTop w:val="0"/>
              <w:marBottom w:val="0"/>
              <w:divBdr>
                <w:top w:val="none" w:sz="0" w:space="0" w:color="auto"/>
                <w:left w:val="none" w:sz="0" w:space="0" w:color="auto"/>
                <w:bottom w:val="none" w:sz="0" w:space="0" w:color="auto"/>
                <w:right w:val="none" w:sz="0" w:space="0" w:color="auto"/>
              </w:divBdr>
            </w:div>
            <w:div w:id="218174719">
              <w:marLeft w:val="0"/>
              <w:marRight w:val="0"/>
              <w:marTop w:val="0"/>
              <w:marBottom w:val="0"/>
              <w:divBdr>
                <w:top w:val="none" w:sz="0" w:space="0" w:color="auto"/>
                <w:left w:val="none" w:sz="0" w:space="0" w:color="auto"/>
                <w:bottom w:val="none" w:sz="0" w:space="0" w:color="auto"/>
                <w:right w:val="none" w:sz="0" w:space="0" w:color="auto"/>
              </w:divBdr>
            </w:div>
            <w:div w:id="243880975">
              <w:marLeft w:val="0"/>
              <w:marRight w:val="0"/>
              <w:marTop w:val="0"/>
              <w:marBottom w:val="0"/>
              <w:divBdr>
                <w:top w:val="none" w:sz="0" w:space="0" w:color="auto"/>
                <w:left w:val="none" w:sz="0" w:space="0" w:color="auto"/>
                <w:bottom w:val="none" w:sz="0" w:space="0" w:color="auto"/>
                <w:right w:val="none" w:sz="0" w:space="0" w:color="auto"/>
              </w:divBdr>
            </w:div>
            <w:div w:id="393357630">
              <w:marLeft w:val="0"/>
              <w:marRight w:val="0"/>
              <w:marTop w:val="0"/>
              <w:marBottom w:val="0"/>
              <w:divBdr>
                <w:top w:val="none" w:sz="0" w:space="0" w:color="auto"/>
                <w:left w:val="none" w:sz="0" w:space="0" w:color="auto"/>
                <w:bottom w:val="none" w:sz="0" w:space="0" w:color="auto"/>
                <w:right w:val="none" w:sz="0" w:space="0" w:color="auto"/>
              </w:divBdr>
            </w:div>
            <w:div w:id="727538336">
              <w:marLeft w:val="0"/>
              <w:marRight w:val="0"/>
              <w:marTop w:val="0"/>
              <w:marBottom w:val="0"/>
              <w:divBdr>
                <w:top w:val="none" w:sz="0" w:space="0" w:color="auto"/>
                <w:left w:val="none" w:sz="0" w:space="0" w:color="auto"/>
                <w:bottom w:val="none" w:sz="0" w:space="0" w:color="auto"/>
                <w:right w:val="none" w:sz="0" w:space="0" w:color="auto"/>
              </w:divBdr>
            </w:div>
            <w:div w:id="860825378">
              <w:marLeft w:val="0"/>
              <w:marRight w:val="0"/>
              <w:marTop w:val="0"/>
              <w:marBottom w:val="0"/>
              <w:divBdr>
                <w:top w:val="none" w:sz="0" w:space="0" w:color="auto"/>
                <w:left w:val="none" w:sz="0" w:space="0" w:color="auto"/>
                <w:bottom w:val="none" w:sz="0" w:space="0" w:color="auto"/>
                <w:right w:val="none" w:sz="0" w:space="0" w:color="auto"/>
              </w:divBdr>
            </w:div>
            <w:div w:id="988288207">
              <w:marLeft w:val="0"/>
              <w:marRight w:val="0"/>
              <w:marTop w:val="0"/>
              <w:marBottom w:val="0"/>
              <w:divBdr>
                <w:top w:val="none" w:sz="0" w:space="0" w:color="auto"/>
                <w:left w:val="none" w:sz="0" w:space="0" w:color="auto"/>
                <w:bottom w:val="none" w:sz="0" w:space="0" w:color="auto"/>
                <w:right w:val="none" w:sz="0" w:space="0" w:color="auto"/>
              </w:divBdr>
            </w:div>
            <w:div w:id="1249776782">
              <w:marLeft w:val="0"/>
              <w:marRight w:val="0"/>
              <w:marTop w:val="0"/>
              <w:marBottom w:val="0"/>
              <w:divBdr>
                <w:top w:val="none" w:sz="0" w:space="0" w:color="auto"/>
                <w:left w:val="none" w:sz="0" w:space="0" w:color="auto"/>
                <w:bottom w:val="none" w:sz="0" w:space="0" w:color="auto"/>
                <w:right w:val="none" w:sz="0" w:space="0" w:color="auto"/>
              </w:divBdr>
            </w:div>
            <w:div w:id="1325546952">
              <w:marLeft w:val="0"/>
              <w:marRight w:val="0"/>
              <w:marTop w:val="0"/>
              <w:marBottom w:val="0"/>
              <w:divBdr>
                <w:top w:val="none" w:sz="0" w:space="0" w:color="auto"/>
                <w:left w:val="none" w:sz="0" w:space="0" w:color="auto"/>
                <w:bottom w:val="none" w:sz="0" w:space="0" w:color="auto"/>
                <w:right w:val="none" w:sz="0" w:space="0" w:color="auto"/>
              </w:divBdr>
            </w:div>
            <w:div w:id="1396928019">
              <w:marLeft w:val="0"/>
              <w:marRight w:val="0"/>
              <w:marTop w:val="0"/>
              <w:marBottom w:val="0"/>
              <w:divBdr>
                <w:top w:val="none" w:sz="0" w:space="0" w:color="auto"/>
                <w:left w:val="none" w:sz="0" w:space="0" w:color="auto"/>
                <w:bottom w:val="none" w:sz="0" w:space="0" w:color="auto"/>
                <w:right w:val="none" w:sz="0" w:space="0" w:color="auto"/>
              </w:divBdr>
            </w:div>
            <w:div w:id="1411923478">
              <w:marLeft w:val="0"/>
              <w:marRight w:val="0"/>
              <w:marTop w:val="0"/>
              <w:marBottom w:val="0"/>
              <w:divBdr>
                <w:top w:val="none" w:sz="0" w:space="0" w:color="auto"/>
                <w:left w:val="none" w:sz="0" w:space="0" w:color="auto"/>
                <w:bottom w:val="none" w:sz="0" w:space="0" w:color="auto"/>
                <w:right w:val="none" w:sz="0" w:space="0" w:color="auto"/>
              </w:divBdr>
            </w:div>
            <w:div w:id="1489206380">
              <w:marLeft w:val="0"/>
              <w:marRight w:val="0"/>
              <w:marTop w:val="0"/>
              <w:marBottom w:val="0"/>
              <w:divBdr>
                <w:top w:val="none" w:sz="0" w:space="0" w:color="auto"/>
                <w:left w:val="none" w:sz="0" w:space="0" w:color="auto"/>
                <w:bottom w:val="none" w:sz="0" w:space="0" w:color="auto"/>
                <w:right w:val="none" w:sz="0" w:space="0" w:color="auto"/>
              </w:divBdr>
            </w:div>
            <w:div w:id="1660965207">
              <w:marLeft w:val="0"/>
              <w:marRight w:val="0"/>
              <w:marTop w:val="0"/>
              <w:marBottom w:val="0"/>
              <w:divBdr>
                <w:top w:val="none" w:sz="0" w:space="0" w:color="auto"/>
                <w:left w:val="none" w:sz="0" w:space="0" w:color="auto"/>
                <w:bottom w:val="none" w:sz="0" w:space="0" w:color="auto"/>
                <w:right w:val="none" w:sz="0" w:space="0" w:color="auto"/>
              </w:divBdr>
            </w:div>
            <w:div w:id="1770463790">
              <w:marLeft w:val="0"/>
              <w:marRight w:val="0"/>
              <w:marTop w:val="0"/>
              <w:marBottom w:val="0"/>
              <w:divBdr>
                <w:top w:val="none" w:sz="0" w:space="0" w:color="auto"/>
                <w:left w:val="none" w:sz="0" w:space="0" w:color="auto"/>
                <w:bottom w:val="none" w:sz="0" w:space="0" w:color="auto"/>
                <w:right w:val="none" w:sz="0" w:space="0" w:color="auto"/>
              </w:divBdr>
            </w:div>
            <w:div w:id="1800682850">
              <w:marLeft w:val="0"/>
              <w:marRight w:val="0"/>
              <w:marTop w:val="0"/>
              <w:marBottom w:val="0"/>
              <w:divBdr>
                <w:top w:val="none" w:sz="0" w:space="0" w:color="auto"/>
                <w:left w:val="none" w:sz="0" w:space="0" w:color="auto"/>
                <w:bottom w:val="none" w:sz="0" w:space="0" w:color="auto"/>
                <w:right w:val="none" w:sz="0" w:space="0" w:color="auto"/>
              </w:divBdr>
            </w:div>
            <w:div w:id="1917086111">
              <w:marLeft w:val="0"/>
              <w:marRight w:val="0"/>
              <w:marTop w:val="0"/>
              <w:marBottom w:val="0"/>
              <w:divBdr>
                <w:top w:val="none" w:sz="0" w:space="0" w:color="auto"/>
                <w:left w:val="none" w:sz="0" w:space="0" w:color="auto"/>
                <w:bottom w:val="none" w:sz="0" w:space="0" w:color="auto"/>
                <w:right w:val="none" w:sz="0" w:space="0" w:color="auto"/>
              </w:divBdr>
            </w:div>
            <w:div w:id="1970165963">
              <w:marLeft w:val="0"/>
              <w:marRight w:val="0"/>
              <w:marTop w:val="0"/>
              <w:marBottom w:val="0"/>
              <w:divBdr>
                <w:top w:val="none" w:sz="0" w:space="0" w:color="auto"/>
                <w:left w:val="none" w:sz="0" w:space="0" w:color="auto"/>
                <w:bottom w:val="none" w:sz="0" w:space="0" w:color="auto"/>
                <w:right w:val="none" w:sz="0" w:space="0" w:color="auto"/>
              </w:divBdr>
            </w:div>
            <w:div w:id="2109158084">
              <w:marLeft w:val="0"/>
              <w:marRight w:val="0"/>
              <w:marTop w:val="0"/>
              <w:marBottom w:val="0"/>
              <w:divBdr>
                <w:top w:val="none" w:sz="0" w:space="0" w:color="auto"/>
                <w:left w:val="none" w:sz="0" w:space="0" w:color="auto"/>
                <w:bottom w:val="none" w:sz="0" w:space="0" w:color="auto"/>
                <w:right w:val="none" w:sz="0" w:space="0" w:color="auto"/>
              </w:divBdr>
            </w:div>
          </w:divsChild>
        </w:div>
        <w:div w:id="1286352674">
          <w:marLeft w:val="0"/>
          <w:marRight w:val="0"/>
          <w:marTop w:val="0"/>
          <w:marBottom w:val="0"/>
          <w:divBdr>
            <w:top w:val="none" w:sz="0" w:space="0" w:color="auto"/>
            <w:left w:val="none" w:sz="0" w:space="0" w:color="auto"/>
            <w:bottom w:val="none" w:sz="0" w:space="0" w:color="auto"/>
            <w:right w:val="none" w:sz="0" w:space="0" w:color="auto"/>
          </w:divBdr>
        </w:div>
        <w:div w:id="1454786725">
          <w:marLeft w:val="0"/>
          <w:marRight w:val="0"/>
          <w:marTop w:val="0"/>
          <w:marBottom w:val="0"/>
          <w:divBdr>
            <w:top w:val="none" w:sz="0" w:space="0" w:color="auto"/>
            <w:left w:val="none" w:sz="0" w:space="0" w:color="auto"/>
            <w:bottom w:val="none" w:sz="0" w:space="0" w:color="auto"/>
            <w:right w:val="none" w:sz="0" w:space="0" w:color="auto"/>
          </w:divBdr>
          <w:divsChild>
            <w:div w:id="438834653">
              <w:marLeft w:val="-75"/>
              <w:marRight w:val="0"/>
              <w:marTop w:val="30"/>
              <w:marBottom w:val="30"/>
              <w:divBdr>
                <w:top w:val="none" w:sz="0" w:space="0" w:color="auto"/>
                <w:left w:val="none" w:sz="0" w:space="0" w:color="auto"/>
                <w:bottom w:val="none" w:sz="0" w:space="0" w:color="auto"/>
                <w:right w:val="none" w:sz="0" w:space="0" w:color="auto"/>
              </w:divBdr>
              <w:divsChild>
                <w:div w:id="21900937">
                  <w:marLeft w:val="0"/>
                  <w:marRight w:val="0"/>
                  <w:marTop w:val="0"/>
                  <w:marBottom w:val="0"/>
                  <w:divBdr>
                    <w:top w:val="none" w:sz="0" w:space="0" w:color="auto"/>
                    <w:left w:val="none" w:sz="0" w:space="0" w:color="auto"/>
                    <w:bottom w:val="none" w:sz="0" w:space="0" w:color="auto"/>
                    <w:right w:val="none" w:sz="0" w:space="0" w:color="auto"/>
                  </w:divBdr>
                  <w:divsChild>
                    <w:div w:id="600921287">
                      <w:marLeft w:val="0"/>
                      <w:marRight w:val="0"/>
                      <w:marTop w:val="0"/>
                      <w:marBottom w:val="0"/>
                      <w:divBdr>
                        <w:top w:val="none" w:sz="0" w:space="0" w:color="auto"/>
                        <w:left w:val="none" w:sz="0" w:space="0" w:color="auto"/>
                        <w:bottom w:val="none" w:sz="0" w:space="0" w:color="auto"/>
                        <w:right w:val="none" w:sz="0" w:space="0" w:color="auto"/>
                      </w:divBdr>
                    </w:div>
                  </w:divsChild>
                </w:div>
                <w:div w:id="59180229">
                  <w:marLeft w:val="0"/>
                  <w:marRight w:val="0"/>
                  <w:marTop w:val="0"/>
                  <w:marBottom w:val="0"/>
                  <w:divBdr>
                    <w:top w:val="none" w:sz="0" w:space="0" w:color="auto"/>
                    <w:left w:val="none" w:sz="0" w:space="0" w:color="auto"/>
                    <w:bottom w:val="none" w:sz="0" w:space="0" w:color="auto"/>
                    <w:right w:val="none" w:sz="0" w:space="0" w:color="auto"/>
                  </w:divBdr>
                  <w:divsChild>
                    <w:div w:id="520819813">
                      <w:marLeft w:val="0"/>
                      <w:marRight w:val="0"/>
                      <w:marTop w:val="0"/>
                      <w:marBottom w:val="0"/>
                      <w:divBdr>
                        <w:top w:val="none" w:sz="0" w:space="0" w:color="auto"/>
                        <w:left w:val="none" w:sz="0" w:space="0" w:color="auto"/>
                        <w:bottom w:val="none" w:sz="0" w:space="0" w:color="auto"/>
                        <w:right w:val="none" w:sz="0" w:space="0" w:color="auto"/>
                      </w:divBdr>
                    </w:div>
                  </w:divsChild>
                </w:div>
                <w:div w:id="127213512">
                  <w:marLeft w:val="0"/>
                  <w:marRight w:val="0"/>
                  <w:marTop w:val="0"/>
                  <w:marBottom w:val="0"/>
                  <w:divBdr>
                    <w:top w:val="none" w:sz="0" w:space="0" w:color="auto"/>
                    <w:left w:val="none" w:sz="0" w:space="0" w:color="auto"/>
                    <w:bottom w:val="none" w:sz="0" w:space="0" w:color="auto"/>
                    <w:right w:val="none" w:sz="0" w:space="0" w:color="auto"/>
                  </w:divBdr>
                  <w:divsChild>
                    <w:div w:id="2022125822">
                      <w:marLeft w:val="0"/>
                      <w:marRight w:val="0"/>
                      <w:marTop w:val="0"/>
                      <w:marBottom w:val="0"/>
                      <w:divBdr>
                        <w:top w:val="none" w:sz="0" w:space="0" w:color="auto"/>
                        <w:left w:val="none" w:sz="0" w:space="0" w:color="auto"/>
                        <w:bottom w:val="none" w:sz="0" w:space="0" w:color="auto"/>
                        <w:right w:val="none" w:sz="0" w:space="0" w:color="auto"/>
                      </w:divBdr>
                    </w:div>
                  </w:divsChild>
                </w:div>
                <w:div w:id="133107697">
                  <w:marLeft w:val="0"/>
                  <w:marRight w:val="0"/>
                  <w:marTop w:val="0"/>
                  <w:marBottom w:val="0"/>
                  <w:divBdr>
                    <w:top w:val="none" w:sz="0" w:space="0" w:color="auto"/>
                    <w:left w:val="none" w:sz="0" w:space="0" w:color="auto"/>
                    <w:bottom w:val="none" w:sz="0" w:space="0" w:color="auto"/>
                    <w:right w:val="none" w:sz="0" w:space="0" w:color="auto"/>
                  </w:divBdr>
                  <w:divsChild>
                    <w:div w:id="1132600335">
                      <w:marLeft w:val="0"/>
                      <w:marRight w:val="0"/>
                      <w:marTop w:val="0"/>
                      <w:marBottom w:val="0"/>
                      <w:divBdr>
                        <w:top w:val="none" w:sz="0" w:space="0" w:color="auto"/>
                        <w:left w:val="none" w:sz="0" w:space="0" w:color="auto"/>
                        <w:bottom w:val="none" w:sz="0" w:space="0" w:color="auto"/>
                        <w:right w:val="none" w:sz="0" w:space="0" w:color="auto"/>
                      </w:divBdr>
                    </w:div>
                  </w:divsChild>
                </w:div>
                <w:div w:id="157548655">
                  <w:marLeft w:val="0"/>
                  <w:marRight w:val="0"/>
                  <w:marTop w:val="0"/>
                  <w:marBottom w:val="0"/>
                  <w:divBdr>
                    <w:top w:val="none" w:sz="0" w:space="0" w:color="auto"/>
                    <w:left w:val="none" w:sz="0" w:space="0" w:color="auto"/>
                    <w:bottom w:val="none" w:sz="0" w:space="0" w:color="auto"/>
                    <w:right w:val="none" w:sz="0" w:space="0" w:color="auto"/>
                  </w:divBdr>
                  <w:divsChild>
                    <w:div w:id="239295378">
                      <w:marLeft w:val="0"/>
                      <w:marRight w:val="0"/>
                      <w:marTop w:val="0"/>
                      <w:marBottom w:val="0"/>
                      <w:divBdr>
                        <w:top w:val="none" w:sz="0" w:space="0" w:color="auto"/>
                        <w:left w:val="none" w:sz="0" w:space="0" w:color="auto"/>
                        <w:bottom w:val="none" w:sz="0" w:space="0" w:color="auto"/>
                        <w:right w:val="none" w:sz="0" w:space="0" w:color="auto"/>
                      </w:divBdr>
                    </w:div>
                  </w:divsChild>
                </w:div>
                <w:div w:id="169567632">
                  <w:marLeft w:val="0"/>
                  <w:marRight w:val="0"/>
                  <w:marTop w:val="0"/>
                  <w:marBottom w:val="0"/>
                  <w:divBdr>
                    <w:top w:val="none" w:sz="0" w:space="0" w:color="auto"/>
                    <w:left w:val="none" w:sz="0" w:space="0" w:color="auto"/>
                    <w:bottom w:val="none" w:sz="0" w:space="0" w:color="auto"/>
                    <w:right w:val="none" w:sz="0" w:space="0" w:color="auto"/>
                  </w:divBdr>
                  <w:divsChild>
                    <w:div w:id="438648703">
                      <w:marLeft w:val="0"/>
                      <w:marRight w:val="0"/>
                      <w:marTop w:val="0"/>
                      <w:marBottom w:val="0"/>
                      <w:divBdr>
                        <w:top w:val="none" w:sz="0" w:space="0" w:color="auto"/>
                        <w:left w:val="none" w:sz="0" w:space="0" w:color="auto"/>
                        <w:bottom w:val="none" w:sz="0" w:space="0" w:color="auto"/>
                        <w:right w:val="none" w:sz="0" w:space="0" w:color="auto"/>
                      </w:divBdr>
                    </w:div>
                  </w:divsChild>
                </w:div>
                <w:div w:id="224729566">
                  <w:marLeft w:val="0"/>
                  <w:marRight w:val="0"/>
                  <w:marTop w:val="0"/>
                  <w:marBottom w:val="0"/>
                  <w:divBdr>
                    <w:top w:val="none" w:sz="0" w:space="0" w:color="auto"/>
                    <w:left w:val="none" w:sz="0" w:space="0" w:color="auto"/>
                    <w:bottom w:val="none" w:sz="0" w:space="0" w:color="auto"/>
                    <w:right w:val="none" w:sz="0" w:space="0" w:color="auto"/>
                  </w:divBdr>
                  <w:divsChild>
                    <w:div w:id="1864047792">
                      <w:marLeft w:val="0"/>
                      <w:marRight w:val="0"/>
                      <w:marTop w:val="0"/>
                      <w:marBottom w:val="0"/>
                      <w:divBdr>
                        <w:top w:val="none" w:sz="0" w:space="0" w:color="auto"/>
                        <w:left w:val="none" w:sz="0" w:space="0" w:color="auto"/>
                        <w:bottom w:val="none" w:sz="0" w:space="0" w:color="auto"/>
                        <w:right w:val="none" w:sz="0" w:space="0" w:color="auto"/>
                      </w:divBdr>
                    </w:div>
                  </w:divsChild>
                </w:div>
                <w:div w:id="411464936">
                  <w:marLeft w:val="0"/>
                  <w:marRight w:val="0"/>
                  <w:marTop w:val="0"/>
                  <w:marBottom w:val="0"/>
                  <w:divBdr>
                    <w:top w:val="none" w:sz="0" w:space="0" w:color="auto"/>
                    <w:left w:val="none" w:sz="0" w:space="0" w:color="auto"/>
                    <w:bottom w:val="none" w:sz="0" w:space="0" w:color="auto"/>
                    <w:right w:val="none" w:sz="0" w:space="0" w:color="auto"/>
                  </w:divBdr>
                  <w:divsChild>
                    <w:div w:id="1872065311">
                      <w:marLeft w:val="0"/>
                      <w:marRight w:val="0"/>
                      <w:marTop w:val="0"/>
                      <w:marBottom w:val="0"/>
                      <w:divBdr>
                        <w:top w:val="none" w:sz="0" w:space="0" w:color="auto"/>
                        <w:left w:val="none" w:sz="0" w:space="0" w:color="auto"/>
                        <w:bottom w:val="none" w:sz="0" w:space="0" w:color="auto"/>
                        <w:right w:val="none" w:sz="0" w:space="0" w:color="auto"/>
                      </w:divBdr>
                    </w:div>
                  </w:divsChild>
                </w:div>
                <w:div w:id="530387418">
                  <w:marLeft w:val="0"/>
                  <w:marRight w:val="0"/>
                  <w:marTop w:val="0"/>
                  <w:marBottom w:val="0"/>
                  <w:divBdr>
                    <w:top w:val="none" w:sz="0" w:space="0" w:color="auto"/>
                    <w:left w:val="none" w:sz="0" w:space="0" w:color="auto"/>
                    <w:bottom w:val="none" w:sz="0" w:space="0" w:color="auto"/>
                    <w:right w:val="none" w:sz="0" w:space="0" w:color="auto"/>
                  </w:divBdr>
                  <w:divsChild>
                    <w:div w:id="599486503">
                      <w:marLeft w:val="0"/>
                      <w:marRight w:val="0"/>
                      <w:marTop w:val="0"/>
                      <w:marBottom w:val="0"/>
                      <w:divBdr>
                        <w:top w:val="none" w:sz="0" w:space="0" w:color="auto"/>
                        <w:left w:val="none" w:sz="0" w:space="0" w:color="auto"/>
                        <w:bottom w:val="none" w:sz="0" w:space="0" w:color="auto"/>
                        <w:right w:val="none" w:sz="0" w:space="0" w:color="auto"/>
                      </w:divBdr>
                    </w:div>
                  </w:divsChild>
                </w:div>
                <w:div w:id="620455130">
                  <w:marLeft w:val="0"/>
                  <w:marRight w:val="0"/>
                  <w:marTop w:val="0"/>
                  <w:marBottom w:val="0"/>
                  <w:divBdr>
                    <w:top w:val="none" w:sz="0" w:space="0" w:color="auto"/>
                    <w:left w:val="none" w:sz="0" w:space="0" w:color="auto"/>
                    <w:bottom w:val="none" w:sz="0" w:space="0" w:color="auto"/>
                    <w:right w:val="none" w:sz="0" w:space="0" w:color="auto"/>
                  </w:divBdr>
                  <w:divsChild>
                    <w:div w:id="658844993">
                      <w:marLeft w:val="0"/>
                      <w:marRight w:val="0"/>
                      <w:marTop w:val="0"/>
                      <w:marBottom w:val="0"/>
                      <w:divBdr>
                        <w:top w:val="none" w:sz="0" w:space="0" w:color="auto"/>
                        <w:left w:val="none" w:sz="0" w:space="0" w:color="auto"/>
                        <w:bottom w:val="none" w:sz="0" w:space="0" w:color="auto"/>
                        <w:right w:val="none" w:sz="0" w:space="0" w:color="auto"/>
                      </w:divBdr>
                    </w:div>
                  </w:divsChild>
                </w:div>
                <w:div w:id="717820553">
                  <w:marLeft w:val="0"/>
                  <w:marRight w:val="0"/>
                  <w:marTop w:val="0"/>
                  <w:marBottom w:val="0"/>
                  <w:divBdr>
                    <w:top w:val="none" w:sz="0" w:space="0" w:color="auto"/>
                    <w:left w:val="none" w:sz="0" w:space="0" w:color="auto"/>
                    <w:bottom w:val="none" w:sz="0" w:space="0" w:color="auto"/>
                    <w:right w:val="none" w:sz="0" w:space="0" w:color="auto"/>
                  </w:divBdr>
                  <w:divsChild>
                    <w:div w:id="1774668663">
                      <w:marLeft w:val="0"/>
                      <w:marRight w:val="0"/>
                      <w:marTop w:val="0"/>
                      <w:marBottom w:val="0"/>
                      <w:divBdr>
                        <w:top w:val="none" w:sz="0" w:space="0" w:color="auto"/>
                        <w:left w:val="none" w:sz="0" w:space="0" w:color="auto"/>
                        <w:bottom w:val="none" w:sz="0" w:space="0" w:color="auto"/>
                        <w:right w:val="none" w:sz="0" w:space="0" w:color="auto"/>
                      </w:divBdr>
                    </w:div>
                  </w:divsChild>
                </w:div>
                <w:div w:id="737439232">
                  <w:marLeft w:val="0"/>
                  <w:marRight w:val="0"/>
                  <w:marTop w:val="0"/>
                  <w:marBottom w:val="0"/>
                  <w:divBdr>
                    <w:top w:val="none" w:sz="0" w:space="0" w:color="auto"/>
                    <w:left w:val="none" w:sz="0" w:space="0" w:color="auto"/>
                    <w:bottom w:val="none" w:sz="0" w:space="0" w:color="auto"/>
                    <w:right w:val="none" w:sz="0" w:space="0" w:color="auto"/>
                  </w:divBdr>
                  <w:divsChild>
                    <w:div w:id="412632947">
                      <w:marLeft w:val="0"/>
                      <w:marRight w:val="0"/>
                      <w:marTop w:val="0"/>
                      <w:marBottom w:val="0"/>
                      <w:divBdr>
                        <w:top w:val="none" w:sz="0" w:space="0" w:color="auto"/>
                        <w:left w:val="none" w:sz="0" w:space="0" w:color="auto"/>
                        <w:bottom w:val="none" w:sz="0" w:space="0" w:color="auto"/>
                        <w:right w:val="none" w:sz="0" w:space="0" w:color="auto"/>
                      </w:divBdr>
                    </w:div>
                  </w:divsChild>
                </w:div>
                <w:div w:id="778452404">
                  <w:marLeft w:val="0"/>
                  <w:marRight w:val="0"/>
                  <w:marTop w:val="0"/>
                  <w:marBottom w:val="0"/>
                  <w:divBdr>
                    <w:top w:val="none" w:sz="0" w:space="0" w:color="auto"/>
                    <w:left w:val="none" w:sz="0" w:space="0" w:color="auto"/>
                    <w:bottom w:val="none" w:sz="0" w:space="0" w:color="auto"/>
                    <w:right w:val="none" w:sz="0" w:space="0" w:color="auto"/>
                  </w:divBdr>
                  <w:divsChild>
                    <w:div w:id="1632638405">
                      <w:marLeft w:val="0"/>
                      <w:marRight w:val="0"/>
                      <w:marTop w:val="0"/>
                      <w:marBottom w:val="0"/>
                      <w:divBdr>
                        <w:top w:val="none" w:sz="0" w:space="0" w:color="auto"/>
                        <w:left w:val="none" w:sz="0" w:space="0" w:color="auto"/>
                        <w:bottom w:val="none" w:sz="0" w:space="0" w:color="auto"/>
                        <w:right w:val="none" w:sz="0" w:space="0" w:color="auto"/>
                      </w:divBdr>
                    </w:div>
                  </w:divsChild>
                </w:div>
                <w:div w:id="943151737">
                  <w:marLeft w:val="0"/>
                  <w:marRight w:val="0"/>
                  <w:marTop w:val="0"/>
                  <w:marBottom w:val="0"/>
                  <w:divBdr>
                    <w:top w:val="none" w:sz="0" w:space="0" w:color="auto"/>
                    <w:left w:val="none" w:sz="0" w:space="0" w:color="auto"/>
                    <w:bottom w:val="none" w:sz="0" w:space="0" w:color="auto"/>
                    <w:right w:val="none" w:sz="0" w:space="0" w:color="auto"/>
                  </w:divBdr>
                  <w:divsChild>
                    <w:div w:id="282466467">
                      <w:marLeft w:val="0"/>
                      <w:marRight w:val="0"/>
                      <w:marTop w:val="0"/>
                      <w:marBottom w:val="0"/>
                      <w:divBdr>
                        <w:top w:val="none" w:sz="0" w:space="0" w:color="auto"/>
                        <w:left w:val="none" w:sz="0" w:space="0" w:color="auto"/>
                        <w:bottom w:val="none" w:sz="0" w:space="0" w:color="auto"/>
                        <w:right w:val="none" w:sz="0" w:space="0" w:color="auto"/>
                      </w:divBdr>
                    </w:div>
                  </w:divsChild>
                </w:div>
                <w:div w:id="993532362">
                  <w:marLeft w:val="0"/>
                  <w:marRight w:val="0"/>
                  <w:marTop w:val="0"/>
                  <w:marBottom w:val="0"/>
                  <w:divBdr>
                    <w:top w:val="none" w:sz="0" w:space="0" w:color="auto"/>
                    <w:left w:val="none" w:sz="0" w:space="0" w:color="auto"/>
                    <w:bottom w:val="none" w:sz="0" w:space="0" w:color="auto"/>
                    <w:right w:val="none" w:sz="0" w:space="0" w:color="auto"/>
                  </w:divBdr>
                  <w:divsChild>
                    <w:div w:id="1962489411">
                      <w:marLeft w:val="0"/>
                      <w:marRight w:val="0"/>
                      <w:marTop w:val="0"/>
                      <w:marBottom w:val="0"/>
                      <w:divBdr>
                        <w:top w:val="none" w:sz="0" w:space="0" w:color="auto"/>
                        <w:left w:val="none" w:sz="0" w:space="0" w:color="auto"/>
                        <w:bottom w:val="none" w:sz="0" w:space="0" w:color="auto"/>
                        <w:right w:val="none" w:sz="0" w:space="0" w:color="auto"/>
                      </w:divBdr>
                    </w:div>
                  </w:divsChild>
                </w:div>
                <w:div w:id="1032535952">
                  <w:marLeft w:val="0"/>
                  <w:marRight w:val="0"/>
                  <w:marTop w:val="0"/>
                  <w:marBottom w:val="0"/>
                  <w:divBdr>
                    <w:top w:val="none" w:sz="0" w:space="0" w:color="auto"/>
                    <w:left w:val="none" w:sz="0" w:space="0" w:color="auto"/>
                    <w:bottom w:val="none" w:sz="0" w:space="0" w:color="auto"/>
                    <w:right w:val="none" w:sz="0" w:space="0" w:color="auto"/>
                  </w:divBdr>
                  <w:divsChild>
                    <w:div w:id="2033795415">
                      <w:marLeft w:val="0"/>
                      <w:marRight w:val="0"/>
                      <w:marTop w:val="0"/>
                      <w:marBottom w:val="0"/>
                      <w:divBdr>
                        <w:top w:val="none" w:sz="0" w:space="0" w:color="auto"/>
                        <w:left w:val="none" w:sz="0" w:space="0" w:color="auto"/>
                        <w:bottom w:val="none" w:sz="0" w:space="0" w:color="auto"/>
                        <w:right w:val="none" w:sz="0" w:space="0" w:color="auto"/>
                      </w:divBdr>
                    </w:div>
                  </w:divsChild>
                </w:div>
                <w:div w:id="1129474781">
                  <w:marLeft w:val="0"/>
                  <w:marRight w:val="0"/>
                  <w:marTop w:val="0"/>
                  <w:marBottom w:val="0"/>
                  <w:divBdr>
                    <w:top w:val="none" w:sz="0" w:space="0" w:color="auto"/>
                    <w:left w:val="none" w:sz="0" w:space="0" w:color="auto"/>
                    <w:bottom w:val="none" w:sz="0" w:space="0" w:color="auto"/>
                    <w:right w:val="none" w:sz="0" w:space="0" w:color="auto"/>
                  </w:divBdr>
                  <w:divsChild>
                    <w:div w:id="1176384567">
                      <w:marLeft w:val="0"/>
                      <w:marRight w:val="0"/>
                      <w:marTop w:val="0"/>
                      <w:marBottom w:val="0"/>
                      <w:divBdr>
                        <w:top w:val="none" w:sz="0" w:space="0" w:color="auto"/>
                        <w:left w:val="none" w:sz="0" w:space="0" w:color="auto"/>
                        <w:bottom w:val="none" w:sz="0" w:space="0" w:color="auto"/>
                        <w:right w:val="none" w:sz="0" w:space="0" w:color="auto"/>
                      </w:divBdr>
                    </w:div>
                  </w:divsChild>
                </w:div>
                <w:div w:id="1146896983">
                  <w:marLeft w:val="0"/>
                  <w:marRight w:val="0"/>
                  <w:marTop w:val="0"/>
                  <w:marBottom w:val="0"/>
                  <w:divBdr>
                    <w:top w:val="none" w:sz="0" w:space="0" w:color="auto"/>
                    <w:left w:val="none" w:sz="0" w:space="0" w:color="auto"/>
                    <w:bottom w:val="none" w:sz="0" w:space="0" w:color="auto"/>
                    <w:right w:val="none" w:sz="0" w:space="0" w:color="auto"/>
                  </w:divBdr>
                  <w:divsChild>
                    <w:div w:id="1355495673">
                      <w:marLeft w:val="0"/>
                      <w:marRight w:val="0"/>
                      <w:marTop w:val="0"/>
                      <w:marBottom w:val="0"/>
                      <w:divBdr>
                        <w:top w:val="none" w:sz="0" w:space="0" w:color="auto"/>
                        <w:left w:val="none" w:sz="0" w:space="0" w:color="auto"/>
                        <w:bottom w:val="none" w:sz="0" w:space="0" w:color="auto"/>
                        <w:right w:val="none" w:sz="0" w:space="0" w:color="auto"/>
                      </w:divBdr>
                    </w:div>
                  </w:divsChild>
                </w:div>
                <w:div w:id="1321688439">
                  <w:marLeft w:val="0"/>
                  <w:marRight w:val="0"/>
                  <w:marTop w:val="0"/>
                  <w:marBottom w:val="0"/>
                  <w:divBdr>
                    <w:top w:val="none" w:sz="0" w:space="0" w:color="auto"/>
                    <w:left w:val="none" w:sz="0" w:space="0" w:color="auto"/>
                    <w:bottom w:val="none" w:sz="0" w:space="0" w:color="auto"/>
                    <w:right w:val="none" w:sz="0" w:space="0" w:color="auto"/>
                  </w:divBdr>
                  <w:divsChild>
                    <w:div w:id="133060236">
                      <w:marLeft w:val="0"/>
                      <w:marRight w:val="0"/>
                      <w:marTop w:val="0"/>
                      <w:marBottom w:val="0"/>
                      <w:divBdr>
                        <w:top w:val="none" w:sz="0" w:space="0" w:color="auto"/>
                        <w:left w:val="none" w:sz="0" w:space="0" w:color="auto"/>
                        <w:bottom w:val="none" w:sz="0" w:space="0" w:color="auto"/>
                        <w:right w:val="none" w:sz="0" w:space="0" w:color="auto"/>
                      </w:divBdr>
                    </w:div>
                  </w:divsChild>
                </w:div>
                <w:div w:id="1354259302">
                  <w:marLeft w:val="0"/>
                  <w:marRight w:val="0"/>
                  <w:marTop w:val="0"/>
                  <w:marBottom w:val="0"/>
                  <w:divBdr>
                    <w:top w:val="none" w:sz="0" w:space="0" w:color="auto"/>
                    <w:left w:val="none" w:sz="0" w:space="0" w:color="auto"/>
                    <w:bottom w:val="none" w:sz="0" w:space="0" w:color="auto"/>
                    <w:right w:val="none" w:sz="0" w:space="0" w:color="auto"/>
                  </w:divBdr>
                  <w:divsChild>
                    <w:div w:id="793404081">
                      <w:marLeft w:val="0"/>
                      <w:marRight w:val="0"/>
                      <w:marTop w:val="0"/>
                      <w:marBottom w:val="0"/>
                      <w:divBdr>
                        <w:top w:val="none" w:sz="0" w:space="0" w:color="auto"/>
                        <w:left w:val="none" w:sz="0" w:space="0" w:color="auto"/>
                        <w:bottom w:val="none" w:sz="0" w:space="0" w:color="auto"/>
                        <w:right w:val="none" w:sz="0" w:space="0" w:color="auto"/>
                      </w:divBdr>
                    </w:div>
                  </w:divsChild>
                </w:div>
                <w:div w:id="1387799070">
                  <w:marLeft w:val="0"/>
                  <w:marRight w:val="0"/>
                  <w:marTop w:val="0"/>
                  <w:marBottom w:val="0"/>
                  <w:divBdr>
                    <w:top w:val="none" w:sz="0" w:space="0" w:color="auto"/>
                    <w:left w:val="none" w:sz="0" w:space="0" w:color="auto"/>
                    <w:bottom w:val="none" w:sz="0" w:space="0" w:color="auto"/>
                    <w:right w:val="none" w:sz="0" w:space="0" w:color="auto"/>
                  </w:divBdr>
                  <w:divsChild>
                    <w:div w:id="1295912426">
                      <w:marLeft w:val="0"/>
                      <w:marRight w:val="0"/>
                      <w:marTop w:val="0"/>
                      <w:marBottom w:val="0"/>
                      <w:divBdr>
                        <w:top w:val="none" w:sz="0" w:space="0" w:color="auto"/>
                        <w:left w:val="none" w:sz="0" w:space="0" w:color="auto"/>
                        <w:bottom w:val="none" w:sz="0" w:space="0" w:color="auto"/>
                        <w:right w:val="none" w:sz="0" w:space="0" w:color="auto"/>
                      </w:divBdr>
                    </w:div>
                  </w:divsChild>
                </w:div>
                <w:div w:id="1459715574">
                  <w:marLeft w:val="0"/>
                  <w:marRight w:val="0"/>
                  <w:marTop w:val="0"/>
                  <w:marBottom w:val="0"/>
                  <w:divBdr>
                    <w:top w:val="none" w:sz="0" w:space="0" w:color="auto"/>
                    <w:left w:val="none" w:sz="0" w:space="0" w:color="auto"/>
                    <w:bottom w:val="none" w:sz="0" w:space="0" w:color="auto"/>
                    <w:right w:val="none" w:sz="0" w:space="0" w:color="auto"/>
                  </w:divBdr>
                  <w:divsChild>
                    <w:div w:id="1519932127">
                      <w:marLeft w:val="0"/>
                      <w:marRight w:val="0"/>
                      <w:marTop w:val="0"/>
                      <w:marBottom w:val="0"/>
                      <w:divBdr>
                        <w:top w:val="none" w:sz="0" w:space="0" w:color="auto"/>
                        <w:left w:val="none" w:sz="0" w:space="0" w:color="auto"/>
                        <w:bottom w:val="none" w:sz="0" w:space="0" w:color="auto"/>
                        <w:right w:val="none" w:sz="0" w:space="0" w:color="auto"/>
                      </w:divBdr>
                    </w:div>
                  </w:divsChild>
                </w:div>
                <w:div w:id="1465006729">
                  <w:marLeft w:val="0"/>
                  <w:marRight w:val="0"/>
                  <w:marTop w:val="0"/>
                  <w:marBottom w:val="0"/>
                  <w:divBdr>
                    <w:top w:val="none" w:sz="0" w:space="0" w:color="auto"/>
                    <w:left w:val="none" w:sz="0" w:space="0" w:color="auto"/>
                    <w:bottom w:val="none" w:sz="0" w:space="0" w:color="auto"/>
                    <w:right w:val="none" w:sz="0" w:space="0" w:color="auto"/>
                  </w:divBdr>
                  <w:divsChild>
                    <w:div w:id="199779934">
                      <w:marLeft w:val="0"/>
                      <w:marRight w:val="0"/>
                      <w:marTop w:val="0"/>
                      <w:marBottom w:val="0"/>
                      <w:divBdr>
                        <w:top w:val="none" w:sz="0" w:space="0" w:color="auto"/>
                        <w:left w:val="none" w:sz="0" w:space="0" w:color="auto"/>
                        <w:bottom w:val="none" w:sz="0" w:space="0" w:color="auto"/>
                        <w:right w:val="none" w:sz="0" w:space="0" w:color="auto"/>
                      </w:divBdr>
                    </w:div>
                  </w:divsChild>
                </w:div>
                <w:div w:id="1511604004">
                  <w:marLeft w:val="0"/>
                  <w:marRight w:val="0"/>
                  <w:marTop w:val="0"/>
                  <w:marBottom w:val="0"/>
                  <w:divBdr>
                    <w:top w:val="none" w:sz="0" w:space="0" w:color="auto"/>
                    <w:left w:val="none" w:sz="0" w:space="0" w:color="auto"/>
                    <w:bottom w:val="none" w:sz="0" w:space="0" w:color="auto"/>
                    <w:right w:val="none" w:sz="0" w:space="0" w:color="auto"/>
                  </w:divBdr>
                  <w:divsChild>
                    <w:div w:id="1599099865">
                      <w:marLeft w:val="0"/>
                      <w:marRight w:val="0"/>
                      <w:marTop w:val="0"/>
                      <w:marBottom w:val="0"/>
                      <w:divBdr>
                        <w:top w:val="none" w:sz="0" w:space="0" w:color="auto"/>
                        <w:left w:val="none" w:sz="0" w:space="0" w:color="auto"/>
                        <w:bottom w:val="none" w:sz="0" w:space="0" w:color="auto"/>
                        <w:right w:val="none" w:sz="0" w:space="0" w:color="auto"/>
                      </w:divBdr>
                    </w:div>
                  </w:divsChild>
                </w:div>
                <w:div w:id="1555505959">
                  <w:marLeft w:val="0"/>
                  <w:marRight w:val="0"/>
                  <w:marTop w:val="0"/>
                  <w:marBottom w:val="0"/>
                  <w:divBdr>
                    <w:top w:val="none" w:sz="0" w:space="0" w:color="auto"/>
                    <w:left w:val="none" w:sz="0" w:space="0" w:color="auto"/>
                    <w:bottom w:val="none" w:sz="0" w:space="0" w:color="auto"/>
                    <w:right w:val="none" w:sz="0" w:space="0" w:color="auto"/>
                  </w:divBdr>
                  <w:divsChild>
                    <w:div w:id="1799451058">
                      <w:marLeft w:val="0"/>
                      <w:marRight w:val="0"/>
                      <w:marTop w:val="0"/>
                      <w:marBottom w:val="0"/>
                      <w:divBdr>
                        <w:top w:val="none" w:sz="0" w:space="0" w:color="auto"/>
                        <w:left w:val="none" w:sz="0" w:space="0" w:color="auto"/>
                        <w:bottom w:val="none" w:sz="0" w:space="0" w:color="auto"/>
                        <w:right w:val="none" w:sz="0" w:space="0" w:color="auto"/>
                      </w:divBdr>
                    </w:div>
                  </w:divsChild>
                </w:div>
                <w:div w:id="1667128968">
                  <w:marLeft w:val="0"/>
                  <w:marRight w:val="0"/>
                  <w:marTop w:val="0"/>
                  <w:marBottom w:val="0"/>
                  <w:divBdr>
                    <w:top w:val="none" w:sz="0" w:space="0" w:color="auto"/>
                    <w:left w:val="none" w:sz="0" w:space="0" w:color="auto"/>
                    <w:bottom w:val="none" w:sz="0" w:space="0" w:color="auto"/>
                    <w:right w:val="none" w:sz="0" w:space="0" w:color="auto"/>
                  </w:divBdr>
                  <w:divsChild>
                    <w:div w:id="1677340411">
                      <w:marLeft w:val="0"/>
                      <w:marRight w:val="0"/>
                      <w:marTop w:val="0"/>
                      <w:marBottom w:val="0"/>
                      <w:divBdr>
                        <w:top w:val="none" w:sz="0" w:space="0" w:color="auto"/>
                        <w:left w:val="none" w:sz="0" w:space="0" w:color="auto"/>
                        <w:bottom w:val="none" w:sz="0" w:space="0" w:color="auto"/>
                        <w:right w:val="none" w:sz="0" w:space="0" w:color="auto"/>
                      </w:divBdr>
                    </w:div>
                  </w:divsChild>
                </w:div>
                <w:div w:id="1689403814">
                  <w:marLeft w:val="0"/>
                  <w:marRight w:val="0"/>
                  <w:marTop w:val="0"/>
                  <w:marBottom w:val="0"/>
                  <w:divBdr>
                    <w:top w:val="none" w:sz="0" w:space="0" w:color="auto"/>
                    <w:left w:val="none" w:sz="0" w:space="0" w:color="auto"/>
                    <w:bottom w:val="none" w:sz="0" w:space="0" w:color="auto"/>
                    <w:right w:val="none" w:sz="0" w:space="0" w:color="auto"/>
                  </w:divBdr>
                  <w:divsChild>
                    <w:div w:id="348332774">
                      <w:marLeft w:val="0"/>
                      <w:marRight w:val="0"/>
                      <w:marTop w:val="0"/>
                      <w:marBottom w:val="0"/>
                      <w:divBdr>
                        <w:top w:val="none" w:sz="0" w:space="0" w:color="auto"/>
                        <w:left w:val="none" w:sz="0" w:space="0" w:color="auto"/>
                        <w:bottom w:val="none" w:sz="0" w:space="0" w:color="auto"/>
                        <w:right w:val="none" w:sz="0" w:space="0" w:color="auto"/>
                      </w:divBdr>
                    </w:div>
                  </w:divsChild>
                </w:div>
                <w:div w:id="1701931236">
                  <w:marLeft w:val="0"/>
                  <w:marRight w:val="0"/>
                  <w:marTop w:val="0"/>
                  <w:marBottom w:val="0"/>
                  <w:divBdr>
                    <w:top w:val="none" w:sz="0" w:space="0" w:color="auto"/>
                    <w:left w:val="none" w:sz="0" w:space="0" w:color="auto"/>
                    <w:bottom w:val="none" w:sz="0" w:space="0" w:color="auto"/>
                    <w:right w:val="none" w:sz="0" w:space="0" w:color="auto"/>
                  </w:divBdr>
                  <w:divsChild>
                    <w:div w:id="1896624147">
                      <w:marLeft w:val="0"/>
                      <w:marRight w:val="0"/>
                      <w:marTop w:val="0"/>
                      <w:marBottom w:val="0"/>
                      <w:divBdr>
                        <w:top w:val="none" w:sz="0" w:space="0" w:color="auto"/>
                        <w:left w:val="none" w:sz="0" w:space="0" w:color="auto"/>
                        <w:bottom w:val="none" w:sz="0" w:space="0" w:color="auto"/>
                        <w:right w:val="none" w:sz="0" w:space="0" w:color="auto"/>
                      </w:divBdr>
                    </w:div>
                  </w:divsChild>
                </w:div>
                <w:div w:id="1783110390">
                  <w:marLeft w:val="0"/>
                  <w:marRight w:val="0"/>
                  <w:marTop w:val="0"/>
                  <w:marBottom w:val="0"/>
                  <w:divBdr>
                    <w:top w:val="none" w:sz="0" w:space="0" w:color="auto"/>
                    <w:left w:val="none" w:sz="0" w:space="0" w:color="auto"/>
                    <w:bottom w:val="none" w:sz="0" w:space="0" w:color="auto"/>
                    <w:right w:val="none" w:sz="0" w:space="0" w:color="auto"/>
                  </w:divBdr>
                  <w:divsChild>
                    <w:div w:id="1772428776">
                      <w:marLeft w:val="0"/>
                      <w:marRight w:val="0"/>
                      <w:marTop w:val="0"/>
                      <w:marBottom w:val="0"/>
                      <w:divBdr>
                        <w:top w:val="none" w:sz="0" w:space="0" w:color="auto"/>
                        <w:left w:val="none" w:sz="0" w:space="0" w:color="auto"/>
                        <w:bottom w:val="none" w:sz="0" w:space="0" w:color="auto"/>
                        <w:right w:val="none" w:sz="0" w:space="0" w:color="auto"/>
                      </w:divBdr>
                    </w:div>
                  </w:divsChild>
                </w:div>
                <w:div w:id="1821925676">
                  <w:marLeft w:val="0"/>
                  <w:marRight w:val="0"/>
                  <w:marTop w:val="0"/>
                  <w:marBottom w:val="0"/>
                  <w:divBdr>
                    <w:top w:val="none" w:sz="0" w:space="0" w:color="auto"/>
                    <w:left w:val="none" w:sz="0" w:space="0" w:color="auto"/>
                    <w:bottom w:val="none" w:sz="0" w:space="0" w:color="auto"/>
                    <w:right w:val="none" w:sz="0" w:space="0" w:color="auto"/>
                  </w:divBdr>
                  <w:divsChild>
                    <w:div w:id="666514502">
                      <w:marLeft w:val="0"/>
                      <w:marRight w:val="0"/>
                      <w:marTop w:val="0"/>
                      <w:marBottom w:val="0"/>
                      <w:divBdr>
                        <w:top w:val="none" w:sz="0" w:space="0" w:color="auto"/>
                        <w:left w:val="none" w:sz="0" w:space="0" w:color="auto"/>
                        <w:bottom w:val="none" w:sz="0" w:space="0" w:color="auto"/>
                        <w:right w:val="none" w:sz="0" w:space="0" w:color="auto"/>
                      </w:divBdr>
                    </w:div>
                  </w:divsChild>
                </w:div>
                <w:div w:id="1897155311">
                  <w:marLeft w:val="0"/>
                  <w:marRight w:val="0"/>
                  <w:marTop w:val="0"/>
                  <w:marBottom w:val="0"/>
                  <w:divBdr>
                    <w:top w:val="none" w:sz="0" w:space="0" w:color="auto"/>
                    <w:left w:val="none" w:sz="0" w:space="0" w:color="auto"/>
                    <w:bottom w:val="none" w:sz="0" w:space="0" w:color="auto"/>
                    <w:right w:val="none" w:sz="0" w:space="0" w:color="auto"/>
                  </w:divBdr>
                  <w:divsChild>
                    <w:div w:id="1410351615">
                      <w:marLeft w:val="0"/>
                      <w:marRight w:val="0"/>
                      <w:marTop w:val="0"/>
                      <w:marBottom w:val="0"/>
                      <w:divBdr>
                        <w:top w:val="none" w:sz="0" w:space="0" w:color="auto"/>
                        <w:left w:val="none" w:sz="0" w:space="0" w:color="auto"/>
                        <w:bottom w:val="none" w:sz="0" w:space="0" w:color="auto"/>
                        <w:right w:val="none" w:sz="0" w:space="0" w:color="auto"/>
                      </w:divBdr>
                    </w:div>
                  </w:divsChild>
                </w:div>
                <w:div w:id="1965428447">
                  <w:marLeft w:val="0"/>
                  <w:marRight w:val="0"/>
                  <w:marTop w:val="0"/>
                  <w:marBottom w:val="0"/>
                  <w:divBdr>
                    <w:top w:val="none" w:sz="0" w:space="0" w:color="auto"/>
                    <w:left w:val="none" w:sz="0" w:space="0" w:color="auto"/>
                    <w:bottom w:val="none" w:sz="0" w:space="0" w:color="auto"/>
                    <w:right w:val="none" w:sz="0" w:space="0" w:color="auto"/>
                  </w:divBdr>
                  <w:divsChild>
                    <w:div w:id="1588074914">
                      <w:marLeft w:val="0"/>
                      <w:marRight w:val="0"/>
                      <w:marTop w:val="0"/>
                      <w:marBottom w:val="0"/>
                      <w:divBdr>
                        <w:top w:val="none" w:sz="0" w:space="0" w:color="auto"/>
                        <w:left w:val="none" w:sz="0" w:space="0" w:color="auto"/>
                        <w:bottom w:val="none" w:sz="0" w:space="0" w:color="auto"/>
                        <w:right w:val="none" w:sz="0" w:space="0" w:color="auto"/>
                      </w:divBdr>
                    </w:div>
                  </w:divsChild>
                </w:div>
                <w:div w:id="2010716065">
                  <w:marLeft w:val="0"/>
                  <w:marRight w:val="0"/>
                  <w:marTop w:val="0"/>
                  <w:marBottom w:val="0"/>
                  <w:divBdr>
                    <w:top w:val="none" w:sz="0" w:space="0" w:color="auto"/>
                    <w:left w:val="none" w:sz="0" w:space="0" w:color="auto"/>
                    <w:bottom w:val="none" w:sz="0" w:space="0" w:color="auto"/>
                    <w:right w:val="none" w:sz="0" w:space="0" w:color="auto"/>
                  </w:divBdr>
                  <w:divsChild>
                    <w:div w:id="653989529">
                      <w:marLeft w:val="0"/>
                      <w:marRight w:val="0"/>
                      <w:marTop w:val="0"/>
                      <w:marBottom w:val="0"/>
                      <w:divBdr>
                        <w:top w:val="none" w:sz="0" w:space="0" w:color="auto"/>
                        <w:left w:val="none" w:sz="0" w:space="0" w:color="auto"/>
                        <w:bottom w:val="none" w:sz="0" w:space="0" w:color="auto"/>
                        <w:right w:val="none" w:sz="0" w:space="0" w:color="auto"/>
                      </w:divBdr>
                    </w:div>
                  </w:divsChild>
                </w:div>
                <w:div w:id="2039969716">
                  <w:marLeft w:val="0"/>
                  <w:marRight w:val="0"/>
                  <w:marTop w:val="0"/>
                  <w:marBottom w:val="0"/>
                  <w:divBdr>
                    <w:top w:val="none" w:sz="0" w:space="0" w:color="auto"/>
                    <w:left w:val="none" w:sz="0" w:space="0" w:color="auto"/>
                    <w:bottom w:val="none" w:sz="0" w:space="0" w:color="auto"/>
                    <w:right w:val="none" w:sz="0" w:space="0" w:color="auto"/>
                  </w:divBdr>
                  <w:divsChild>
                    <w:div w:id="83578228">
                      <w:marLeft w:val="0"/>
                      <w:marRight w:val="0"/>
                      <w:marTop w:val="0"/>
                      <w:marBottom w:val="0"/>
                      <w:divBdr>
                        <w:top w:val="none" w:sz="0" w:space="0" w:color="auto"/>
                        <w:left w:val="none" w:sz="0" w:space="0" w:color="auto"/>
                        <w:bottom w:val="none" w:sz="0" w:space="0" w:color="auto"/>
                        <w:right w:val="none" w:sz="0" w:space="0" w:color="auto"/>
                      </w:divBdr>
                    </w:div>
                  </w:divsChild>
                </w:div>
                <w:div w:id="2048334575">
                  <w:marLeft w:val="0"/>
                  <w:marRight w:val="0"/>
                  <w:marTop w:val="0"/>
                  <w:marBottom w:val="0"/>
                  <w:divBdr>
                    <w:top w:val="none" w:sz="0" w:space="0" w:color="auto"/>
                    <w:left w:val="none" w:sz="0" w:space="0" w:color="auto"/>
                    <w:bottom w:val="none" w:sz="0" w:space="0" w:color="auto"/>
                    <w:right w:val="none" w:sz="0" w:space="0" w:color="auto"/>
                  </w:divBdr>
                  <w:divsChild>
                    <w:div w:id="311914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646142">
          <w:marLeft w:val="0"/>
          <w:marRight w:val="0"/>
          <w:marTop w:val="0"/>
          <w:marBottom w:val="0"/>
          <w:divBdr>
            <w:top w:val="none" w:sz="0" w:space="0" w:color="auto"/>
            <w:left w:val="none" w:sz="0" w:space="0" w:color="auto"/>
            <w:bottom w:val="none" w:sz="0" w:space="0" w:color="auto"/>
            <w:right w:val="none" w:sz="0" w:space="0" w:color="auto"/>
          </w:divBdr>
          <w:divsChild>
            <w:div w:id="203175742">
              <w:marLeft w:val="0"/>
              <w:marRight w:val="0"/>
              <w:marTop w:val="0"/>
              <w:marBottom w:val="0"/>
              <w:divBdr>
                <w:top w:val="none" w:sz="0" w:space="0" w:color="auto"/>
                <w:left w:val="none" w:sz="0" w:space="0" w:color="auto"/>
                <w:bottom w:val="none" w:sz="0" w:space="0" w:color="auto"/>
                <w:right w:val="none" w:sz="0" w:space="0" w:color="auto"/>
              </w:divBdr>
            </w:div>
            <w:div w:id="282733890">
              <w:marLeft w:val="0"/>
              <w:marRight w:val="0"/>
              <w:marTop w:val="0"/>
              <w:marBottom w:val="0"/>
              <w:divBdr>
                <w:top w:val="none" w:sz="0" w:space="0" w:color="auto"/>
                <w:left w:val="none" w:sz="0" w:space="0" w:color="auto"/>
                <w:bottom w:val="none" w:sz="0" w:space="0" w:color="auto"/>
                <w:right w:val="none" w:sz="0" w:space="0" w:color="auto"/>
              </w:divBdr>
            </w:div>
            <w:div w:id="908425553">
              <w:marLeft w:val="0"/>
              <w:marRight w:val="0"/>
              <w:marTop w:val="0"/>
              <w:marBottom w:val="0"/>
              <w:divBdr>
                <w:top w:val="none" w:sz="0" w:space="0" w:color="auto"/>
                <w:left w:val="none" w:sz="0" w:space="0" w:color="auto"/>
                <w:bottom w:val="none" w:sz="0" w:space="0" w:color="auto"/>
                <w:right w:val="none" w:sz="0" w:space="0" w:color="auto"/>
              </w:divBdr>
            </w:div>
            <w:div w:id="1060863665">
              <w:marLeft w:val="0"/>
              <w:marRight w:val="0"/>
              <w:marTop w:val="0"/>
              <w:marBottom w:val="0"/>
              <w:divBdr>
                <w:top w:val="none" w:sz="0" w:space="0" w:color="auto"/>
                <w:left w:val="none" w:sz="0" w:space="0" w:color="auto"/>
                <w:bottom w:val="none" w:sz="0" w:space="0" w:color="auto"/>
                <w:right w:val="none" w:sz="0" w:space="0" w:color="auto"/>
              </w:divBdr>
            </w:div>
            <w:div w:id="1156646519">
              <w:marLeft w:val="0"/>
              <w:marRight w:val="0"/>
              <w:marTop w:val="0"/>
              <w:marBottom w:val="0"/>
              <w:divBdr>
                <w:top w:val="none" w:sz="0" w:space="0" w:color="auto"/>
                <w:left w:val="none" w:sz="0" w:space="0" w:color="auto"/>
                <w:bottom w:val="none" w:sz="0" w:space="0" w:color="auto"/>
                <w:right w:val="none" w:sz="0" w:space="0" w:color="auto"/>
              </w:divBdr>
            </w:div>
            <w:div w:id="1189174981">
              <w:marLeft w:val="0"/>
              <w:marRight w:val="0"/>
              <w:marTop w:val="0"/>
              <w:marBottom w:val="0"/>
              <w:divBdr>
                <w:top w:val="none" w:sz="0" w:space="0" w:color="auto"/>
                <w:left w:val="none" w:sz="0" w:space="0" w:color="auto"/>
                <w:bottom w:val="none" w:sz="0" w:space="0" w:color="auto"/>
                <w:right w:val="none" w:sz="0" w:space="0" w:color="auto"/>
              </w:divBdr>
            </w:div>
            <w:div w:id="1380284741">
              <w:marLeft w:val="0"/>
              <w:marRight w:val="0"/>
              <w:marTop w:val="0"/>
              <w:marBottom w:val="0"/>
              <w:divBdr>
                <w:top w:val="none" w:sz="0" w:space="0" w:color="auto"/>
                <w:left w:val="none" w:sz="0" w:space="0" w:color="auto"/>
                <w:bottom w:val="none" w:sz="0" w:space="0" w:color="auto"/>
                <w:right w:val="none" w:sz="0" w:space="0" w:color="auto"/>
              </w:divBdr>
            </w:div>
            <w:div w:id="1419015500">
              <w:marLeft w:val="0"/>
              <w:marRight w:val="0"/>
              <w:marTop w:val="0"/>
              <w:marBottom w:val="0"/>
              <w:divBdr>
                <w:top w:val="none" w:sz="0" w:space="0" w:color="auto"/>
                <w:left w:val="none" w:sz="0" w:space="0" w:color="auto"/>
                <w:bottom w:val="none" w:sz="0" w:space="0" w:color="auto"/>
                <w:right w:val="none" w:sz="0" w:space="0" w:color="auto"/>
              </w:divBdr>
            </w:div>
            <w:div w:id="1700201151">
              <w:marLeft w:val="0"/>
              <w:marRight w:val="0"/>
              <w:marTop w:val="0"/>
              <w:marBottom w:val="0"/>
              <w:divBdr>
                <w:top w:val="none" w:sz="0" w:space="0" w:color="auto"/>
                <w:left w:val="none" w:sz="0" w:space="0" w:color="auto"/>
                <w:bottom w:val="none" w:sz="0" w:space="0" w:color="auto"/>
                <w:right w:val="none" w:sz="0" w:space="0" w:color="auto"/>
              </w:divBdr>
            </w:div>
            <w:div w:id="1850752110">
              <w:marLeft w:val="0"/>
              <w:marRight w:val="0"/>
              <w:marTop w:val="0"/>
              <w:marBottom w:val="0"/>
              <w:divBdr>
                <w:top w:val="none" w:sz="0" w:space="0" w:color="auto"/>
                <w:left w:val="none" w:sz="0" w:space="0" w:color="auto"/>
                <w:bottom w:val="none" w:sz="0" w:space="0" w:color="auto"/>
                <w:right w:val="none" w:sz="0" w:space="0" w:color="auto"/>
              </w:divBdr>
            </w:div>
            <w:div w:id="1964532128">
              <w:marLeft w:val="0"/>
              <w:marRight w:val="0"/>
              <w:marTop w:val="0"/>
              <w:marBottom w:val="0"/>
              <w:divBdr>
                <w:top w:val="none" w:sz="0" w:space="0" w:color="auto"/>
                <w:left w:val="none" w:sz="0" w:space="0" w:color="auto"/>
                <w:bottom w:val="none" w:sz="0" w:space="0" w:color="auto"/>
                <w:right w:val="none" w:sz="0" w:space="0" w:color="auto"/>
              </w:divBdr>
            </w:div>
          </w:divsChild>
        </w:div>
        <w:div w:id="1918127968">
          <w:marLeft w:val="0"/>
          <w:marRight w:val="0"/>
          <w:marTop w:val="0"/>
          <w:marBottom w:val="0"/>
          <w:divBdr>
            <w:top w:val="none" w:sz="0" w:space="0" w:color="auto"/>
            <w:left w:val="none" w:sz="0" w:space="0" w:color="auto"/>
            <w:bottom w:val="none" w:sz="0" w:space="0" w:color="auto"/>
            <w:right w:val="none" w:sz="0" w:space="0" w:color="auto"/>
          </w:divBdr>
        </w:div>
      </w:divsChild>
    </w:div>
    <w:div w:id="846217862">
      <w:bodyDiv w:val="1"/>
      <w:marLeft w:val="0"/>
      <w:marRight w:val="0"/>
      <w:marTop w:val="0"/>
      <w:marBottom w:val="0"/>
      <w:divBdr>
        <w:top w:val="none" w:sz="0" w:space="0" w:color="auto"/>
        <w:left w:val="none" w:sz="0" w:space="0" w:color="auto"/>
        <w:bottom w:val="none" w:sz="0" w:space="0" w:color="auto"/>
        <w:right w:val="none" w:sz="0" w:space="0" w:color="auto"/>
      </w:divBdr>
      <w:divsChild>
        <w:div w:id="728265031">
          <w:marLeft w:val="0"/>
          <w:marRight w:val="0"/>
          <w:marTop w:val="0"/>
          <w:marBottom w:val="0"/>
          <w:divBdr>
            <w:top w:val="none" w:sz="0" w:space="0" w:color="auto"/>
            <w:left w:val="none" w:sz="0" w:space="0" w:color="auto"/>
            <w:bottom w:val="none" w:sz="0" w:space="0" w:color="auto"/>
            <w:right w:val="none" w:sz="0" w:space="0" w:color="auto"/>
          </w:divBdr>
        </w:div>
        <w:div w:id="1042746457">
          <w:marLeft w:val="0"/>
          <w:marRight w:val="0"/>
          <w:marTop w:val="0"/>
          <w:marBottom w:val="0"/>
          <w:divBdr>
            <w:top w:val="none" w:sz="0" w:space="0" w:color="auto"/>
            <w:left w:val="none" w:sz="0" w:space="0" w:color="auto"/>
            <w:bottom w:val="none" w:sz="0" w:space="0" w:color="auto"/>
            <w:right w:val="none" w:sz="0" w:space="0" w:color="auto"/>
          </w:divBdr>
        </w:div>
        <w:div w:id="1565410197">
          <w:marLeft w:val="0"/>
          <w:marRight w:val="0"/>
          <w:marTop w:val="0"/>
          <w:marBottom w:val="0"/>
          <w:divBdr>
            <w:top w:val="none" w:sz="0" w:space="0" w:color="auto"/>
            <w:left w:val="none" w:sz="0" w:space="0" w:color="auto"/>
            <w:bottom w:val="none" w:sz="0" w:space="0" w:color="auto"/>
            <w:right w:val="none" w:sz="0" w:space="0" w:color="auto"/>
          </w:divBdr>
        </w:div>
      </w:divsChild>
    </w:div>
    <w:div w:id="868185620">
      <w:bodyDiv w:val="1"/>
      <w:marLeft w:val="0"/>
      <w:marRight w:val="0"/>
      <w:marTop w:val="0"/>
      <w:marBottom w:val="0"/>
      <w:divBdr>
        <w:top w:val="none" w:sz="0" w:space="0" w:color="auto"/>
        <w:left w:val="none" w:sz="0" w:space="0" w:color="auto"/>
        <w:bottom w:val="none" w:sz="0" w:space="0" w:color="auto"/>
        <w:right w:val="none" w:sz="0" w:space="0" w:color="auto"/>
      </w:divBdr>
      <w:divsChild>
        <w:div w:id="1774010157">
          <w:marLeft w:val="0"/>
          <w:marRight w:val="0"/>
          <w:marTop w:val="0"/>
          <w:marBottom w:val="0"/>
          <w:divBdr>
            <w:top w:val="none" w:sz="0" w:space="0" w:color="auto"/>
            <w:left w:val="none" w:sz="0" w:space="0" w:color="auto"/>
            <w:bottom w:val="none" w:sz="0" w:space="0" w:color="auto"/>
            <w:right w:val="none" w:sz="0" w:space="0" w:color="auto"/>
          </w:divBdr>
          <w:divsChild>
            <w:div w:id="1284774396">
              <w:marLeft w:val="0"/>
              <w:marRight w:val="0"/>
              <w:marTop w:val="0"/>
              <w:marBottom w:val="0"/>
              <w:divBdr>
                <w:top w:val="none" w:sz="0" w:space="0" w:color="auto"/>
                <w:left w:val="none" w:sz="0" w:space="0" w:color="auto"/>
                <w:bottom w:val="none" w:sz="0" w:space="0" w:color="auto"/>
                <w:right w:val="none" w:sz="0" w:space="0" w:color="auto"/>
              </w:divBdr>
              <w:divsChild>
                <w:div w:id="74560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745330">
      <w:bodyDiv w:val="1"/>
      <w:marLeft w:val="0"/>
      <w:marRight w:val="0"/>
      <w:marTop w:val="0"/>
      <w:marBottom w:val="0"/>
      <w:divBdr>
        <w:top w:val="none" w:sz="0" w:space="0" w:color="auto"/>
        <w:left w:val="none" w:sz="0" w:space="0" w:color="auto"/>
        <w:bottom w:val="none" w:sz="0" w:space="0" w:color="auto"/>
        <w:right w:val="none" w:sz="0" w:space="0" w:color="auto"/>
      </w:divBdr>
      <w:divsChild>
        <w:div w:id="279072615">
          <w:marLeft w:val="0"/>
          <w:marRight w:val="0"/>
          <w:marTop w:val="0"/>
          <w:marBottom w:val="0"/>
          <w:divBdr>
            <w:top w:val="none" w:sz="0" w:space="0" w:color="auto"/>
            <w:left w:val="none" w:sz="0" w:space="0" w:color="auto"/>
            <w:bottom w:val="none" w:sz="0" w:space="0" w:color="auto"/>
            <w:right w:val="none" w:sz="0" w:space="0" w:color="auto"/>
          </w:divBdr>
        </w:div>
        <w:div w:id="891648887">
          <w:marLeft w:val="0"/>
          <w:marRight w:val="0"/>
          <w:marTop w:val="0"/>
          <w:marBottom w:val="0"/>
          <w:divBdr>
            <w:top w:val="none" w:sz="0" w:space="0" w:color="auto"/>
            <w:left w:val="none" w:sz="0" w:space="0" w:color="auto"/>
            <w:bottom w:val="none" w:sz="0" w:space="0" w:color="auto"/>
            <w:right w:val="none" w:sz="0" w:space="0" w:color="auto"/>
          </w:divBdr>
        </w:div>
        <w:div w:id="1356349338">
          <w:marLeft w:val="0"/>
          <w:marRight w:val="0"/>
          <w:marTop w:val="0"/>
          <w:marBottom w:val="0"/>
          <w:divBdr>
            <w:top w:val="none" w:sz="0" w:space="0" w:color="auto"/>
            <w:left w:val="none" w:sz="0" w:space="0" w:color="auto"/>
            <w:bottom w:val="none" w:sz="0" w:space="0" w:color="auto"/>
            <w:right w:val="none" w:sz="0" w:space="0" w:color="auto"/>
          </w:divBdr>
        </w:div>
      </w:divsChild>
    </w:div>
    <w:div w:id="972175032">
      <w:bodyDiv w:val="1"/>
      <w:marLeft w:val="0"/>
      <w:marRight w:val="0"/>
      <w:marTop w:val="0"/>
      <w:marBottom w:val="0"/>
      <w:divBdr>
        <w:top w:val="none" w:sz="0" w:space="0" w:color="auto"/>
        <w:left w:val="none" w:sz="0" w:space="0" w:color="auto"/>
        <w:bottom w:val="none" w:sz="0" w:space="0" w:color="auto"/>
        <w:right w:val="none" w:sz="0" w:space="0" w:color="auto"/>
      </w:divBdr>
    </w:div>
    <w:div w:id="1041713375">
      <w:bodyDiv w:val="1"/>
      <w:marLeft w:val="0"/>
      <w:marRight w:val="0"/>
      <w:marTop w:val="0"/>
      <w:marBottom w:val="0"/>
      <w:divBdr>
        <w:top w:val="none" w:sz="0" w:space="0" w:color="auto"/>
        <w:left w:val="none" w:sz="0" w:space="0" w:color="auto"/>
        <w:bottom w:val="none" w:sz="0" w:space="0" w:color="auto"/>
        <w:right w:val="none" w:sz="0" w:space="0" w:color="auto"/>
      </w:divBdr>
      <w:divsChild>
        <w:div w:id="237449214">
          <w:marLeft w:val="0"/>
          <w:marRight w:val="0"/>
          <w:marTop w:val="0"/>
          <w:marBottom w:val="0"/>
          <w:divBdr>
            <w:top w:val="none" w:sz="0" w:space="0" w:color="auto"/>
            <w:left w:val="none" w:sz="0" w:space="0" w:color="auto"/>
            <w:bottom w:val="none" w:sz="0" w:space="0" w:color="auto"/>
            <w:right w:val="none" w:sz="0" w:space="0" w:color="auto"/>
          </w:divBdr>
          <w:divsChild>
            <w:div w:id="339938492">
              <w:marLeft w:val="0"/>
              <w:marRight w:val="0"/>
              <w:marTop w:val="0"/>
              <w:marBottom w:val="0"/>
              <w:divBdr>
                <w:top w:val="none" w:sz="0" w:space="0" w:color="auto"/>
                <w:left w:val="none" w:sz="0" w:space="0" w:color="auto"/>
                <w:bottom w:val="none" w:sz="0" w:space="0" w:color="auto"/>
                <w:right w:val="none" w:sz="0" w:space="0" w:color="auto"/>
              </w:divBdr>
            </w:div>
            <w:div w:id="823811252">
              <w:marLeft w:val="0"/>
              <w:marRight w:val="0"/>
              <w:marTop w:val="0"/>
              <w:marBottom w:val="0"/>
              <w:divBdr>
                <w:top w:val="none" w:sz="0" w:space="0" w:color="auto"/>
                <w:left w:val="none" w:sz="0" w:space="0" w:color="auto"/>
                <w:bottom w:val="none" w:sz="0" w:space="0" w:color="auto"/>
                <w:right w:val="none" w:sz="0" w:space="0" w:color="auto"/>
              </w:divBdr>
            </w:div>
          </w:divsChild>
        </w:div>
        <w:div w:id="1825705781">
          <w:marLeft w:val="0"/>
          <w:marRight w:val="0"/>
          <w:marTop w:val="0"/>
          <w:marBottom w:val="0"/>
          <w:divBdr>
            <w:top w:val="none" w:sz="0" w:space="0" w:color="auto"/>
            <w:left w:val="none" w:sz="0" w:space="0" w:color="auto"/>
            <w:bottom w:val="none" w:sz="0" w:space="0" w:color="auto"/>
            <w:right w:val="none" w:sz="0" w:space="0" w:color="auto"/>
          </w:divBdr>
          <w:divsChild>
            <w:div w:id="1783763726">
              <w:marLeft w:val="0"/>
              <w:marRight w:val="0"/>
              <w:marTop w:val="0"/>
              <w:marBottom w:val="0"/>
              <w:divBdr>
                <w:top w:val="none" w:sz="0" w:space="0" w:color="auto"/>
                <w:left w:val="none" w:sz="0" w:space="0" w:color="auto"/>
                <w:bottom w:val="none" w:sz="0" w:space="0" w:color="auto"/>
                <w:right w:val="none" w:sz="0" w:space="0" w:color="auto"/>
              </w:divBdr>
            </w:div>
            <w:div w:id="214014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982559">
      <w:bodyDiv w:val="1"/>
      <w:marLeft w:val="0"/>
      <w:marRight w:val="0"/>
      <w:marTop w:val="0"/>
      <w:marBottom w:val="0"/>
      <w:divBdr>
        <w:top w:val="none" w:sz="0" w:space="0" w:color="auto"/>
        <w:left w:val="none" w:sz="0" w:space="0" w:color="auto"/>
        <w:bottom w:val="none" w:sz="0" w:space="0" w:color="auto"/>
        <w:right w:val="none" w:sz="0" w:space="0" w:color="auto"/>
      </w:divBdr>
    </w:div>
    <w:div w:id="1054278828">
      <w:bodyDiv w:val="1"/>
      <w:marLeft w:val="0"/>
      <w:marRight w:val="0"/>
      <w:marTop w:val="0"/>
      <w:marBottom w:val="0"/>
      <w:divBdr>
        <w:top w:val="none" w:sz="0" w:space="0" w:color="auto"/>
        <w:left w:val="none" w:sz="0" w:space="0" w:color="auto"/>
        <w:bottom w:val="none" w:sz="0" w:space="0" w:color="auto"/>
        <w:right w:val="none" w:sz="0" w:space="0" w:color="auto"/>
      </w:divBdr>
    </w:div>
    <w:div w:id="1108042060">
      <w:bodyDiv w:val="1"/>
      <w:marLeft w:val="0"/>
      <w:marRight w:val="0"/>
      <w:marTop w:val="0"/>
      <w:marBottom w:val="0"/>
      <w:divBdr>
        <w:top w:val="none" w:sz="0" w:space="0" w:color="auto"/>
        <w:left w:val="none" w:sz="0" w:space="0" w:color="auto"/>
        <w:bottom w:val="none" w:sz="0" w:space="0" w:color="auto"/>
        <w:right w:val="none" w:sz="0" w:space="0" w:color="auto"/>
      </w:divBdr>
    </w:div>
    <w:div w:id="1111897374">
      <w:bodyDiv w:val="1"/>
      <w:marLeft w:val="0"/>
      <w:marRight w:val="0"/>
      <w:marTop w:val="0"/>
      <w:marBottom w:val="0"/>
      <w:divBdr>
        <w:top w:val="none" w:sz="0" w:space="0" w:color="auto"/>
        <w:left w:val="none" w:sz="0" w:space="0" w:color="auto"/>
        <w:bottom w:val="none" w:sz="0" w:space="0" w:color="auto"/>
        <w:right w:val="none" w:sz="0" w:space="0" w:color="auto"/>
      </w:divBdr>
    </w:div>
    <w:div w:id="1118378969">
      <w:bodyDiv w:val="1"/>
      <w:marLeft w:val="0"/>
      <w:marRight w:val="0"/>
      <w:marTop w:val="0"/>
      <w:marBottom w:val="0"/>
      <w:divBdr>
        <w:top w:val="none" w:sz="0" w:space="0" w:color="auto"/>
        <w:left w:val="none" w:sz="0" w:space="0" w:color="auto"/>
        <w:bottom w:val="none" w:sz="0" w:space="0" w:color="auto"/>
        <w:right w:val="none" w:sz="0" w:space="0" w:color="auto"/>
      </w:divBdr>
    </w:div>
    <w:div w:id="1126043471">
      <w:bodyDiv w:val="1"/>
      <w:marLeft w:val="0"/>
      <w:marRight w:val="0"/>
      <w:marTop w:val="0"/>
      <w:marBottom w:val="0"/>
      <w:divBdr>
        <w:top w:val="none" w:sz="0" w:space="0" w:color="auto"/>
        <w:left w:val="none" w:sz="0" w:space="0" w:color="auto"/>
        <w:bottom w:val="none" w:sz="0" w:space="0" w:color="auto"/>
        <w:right w:val="none" w:sz="0" w:space="0" w:color="auto"/>
      </w:divBdr>
    </w:div>
    <w:div w:id="1132945346">
      <w:bodyDiv w:val="1"/>
      <w:marLeft w:val="0"/>
      <w:marRight w:val="0"/>
      <w:marTop w:val="0"/>
      <w:marBottom w:val="0"/>
      <w:divBdr>
        <w:top w:val="none" w:sz="0" w:space="0" w:color="auto"/>
        <w:left w:val="none" w:sz="0" w:space="0" w:color="auto"/>
        <w:bottom w:val="none" w:sz="0" w:space="0" w:color="auto"/>
        <w:right w:val="none" w:sz="0" w:space="0" w:color="auto"/>
      </w:divBdr>
      <w:divsChild>
        <w:div w:id="1290555460">
          <w:marLeft w:val="0"/>
          <w:marRight w:val="0"/>
          <w:marTop w:val="0"/>
          <w:marBottom w:val="0"/>
          <w:divBdr>
            <w:top w:val="none" w:sz="0" w:space="0" w:color="auto"/>
            <w:left w:val="none" w:sz="0" w:space="0" w:color="auto"/>
            <w:bottom w:val="none" w:sz="0" w:space="0" w:color="auto"/>
            <w:right w:val="none" w:sz="0" w:space="0" w:color="auto"/>
          </w:divBdr>
        </w:div>
        <w:div w:id="1497916699">
          <w:marLeft w:val="0"/>
          <w:marRight w:val="0"/>
          <w:marTop w:val="0"/>
          <w:marBottom w:val="0"/>
          <w:divBdr>
            <w:top w:val="none" w:sz="0" w:space="0" w:color="auto"/>
            <w:left w:val="none" w:sz="0" w:space="0" w:color="auto"/>
            <w:bottom w:val="none" w:sz="0" w:space="0" w:color="auto"/>
            <w:right w:val="none" w:sz="0" w:space="0" w:color="auto"/>
          </w:divBdr>
        </w:div>
        <w:div w:id="1787894644">
          <w:marLeft w:val="0"/>
          <w:marRight w:val="0"/>
          <w:marTop w:val="0"/>
          <w:marBottom w:val="0"/>
          <w:divBdr>
            <w:top w:val="none" w:sz="0" w:space="0" w:color="auto"/>
            <w:left w:val="none" w:sz="0" w:space="0" w:color="auto"/>
            <w:bottom w:val="none" w:sz="0" w:space="0" w:color="auto"/>
            <w:right w:val="none" w:sz="0" w:space="0" w:color="auto"/>
          </w:divBdr>
        </w:div>
      </w:divsChild>
    </w:div>
    <w:div w:id="1165778356">
      <w:bodyDiv w:val="1"/>
      <w:marLeft w:val="0"/>
      <w:marRight w:val="0"/>
      <w:marTop w:val="0"/>
      <w:marBottom w:val="0"/>
      <w:divBdr>
        <w:top w:val="none" w:sz="0" w:space="0" w:color="auto"/>
        <w:left w:val="none" w:sz="0" w:space="0" w:color="auto"/>
        <w:bottom w:val="none" w:sz="0" w:space="0" w:color="auto"/>
        <w:right w:val="none" w:sz="0" w:space="0" w:color="auto"/>
      </w:divBdr>
    </w:div>
    <w:div w:id="1167747571">
      <w:bodyDiv w:val="1"/>
      <w:marLeft w:val="0"/>
      <w:marRight w:val="0"/>
      <w:marTop w:val="0"/>
      <w:marBottom w:val="0"/>
      <w:divBdr>
        <w:top w:val="none" w:sz="0" w:space="0" w:color="auto"/>
        <w:left w:val="none" w:sz="0" w:space="0" w:color="auto"/>
        <w:bottom w:val="none" w:sz="0" w:space="0" w:color="auto"/>
        <w:right w:val="none" w:sz="0" w:space="0" w:color="auto"/>
      </w:divBdr>
      <w:divsChild>
        <w:div w:id="397632521">
          <w:marLeft w:val="0"/>
          <w:marRight w:val="0"/>
          <w:marTop w:val="0"/>
          <w:marBottom w:val="0"/>
          <w:divBdr>
            <w:top w:val="none" w:sz="0" w:space="0" w:color="auto"/>
            <w:left w:val="none" w:sz="0" w:space="0" w:color="auto"/>
            <w:bottom w:val="none" w:sz="0" w:space="0" w:color="auto"/>
            <w:right w:val="none" w:sz="0" w:space="0" w:color="auto"/>
          </w:divBdr>
        </w:div>
        <w:div w:id="421072585">
          <w:marLeft w:val="0"/>
          <w:marRight w:val="0"/>
          <w:marTop w:val="0"/>
          <w:marBottom w:val="0"/>
          <w:divBdr>
            <w:top w:val="none" w:sz="0" w:space="0" w:color="auto"/>
            <w:left w:val="none" w:sz="0" w:space="0" w:color="auto"/>
            <w:bottom w:val="none" w:sz="0" w:space="0" w:color="auto"/>
            <w:right w:val="none" w:sz="0" w:space="0" w:color="auto"/>
          </w:divBdr>
        </w:div>
        <w:div w:id="666056238">
          <w:marLeft w:val="0"/>
          <w:marRight w:val="0"/>
          <w:marTop w:val="0"/>
          <w:marBottom w:val="0"/>
          <w:divBdr>
            <w:top w:val="none" w:sz="0" w:space="0" w:color="auto"/>
            <w:left w:val="none" w:sz="0" w:space="0" w:color="auto"/>
            <w:bottom w:val="none" w:sz="0" w:space="0" w:color="auto"/>
            <w:right w:val="none" w:sz="0" w:space="0" w:color="auto"/>
          </w:divBdr>
        </w:div>
        <w:div w:id="716509085">
          <w:marLeft w:val="0"/>
          <w:marRight w:val="0"/>
          <w:marTop w:val="0"/>
          <w:marBottom w:val="0"/>
          <w:divBdr>
            <w:top w:val="none" w:sz="0" w:space="0" w:color="auto"/>
            <w:left w:val="none" w:sz="0" w:space="0" w:color="auto"/>
            <w:bottom w:val="none" w:sz="0" w:space="0" w:color="auto"/>
            <w:right w:val="none" w:sz="0" w:space="0" w:color="auto"/>
          </w:divBdr>
        </w:div>
        <w:div w:id="842167451">
          <w:marLeft w:val="0"/>
          <w:marRight w:val="0"/>
          <w:marTop w:val="0"/>
          <w:marBottom w:val="0"/>
          <w:divBdr>
            <w:top w:val="none" w:sz="0" w:space="0" w:color="auto"/>
            <w:left w:val="none" w:sz="0" w:space="0" w:color="auto"/>
            <w:bottom w:val="none" w:sz="0" w:space="0" w:color="auto"/>
            <w:right w:val="none" w:sz="0" w:space="0" w:color="auto"/>
          </w:divBdr>
        </w:div>
        <w:div w:id="1669669805">
          <w:marLeft w:val="0"/>
          <w:marRight w:val="0"/>
          <w:marTop w:val="0"/>
          <w:marBottom w:val="0"/>
          <w:divBdr>
            <w:top w:val="none" w:sz="0" w:space="0" w:color="auto"/>
            <w:left w:val="none" w:sz="0" w:space="0" w:color="auto"/>
            <w:bottom w:val="none" w:sz="0" w:space="0" w:color="auto"/>
            <w:right w:val="none" w:sz="0" w:space="0" w:color="auto"/>
          </w:divBdr>
        </w:div>
      </w:divsChild>
    </w:div>
    <w:div w:id="1200051216">
      <w:bodyDiv w:val="1"/>
      <w:marLeft w:val="0"/>
      <w:marRight w:val="0"/>
      <w:marTop w:val="0"/>
      <w:marBottom w:val="0"/>
      <w:divBdr>
        <w:top w:val="none" w:sz="0" w:space="0" w:color="auto"/>
        <w:left w:val="none" w:sz="0" w:space="0" w:color="auto"/>
        <w:bottom w:val="none" w:sz="0" w:space="0" w:color="auto"/>
        <w:right w:val="none" w:sz="0" w:space="0" w:color="auto"/>
      </w:divBdr>
    </w:div>
    <w:div w:id="1261645335">
      <w:bodyDiv w:val="1"/>
      <w:marLeft w:val="0"/>
      <w:marRight w:val="0"/>
      <w:marTop w:val="0"/>
      <w:marBottom w:val="0"/>
      <w:divBdr>
        <w:top w:val="none" w:sz="0" w:space="0" w:color="auto"/>
        <w:left w:val="none" w:sz="0" w:space="0" w:color="auto"/>
        <w:bottom w:val="none" w:sz="0" w:space="0" w:color="auto"/>
        <w:right w:val="none" w:sz="0" w:space="0" w:color="auto"/>
      </w:divBdr>
    </w:div>
    <w:div w:id="1271624611">
      <w:bodyDiv w:val="1"/>
      <w:marLeft w:val="0"/>
      <w:marRight w:val="0"/>
      <w:marTop w:val="0"/>
      <w:marBottom w:val="0"/>
      <w:divBdr>
        <w:top w:val="none" w:sz="0" w:space="0" w:color="auto"/>
        <w:left w:val="none" w:sz="0" w:space="0" w:color="auto"/>
        <w:bottom w:val="none" w:sz="0" w:space="0" w:color="auto"/>
        <w:right w:val="none" w:sz="0" w:space="0" w:color="auto"/>
      </w:divBdr>
      <w:divsChild>
        <w:div w:id="1774202356">
          <w:marLeft w:val="0"/>
          <w:marRight w:val="0"/>
          <w:marTop w:val="0"/>
          <w:marBottom w:val="0"/>
          <w:divBdr>
            <w:top w:val="none" w:sz="0" w:space="0" w:color="auto"/>
            <w:left w:val="none" w:sz="0" w:space="0" w:color="auto"/>
            <w:bottom w:val="none" w:sz="0" w:space="0" w:color="auto"/>
            <w:right w:val="none" w:sz="0" w:space="0" w:color="auto"/>
          </w:divBdr>
        </w:div>
        <w:div w:id="2029403122">
          <w:marLeft w:val="0"/>
          <w:marRight w:val="0"/>
          <w:marTop w:val="0"/>
          <w:marBottom w:val="0"/>
          <w:divBdr>
            <w:top w:val="none" w:sz="0" w:space="0" w:color="auto"/>
            <w:left w:val="none" w:sz="0" w:space="0" w:color="auto"/>
            <w:bottom w:val="none" w:sz="0" w:space="0" w:color="auto"/>
            <w:right w:val="none" w:sz="0" w:space="0" w:color="auto"/>
          </w:divBdr>
        </w:div>
      </w:divsChild>
    </w:div>
    <w:div w:id="1274366380">
      <w:bodyDiv w:val="1"/>
      <w:marLeft w:val="0"/>
      <w:marRight w:val="0"/>
      <w:marTop w:val="0"/>
      <w:marBottom w:val="0"/>
      <w:divBdr>
        <w:top w:val="none" w:sz="0" w:space="0" w:color="auto"/>
        <w:left w:val="none" w:sz="0" w:space="0" w:color="auto"/>
        <w:bottom w:val="none" w:sz="0" w:space="0" w:color="auto"/>
        <w:right w:val="none" w:sz="0" w:space="0" w:color="auto"/>
      </w:divBdr>
    </w:div>
    <w:div w:id="1307273082">
      <w:bodyDiv w:val="1"/>
      <w:marLeft w:val="0"/>
      <w:marRight w:val="0"/>
      <w:marTop w:val="0"/>
      <w:marBottom w:val="0"/>
      <w:divBdr>
        <w:top w:val="none" w:sz="0" w:space="0" w:color="auto"/>
        <w:left w:val="none" w:sz="0" w:space="0" w:color="auto"/>
        <w:bottom w:val="none" w:sz="0" w:space="0" w:color="auto"/>
        <w:right w:val="none" w:sz="0" w:space="0" w:color="auto"/>
      </w:divBdr>
    </w:div>
    <w:div w:id="1311444503">
      <w:bodyDiv w:val="1"/>
      <w:marLeft w:val="0"/>
      <w:marRight w:val="0"/>
      <w:marTop w:val="0"/>
      <w:marBottom w:val="0"/>
      <w:divBdr>
        <w:top w:val="none" w:sz="0" w:space="0" w:color="auto"/>
        <w:left w:val="none" w:sz="0" w:space="0" w:color="auto"/>
        <w:bottom w:val="none" w:sz="0" w:space="0" w:color="auto"/>
        <w:right w:val="none" w:sz="0" w:space="0" w:color="auto"/>
      </w:divBdr>
    </w:div>
    <w:div w:id="1351494061">
      <w:bodyDiv w:val="1"/>
      <w:marLeft w:val="0"/>
      <w:marRight w:val="0"/>
      <w:marTop w:val="0"/>
      <w:marBottom w:val="0"/>
      <w:divBdr>
        <w:top w:val="none" w:sz="0" w:space="0" w:color="auto"/>
        <w:left w:val="none" w:sz="0" w:space="0" w:color="auto"/>
        <w:bottom w:val="none" w:sz="0" w:space="0" w:color="auto"/>
        <w:right w:val="none" w:sz="0" w:space="0" w:color="auto"/>
      </w:divBdr>
      <w:divsChild>
        <w:div w:id="51395917">
          <w:marLeft w:val="0"/>
          <w:marRight w:val="0"/>
          <w:marTop w:val="0"/>
          <w:marBottom w:val="0"/>
          <w:divBdr>
            <w:top w:val="none" w:sz="0" w:space="0" w:color="auto"/>
            <w:left w:val="none" w:sz="0" w:space="0" w:color="auto"/>
            <w:bottom w:val="none" w:sz="0" w:space="0" w:color="auto"/>
            <w:right w:val="none" w:sz="0" w:space="0" w:color="auto"/>
          </w:divBdr>
        </w:div>
        <w:div w:id="455755749">
          <w:marLeft w:val="0"/>
          <w:marRight w:val="0"/>
          <w:marTop w:val="0"/>
          <w:marBottom w:val="0"/>
          <w:divBdr>
            <w:top w:val="none" w:sz="0" w:space="0" w:color="auto"/>
            <w:left w:val="none" w:sz="0" w:space="0" w:color="auto"/>
            <w:bottom w:val="none" w:sz="0" w:space="0" w:color="auto"/>
            <w:right w:val="none" w:sz="0" w:space="0" w:color="auto"/>
          </w:divBdr>
        </w:div>
        <w:div w:id="1106848031">
          <w:marLeft w:val="0"/>
          <w:marRight w:val="0"/>
          <w:marTop w:val="0"/>
          <w:marBottom w:val="0"/>
          <w:divBdr>
            <w:top w:val="none" w:sz="0" w:space="0" w:color="auto"/>
            <w:left w:val="none" w:sz="0" w:space="0" w:color="auto"/>
            <w:bottom w:val="none" w:sz="0" w:space="0" w:color="auto"/>
            <w:right w:val="none" w:sz="0" w:space="0" w:color="auto"/>
          </w:divBdr>
        </w:div>
        <w:div w:id="1111783632">
          <w:marLeft w:val="0"/>
          <w:marRight w:val="0"/>
          <w:marTop w:val="0"/>
          <w:marBottom w:val="0"/>
          <w:divBdr>
            <w:top w:val="none" w:sz="0" w:space="0" w:color="auto"/>
            <w:left w:val="none" w:sz="0" w:space="0" w:color="auto"/>
            <w:bottom w:val="none" w:sz="0" w:space="0" w:color="auto"/>
            <w:right w:val="none" w:sz="0" w:space="0" w:color="auto"/>
          </w:divBdr>
        </w:div>
        <w:div w:id="1608736101">
          <w:marLeft w:val="0"/>
          <w:marRight w:val="0"/>
          <w:marTop w:val="0"/>
          <w:marBottom w:val="0"/>
          <w:divBdr>
            <w:top w:val="none" w:sz="0" w:space="0" w:color="auto"/>
            <w:left w:val="none" w:sz="0" w:space="0" w:color="auto"/>
            <w:bottom w:val="none" w:sz="0" w:space="0" w:color="auto"/>
            <w:right w:val="none" w:sz="0" w:space="0" w:color="auto"/>
          </w:divBdr>
        </w:div>
        <w:div w:id="1685863787">
          <w:marLeft w:val="0"/>
          <w:marRight w:val="0"/>
          <w:marTop w:val="0"/>
          <w:marBottom w:val="0"/>
          <w:divBdr>
            <w:top w:val="none" w:sz="0" w:space="0" w:color="auto"/>
            <w:left w:val="none" w:sz="0" w:space="0" w:color="auto"/>
            <w:bottom w:val="none" w:sz="0" w:space="0" w:color="auto"/>
            <w:right w:val="none" w:sz="0" w:space="0" w:color="auto"/>
          </w:divBdr>
        </w:div>
        <w:div w:id="2026127447">
          <w:marLeft w:val="0"/>
          <w:marRight w:val="0"/>
          <w:marTop w:val="0"/>
          <w:marBottom w:val="0"/>
          <w:divBdr>
            <w:top w:val="none" w:sz="0" w:space="0" w:color="auto"/>
            <w:left w:val="none" w:sz="0" w:space="0" w:color="auto"/>
            <w:bottom w:val="none" w:sz="0" w:space="0" w:color="auto"/>
            <w:right w:val="none" w:sz="0" w:space="0" w:color="auto"/>
          </w:divBdr>
        </w:div>
      </w:divsChild>
    </w:div>
    <w:div w:id="1400323626">
      <w:bodyDiv w:val="1"/>
      <w:marLeft w:val="0"/>
      <w:marRight w:val="0"/>
      <w:marTop w:val="0"/>
      <w:marBottom w:val="0"/>
      <w:divBdr>
        <w:top w:val="none" w:sz="0" w:space="0" w:color="auto"/>
        <w:left w:val="none" w:sz="0" w:space="0" w:color="auto"/>
        <w:bottom w:val="none" w:sz="0" w:space="0" w:color="auto"/>
        <w:right w:val="none" w:sz="0" w:space="0" w:color="auto"/>
      </w:divBdr>
      <w:divsChild>
        <w:div w:id="558827099">
          <w:marLeft w:val="0"/>
          <w:marRight w:val="0"/>
          <w:marTop w:val="0"/>
          <w:marBottom w:val="0"/>
          <w:divBdr>
            <w:top w:val="none" w:sz="0" w:space="0" w:color="auto"/>
            <w:left w:val="none" w:sz="0" w:space="0" w:color="auto"/>
            <w:bottom w:val="none" w:sz="0" w:space="0" w:color="auto"/>
            <w:right w:val="none" w:sz="0" w:space="0" w:color="auto"/>
          </w:divBdr>
        </w:div>
        <w:div w:id="601109753">
          <w:marLeft w:val="0"/>
          <w:marRight w:val="0"/>
          <w:marTop w:val="0"/>
          <w:marBottom w:val="0"/>
          <w:divBdr>
            <w:top w:val="none" w:sz="0" w:space="0" w:color="auto"/>
            <w:left w:val="none" w:sz="0" w:space="0" w:color="auto"/>
            <w:bottom w:val="none" w:sz="0" w:space="0" w:color="auto"/>
            <w:right w:val="none" w:sz="0" w:space="0" w:color="auto"/>
          </w:divBdr>
          <w:divsChild>
            <w:div w:id="603653171">
              <w:marLeft w:val="0"/>
              <w:marRight w:val="0"/>
              <w:marTop w:val="0"/>
              <w:marBottom w:val="0"/>
              <w:divBdr>
                <w:top w:val="none" w:sz="0" w:space="0" w:color="auto"/>
                <w:left w:val="none" w:sz="0" w:space="0" w:color="auto"/>
                <w:bottom w:val="none" w:sz="0" w:space="0" w:color="auto"/>
                <w:right w:val="none" w:sz="0" w:space="0" w:color="auto"/>
              </w:divBdr>
            </w:div>
            <w:div w:id="997155227">
              <w:marLeft w:val="0"/>
              <w:marRight w:val="0"/>
              <w:marTop w:val="0"/>
              <w:marBottom w:val="0"/>
              <w:divBdr>
                <w:top w:val="none" w:sz="0" w:space="0" w:color="auto"/>
                <w:left w:val="none" w:sz="0" w:space="0" w:color="auto"/>
                <w:bottom w:val="none" w:sz="0" w:space="0" w:color="auto"/>
                <w:right w:val="none" w:sz="0" w:space="0" w:color="auto"/>
              </w:divBdr>
            </w:div>
            <w:div w:id="1080635686">
              <w:marLeft w:val="0"/>
              <w:marRight w:val="0"/>
              <w:marTop w:val="0"/>
              <w:marBottom w:val="0"/>
              <w:divBdr>
                <w:top w:val="none" w:sz="0" w:space="0" w:color="auto"/>
                <w:left w:val="none" w:sz="0" w:space="0" w:color="auto"/>
                <w:bottom w:val="none" w:sz="0" w:space="0" w:color="auto"/>
                <w:right w:val="none" w:sz="0" w:space="0" w:color="auto"/>
              </w:divBdr>
            </w:div>
          </w:divsChild>
        </w:div>
        <w:div w:id="686096860">
          <w:marLeft w:val="0"/>
          <w:marRight w:val="0"/>
          <w:marTop w:val="0"/>
          <w:marBottom w:val="0"/>
          <w:divBdr>
            <w:top w:val="none" w:sz="0" w:space="0" w:color="auto"/>
            <w:left w:val="none" w:sz="0" w:space="0" w:color="auto"/>
            <w:bottom w:val="none" w:sz="0" w:space="0" w:color="auto"/>
            <w:right w:val="none" w:sz="0" w:space="0" w:color="auto"/>
          </w:divBdr>
          <w:divsChild>
            <w:div w:id="100926535">
              <w:marLeft w:val="-75"/>
              <w:marRight w:val="0"/>
              <w:marTop w:val="30"/>
              <w:marBottom w:val="30"/>
              <w:divBdr>
                <w:top w:val="none" w:sz="0" w:space="0" w:color="auto"/>
                <w:left w:val="none" w:sz="0" w:space="0" w:color="auto"/>
                <w:bottom w:val="none" w:sz="0" w:space="0" w:color="auto"/>
                <w:right w:val="none" w:sz="0" w:space="0" w:color="auto"/>
              </w:divBdr>
              <w:divsChild>
                <w:div w:id="281302019">
                  <w:marLeft w:val="0"/>
                  <w:marRight w:val="0"/>
                  <w:marTop w:val="0"/>
                  <w:marBottom w:val="0"/>
                  <w:divBdr>
                    <w:top w:val="none" w:sz="0" w:space="0" w:color="auto"/>
                    <w:left w:val="none" w:sz="0" w:space="0" w:color="auto"/>
                    <w:bottom w:val="none" w:sz="0" w:space="0" w:color="auto"/>
                    <w:right w:val="none" w:sz="0" w:space="0" w:color="auto"/>
                  </w:divBdr>
                  <w:divsChild>
                    <w:div w:id="1542594980">
                      <w:marLeft w:val="0"/>
                      <w:marRight w:val="0"/>
                      <w:marTop w:val="0"/>
                      <w:marBottom w:val="0"/>
                      <w:divBdr>
                        <w:top w:val="none" w:sz="0" w:space="0" w:color="auto"/>
                        <w:left w:val="none" w:sz="0" w:space="0" w:color="auto"/>
                        <w:bottom w:val="none" w:sz="0" w:space="0" w:color="auto"/>
                        <w:right w:val="none" w:sz="0" w:space="0" w:color="auto"/>
                      </w:divBdr>
                    </w:div>
                  </w:divsChild>
                </w:div>
                <w:div w:id="358630395">
                  <w:marLeft w:val="0"/>
                  <w:marRight w:val="0"/>
                  <w:marTop w:val="0"/>
                  <w:marBottom w:val="0"/>
                  <w:divBdr>
                    <w:top w:val="none" w:sz="0" w:space="0" w:color="auto"/>
                    <w:left w:val="none" w:sz="0" w:space="0" w:color="auto"/>
                    <w:bottom w:val="none" w:sz="0" w:space="0" w:color="auto"/>
                    <w:right w:val="none" w:sz="0" w:space="0" w:color="auto"/>
                  </w:divBdr>
                  <w:divsChild>
                    <w:div w:id="686366229">
                      <w:marLeft w:val="0"/>
                      <w:marRight w:val="0"/>
                      <w:marTop w:val="0"/>
                      <w:marBottom w:val="0"/>
                      <w:divBdr>
                        <w:top w:val="none" w:sz="0" w:space="0" w:color="auto"/>
                        <w:left w:val="none" w:sz="0" w:space="0" w:color="auto"/>
                        <w:bottom w:val="none" w:sz="0" w:space="0" w:color="auto"/>
                        <w:right w:val="none" w:sz="0" w:space="0" w:color="auto"/>
                      </w:divBdr>
                    </w:div>
                  </w:divsChild>
                </w:div>
                <w:div w:id="387194519">
                  <w:marLeft w:val="0"/>
                  <w:marRight w:val="0"/>
                  <w:marTop w:val="0"/>
                  <w:marBottom w:val="0"/>
                  <w:divBdr>
                    <w:top w:val="none" w:sz="0" w:space="0" w:color="auto"/>
                    <w:left w:val="none" w:sz="0" w:space="0" w:color="auto"/>
                    <w:bottom w:val="none" w:sz="0" w:space="0" w:color="auto"/>
                    <w:right w:val="none" w:sz="0" w:space="0" w:color="auto"/>
                  </w:divBdr>
                  <w:divsChild>
                    <w:div w:id="484013428">
                      <w:marLeft w:val="0"/>
                      <w:marRight w:val="0"/>
                      <w:marTop w:val="0"/>
                      <w:marBottom w:val="0"/>
                      <w:divBdr>
                        <w:top w:val="none" w:sz="0" w:space="0" w:color="auto"/>
                        <w:left w:val="none" w:sz="0" w:space="0" w:color="auto"/>
                        <w:bottom w:val="none" w:sz="0" w:space="0" w:color="auto"/>
                        <w:right w:val="none" w:sz="0" w:space="0" w:color="auto"/>
                      </w:divBdr>
                    </w:div>
                  </w:divsChild>
                </w:div>
                <w:div w:id="530918505">
                  <w:marLeft w:val="0"/>
                  <w:marRight w:val="0"/>
                  <w:marTop w:val="0"/>
                  <w:marBottom w:val="0"/>
                  <w:divBdr>
                    <w:top w:val="none" w:sz="0" w:space="0" w:color="auto"/>
                    <w:left w:val="none" w:sz="0" w:space="0" w:color="auto"/>
                    <w:bottom w:val="none" w:sz="0" w:space="0" w:color="auto"/>
                    <w:right w:val="none" w:sz="0" w:space="0" w:color="auto"/>
                  </w:divBdr>
                  <w:divsChild>
                    <w:div w:id="31077120">
                      <w:marLeft w:val="0"/>
                      <w:marRight w:val="0"/>
                      <w:marTop w:val="0"/>
                      <w:marBottom w:val="0"/>
                      <w:divBdr>
                        <w:top w:val="none" w:sz="0" w:space="0" w:color="auto"/>
                        <w:left w:val="none" w:sz="0" w:space="0" w:color="auto"/>
                        <w:bottom w:val="none" w:sz="0" w:space="0" w:color="auto"/>
                        <w:right w:val="none" w:sz="0" w:space="0" w:color="auto"/>
                      </w:divBdr>
                    </w:div>
                    <w:div w:id="197012751">
                      <w:marLeft w:val="0"/>
                      <w:marRight w:val="0"/>
                      <w:marTop w:val="0"/>
                      <w:marBottom w:val="0"/>
                      <w:divBdr>
                        <w:top w:val="none" w:sz="0" w:space="0" w:color="auto"/>
                        <w:left w:val="none" w:sz="0" w:space="0" w:color="auto"/>
                        <w:bottom w:val="none" w:sz="0" w:space="0" w:color="auto"/>
                        <w:right w:val="none" w:sz="0" w:space="0" w:color="auto"/>
                      </w:divBdr>
                    </w:div>
                    <w:div w:id="1068576577">
                      <w:marLeft w:val="0"/>
                      <w:marRight w:val="0"/>
                      <w:marTop w:val="0"/>
                      <w:marBottom w:val="0"/>
                      <w:divBdr>
                        <w:top w:val="none" w:sz="0" w:space="0" w:color="auto"/>
                        <w:left w:val="none" w:sz="0" w:space="0" w:color="auto"/>
                        <w:bottom w:val="none" w:sz="0" w:space="0" w:color="auto"/>
                        <w:right w:val="none" w:sz="0" w:space="0" w:color="auto"/>
                      </w:divBdr>
                    </w:div>
                    <w:div w:id="2032296681">
                      <w:marLeft w:val="0"/>
                      <w:marRight w:val="0"/>
                      <w:marTop w:val="0"/>
                      <w:marBottom w:val="0"/>
                      <w:divBdr>
                        <w:top w:val="none" w:sz="0" w:space="0" w:color="auto"/>
                        <w:left w:val="none" w:sz="0" w:space="0" w:color="auto"/>
                        <w:bottom w:val="none" w:sz="0" w:space="0" w:color="auto"/>
                        <w:right w:val="none" w:sz="0" w:space="0" w:color="auto"/>
                      </w:divBdr>
                    </w:div>
                  </w:divsChild>
                </w:div>
                <w:div w:id="574360503">
                  <w:marLeft w:val="0"/>
                  <w:marRight w:val="0"/>
                  <w:marTop w:val="0"/>
                  <w:marBottom w:val="0"/>
                  <w:divBdr>
                    <w:top w:val="none" w:sz="0" w:space="0" w:color="auto"/>
                    <w:left w:val="none" w:sz="0" w:space="0" w:color="auto"/>
                    <w:bottom w:val="none" w:sz="0" w:space="0" w:color="auto"/>
                    <w:right w:val="none" w:sz="0" w:space="0" w:color="auto"/>
                  </w:divBdr>
                  <w:divsChild>
                    <w:div w:id="1480805546">
                      <w:marLeft w:val="0"/>
                      <w:marRight w:val="0"/>
                      <w:marTop w:val="0"/>
                      <w:marBottom w:val="0"/>
                      <w:divBdr>
                        <w:top w:val="none" w:sz="0" w:space="0" w:color="auto"/>
                        <w:left w:val="none" w:sz="0" w:space="0" w:color="auto"/>
                        <w:bottom w:val="none" w:sz="0" w:space="0" w:color="auto"/>
                        <w:right w:val="none" w:sz="0" w:space="0" w:color="auto"/>
                      </w:divBdr>
                    </w:div>
                  </w:divsChild>
                </w:div>
                <w:div w:id="958950327">
                  <w:marLeft w:val="0"/>
                  <w:marRight w:val="0"/>
                  <w:marTop w:val="0"/>
                  <w:marBottom w:val="0"/>
                  <w:divBdr>
                    <w:top w:val="none" w:sz="0" w:space="0" w:color="auto"/>
                    <w:left w:val="none" w:sz="0" w:space="0" w:color="auto"/>
                    <w:bottom w:val="none" w:sz="0" w:space="0" w:color="auto"/>
                    <w:right w:val="none" w:sz="0" w:space="0" w:color="auto"/>
                  </w:divBdr>
                  <w:divsChild>
                    <w:div w:id="18360460">
                      <w:marLeft w:val="0"/>
                      <w:marRight w:val="0"/>
                      <w:marTop w:val="0"/>
                      <w:marBottom w:val="0"/>
                      <w:divBdr>
                        <w:top w:val="none" w:sz="0" w:space="0" w:color="auto"/>
                        <w:left w:val="none" w:sz="0" w:space="0" w:color="auto"/>
                        <w:bottom w:val="none" w:sz="0" w:space="0" w:color="auto"/>
                        <w:right w:val="none" w:sz="0" w:space="0" w:color="auto"/>
                      </w:divBdr>
                    </w:div>
                    <w:div w:id="293104512">
                      <w:marLeft w:val="0"/>
                      <w:marRight w:val="0"/>
                      <w:marTop w:val="0"/>
                      <w:marBottom w:val="0"/>
                      <w:divBdr>
                        <w:top w:val="none" w:sz="0" w:space="0" w:color="auto"/>
                        <w:left w:val="none" w:sz="0" w:space="0" w:color="auto"/>
                        <w:bottom w:val="none" w:sz="0" w:space="0" w:color="auto"/>
                        <w:right w:val="none" w:sz="0" w:space="0" w:color="auto"/>
                      </w:divBdr>
                    </w:div>
                    <w:div w:id="1045255169">
                      <w:marLeft w:val="0"/>
                      <w:marRight w:val="0"/>
                      <w:marTop w:val="0"/>
                      <w:marBottom w:val="0"/>
                      <w:divBdr>
                        <w:top w:val="none" w:sz="0" w:space="0" w:color="auto"/>
                        <w:left w:val="none" w:sz="0" w:space="0" w:color="auto"/>
                        <w:bottom w:val="none" w:sz="0" w:space="0" w:color="auto"/>
                        <w:right w:val="none" w:sz="0" w:space="0" w:color="auto"/>
                      </w:divBdr>
                    </w:div>
                    <w:div w:id="1185288031">
                      <w:marLeft w:val="0"/>
                      <w:marRight w:val="0"/>
                      <w:marTop w:val="0"/>
                      <w:marBottom w:val="0"/>
                      <w:divBdr>
                        <w:top w:val="none" w:sz="0" w:space="0" w:color="auto"/>
                        <w:left w:val="none" w:sz="0" w:space="0" w:color="auto"/>
                        <w:bottom w:val="none" w:sz="0" w:space="0" w:color="auto"/>
                        <w:right w:val="none" w:sz="0" w:space="0" w:color="auto"/>
                      </w:divBdr>
                    </w:div>
                    <w:div w:id="1258757622">
                      <w:marLeft w:val="0"/>
                      <w:marRight w:val="0"/>
                      <w:marTop w:val="0"/>
                      <w:marBottom w:val="0"/>
                      <w:divBdr>
                        <w:top w:val="none" w:sz="0" w:space="0" w:color="auto"/>
                        <w:left w:val="none" w:sz="0" w:space="0" w:color="auto"/>
                        <w:bottom w:val="none" w:sz="0" w:space="0" w:color="auto"/>
                        <w:right w:val="none" w:sz="0" w:space="0" w:color="auto"/>
                      </w:divBdr>
                    </w:div>
                  </w:divsChild>
                </w:div>
                <w:div w:id="961378715">
                  <w:marLeft w:val="0"/>
                  <w:marRight w:val="0"/>
                  <w:marTop w:val="0"/>
                  <w:marBottom w:val="0"/>
                  <w:divBdr>
                    <w:top w:val="none" w:sz="0" w:space="0" w:color="auto"/>
                    <w:left w:val="none" w:sz="0" w:space="0" w:color="auto"/>
                    <w:bottom w:val="none" w:sz="0" w:space="0" w:color="auto"/>
                    <w:right w:val="none" w:sz="0" w:space="0" w:color="auto"/>
                  </w:divBdr>
                  <w:divsChild>
                    <w:div w:id="691148763">
                      <w:marLeft w:val="0"/>
                      <w:marRight w:val="0"/>
                      <w:marTop w:val="0"/>
                      <w:marBottom w:val="0"/>
                      <w:divBdr>
                        <w:top w:val="none" w:sz="0" w:space="0" w:color="auto"/>
                        <w:left w:val="none" w:sz="0" w:space="0" w:color="auto"/>
                        <w:bottom w:val="none" w:sz="0" w:space="0" w:color="auto"/>
                        <w:right w:val="none" w:sz="0" w:space="0" w:color="auto"/>
                      </w:divBdr>
                    </w:div>
                  </w:divsChild>
                </w:div>
                <w:div w:id="1135563248">
                  <w:marLeft w:val="0"/>
                  <w:marRight w:val="0"/>
                  <w:marTop w:val="0"/>
                  <w:marBottom w:val="0"/>
                  <w:divBdr>
                    <w:top w:val="none" w:sz="0" w:space="0" w:color="auto"/>
                    <w:left w:val="none" w:sz="0" w:space="0" w:color="auto"/>
                    <w:bottom w:val="none" w:sz="0" w:space="0" w:color="auto"/>
                    <w:right w:val="none" w:sz="0" w:space="0" w:color="auto"/>
                  </w:divBdr>
                  <w:divsChild>
                    <w:div w:id="1336154462">
                      <w:marLeft w:val="0"/>
                      <w:marRight w:val="0"/>
                      <w:marTop w:val="0"/>
                      <w:marBottom w:val="0"/>
                      <w:divBdr>
                        <w:top w:val="none" w:sz="0" w:space="0" w:color="auto"/>
                        <w:left w:val="none" w:sz="0" w:space="0" w:color="auto"/>
                        <w:bottom w:val="none" w:sz="0" w:space="0" w:color="auto"/>
                        <w:right w:val="none" w:sz="0" w:space="0" w:color="auto"/>
                      </w:divBdr>
                    </w:div>
                  </w:divsChild>
                </w:div>
                <w:div w:id="1633706873">
                  <w:marLeft w:val="0"/>
                  <w:marRight w:val="0"/>
                  <w:marTop w:val="0"/>
                  <w:marBottom w:val="0"/>
                  <w:divBdr>
                    <w:top w:val="none" w:sz="0" w:space="0" w:color="auto"/>
                    <w:left w:val="none" w:sz="0" w:space="0" w:color="auto"/>
                    <w:bottom w:val="none" w:sz="0" w:space="0" w:color="auto"/>
                    <w:right w:val="none" w:sz="0" w:space="0" w:color="auto"/>
                  </w:divBdr>
                  <w:divsChild>
                    <w:div w:id="344477083">
                      <w:marLeft w:val="0"/>
                      <w:marRight w:val="0"/>
                      <w:marTop w:val="0"/>
                      <w:marBottom w:val="0"/>
                      <w:divBdr>
                        <w:top w:val="none" w:sz="0" w:space="0" w:color="auto"/>
                        <w:left w:val="none" w:sz="0" w:space="0" w:color="auto"/>
                        <w:bottom w:val="none" w:sz="0" w:space="0" w:color="auto"/>
                        <w:right w:val="none" w:sz="0" w:space="0" w:color="auto"/>
                      </w:divBdr>
                    </w:div>
                  </w:divsChild>
                </w:div>
                <w:div w:id="1890802537">
                  <w:marLeft w:val="0"/>
                  <w:marRight w:val="0"/>
                  <w:marTop w:val="0"/>
                  <w:marBottom w:val="0"/>
                  <w:divBdr>
                    <w:top w:val="none" w:sz="0" w:space="0" w:color="auto"/>
                    <w:left w:val="none" w:sz="0" w:space="0" w:color="auto"/>
                    <w:bottom w:val="none" w:sz="0" w:space="0" w:color="auto"/>
                    <w:right w:val="none" w:sz="0" w:space="0" w:color="auto"/>
                  </w:divBdr>
                  <w:divsChild>
                    <w:div w:id="99957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425612">
          <w:marLeft w:val="0"/>
          <w:marRight w:val="0"/>
          <w:marTop w:val="0"/>
          <w:marBottom w:val="0"/>
          <w:divBdr>
            <w:top w:val="none" w:sz="0" w:space="0" w:color="auto"/>
            <w:left w:val="none" w:sz="0" w:space="0" w:color="auto"/>
            <w:bottom w:val="none" w:sz="0" w:space="0" w:color="auto"/>
            <w:right w:val="none" w:sz="0" w:space="0" w:color="auto"/>
          </w:divBdr>
        </w:div>
        <w:div w:id="1869030204">
          <w:marLeft w:val="0"/>
          <w:marRight w:val="0"/>
          <w:marTop w:val="0"/>
          <w:marBottom w:val="0"/>
          <w:divBdr>
            <w:top w:val="none" w:sz="0" w:space="0" w:color="auto"/>
            <w:left w:val="none" w:sz="0" w:space="0" w:color="auto"/>
            <w:bottom w:val="none" w:sz="0" w:space="0" w:color="auto"/>
            <w:right w:val="none" w:sz="0" w:space="0" w:color="auto"/>
          </w:divBdr>
        </w:div>
      </w:divsChild>
    </w:div>
    <w:div w:id="1433284530">
      <w:bodyDiv w:val="1"/>
      <w:marLeft w:val="0"/>
      <w:marRight w:val="0"/>
      <w:marTop w:val="0"/>
      <w:marBottom w:val="0"/>
      <w:divBdr>
        <w:top w:val="none" w:sz="0" w:space="0" w:color="auto"/>
        <w:left w:val="none" w:sz="0" w:space="0" w:color="auto"/>
        <w:bottom w:val="none" w:sz="0" w:space="0" w:color="auto"/>
        <w:right w:val="none" w:sz="0" w:space="0" w:color="auto"/>
      </w:divBdr>
      <w:divsChild>
        <w:div w:id="1297251202">
          <w:marLeft w:val="0"/>
          <w:marRight w:val="0"/>
          <w:marTop w:val="0"/>
          <w:marBottom w:val="0"/>
          <w:divBdr>
            <w:top w:val="none" w:sz="0" w:space="0" w:color="auto"/>
            <w:left w:val="none" w:sz="0" w:space="0" w:color="auto"/>
            <w:bottom w:val="none" w:sz="0" w:space="0" w:color="auto"/>
            <w:right w:val="none" w:sz="0" w:space="0" w:color="auto"/>
          </w:divBdr>
        </w:div>
        <w:div w:id="1821801813">
          <w:marLeft w:val="0"/>
          <w:marRight w:val="0"/>
          <w:marTop w:val="0"/>
          <w:marBottom w:val="0"/>
          <w:divBdr>
            <w:top w:val="none" w:sz="0" w:space="0" w:color="auto"/>
            <w:left w:val="none" w:sz="0" w:space="0" w:color="auto"/>
            <w:bottom w:val="none" w:sz="0" w:space="0" w:color="auto"/>
            <w:right w:val="none" w:sz="0" w:space="0" w:color="auto"/>
          </w:divBdr>
        </w:div>
      </w:divsChild>
    </w:div>
    <w:div w:id="1452169021">
      <w:bodyDiv w:val="1"/>
      <w:marLeft w:val="0"/>
      <w:marRight w:val="0"/>
      <w:marTop w:val="0"/>
      <w:marBottom w:val="0"/>
      <w:divBdr>
        <w:top w:val="none" w:sz="0" w:space="0" w:color="auto"/>
        <w:left w:val="none" w:sz="0" w:space="0" w:color="auto"/>
        <w:bottom w:val="none" w:sz="0" w:space="0" w:color="auto"/>
        <w:right w:val="none" w:sz="0" w:space="0" w:color="auto"/>
      </w:divBdr>
      <w:divsChild>
        <w:div w:id="287200767">
          <w:marLeft w:val="0"/>
          <w:marRight w:val="0"/>
          <w:marTop w:val="0"/>
          <w:marBottom w:val="0"/>
          <w:divBdr>
            <w:top w:val="none" w:sz="0" w:space="0" w:color="auto"/>
            <w:left w:val="none" w:sz="0" w:space="0" w:color="auto"/>
            <w:bottom w:val="none" w:sz="0" w:space="0" w:color="auto"/>
            <w:right w:val="none" w:sz="0" w:space="0" w:color="auto"/>
          </w:divBdr>
          <w:divsChild>
            <w:div w:id="374694309">
              <w:marLeft w:val="0"/>
              <w:marRight w:val="0"/>
              <w:marTop w:val="0"/>
              <w:marBottom w:val="0"/>
              <w:divBdr>
                <w:top w:val="none" w:sz="0" w:space="0" w:color="auto"/>
                <w:left w:val="none" w:sz="0" w:space="0" w:color="auto"/>
                <w:bottom w:val="none" w:sz="0" w:space="0" w:color="auto"/>
                <w:right w:val="none" w:sz="0" w:space="0" w:color="auto"/>
              </w:divBdr>
            </w:div>
            <w:div w:id="388650943">
              <w:marLeft w:val="0"/>
              <w:marRight w:val="0"/>
              <w:marTop w:val="0"/>
              <w:marBottom w:val="0"/>
              <w:divBdr>
                <w:top w:val="none" w:sz="0" w:space="0" w:color="auto"/>
                <w:left w:val="none" w:sz="0" w:space="0" w:color="auto"/>
                <w:bottom w:val="none" w:sz="0" w:space="0" w:color="auto"/>
                <w:right w:val="none" w:sz="0" w:space="0" w:color="auto"/>
              </w:divBdr>
            </w:div>
            <w:div w:id="413354327">
              <w:marLeft w:val="0"/>
              <w:marRight w:val="0"/>
              <w:marTop w:val="0"/>
              <w:marBottom w:val="0"/>
              <w:divBdr>
                <w:top w:val="none" w:sz="0" w:space="0" w:color="auto"/>
                <w:left w:val="none" w:sz="0" w:space="0" w:color="auto"/>
                <w:bottom w:val="none" w:sz="0" w:space="0" w:color="auto"/>
                <w:right w:val="none" w:sz="0" w:space="0" w:color="auto"/>
              </w:divBdr>
            </w:div>
            <w:div w:id="526145096">
              <w:marLeft w:val="0"/>
              <w:marRight w:val="0"/>
              <w:marTop w:val="0"/>
              <w:marBottom w:val="0"/>
              <w:divBdr>
                <w:top w:val="none" w:sz="0" w:space="0" w:color="auto"/>
                <w:left w:val="none" w:sz="0" w:space="0" w:color="auto"/>
                <w:bottom w:val="none" w:sz="0" w:space="0" w:color="auto"/>
                <w:right w:val="none" w:sz="0" w:space="0" w:color="auto"/>
              </w:divBdr>
            </w:div>
            <w:div w:id="756945772">
              <w:marLeft w:val="0"/>
              <w:marRight w:val="0"/>
              <w:marTop w:val="0"/>
              <w:marBottom w:val="0"/>
              <w:divBdr>
                <w:top w:val="none" w:sz="0" w:space="0" w:color="auto"/>
                <w:left w:val="none" w:sz="0" w:space="0" w:color="auto"/>
                <w:bottom w:val="none" w:sz="0" w:space="0" w:color="auto"/>
                <w:right w:val="none" w:sz="0" w:space="0" w:color="auto"/>
              </w:divBdr>
            </w:div>
            <w:div w:id="777985390">
              <w:marLeft w:val="0"/>
              <w:marRight w:val="0"/>
              <w:marTop w:val="0"/>
              <w:marBottom w:val="0"/>
              <w:divBdr>
                <w:top w:val="none" w:sz="0" w:space="0" w:color="auto"/>
                <w:left w:val="none" w:sz="0" w:space="0" w:color="auto"/>
                <w:bottom w:val="none" w:sz="0" w:space="0" w:color="auto"/>
                <w:right w:val="none" w:sz="0" w:space="0" w:color="auto"/>
              </w:divBdr>
            </w:div>
            <w:div w:id="1354650207">
              <w:marLeft w:val="0"/>
              <w:marRight w:val="0"/>
              <w:marTop w:val="0"/>
              <w:marBottom w:val="0"/>
              <w:divBdr>
                <w:top w:val="none" w:sz="0" w:space="0" w:color="auto"/>
                <w:left w:val="none" w:sz="0" w:space="0" w:color="auto"/>
                <w:bottom w:val="none" w:sz="0" w:space="0" w:color="auto"/>
                <w:right w:val="none" w:sz="0" w:space="0" w:color="auto"/>
              </w:divBdr>
            </w:div>
          </w:divsChild>
        </w:div>
        <w:div w:id="624888565">
          <w:marLeft w:val="0"/>
          <w:marRight w:val="0"/>
          <w:marTop w:val="0"/>
          <w:marBottom w:val="0"/>
          <w:divBdr>
            <w:top w:val="none" w:sz="0" w:space="0" w:color="auto"/>
            <w:left w:val="none" w:sz="0" w:space="0" w:color="auto"/>
            <w:bottom w:val="none" w:sz="0" w:space="0" w:color="auto"/>
            <w:right w:val="none" w:sz="0" w:space="0" w:color="auto"/>
          </w:divBdr>
          <w:divsChild>
            <w:div w:id="86728575">
              <w:marLeft w:val="0"/>
              <w:marRight w:val="0"/>
              <w:marTop w:val="0"/>
              <w:marBottom w:val="0"/>
              <w:divBdr>
                <w:top w:val="none" w:sz="0" w:space="0" w:color="auto"/>
                <w:left w:val="none" w:sz="0" w:space="0" w:color="auto"/>
                <w:bottom w:val="none" w:sz="0" w:space="0" w:color="auto"/>
                <w:right w:val="none" w:sz="0" w:space="0" w:color="auto"/>
              </w:divBdr>
            </w:div>
            <w:div w:id="92668518">
              <w:marLeft w:val="0"/>
              <w:marRight w:val="0"/>
              <w:marTop w:val="0"/>
              <w:marBottom w:val="0"/>
              <w:divBdr>
                <w:top w:val="none" w:sz="0" w:space="0" w:color="auto"/>
                <w:left w:val="none" w:sz="0" w:space="0" w:color="auto"/>
                <w:bottom w:val="none" w:sz="0" w:space="0" w:color="auto"/>
                <w:right w:val="none" w:sz="0" w:space="0" w:color="auto"/>
              </w:divBdr>
            </w:div>
            <w:div w:id="135417562">
              <w:marLeft w:val="0"/>
              <w:marRight w:val="0"/>
              <w:marTop w:val="0"/>
              <w:marBottom w:val="0"/>
              <w:divBdr>
                <w:top w:val="none" w:sz="0" w:space="0" w:color="auto"/>
                <w:left w:val="none" w:sz="0" w:space="0" w:color="auto"/>
                <w:bottom w:val="none" w:sz="0" w:space="0" w:color="auto"/>
                <w:right w:val="none" w:sz="0" w:space="0" w:color="auto"/>
              </w:divBdr>
            </w:div>
            <w:div w:id="176962751">
              <w:marLeft w:val="0"/>
              <w:marRight w:val="0"/>
              <w:marTop w:val="0"/>
              <w:marBottom w:val="0"/>
              <w:divBdr>
                <w:top w:val="none" w:sz="0" w:space="0" w:color="auto"/>
                <w:left w:val="none" w:sz="0" w:space="0" w:color="auto"/>
                <w:bottom w:val="none" w:sz="0" w:space="0" w:color="auto"/>
                <w:right w:val="none" w:sz="0" w:space="0" w:color="auto"/>
              </w:divBdr>
            </w:div>
            <w:div w:id="279580344">
              <w:marLeft w:val="0"/>
              <w:marRight w:val="0"/>
              <w:marTop w:val="0"/>
              <w:marBottom w:val="0"/>
              <w:divBdr>
                <w:top w:val="none" w:sz="0" w:space="0" w:color="auto"/>
                <w:left w:val="none" w:sz="0" w:space="0" w:color="auto"/>
                <w:bottom w:val="none" w:sz="0" w:space="0" w:color="auto"/>
                <w:right w:val="none" w:sz="0" w:space="0" w:color="auto"/>
              </w:divBdr>
            </w:div>
            <w:div w:id="534737366">
              <w:marLeft w:val="0"/>
              <w:marRight w:val="0"/>
              <w:marTop w:val="0"/>
              <w:marBottom w:val="0"/>
              <w:divBdr>
                <w:top w:val="none" w:sz="0" w:space="0" w:color="auto"/>
                <w:left w:val="none" w:sz="0" w:space="0" w:color="auto"/>
                <w:bottom w:val="none" w:sz="0" w:space="0" w:color="auto"/>
                <w:right w:val="none" w:sz="0" w:space="0" w:color="auto"/>
              </w:divBdr>
            </w:div>
            <w:div w:id="723135611">
              <w:marLeft w:val="0"/>
              <w:marRight w:val="0"/>
              <w:marTop w:val="0"/>
              <w:marBottom w:val="0"/>
              <w:divBdr>
                <w:top w:val="none" w:sz="0" w:space="0" w:color="auto"/>
                <w:left w:val="none" w:sz="0" w:space="0" w:color="auto"/>
                <w:bottom w:val="none" w:sz="0" w:space="0" w:color="auto"/>
                <w:right w:val="none" w:sz="0" w:space="0" w:color="auto"/>
              </w:divBdr>
            </w:div>
            <w:div w:id="914432606">
              <w:marLeft w:val="0"/>
              <w:marRight w:val="0"/>
              <w:marTop w:val="0"/>
              <w:marBottom w:val="0"/>
              <w:divBdr>
                <w:top w:val="none" w:sz="0" w:space="0" w:color="auto"/>
                <w:left w:val="none" w:sz="0" w:space="0" w:color="auto"/>
                <w:bottom w:val="none" w:sz="0" w:space="0" w:color="auto"/>
                <w:right w:val="none" w:sz="0" w:space="0" w:color="auto"/>
              </w:divBdr>
            </w:div>
            <w:div w:id="924607211">
              <w:marLeft w:val="0"/>
              <w:marRight w:val="0"/>
              <w:marTop w:val="0"/>
              <w:marBottom w:val="0"/>
              <w:divBdr>
                <w:top w:val="none" w:sz="0" w:space="0" w:color="auto"/>
                <w:left w:val="none" w:sz="0" w:space="0" w:color="auto"/>
                <w:bottom w:val="none" w:sz="0" w:space="0" w:color="auto"/>
                <w:right w:val="none" w:sz="0" w:space="0" w:color="auto"/>
              </w:divBdr>
            </w:div>
            <w:div w:id="968701527">
              <w:marLeft w:val="0"/>
              <w:marRight w:val="0"/>
              <w:marTop w:val="0"/>
              <w:marBottom w:val="0"/>
              <w:divBdr>
                <w:top w:val="none" w:sz="0" w:space="0" w:color="auto"/>
                <w:left w:val="none" w:sz="0" w:space="0" w:color="auto"/>
                <w:bottom w:val="none" w:sz="0" w:space="0" w:color="auto"/>
                <w:right w:val="none" w:sz="0" w:space="0" w:color="auto"/>
              </w:divBdr>
            </w:div>
            <w:div w:id="1059984899">
              <w:marLeft w:val="0"/>
              <w:marRight w:val="0"/>
              <w:marTop w:val="0"/>
              <w:marBottom w:val="0"/>
              <w:divBdr>
                <w:top w:val="none" w:sz="0" w:space="0" w:color="auto"/>
                <w:left w:val="none" w:sz="0" w:space="0" w:color="auto"/>
                <w:bottom w:val="none" w:sz="0" w:space="0" w:color="auto"/>
                <w:right w:val="none" w:sz="0" w:space="0" w:color="auto"/>
              </w:divBdr>
            </w:div>
            <w:div w:id="1094475302">
              <w:marLeft w:val="0"/>
              <w:marRight w:val="0"/>
              <w:marTop w:val="0"/>
              <w:marBottom w:val="0"/>
              <w:divBdr>
                <w:top w:val="none" w:sz="0" w:space="0" w:color="auto"/>
                <w:left w:val="none" w:sz="0" w:space="0" w:color="auto"/>
                <w:bottom w:val="none" w:sz="0" w:space="0" w:color="auto"/>
                <w:right w:val="none" w:sz="0" w:space="0" w:color="auto"/>
              </w:divBdr>
            </w:div>
            <w:div w:id="1115829243">
              <w:marLeft w:val="0"/>
              <w:marRight w:val="0"/>
              <w:marTop w:val="0"/>
              <w:marBottom w:val="0"/>
              <w:divBdr>
                <w:top w:val="none" w:sz="0" w:space="0" w:color="auto"/>
                <w:left w:val="none" w:sz="0" w:space="0" w:color="auto"/>
                <w:bottom w:val="none" w:sz="0" w:space="0" w:color="auto"/>
                <w:right w:val="none" w:sz="0" w:space="0" w:color="auto"/>
              </w:divBdr>
            </w:div>
            <w:div w:id="1487437763">
              <w:marLeft w:val="0"/>
              <w:marRight w:val="0"/>
              <w:marTop w:val="0"/>
              <w:marBottom w:val="0"/>
              <w:divBdr>
                <w:top w:val="none" w:sz="0" w:space="0" w:color="auto"/>
                <w:left w:val="none" w:sz="0" w:space="0" w:color="auto"/>
                <w:bottom w:val="none" w:sz="0" w:space="0" w:color="auto"/>
                <w:right w:val="none" w:sz="0" w:space="0" w:color="auto"/>
              </w:divBdr>
            </w:div>
            <w:div w:id="1673947557">
              <w:marLeft w:val="0"/>
              <w:marRight w:val="0"/>
              <w:marTop w:val="0"/>
              <w:marBottom w:val="0"/>
              <w:divBdr>
                <w:top w:val="none" w:sz="0" w:space="0" w:color="auto"/>
                <w:left w:val="none" w:sz="0" w:space="0" w:color="auto"/>
                <w:bottom w:val="none" w:sz="0" w:space="0" w:color="auto"/>
                <w:right w:val="none" w:sz="0" w:space="0" w:color="auto"/>
              </w:divBdr>
            </w:div>
            <w:div w:id="1942182012">
              <w:marLeft w:val="0"/>
              <w:marRight w:val="0"/>
              <w:marTop w:val="0"/>
              <w:marBottom w:val="0"/>
              <w:divBdr>
                <w:top w:val="none" w:sz="0" w:space="0" w:color="auto"/>
                <w:left w:val="none" w:sz="0" w:space="0" w:color="auto"/>
                <w:bottom w:val="none" w:sz="0" w:space="0" w:color="auto"/>
                <w:right w:val="none" w:sz="0" w:space="0" w:color="auto"/>
              </w:divBdr>
            </w:div>
            <w:div w:id="1982536152">
              <w:marLeft w:val="0"/>
              <w:marRight w:val="0"/>
              <w:marTop w:val="0"/>
              <w:marBottom w:val="0"/>
              <w:divBdr>
                <w:top w:val="none" w:sz="0" w:space="0" w:color="auto"/>
                <w:left w:val="none" w:sz="0" w:space="0" w:color="auto"/>
                <w:bottom w:val="none" w:sz="0" w:space="0" w:color="auto"/>
                <w:right w:val="none" w:sz="0" w:space="0" w:color="auto"/>
              </w:divBdr>
            </w:div>
            <w:div w:id="2021656873">
              <w:marLeft w:val="0"/>
              <w:marRight w:val="0"/>
              <w:marTop w:val="0"/>
              <w:marBottom w:val="0"/>
              <w:divBdr>
                <w:top w:val="none" w:sz="0" w:space="0" w:color="auto"/>
                <w:left w:val="none" w:sz="0" w:space="0" w:color="auto"/>
                <w:bottom w:val="none" w:sz="0" w:space="0" w:color="auto"/>
                <w:right w:val="none" w:sz="0" w:space="0" w:color="auto"/>
              </w:divBdr>
            </w:div>
            <w:div w:id="2079358159">
              <w:marLeft w:val="0"/>
              <w:marRight w:val="0"/>
              <w:marTop w:val="0"/>
              <w:marBottom w:val="0"/>
              <w:divBdr>
                <w:top w:val="none" w:sz="0" w:space="0" w:color="auto"/>
                <w:left w:val="none" w:sz="0" w:space="0" w:color="auto"/>
                <w:bottom w:val="none" w:sz="0" w:space="0" w:color="auto"/>
                <w:right w:val="none" w:sz="0" w:space="0" w:color="auto"/>
              </w:divBdr>
            </w:div>
            <w:div w:id="2097046508">
              <w:marLeft w:val="0"/>
              <w:marRight w:val="0"/>
              <w:marTop w:val="0"/>
              <w:marBottom w:val="0"/>
              <w:divBdr>
                <w:top w:val="none" w:sz="0" w:space="0" w:color="auto"/>
                <w:left w:val="none" w:sz="0" w:space="0" w:color="auto"/>
                <w:bottom w:val="none" w:sz="0" w:space="0" w:color="auto"/>
                <w:right w:val="none" w:sz="0" w:space="0" w:color="auto"/>
              </w:divBdr>
            </w:div>
            <w:div w:id="2145735827">
              <w:marLeft w:val="0"/>
              <w:marRight w:val="0"/>
              <w:marTop w:val="0"/>
              <w:marBottom w:val="0"/>
              <w:divBdr>
                <w:top w:val="none" w:sz="0" w:space="0" w:color="auto"/>
                <w:left w:val="none" w:sz="0" w:space="0" w:color="auto"/>
                <w:bottom w:val="none" w:sz="0" w:space="0" w:color="auto"/>
                <w:right w:val="none" w:sz="0" w:space="0" w:color="auto"/>
              </w:divBdr>
            </w:div>
          </w:divsChild>
        </w:div>
        <w:div w:id="1390883274">
          <w:marLeft w:val="0"/>
          <w:marRight w:val="0"/>
          <w:marTop w:val="0"/>
          <w:marBottom w:val="0"/>
          <w:divBdr>
            <w:top w:val="none" w:sz="0" w:space="0" w:color="auto"/>
            <w:left w:val="none" w:sz="0" w:space="0" w:color="auto"/>
            <w:bottom w:val="none" w:sz="0" w:space="0" w:color="auto"/>
            <w:right w:val="none" w:sz="0" w:space="0" w:color="auto"/>
          </w:divBdr>
          <w:divsChild>
            <w:div w:id="1788424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604726">
      <w:bodyDiv w:val="1"/>
      <w:marLeft w:val="0"/>
      <w:marRight w:val="0"/>
      <w:marTop w:val="0"/>
      <w:marBottom w:val="0"/>
      <w:divBdr>
        <w:top w:val="none" w:sz="0" w:space="0" w:color="auto"/>
        <w:left w:val="none" w:sz="0" w:space="0" w:color="auto"/>
        <w:bottom w:val="none" w:sz="0" w:space="0" w:color="auto"/>
        <w:right w:val="none" w:sz="0" w:space="0" w:color="auto"/>
      </w:divBdr>
    </w:div>
    <w:div w:id="1528375640">
      <w:bodyDiv w:val="1"/>
      <w:marLeft w:val="0"/>
      <w:marRight w:val="0"/>
      <w:marTop w:val="0"/>
      <w:marBottom w:val="0"/>
      <w:divBdr>
        <w:top w:val="none" w:sz="0" w:space="0" w:color="auto"/>
        <w:left w:val="none" w:sz="0" w:space="0" w:color="auto"/>
        <w:bottom w:val="none" w:sz="0" w:space="0" w:color="auto"/>
        <w:right w:val="none" w:sz="0" w:space="0" w:color="auto"/>
      </w:divBdr>
    </w:div>
    <w:div w:id="1554661798">
      <w:bodyDiv w:val="1"/>
      <w:marLeft w:val="0"/>
      <w:marRight w:val="0"/>
      <w:marTop w:val="0"/>
      <w:marBottom w:val="0"/>
      <w:divBdr>
        <w:top w:val="none" w:sz="0" w:space="0" w:color="auto"/>
        <w:left w:val="none" w:sz="0" w:space="0" w:color="auto"/>
        <w:bottom w:val="none" w:sz="0" w:space="0" w:color="auto"/>
        <w:right w:val="none" w:sz="0" w:space="0" w:color="auto"/>
      </w:divBdr>
      <w:divsChild>
        <w:div w:id="378943394">
          <w:marLeft w:val="0"/>
          <w:marRight w:val="0"/>
          <w:marTop w:val="0"/>
          <w:marBottom w:val="0"/>
          <w:divBdr>
            <w:top w:val="none" w:sz="0" w:space="0" w:color="auto"/>
            <w:left w:val="none" w:sz="0" w:space="0" w:color="auto"/>
            <w:bottom w:val="none" w:sz="0" w:space="0" w:color="auto"/>
            <w:right w:val="none" w:sz="0" w:space="0" w:color="auto"/>
          </w:divBdr>
        </w:div>
        <w:div w:id="399062344">
          <w:marLeft w:val="0"/>
          <w:marRight w:val="0"/>
          <w:marTop w:val="0"/>
          <w:marBottom w:val="0"/>
          <w:divBdr>
            <w:top w:val="none" w:sz="0" w:space="0" w:color="auto"/>
            <w:left w:val="none" w:sz="0" w:space="0" w:color="auto"/>
            <w:bottom w:val="none" w:sz="0" w:space="0" w:color="auto"/>
            <w:right w:val="none" w:sz="0" w:space="0" w:color="auto"/>
          </w:divBdr>
        </w:div>
        <w:div w:id="586694164">
          <w:marLeft w:val="0"/>
          <w:marRight w:val="0"/>
          <w:marTop w:val="0"/>
          <w:marBottom w:val="0"/>
          <w:divBdr>
            <w:top w:val="none" w:sz="0" w:space="0" w:color="auto"/>
            <w:left w:val="none" w:sz="0" w:space="0" w:color="auto"/>
            <w:bottom w:val="none" w:sz="0" w:space="0" w:color="auto"/>
            <w:right w:val="none" w:sz="0" w:space="0" w:color="auto"/>
          </w:divBdr>
        </w:div>
        <w:div w:id="601691557">
          <w:marLeft w:val="0"/>
          <w:marRight w:val="0"/>
          <w:marTop w:val="0"/>
          <w:marBottom w:val="0"/>
          <w:divBdr>
            <w:top w:val="none" w:sz="0" w:space="0" w:color="auto"/>
            <w:left w:val="none" w:sz="0" w:space="0" w:color="auto"/>
            <w:bottom w:val="none" w:sz="0" w:space="0" w:color="auto"/>
            <w:right w:val="none" w:sz="0" w:space="0" w:color="auto"/>
          </w:divBdr>
        </w:div>
        <w:div w:id="710803763">
          <w:marLeft w:val="0"/>
          <w:marRight w:val="0"/>
          <w:marTop w:val="0"/>
          <w:marBottom w:val="0"/>
          <w:divBdr>
            <w:top w:val="none" w:sz="0" w:space="0" w:color="auto"/>
            <w:left w:val="none" w:sz="0" w:space="0" w:color="auto"/>
            <w:bottom w:val="none" w:sz="0" w:space="0" w:color="auto"/>
            <w:right w:val="none" w:sz="0" w:space="0" w:color="auto"/>
          </w:divBdr>
        </w:div>
        <w:div w:id="869537613">
          <w:marLeft w:val="0"/>
          <w:marRight w:val="0"/>
          <w:marTop w:val="0"/>
          <w:marBottom w:val="0"/>
          <w:divBdr>
            <w:top w:val="none" w:sz="0" w:space="0" w:color="auto"/>
            <w:left w:val="none" w:sz="0" w:space="0" w:color="auto"/>
            <w:bottom w:val="none" w:sz="0" w:space="0" w:color="auto"/>
            <w:right w:val="none" w:sz="0" w:space="0" w:color="auto"/>
          </w:divBdr>
        </w:div>
        <w:div w:id="874199073">
          <w:marLeft w:val="0"/>
          <w:marRight w:val="0"/>
          <w:marTop w:val="0"/>
          <w:marBottom w:val="0"/>
          <w:divBdr>
            <w:top w:val="none" w:sz="0" w:space="0" w:color="auto"/>
            <w:left w:val="none" w:sz="0" w:space="0" w:color="auto"/>
            <w:bottom w:val="none" w:sz="0" w:space="0" w:color="auto"/>
            <w:right w:val="none" w:sz="0" w:space="0" w:color="auto"/>
          </w:divBdr>
        </w:div>
        <w:div w:id="1014266597">
          <w:marLeft w:val="0"/>
          <w:marRight w:val="0"/>
          <w:marTop w:val="0"/>
          <w:marBottom w:val="0"/>
          <w:divBdr>
            <w:top w:val="none" w:sz="0" w:space="0" w:color="auto"/>
            <w:left w:val="none" w:sz="0" w:space="0" w:color="auto"/>
            <w:bottom w:val="none" w:sz="0" w:space="0" w:color="auto"/>
            <w:right w:val="none" w:sz="0" w:space="0" w:color="auto"/>
          </w:divBdr>
        </w:div>
        <w:div w:id="1029840218">
          <w:marLeft w:val="0"/>
          <w:marRight w:val="0"/>
          <w:marTop w:val="0"/>
          <w:marBottom w:val="0"/>
          <w:divBdr>
            <w:top w:val="none" w:sz="0" w:space="0" w:color="auto"/>
            <w:left w:val="none" w:sz="0" w:space="0" w:color="auto"/>
            <w:bottom w:val="none" w:sz="0" w:space="0" w:color="auto"/>
            <w:right w:val="none" w:sz="0" w:space="0" w:color="auto"/>
          </w:divBdr>
        </w:div>
        <w:div w:id="1278676402">
          <w:marLeft w:val="0"/>
          <w:marRight w:val="0"/>
          <w:marTop w:val="0"/>
          <w:marBottom w:val="0"/>
          <w:divBdr>
            <w:top w:val="none" w:sz="0" w:space="0" w:color="auto"/>
            <w:left w:val="none" w:sz="0" w:space="0" w:color="auto"/>
            <w:bottom w:val="none" w:sz="0" w:space="0" w:color="auto"/>
            <w:right w:val="none" w:sz="0" w:space="0" w:color="auto"/>
          </w:divBdr>
        </w:div>
        <w:div w:id="1309433184">
          <w:marLeft w:val="0"/>
          <w:marRight w:val="0"/>
          <w:marTop w:val="0"/>
          <w:marBottom w:val="0"/>
          <w:divBdr>
            <w:top w:val="none" w:sz="0" w:space="0" w:color="auto"/>
            <w:left w:val="none" w:sz="0" w:space="0" w:color="auto"/>
            <w:bottom w:val="none" w:sz="0" w:space="0" w:color="auto"/>
            <w:right w:val="none" w:sz="0" w:space="0" w:color="auto"/>
          </w:divBdr>
        </w:div>
        <w:div w:id="1356033518">
          <w:marLeft w:val="0"/>
          <w:marRight w:val="0"/>
          <w:marTop w:val="0"/>
          <w:marBottom w:val="0"/>
          <w:divBdr>
            <w:top w:val="none" w:sz="0" w:space="0" w:color="auto"/>
            <w:left w:val="none" w:sz="0" w:space="0" w:color="auto"/>
            <w:bottom w:val="none" w:sz="0" w:space="0" w:color="auto"/>
            <w:right w:val="none" w:sz="0" w:space="0" w:color="auto"/>
          </w:divBdr>
        </w:div>
        <w:div w:id="1414472510">
          <w:marLeft w:val="0"/>
          <w:marRight w:val="0"/>
          <w:marTop w:val="0"/>
          <w:marBottom w:val="0"/>
          <w:divBdr>
            <w:top w:val="none" w:sz="0" w:space="0" w:color="auto"/>
            <w:left w:val="none" w:sz="0" w:space="0" w:color="auto"/>
            <w:bottom w:val="none" w:sz="0" w:space="0" w:color="auto"/>
            <w:right w:val="none" w:sz="0" w:space="0" w:color="auto"/>
          </w:divBdr>
        </w:div>
        <w:div w:id="1493721207">
          <w:marLeft w:val="0"/>
          <w:marRight w:val="0"/>
          <w:marTop w:val="0"/>
          <w:marBottom w:val="0"/>
          <w:divBdr>
            <w:top w:val="none" w:sz="0" w:space="0" w:color="auto"/>
            <w:left w:val="none" w:sz="0" w:space="0" w:color="auto"/>
            <w:bottom w:val="none" w:sz="0" w:space="0" w:color="auto"/>
            <w:right w:val="none" w:sz="0" w:space="0" w:color="auto"/>
          </w:divBdr>
        </w:div>
        <w:div w:id="1604915186">
          <w:marLeft w:val="0"/>
          <w:marRight w:val="0"/>
          <w:marTop w:val="0"/>
          <w:marBottom w:val="0"/>
          <w:divBdr>
            <w:top w:val="none" w:sz="0" w:space="0" w:color="auto"/>
            <w:left w:val="none" w:sz="0" w:space="0" w:color="auto"/>
            <w:bottom w:val="none" w:sz="0" w:space="0" w:color="auto"/>
            <w:right w:val="none" w:sz="0" w:space="0" w:color="auto"/>
          </w:divBdr>
        </w:div>
        <w:div w:id="1728411918">
          <w:marLeft w:val="0"/>
          <w:marRight w:val="0"/>
          <w:marTop w:val="0"/>
          <w:marBottom w:val="0"/>
          <w:divBdr>
            <w:top w:val="none" w:sz="0" w:space="0" w:color="auto"/>
            <w:left w:val="none" w:sz="0" w:space="0" w:color="auto"/>
            <w:bottom w:val="none" w:sz="0" w:space="0" w:color="auto"/>
            <w:right w:val="none" w:sz="0" w:space="0" w:color="auto"/>
          </w:divBdr>
        </w:div>
        <w:div w:id="1737629050">
          <w:marLeft w:val="0"/>
          <w:marRight w:val="0"/>
          <w:marTop w:val="0"/>
          <w:marBottom w:val="0"/>
          <w:divBdr>
            <w:top w:val="none" w:sz="0" w:space="0" w:color="auto"/>
            <w:left w:val="none" w:sz="0" w:space="0" w:color="auto"/>
            <w:bottom w:val="none" w:sz="0" w:space="0" w:color="auto"/>
            <w:right w:val="none" w:sz="0" w:space="0" w:color="auto"/>
          </w:divBdr>
        </w:div>
        <w:div w:id="1796173359">
          <w:marLeft w:val="0"/>
          <w:marRight w:val="0"/>
          <w:marTop w:val="0"/>
          <w:marBottom w:val="0"/>
          <w:divBdr>
            <w:top w:val="none" w:sz="0" w:space="0" w:color="auto"/>
            <w:left w:val="none" w:sz="0" w:space="0" w:color="auto"/>
            <w:bottom w:val="none" w:sz="0" w:space="0" w:color="auto"/>
            <w:right w:val="none" w:sz="0" w:space="0" w:color="auto"/>
          </w:divBdr>
        </w:div>
        <w:div w:id="1928924582">
          <w:marLeft w:val="0"/>
          <w:marRight w:val="0"/>
          <w:marTop w:val="0"/>
          <w:marBottom w:val="0"/>
          <w:divBdr>
            <w:top w:val="none" w:sz="0" w:space="0" w:color="auto"/>
            <w:left w:val="none" w:sz="0" w:space="0" w:color="auto"/>
            <w:bottom w:val="none" w:sz="0" w:space="0" w:color="auto"/>
            <w:right w:val="none" w:sz="0" w:space="0" w:color="auto"/>
          </w:divBdr>
        </w:div>
        <w:div w:id="2092458824">
          <w:marLeft w:val="0"/>
          <w:marRight w:val="0"/>
          <w:marTop w:val="0"/>
          <w:marBottom w:val="0"/>
          <w:divBdr>
            <w:top w:val="none" w:sz="0" w:space="0" w:color="auto"/>
            <w:left w:val="none" w:sz="0" w:space="0" w:color="auto"/>
            <w:bottom w:val="none" w:sz="0" w:space="0" w:color="auto"/>
            <w:right w:val="none" w:sz="0" w:space="0" w:color="auto"/>
          </w:divBdr>
        </w:div>
        <w:div w:id="2117016403">
          <w:marLeft w:val="0"/>
          <w:marRight w:val="0"/>
          <w:marTop w:val="0"/>
          <w:marBottom w:val="0"/>
          <w:divBdr>
            <w:top w:val="none" w:sz="0" w:space="0" w:color="auto"/>
            <w:left w:val="none" w:sz="0" w:space="0" w:color="auto"/>
            <w:bottom w:val="none" w:sz="0" w:space="0" w:color="auto"/>
            <w:right w:val="none" w:sz="0" w:space="0" w:color="auto"/>
          </w:divBdr>
        </w:div>
      </w:divsChild>
    </w:div>
    <w:div w:id="1589999762">
      <w:bodyDiv w:val="1"/>
      <w:marLeft w:val="0"/>
      <w:marRight w:val="0"/>
      <w:marTop w:val="0"/>
      <w:marBottom w:val="0"/>
      <w:divBdr>
        <w:top w:val="none" w:sz="0" w:space="0" w:color="auto"/>
        <w:left w:val="none" w:sz="0" w:space="0" w:color="auto"/>
        <w:bottom w:val="none" w:sz="0" w:space="0" w:color="auto"/>
        <w:right w:val="none" w:sz="0" w:space="0" w:color="auto"/>
      </w:divBdr>
    </w:div>
    <w:div w:id="1688099209">
      <w:bodyDiv w:val="1"/>
      <w:marLeft w:val="0"/>
      <w:marRight w:val="0"/>
      <w:marTop w:val="0"/>
      <w:marBottom w:val="0"/>
      <w:divBdr>
        <w:top w:val="none" w:sz="0" w:space="0" w:color="auto"/>
        <w:left w:val="none" w:sz="0" w:space="0" w:color="auto"/>
        <w:bottom w:val="none" w:sz="0" w:space="0" w:color="auto"/>
        <w:right w:val="none" w:sz="0" w:space="0" w:color="auto"/>
      </w:divBdr>
      <w:divsChild>
        <w:div w:id="915820802">
          <w:marLeft w:val="0"/>
          <w:marRight w:val="0"/>
          <w:marTop w:val="0"/>
          <w:marBottom w:val="0"/>
          <w:divBdr>
            <w:top w:val="none" w:sz="0" w:space="0" w:color="auto"/>
            <w:left w:val="none" w:sz="0" w:space="0" w:color="auto"/>
            <w:bottom w:val="none" w:sz="0" w:space="0" w:color="auto"/>
            <w:right w:val="none" w:sz="0" w:space="0" w:color="auto"/>
          </w:divBdr>
          <w:divsChild>
            <w:div w:id="1215506943">
              <w:marLeft w:val="0"/>
              <w:marRight w:val="0"/>
              <w:marTop w:val="0"/>
              <w:marBottom w:val="0"/>
              <w:divBdr>
                <w:top w:val="none" w:sz="0" w:space="0" w:color="auto"/>
                <w:left w:val="none" w:sz="0" w:space="0" w:color="auto"/>
                <w:bottom w:val="none" w:sz="0" w:space="0" w:color="auto"/>
                <w:right w:val="none" w:sz="0" w:space="0" w:color="auto"/>
              </w:divBdr>
              <w:divsChild>
                <w:div w:id="48243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613015">
      <w:bodyDiv w:val="1"/>
      <w:marLeft w:val="0"/>
      <w:marRight w:val="0"/>
      <w:marTop w:val="0"/>
      <w:marBottom w:val="0"/>
      <w:divBdr>
        <w:top w:val="none" w:sz="0" w:space="0" w:color="auto"/>
        <w:left w:val="none" w:sz="0" w:space="0" w:color="auto"/>
        <w:bottom w:val="none" w:sz="0" w:space="0" w:color="auto"/>
        <w:right w:val="none" w:sz="0" w:space="0" w:color="auto"/>
      </w:divBdr>
      <w:divsChild>
        <w:div w:id="822550679">
          <w:marLeft w:val="0"/>
          <w:marRight w:val="0"/>
          <w:marTop w:val="0"/>
          <w:marBottom w:val="0"/>
          <w:divBdr>
            <w:top w:val="none" w:sz="0" w:space="0" w:color="auto"/>
            <w:left w:val="none" w:sz="0" w:space="0" w:color="auto"/>
            <w:bottom w:val="none" w:sz="0" w:space="0" w:color="auto"/>
            <w:right w:val="none" w:sz="0" w:space="0" w:color="auto"/>
          </w:divBdr>
        </w:div>
        <w:div w:id="1094666164">
          <w:marLeft w:val="0"/>
          <w:marRight w:val="0"/>
          <w:marTop w:val="0"/>
          <w:marBottom w:val="0"/>
          <w:divBdr>
            <w:top w:val="none" w:sz="0" w:space="0" w:color="auto"/>
            <w:left w:val="none" w:sz="0" w:space="0" w:color="auto"/>
            <w:bottom w:val="none" w:sz="0" w:space="0" w:color="auto"/>
            <w:right w:val="none" w:sz="0" w:space="0" w:color="auto"/>
          </w:divBdr>
        </w:div>
        <w:div w:id="1112555335">
          <w:marLeft w:val="0"/>
          <w:marRight w:val="0"/>
          <w:marTop w:val="0"/>
          <w:marBottom w:val="0"/>
          <w:divBdr>
            <w:top w:val="none" w:sz="0" w:space="0" w:color="auto"/>
            <w:left w:val="none" w:sz="0" w:space="0" w:color="auto"/>
            <w:bottom w:val="none" w:sz="0" w:space="0" w:color="auto"/>
            <w:right w:val="none" w:sz="0" w:space="0" w:color="auto"/>
          </w:divBdr>
        </w:div>
        <w:div w:id="1513646325">
          <w:marLeft w:val="0"/>
          <w:marRight w:val="0"/>
          <w:marTop w:val="0"/>
          <w:marBottom w:val="0"/>
          <w:divBdr>
            <w:top w:val="none" w:sz="0" w:space="0" w:color="auto"/>
            <w:left w:val="none" w:sz="0" w:space="0" w:color="auto"/>
            <w:bottom w:val="none" w:sz="0" w:space="0" w:color="auto"/>
            <w:right w:val="none" w:sz="0" w:space="0" w:color="auto"/>
          </w:divBdr>
        </w:div>
        <w:div w:id="1713772795">
          <w:marLeft w:val="0"/>
          <w:marRight w:val="0"/>
          <w:marTop w:val="0"/>
          <w:marBottom w:val="0"/>
          <w:divBdr>
            <w:top w:val="none" w:sz="0" w:space="0" w:color="auto"/>
            <w:left w:val="none" w:sz="0" w:space="0" w:color="auto"/>
            <w:bottom w:val="none" w:sz="0" w:space="0" w:color="auto"/>
            <w:right w:val="none" w:sz="0" w:space="0" w:color="auto"/>
          </w:divBdr>
        </w:div>
        <w:div w:id="1747608298">
          <w:marLeft w:val="0"/>
          <w:marRight w:val="0"/>
          <w:marTop w:val="0"/>
          <w:marBottom w:val="0"/>
          <w:divBdr>
            <w:top w:val="none" w:sz="0" w:space="0" w:color="auto"/>
            <w:left w:val="none" w:sz="0" w:space="0" w:color="auto"/>
            <w:bottom w:val="none" w:sz="0" w:space="0" w:color="auto"/>
            <w:right w:val="none" w:sz="0" w:space="0" w:color="auto"/>
          </w:divBdr>
        </w:div>
      </w:divsChild>
    </w:div>
    <w:div w:id="1720007118">
      <w:bodyDiv w:val="1"/>
      <w:marLeft w:val="0"/>
      <w:marRight w:val="0"/>
      <w:marTop w:val="0"/>
      <w:marBottom w:val="0"/>
      <w:divBdr>
        <w:top w:val="none" w:sz="0" w:space="0" w:color="auto"/>
        <w:left w:val="none" w:sz="0" w:space="0" w:color="auto"/>
        <w:bottom w:val="none" w:sz="0" w:space="0" w:color="auto"/>
        <w:right w:val="none" w:sz="0" w:space="0" w:color="auto"/>
      </w:divBdr>
    </w:div>
    <w:div w:id="1732190641">
      <w:bodyDiv w:val="1"/>
      <w:marLeft w:val="0"/>
      <w:marRight w:val="0"/>
      <w:marTop w:val="0"/>
      <w:marBottom w:val="0"/>
      <w:divBdr>
        <w:top w:val="none" w:sz="0" w:space="0" w:color="auto"/>
        <w:left w:val="none" w:sz="0" w:space="0" w:color="auto"/>
        <w:bottom w:val="none" w:sz="0" w:space="0" w:color="auto"/>
        <w:right w:val="none" w:sz="0" w:space="0" w:color="auto"/>
      </w:divBdr>
    </w:div>
    <w:div w:id="1732389987">
      <w:bodyDiv w:val="1"/>
      <w:marLeft w:val="0"/>
      <w:marRight w:val="0"/>
      <w:marTop w:val="0"/>
      <w:marBottom w:val="0"/>
      <w:divBdr>
        <w:top w:val="none" w:sz="0" w:space="0" w:color="auto"/>
        <w:left w:val="none" w:sz="0" w:space="0" w:color="auto"/>
        <w:bottom w:val="none" w:sz="0" w:space="0" w:color="auto"/>
        <w:right w:val="none" w:sz="0" w:space="0" w:color="auto"/>
      </w:divBdr>
      <w:divsChild>
        <w:div w:id="242758544">
          <w:marLeft w:val="0"/>
          <w:marRight w:val="0"/>
          <w:marTop w:val="0"/>
          <w:marBottom w:val="0"/>
          <w:divBdr>
            <w:top w:val="none" w:sz="0" w:space="0" w:color="auto"/>
            <w:left w:val="none" w:sz="0" w:space="0" w:color="auto"/>
            <w:bottom w:val="none" w:sz="0" w:space="0" w:color="auto"/>
            <w:right w:val="none" w:sz="0" w:space="0" w:color="auto"/>
          </w:divBdr>
        </w:div>
        <w:div w:id="759524863">
          <w:marLeft w:val="0"/>
          <w:marRight w:val="0"/>
          <w:marTop w:val="0"/>
          <w:marBottom w:val="0"/>
          <w:divBdr>
            <w:top w:val="none" w:sz="0" w:space="0" w:color="auto"/>
            <w:left w:val="none" w:sz="0" w:space="0" w:color="auto"/>
            <w:bottom w:val="none" w:sz="0" w:space="0" w:color="auto"/>
            <w:right w:val="none" w:sz="0" w:space="0" w:color="auto"/>
          </w:divBdr>
        </w:div>
      </w:divsChild>
    </w:div>
    <w:div w:id="1786386495">
      <w:bodyDiv w:val="1"/>
      <w:marLeft w:val="0"/>
      <w:marRight w:val="0"/>
      <w:marTop w:val="0"/>
      <w:marBottom w:val="0"/>
      <w:divBdr>
        <w:top w:val="none" w:sz="0" w:space="0" w:color="auto"/>
        <w:left w:val="none" w:sz="0" w:space="0" w:color="auto"/>
        <w:bottom w:val="none" w:sz="0" w:space="0" w:color="auto"/>
        <w:right w:val="none" w:sz="0" w:space="0" w:color="auto"/>
      </w:divBdr>
      <w:divsChild>
        <w:div w:id="391316920">
          <w:marLeft w:val="547"/>
          <w:marRight w:val="0"/>
          <w:marTop w:val="0"/>
          <w:marBottom w:val="0"/>
          <w:divBdr>
            <w:top w:val="none" w:sz="0" w:space="0" w:color="auto"/>
            <w:left w:val="none" w:sz="0" w:space="0" w:color="auto"/>
            <w:bottom w:val="none" w:sz="0" w:space="0" w:color="auto"/>
            <w:right w:val="none" w:sz="0" w:space="0" w:color="auto"/>
          </w:divBdr>
        </w:div>
      </w:divsChild>
    </w:div>
    <w:div w:id="1789003923">
      <w:bodyDiv w:val="1"/>
      <w:marLeft w:val="0"/>
      <w:marRight w:val="0"/>
      <w:marTop w:val="0"/>
      <w:marBottom w:val="0"/>
      <w:divBdr>
        <w:top w:val="none" w:sz="0" w:space="0" w:color="auto"/>
        <w:left w:val="none" w:sz="0" w:space="0" w:color="auto"/>
        <w:bottom w:val="none" w:sz="0" w:space="0" w:color="auto"/>
        <w:right w:val="none" w:sz="0" w:space="0" w:color="auto"/>
      </w:divBdr>
    </w:div>
    <w:div w:id="1802840934">
      <w:bodyDiv w:val="1"/>
      <w:marLeft w:val="0"/>
      <w:marRight w:val="0"/>
      <w:marTop w:val="0"/>
      <w:marBottom w:val="0"/>
      <w:divBdr>
        <w:top w:val="none" w:sz="0" w:space="0" w:color="auto"/>
        <w:left w:val="none" w:sz="0" w:space="0" w:color="auto"/>
        <w:bottom w:val="none" w:sz="0" w:space="0" w:color="auto"/>
        <w:right w:val="none" w:sz="0" w:space="0" w:color="auto"/>
      </w:divBdr>
    </w:div>
    <w:div w:id="1917781160">
      <w:bodyDiv w:val="1"/>
      <w:marLeft w:val="0"/>
      <w:marRight w:val="0"/>
      <w:marTop w:val="0"/>
      <w:marBottom w:val="0"/>
      <w:divBdr>
        <w:top w:val="none" w:sz="0" w:space="0" w:color="auto"/>
        <w:left w:val="none" w:sz="0" w:space="0" w:color="auto"/>
        <w:bottom w:val="none" w:sz="0" w:space="0" w:color="auto"/>
        <w:right w:val="none" w:sz="0" w:space="0" w:color="auto"/>
      </w:divBdr>
    </w:div>
    <w:div w:id="1921911862">
      <w:bodyDiv w:val="1"/>
      <w:marLeft w:val="0"/>
      <w:marRight w:val="0"/>
      <w:marTop w:val="0"/>
      <w:marBottom w:val="0"/>
      <w:divBdr>
        <w:top w:val="none" w:sz="0" w:space="0" w:color="auto"/>
        <w:left w:val="none" w:sz="0" w:space="0" w:color="auto"/>
        <w:bottom w:val="none" w:sz="0" w:space="0" w:color="auto"/>
        <w:right w:val="none" w:sz="0" w:space="0" w:color="auto"/>
      </w:divBdr>
    </w:div>
    <w:div w:id="1944653938">
      <w:bodyDiv w:val="1"/>
      <w:marLeft w:val="0"/>
      <w:marRight w:val="0"/>
      <w:marTop w:val="0"/>
      <w:marBottom w:val="0"/>
      <w:divBdr>
        <w:top w:val="none" w:sz="0" w:space="0" w:color="auto"/>
        <w:left w:val="none" w:sz="0" w:space="0" w:color="auto"/>
        <w:bottom w:val="none" w:sz="0" w:space="0" w:color="auto"/>
        <w:right w:val="none" w:sz="0" w:space="0" w:color="auto"/>
      </w:divBdr>
    </w:div>
    <w:div w:id="1955794438">
      <w:bodyDiv w:val="1"/>
      <w:marLeft w:val="0"/>
      <w:marRight w:val="0"/>
      <w:marTop w:val="0"/>
      <w:marBottom w:val="0"/>
      <w:divBdr>
        <w:top w:val="none" w:sz="0" w:space="0" w:color="auto"/>
        <w:left w:val="none" w:sz="0" w:space="0" w:color="auto"/>
        <w:bottom w:val="none" w:sz="0" w:space="0" w:color="auto"/>
        <w:right w:val="none" w:sz="0" w:space="0" w:color="auto"/>
      </w:divBdr>
      <w:divsChild>
        <w:div w:id="5912745">
          <w:marLeft w:val="0"/>
          <w:marRight w:val="0"/>
          <w:marTop w:val="0"/>
          <w:marBottom w:val="0"/>
          <w:divBdr>
            <w:top w:val="none" w:sz="0" w:space="0" w:color="auto"/>
            <w:left w:val="none" w:sz="0" w:space="0" w:color="auto"/>
            <w:bottom w:val="none" w:sz="0" w:space="0" w:color="auto"/>
            <w:right w:val="none" w:sz="0" w:space="0" w:color="auto"/>
          </w:divBdr>
        </w:div>
        <w:div w:id="246766594">
          <w:marLeft w:val="0"/>
          <w:marRight w:val="0"/>
          <w:marTop w:val="0"/>
          <w:marBottom w:val="0"/>
          <w:divBdr>
            <w:top w:val="none" w:sz="0" w:space="0" w:color="auto"/>
            <w:left w:val="none" w:sz="0" w:space="0" w:color="auto"/>
            <w:bottom w:val="none" w:sz="0" w:space="0" w:color="auto"/>
            <w:right w:val="none" w:sz="0" w:space="0" w:color="auto"/>
          </w:divBdr>
        </w:div>
        <w:div w:id="302084195">
          <w:marLeft w:val="0"/>
          <w:marRight w:val="0"/>
          <w:marTop w:val="0"/>
          <w:marBottom w:val="0"/>
          <w:divBdr>
            <w:top w:val="none" w:sz="0" w:space="0" w:color="auto"/>
            <w:left w:val="none" w:sz="0" w:space="0" w:color="auto"/>
            <w:bottom w:val="none" w:sz="0" w:space="0" w:color="auto"/>
            <w:right w:val="none" w:sz="0" w:space="0" w:color="auto"/>
          </w:divBdr>
        </w:div>
        <w:div w:id="628710818">
          <w:marLeft w:val="0"/>
          <w:marRight w:val="0"/>
          <w:marTop w:val="0"/>
          <w:marBottom w:val="0"/>
          <w:divBdr>
            <w:top w:val="none" w:sz="0" w:space="0" w:color="auto"/>
            <w:left w:val="none" w:sz="0" w:space="0" w:color="auto"/>
            <w:bottom w:val="none" w:sz="0" w:space="0" w:color="auto"/>
            <w:right w:val="none" w:sz="0" w:space="0" w:color="auto"/>
          </w:divBdr>
        </w:div>
        <w:div w:id="688062700">
          <w:marLeft w:val="0"/>
          <w:marRight w:val="0"/>
          <w:marTop w:val="0"/>
          <w:marBottom w:val="0"/>
          <w:divBdr>
            <w:top w:val="none" w:sz="0" w:space="0" w:color="auto"/>
            <w:left w:val="none" w:sz="0" w:space="0" w:color="auto"/>
            <w:bottom w:val="none" w:sz="0" w:space="0" w:color="auto"/>
            <w:right w:val="none" w:sz="0" w:space="0" w:color="auto"/>
          </w:divBdr>
          <w:divsChild>
            <w:div w:id="820778597">
              <w:marLeft w:val="0"/>
              <w:marRight w:val="0"/>
              <w:marTop w:val="30"/>
              <w:marBottom w:val="30"/>
              <w:divBdr>
                <w:top w:val="none" w:sz="0" w:space="0" w:color="auto"/>
                <w:left w:val="none" w:sz="0" w:space="0" w:color="auto"/>
                <w:bottom w:val="none" w:sz="0" w:space="0" w:color="auto"/>
                <w:right w:val="none" w:sz="0" w:space="0" w:color="auto"/>
              </w:divBdr>
              <w:divsChild>
                <w:div w:id="141779251">
                  <w:marLeft w:val="0"/>
                  <w:marRight w:val="0"/>
                  <w:marTop w:val="0"/>
                  <w:marBottom w:val="0"/>
                  <w:divBdr>
                    <w:top w:val="none" w:sz="0" w:space="0" w:color="auto"/>
                    <w:left w:val="none" w:sz="0" w:space="0" w:color="auto"/>
                    <w:bottom w:val="none" w:sz="0" w:space="0" w:color="auto"/>
                    <w:right w:val="none" w:sz="0" w:space="0" w:color="auto"/>
                  </w:divBdr>
                  <w:divsChild>
                    <w:div w:id="617220896">
                      <w:marLeft w:val="0"/>
                      <w:marRight w:val="0"/>
                      <w:marTop w:val="0"/>
                      <w:marBottom w:val="0"/>
                      <w:divBdr>
                        <w:top w:val="none" w:sz="0" w:space="0" w:color="auto"/>
                        <w:left w:val="none" w:sz="0" w:space="0" w:color="auto"/>
                        <w:bottom w:val="none" w:sz="0" w:space="0" w:color="auto"/>
                        <w:right w:val="none" w:sz="0" w:space="0" w:color="auto"/>
                      </w:divBdr>
                    </w:div>
                    <w:div w:id="1140074375">
                      <w:marLeft w:val="0"/>
                      <w:marRight w:val="0"/>
                      <w:marTop w:val="0"/>
                      <w:marBottom w:val="0"/>
                      <w:divBdr>
                        <w:top w:val="none" w:sz="0" w:space="0" w:color="auto"/>
                        <w:left w:val="none" w:sz="0" w:space="0" w:color="auto"/>
                        <w:bottom w:val="none" w:sz="0" w:space="0" w:color="auto"/>
                        <w:right w:val="none" w:sz="0" w:space="0" w:color="auto"/>
                      </w:divBdr>
                    </w:div>
                    <w:div w:id="1461068386">
                      <w:marLeft w:val="0"/>
                      <w:marRight w:val="0"/>
                      <w:marTop w:val="0"/>
                      <w:marBottom w:val="0"/>
                      <w:divBdr>
                        <w:top w:val="none" w:sz="0" w:space="0" w:color="auto"/>
                        <w:left w:val="none" w:sz="0" w:space="0" w:color="auto"/>
                        <w:bottom w:val="none" w:sz="0" w:space="0" w:color="auto"/>
                        <w:right w:val="none" w:sz="0" w:space="0" w:color="auto"/>
                      </w:divBdr>
                    </w:div>
                    <w:div w:id="2094037045">
                      <w:marLeft w:val="0"/>
                      <w:marRight w:val="0"/>
                      <w:marTop w:val="0"/>
                      <w:marBottom w:val="0"/>
                      <w:divBdr>
                        <w:top w:val="none" w:sz="0" w:space="0" w:color="auto"/>
                        <w:left w:val="none" w:sz="0" w:space="0" w:color="auto"/>
                        <w:bottom w:val="none" w:sz="0" w:space="0" w:color="auto"/>
                        <w:right w:val="none" w:sz="0" w:space="0" w:color="auto"/>
                      </w:divBdr>
                      <w:divsChild>
                        <w:div w:id="1300646907">
                          <w:marLeft w:val="0"/>
                          <w:marRight w:val="0"/>
                          <w:marTop w:val="30"/>
                          <w:marBottom w:val="30"/>
                          <w:divBdr>
                            <w:top w:val="none" w:sz="0" w:space="0" w:color="auto"/>
                            <w:left w:val="none" w:sz="0" w:space="0" w:color="auto"/>
                            <w:bottom w:val="none" w:sz="0" w:space="0" w:color="auto"/>
                            <w:right w:val="none" w:sz="0" w:space="0" w:color="auto"/>
                          </w:divBdr>
                          <w:divsChild>
                            <w:div w:id="7485370">
                              <w:marLeft w:val="0"/>
                              <w:marRight w:val="0"/>
                              <w:marTop w:val="0"/>
                              <w:marBottom w:val="0"/>
                              <w:divBdr>
                                <w:top w:val="none" w:sz="0" w:space="0" w:color="auto"/>
                                <w:left w:val="none" w:sz="0" w:space="0" w:color="auto"/>
                                <w:bottom w:val="none" w:sz="0" w:space="0" w:color="auto"/>
                                <w:right w:val="none" w:sz="0" w:space="0" w:color="auto"/>
                              </w:divBdr>
                              <w:divsChild>
                                <w:div w:id="262421018">
                                  <w:marLeft w:val="0"/>
                                  <w:marRight w:val="0"/>
                                  <w:marTop w:val="0"/>
                                  <w:marBottom w:val="0"/>
                                  <w:divBdr>
                                    <w:top w:val="none" w:sz="0" w:space="0" w:color="auto"/>
                                    <w:left w:val="none" w:sz="0" w:space="0" w:color="auto"/>
                                    <w:bottom w:val="none" w:sz="0" w:space="0" w:color="auto"/>
                                    <w:right w:val="none" w:sz="0" w:space="0" w:color="auto"/>
                                  </w:divBdr>
                                </w:div>
                              </w:divsChild>
                            </w:div>
                            <w:div w:id="107816700">
                              <w:marLeft w:val="0"/>
                              <w:marRight w:val="0"/>
                              <w:marTop w:val="0"/>
                              <w:marBottom w:val="0"/>
                              <w:divBdr>
                                <w:top w:val="none" w:sz="0" w:space="0" w:color="auto"/>
                                <w:left w:val="none" w:sz="0" w:space="0" w:color="auto"/>
                                <w:bottom w:val="none" w:sz="0" w:space="0" w:color="auto"/>
                                <w:right w:val="none" w:sz="0" w:space="0" w:color="auto"/>
                              </w:divBdr>
                              <w:divsChild>
                                <w:div w:id="1440644035">
                                  <w:marLeft w:val="0"/>
                                  <w:marRight w:val="0"/>
                                  <w:marTop w:val="0"/>
                                  <w:marBottom w:val="0"/>
                                  <w:divBdr>
                                    <w:top w:val="none" w:sz="0" w:space="0" w:color="auto"/>
                                    <w:left w:val="none" w:sz="0" w:space="0" w:color="auto"/>
                                    <w:bottom w:val="none" w:sz="0" w:space="0" w:color="auto"/>
                                    <w:right w:val="none" w:sz="0" w:space="0" w:color="auto"/>
                                  </w:divBdr>
                                </w:div>
                              </w:divsChild>
                            </w:div>
                            <w:div w:id="123087247">
                              <w:marLeft w:val="0"/>
                              <w:marRight w:val="0"/>
                              <w:marTop w:val="0"/>
                              <w:marBottom w:val="0"/>
                              <w:divBdr>
                                <w:top w:val="none" w:sz="0" w:space="0" w:color="auto"/>
                                <w:left w:val="none" w:sz="0" w:space="0" w:color="auto"/>
                                <w:bottom w:val="none" w:sz="0" w:space="0" w:color="auto"/>
                                <w:right w:val="none" w:sz="0" w:space="0" w:color="auto"/>
                              </w:divBdr>
                              <w:divsChild>
                                <w:div w:id="12852606">
                                  <w:marLeft w:val="0"/>
                                  <w:marRight w:val="0"/>
                                  <w:marTop w:val="0"/>
                                  <w:marBottom w:val="0"/>
                                  <w:divBdr>
                                    <w:top w:val="none" w:sz="0" w:space="0" w:color="auto"/>
                                    <w:left w:val="none" w:sz="0" w:space="0" w:color="auto"/>
                                    <w:bottom w:val="none" w:sz="0" w:space="0" w:color="auto"/>
                                    <w:right w:val="none" w:sz="0" w:space="0" w:color="auto"/>
                                  </w:divBdr>
                                </w:div>
                              </w:divsChild>
                            </w:div>
                            <w:div w:id="231476231">
                              <w:marLeft w:val="0"/>
                              <w:marRight w:val="0"/>
                              <w:marTop w:val="0"/>
                              <w:marBottom w:val="0"/>
                              <w:divBdr>
                                <w:top w:val="none" w:sz="0" w:space="0" w:color="auto"/>
                                <w:left w:val="none" w:sz="0" w:space="0" w:color="auto"/>
                                <w:bottom w:val="none" w:sz="0" w:space="0" w:color="auto"/>
                                <w:right w:val="none" w:sz="0" w:space="0" w:color="auto"/>
                              </w:divBdr>
                              <w:divsChild>
                                <w:div w:id="664865389">
                                  <w:marLeft w:val="0"/>
                                  <w:marRight w:val="0"/>
                                  <w:marTop w:val="0"/>
                                  <w:marBottom w:val="0"/>
                                  <w:divBdr>
                                    <w:top w:val="none" w:sz="0" w:space="0" w:color="auto"/>
                                    <w:left w:val="none" w:sz="0" w:space="0" w:color="auto"/>
                                    <w:bottom w:val="none" w:sz="0" w:space="0" w:color="auto"/>
                                    <w:right w:val="none" w:sz="0" w:space="0" w:color="auto"/>
                                  </w:divBdr>
                                </w:div>
                              </w:divsChild>
                            </w:div>
                            <w:div w:id="504711729">
                              <w:marLeft w:val="0"/>
                              <w:marRight w:val="0"/>
                              <w:marTop w:val="0"/>
                              <w:marBottom w:val="0"/>
                              <w:divBdr>
                                <w:top w:val="none" w:sz="0" w:space="0" w:color="auto"/>
                                <w:left w:val="none" w:sz="0" w:space="0" w:color="auto"/>
                                <w:bottom w:val="none" w:sz="0" w:space="0" w:color="auto"/>
                                <w:right w:val="none" w:sz="0" w:space="0" w:color="auto"/>
                              </w:divBdr>
                              <w:divsChild>
                                <w:div w:id="189464833">
                                  <w:marLeft w:val="0"/>
                                  <w:marRight w:val="0"/>
                                  <w:marTop w:val="0"/>
                                  <w:marBottom w:val="0"/>
                                  <w:divBdr>
                                    <w:top w:val="none" w:sz="0" w:space="0" w:color="auto"/>
                                    <w:left w:val="none" w:sz="0" w:space="0" w:color="auto"/>
                                    <w:bottom w:val="none" w:sz="0" w:space="0" w:color="auto"/>
                                    <w:right w:val="none" w:sz="0" w:space="0" w:color="auto"/>
                                  </w:divBdr>
                                </w:div>
                              </w:divsChild>
                            </w:div>
                            <w:div w:id="658193716">
                              <w:marLeft w:val="0"/>
                              <w:marRight w:val="0"/>
                              <w:marTop w:val="0"/>
                              <w:marBottom w:val="0"/>
                              <w:divBdr>
                                <w:top w:val="none" w:sz="0" w:space="0" w:color="auto"/>
                                <w:left w:val="none" w:sz="0" w:space="0" w:color="auto"/>
                                <w:bottom w:val="none" w:sz="0" w:space="0" w:color="auto"/>
                                <w:right w:val="none" w:sz="0" w:space="0" w:color="auto"/>
                              </w:divBdr>
                              <w:divsChild>
                                <w:div w:id="1259943417">
                                  <w:marLeft w:val="0"/>
                                  <w:marRight w:val="0"/>
                                  <w:marTop w:val="0"/>
                                  <w:marBottom w:val="0"/>
                                  <w:divBdr>
                                    <w:top w:val="none" w:sz="0" w:space="0" w:color="auto"/>
                                    <w:left w:val="none" w:sz="0" w:space="0" w:color="auto"/>
                                    <w:bottom w:val="none" w:sz="0" w:space="0" w:color="auto"/>
                                    <w:right w:val="none" w:sz="0" w:space="0" w:color="auto"/>
                                  </w:divBdr>
                                </w:div>
                              </w:divsChild>
                            </w:div>
                            <w:div w:id="933975070">
                              <w:marLeft w:val="0"/>
                              <w:marRight w:val="0"/>
                              <w:marTop w:val="0"/>
                              <w:marBottom w:val="0"/>
                              <w:divBdr>
                                <w:top w:val="none" w:sz="0" w:space="0" w:color="auto"/>
                                <w:left w:val="none" w:sz="0" w:space="0" w:color="auto"/>
                                <w:bottom w:val="none" w:sz="0" w:space="0" w:color="auto"/>
                                <w:right w:val="none" w:sz="0" w:space="0" w:color="auto"/>
                              </w:divBdr>
                              <w:divsChild>
                                <w:div w:id="348530872">
                                  <w:marLeft w:val="0"/>
                                  <w:marRight w:val="0"/>
                                  <w:marTop w:val="0"/>
                                  <w:marBottom w:val="0"/>
                                  <w:divBdr>
                                    <w:top w:val="none" w:sz="0" w:space="0" w:color="auto"/>
                                    <w:left w:val="none" w:sz="0" w:space="0" w:color="auto"/>
                                    <w:bottom w:val="none" w:sz="0" w:space="0" w:color="auto"/>
                                    <w:right w:val="none" w:sz="0" w:space="0" w:color="auto"/>
                                  </w:divBdr>
                                </w:div>
                              </w:divsChild>
                            </w:div>
                            <w:div w:id="950287510">
                              <w:marLeft w:val="0"/>
                              <w:marRight w:val="0"/>
                              <w:marTop w:val="0"/>
                              <w:marBottom w:val="0"/>
                              <w:divBdr>
                                <w:top w:val="none" w:sz="0" w:space="0" w:color="auto"/>
                                <w:left w:val="none" w:sz="0" w:space="0" w:color="auto"/>
                                <w:bottom w:val="none" w:sz="0" w:space="0" w:color="auto"/>
                                <w:right w:val="none" w:sz="0" w:space="0" w:color="auto"/>
                              </w:divBdr>
                              <w:divsChild>
                                <w:div w:id="333802151">
                                  <w:marLeft w:val="0"/>
                                  <w:marRight w:val="0"/>
                                  <w:marTop w:val="0"/>
                                  <w:marBottom w:val="0"/>
                                  <w:divBdr>
                                    <w:top w:val="none" w:sz="0" w:space="0" w:color="auto"/>
                                    <w:left w:val="none" w:sz="0" w:space="0" w:color="auto"/>
                                    <w:bottom w:val="none" w:sz="0" w:space="0" w:color="auto"/>
                                    <w:right w:val="none" w:sz="0" w:space="0" w:color="auto"/>
                                  </w:divBdr>
                                </w:div>
                              </w:divsChild>
                            </w:div>
                            <w:div w:id="1034185342">
                              <w:marLeft w:val="0"/>
                              <w:marRight w:val="0"/>
                              <w:marTop w:val="0"/>
                              <w:marBottom w:val="0"/>
                              <w:divBdr>
                                <w:top w:val="none" w:sz="0" w:space="0" w:color="auto"/>
                                <w:left w:val="none" w:sz="0" w:space="0" w:color="auto"/>
                                <w:bottom w:val="none" w:sz="0" w:space="0" w:color="auto"/>
                                <w:right w:val="none" w:sz="0" w:space="0" w:color="auto"/>
                              </w:divBdr>
                              <w:divsChild>
                                <w:div w:id="1317563431">
                                  <w:marLeft w:val="0"/>
                                  <w:marRight w:val="0"/>
                                  <w:marTop w:val="0"/>
                                  <w:marBottom w:val="0"/>
                                  <w:divBdr>
                                    <w:top w:val="none" w:sz="0" w:space="0" w:color="auto"/>
                                    <w:left w:val="none" w:sz="0" w:space="0" w:color="auto"/>
                                    <w:bottom w:val="none" w:sz="0" w:space="0" w:color="auto"/>
                                    <w:right w:val="none" w:sz="0" w:space="0" w:color="auto"/>
                                  </w:divBdr>
                                </w:div>
                              </w:divsChild>
                            </w:div>
                            <w:div w:id="1177378146">
                              <w:marLeft w:val="0"/>
                              <w:marRight w:val="0"/>
                              <w:marTop w:val="0"/>
                              <w:marBottom w:val="0"/>
                              <w:divBdr>
                                <w:top w:val="none" w:sz="0" w:space="0" w:color="auto"/>
                                <w:left w:val="none" w:sz="0" w:space="0" w:color="auto"/>
                                <w:bottom w:val="none" w:sz="0" w:space="0" w:color="auto"/>
                                <w:right w:val="none" w:sz="0" w:space="0" w:color="auto"/>
                              </w:divBdr>
                              <w:divsChild>
                                <w:div w:id="643705377">
                                  <w:marLeft w:val="0"/>
                                  <w:marRight w:val="0"/>
                                  <w:marTop w:val="0"/>
                                  <w:marBottom w:val="0"/>
                                  <w:divBdr>
                                    <w:top w:val="none" w:sz="0" w:space="0" w:color="auto"/>
                                    <w:left w:val="none" w:sz="0" w:space="0" w:color="auto"/>
                                    <w:bottom w:val="none" w:sz="0" w:space="0" w:color="auto"/>
                                    <w:right w:val="none" w:sz="0" w:space="0" w:color="auto"/>
                                  </w:divBdr>
                                </w:div>
                              </w:divsChild>
                            </w:div>
                            <w:div w:id="1451050629">
                              <w:marLeft w:val="0"/>
                              <w:marRight w:val="0"/>
                              <w:marTop w:val="0"/>
                              <w:marBottom w:val="0"/>
                              <w:divBdr>
                                <w:top w:val="none" w:sz="0" w:space="0" w:color="auto"/>
                                <w:left w:val="none" w:sz="0" w:space="0" w:color="auto"/>
                                <w:bottom w:val="none" w:sz="0" w:space="0" w:color="auto"/>
                                <w:right w:val="none" w:sz="0" w:space="0" w:color="auto"/>
                              </w:divBdr>
                              <w:divsChild>
                                <w:div w:id="968628161">
                                  <w:marLeft w:val="0"/>
                                  <w:marRight w:val="0"/>
                                  <w:marTop w:val="0"/>
                                  <w:marBottom w:val="0"/>
                                  <w:divBdr>
                                    <w:top w:val="none" w:sz="0" w:space="0" w:color="auto"/>
                                    <w:left w:val="none" w:sz="0" w:space="0" w:color="auto"/>
                                    <w:bottom w:val="none" w:sz="0" w:space="0" w:color="auto"/>
                                    <w:right w:val="none" w:sz="0" w:space="0" w:color="auto"/>
                                  </w:divBdr>
                                </w:div>
                              </w:divsChild>
                            </w:div>
                            <w:div w:id="1764572506">
                              <w:marLeft w:val="0"/>
                              <w:marRight w:val="0"/>
                              <w:marTop w:val="0"/>
                              <w:marBottom w:val="0"/>
                              <w:divBdr>
                                <w:top w:val="none" w:sz="0" w:space="0" w:color="auto"/>
                                <w:left w:val="none" w:sz="0" w:space="0" w:color="auto"/>
                                <w:bottom w:val="none" w:sz="0" w:space="0" w:color="auto"/>
                                <w:right w:val="none" w:sz="0" w:space="0" w:color="auto"/>
                              </w:divBdr>
                              <w:divsChild>
                                <w:div w:id="1188637548">
                                  <w:marLeft w:val="0"/>
                                  <w:marRight w:val="0"/>
                                  <w:marTop w:val="0"/>
                                  <w:marBottom w:val="0"/>
                                  <w:divBdr>
                                    <w:top w:val="none" w:sz="0" w:space="0" w:color="auto"/>
                                    <w:left w:val="none" w:sz="0" w:space="0" w:color="auto"/>
                                    <w:bottom w:val="none" w:sz="0" w:space="0" w:color="auto"/>
                                    <w:right w:val="none" w:sz="0" w:space="0" w:color="auto"/>
                                  </w:divBdr>
                                </w:div>
                              </w:divsChild>
                            </w:div>
                            <w:div w:id="1767462070">
                              <w:marLeft w:val="0"/>
                              <w:marRight w:val="0"/>
                              <w:marTop w:val="0"/>
                              <w:marBottom w:val="0"/>
                              <w:divBdr>
                                <w:top w:val="none" w:sz="0" w:space="0" w:color="auto"/>
                                <w:left w:val="none" w:sz="0" w:space="0" w:color="auto"/>
                                <w:bottom w:val="none" w:sz="0" w:space="0" w:color="auto"/>
                                <w:right w:val="none" w:sz="0" w:space="0" w:color="auto"/>
                              </w:divBdr>
                              <w:divsChild>
                                <w:div w:id="529030323">
                                  <w:marLeft w:val="0"/>
                                  <w:marRight w:val="0"/>
                                  <w:marTop w:val="0"/>
                                  <w:marBottom w:val="0"/>
                                  <w:divBdr>
                                    <w:top w:val="none" w:sz="0" w:space="0" w:color="auto"/>
                                    <w:left w:val="none" w:sz="0" w:space="0" w:color="auto"/>
                                    <w:bottom w:val="none" w:sz="0" w:space="0" w:color="auto"/>
                                    <w:right w:val="none" w:sz="0" w:space="0" w:color="auto"/>
                                  </w:divBdr>
                                </w:div>
                              </w:divsChild>
                            </w:div>
                            <w:div w:id="1770614630">
                              <w:marLeft w:val="0"/>
                              <w:marRight w:val="0"/>
                              <w:marTop w:val="0"/>
                              <w:marBottom w:val="0"/>
                              <w:divBdr>
                                <w:top w:val="none" w:sz="0" w:space="0" w:color="auto"/>
                                <w:left w:val="none" w:sz="0" w:space="0" w:color="auto"/>
                                <w:bottom w:val="none" w:sz="0" w:space="0" w:color="auto"/>
                                <w:right w:val="none" w:sz="0" w:space="0" w:color="auto"/>
                              </w:divBdr>
                              <w:divsChild>
                                <w:div w:id="192228558">
                                  <w:marLeft w:val="0"/>
                                  <w:marRight w:val="0"/>
                                  <w:marTop w:val="0"/>
                                  <w:marBottom w:val="0"/>
                                  <w:divBdr>
                                    <w:top w:val="none" w:sz="0" w:space="0" w:color="auto"/>
                                    <w:left w:val="none" w:sz="0" w:space="0" w:color="auto"/>
                                    <w:bottom w:val="none" w:sz="0" w:space="0" w:color="auto"/>
                                    <w:right w:val="none" w:sz="0" w:space="0" w:color="auto"/>
                                  </w:divBdr>
                                </w:div>
                              </w:divsChild>
                            </w:div>
                            <w:div w:id="1787502127">
                              <w:marLeft w:val="0"/>
                              <w:marRight w:val="0"/>
                              <w:marTop w:val="0"/>
                              <w:marBottom w:val="0"/>
                              <w:divBdr>
                                <w:top w:val="none" w:sz="0" w:space="0" w:color="auto"/>
                                <w:left w:val="none" w:sz="0" w:space="0" w:color="auto"/>
                                <w:bottom w:val="none" w:sz="0" w:space="0" w:color="auto"/>
                                <w:right w:val="none" w:sz="0" w:space="0" w:color="auto"/>
                              </w:divBdr>
                              <w:divsChild>
                                <w:div w:id="824247182">
                                  <w:marLeft w:val="0"/>
                                  <w:marRight w:val="0"/>
                                  <w:marTop w:val="0"/>
                                  <w:marBottom w:val="0"/>
                                  <w:divBdr>
                                    <w:top w:val="none" w:sz="0" w:space="0" w:color="auto"/>
                                    <w:left w:val="none" w:sz="0" w:space="0" w:color="auto"/>
                                    <w:bottom w:val="none" w:sz="0" w:space="0" w:color="auto"/>
                                    <w:right w:val="none" w:sz="0" w:space="0" w:color="auto"/>
                                  </w:divBdr>
                                </w:div>
                                <w:div w:id="1077749915">
                                  <w:marLeft w:val="0"/>
                                  <w:marRight w:val="0"/>
                                  <w:marTop w:val="0"/>
                                  <w:marBottom w:val="0"/>
                                  <w:divBdr>
                                    <w:top w:val="none" w:sz="0" w:space="0" w:color="auto"/>
                                    <w:left w:val="none" w:sz="0" w:space="0" w:color="auto"/>
                                    <w:bottom w:val="none" w:sz="0" w:space="0" w:color="auto"/>
                                    <w:right w:val="none" w:sz="0" w:space="0" w:color="auto"/>
                                  </w:divBdr>
                                </w:div>
                                <w:div w:id="1271937921">
                                  <w:marLeft w:val="0"/>
                                  <w:marRight w:val="0"/>
                                  <w:marTop w:val="0"/>
                                  <w:marBottom w:val="0"/>
                                  <w:divBdr>
                                    <w:top w:val="none" w:sz="0" w:space="0" w:color="auto"/>
                                    <w:left w:val="none" w:sz="0" w:space="0" w:color="auto"/>
                                    <w:bottom w:val="none" w:sz="0" w:space="0" w:color="auto"/>
                                    <w:right w:val="none" w:sz="0" w:space="0" w:color="auto"/>
                                  </w:divBdr>
                                </w:div>
                              </w:divsChild>
                            </w:div>
                            <w:div w:id="2092770257">
                              <w:marLeft w:val="0"/>
                              <w:marRight w:val="0"/>
                              <w:marTop w:val="0"/>
                              <w:marBottom w:val="0"/>
                              <w:divBdr>
                                <w:top w:val="none" w:sz="0" w:space="0" w:color="auto"/>
                                <w:left w:val="none" w:sz="0" w:space="0" w:color="auto"/>
                                <w:bottom w:val="none" w:sz="0" w:space="0" w:color="auto"/>
                                <w:right w:val="none" w:sz="0" w:space="0" w:color="auto"/>
                              </w:divBdr>
                              <w:divsChild>
                                <w:div w:id="116007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2766773">
                  <w:marLeft w:val="0"/>
                  <w:marRight w:val="0"/>
                  <w:marTop w:val="0"/>
                  <w:marBottom w:val="0"/>
                  <w:divBdr>
                    <w:top w:val="none" w:sz="0" w:space="0" w:color="auto"/>
                    <w:left w:val="none" w:sz="0" w:space="0" w:color="auto"/>
                    <w:bottom w:val="none" w:sz="0" w:space="0" w:color="auto"/>
                    <w:right w:val="none" w:sz="0" w:space="0" w:color="auto"/>
                  </w:divBdr>
                  <w:divsChild>
                    <w:div w:id="146019906">
                      <w:marLeft w:val="0"/>
                      <w:marRight w:val="0"/>
                      <w:marTop w:val="0"/>
                      <w:marBottom w:val="0"/>
                      <w:divBdr>
                        <w:top w:val="none" w:sz="0" w:space="0" w:color="auto"/>
                        <w:left w:val="none" w:sz="0" w:space="0" w:color="auto"/>
                        <w:bottom w:val="none" w:sz="0" w:space="0" w:color="auto"/>
                        <w:right w:val="none" w:sz="0" w:space="0" w:color="auto"/>
                      </w:divBdr>
                    </w:div>
                    <w:div w:id="654182548">
                      <w:marLeft w:val="0"/>
                      <w:marRight w:val="0"/>
                      <w:marTop w:val="0"/>
                      <w:marBottom w:val="0"/>
                      <w:divBdr>
                        <w:top w:val="none" w:sz="0" w:space="0" w:color="auto"/>
                        <w:left w:val="none" w:sz="0" w:space="0" w:color="auto"/>
                        <w:bottom w:val="none" w:sz="0" w:space="0" w:color="auto"/>
                        <w:right w:val="none" w:sz="0" w:space="0" w:color="auto"/>
                      </w:divBdr>
                    </w:div>
                    <w:div w:id="1617175691">
                      <w:marLeft w:val="0"/>
                      <w:marRight w:val="0"/>
                      <w:marTop w:val="0"/>
                      <w:marBottom w:val="0"/>
                      <w:divBdr>
                        <w:top w:val="none" w:sz="0" w:space="0" w:color="auto"/>
                        <w:left w:val="none" w:sz="0" w:space="0" w:color="auto"/>
                        <w:bottom w:val="none" w:sz="0" w:space="0" w:color="auto"/>
                        <w:right w:val="none" w:sz="0" w:space="0" w:color="auto"/>
                      </w:divBdr>
                    </w:div>
                    <w:div w:id="2105610753">
                      <w:marLeft w:val="0"/>
                      <w:marRight w:val="0"/>
                      <w:marTop w:val="0"/>
                      <w:marBottom w:val="0"/>
                      <w:divBdr>
                        <w:top w:val="none" w:sz="0" w:space="0" w:color="auto"/>
                        <w:left w:val="none" w:sz="0" w:space="0" w:color="auto"/>
                        <w:bottom w:val="none" w:sz="0" w:space="0" w:color="auto"/>
                        <w:right w:val="none" w:sz="0" w:space="0" w:color="auto"/>
                      </w:divBdr>
                    </w:div>
                  </w:divsChild>
                </w:div>
                <w:div w:id="1307009687">
                  <w:marLeft w:val="0"/>
                  <w:marRight w:val="0"/>
                  <w:marTop w:val="0"/>
                  <w:marBottom w:val="0"/>
                  <w:divBdr>
                    <w:top w:val="none" w:sz="0" w:space="0" w:color="auto"/>
                    <w:left w:val="none" w:sz="0" w:space="0" w:color="auto"/>
                    <w:bottom w:val="none" w:sz="0" w:space="0" w:color="auto"/>
                    <w:right w:val="none" w:sz="0" w:space="0" w:color="auto"/>
                  </w:divBdr>
                  <w:divsChild>
                    <w:div w:id="1112169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756240">
          <w:marLeft w:val="0"/>
          <w:marRight w:val="0"/>
          <w:marTop w:val="0"/>
          <w:marBottom w:val="0"/>
          <w:divBdr>
            <w:top w:val="none" w:sz="0" w:space="0" w:color="auto"/>
            <w:left w:val="none" w:sz="0" w:space="0" w:color="auto"/>
            <w:bottom w:val="none" w:sz="0" w:space="0" w:color="auto"/>
            <w:right w:val="none" w:sz="0" w:space="0" w:color="auto"/>
          </w:divBdr>
          <w:divsChild>
            <w:div w:id="423190567">
              <w:marLeft w:val="0"/>
              <w:marRight w:val="0"/>
              <w:marTop w:val="0"/>
              <w:marBottom w:val="0"/>
              <w:divBdr>
                <w:top w:val="none" w:sz="0" w:space="0" w:color="auto"/>
                <w:left w:val="none" w:sz="0" w:space="0" w:color="auto"/>
                <w:bottom w:val="none" w:sz="0" w:space="0" w:color="auto"/>
                <w:right w:val="none" w:sz="0" w:space="0" w:color="auto"/>
              </w:divBdr>
            </w:div>
            <w:div w:id="518856711">
              <w:marLeft w:val="0"/>
              <w:marRight w:val="0"/>
              <w:marTop w:val="0"/>
              <w:marBottom w:val="0"/>
              <w:divBdr>
                <w:top w:val="none" w:sz="0" w:space="0" w:color="auto"/>
                <w:left w:val="none" w:sz="0" w:space="0" w:color="auto"/>
                <w:bottom w:val="none" w:sz="0" w:space="0" w:color="auto"/>
                <w:right w:val="none" w:sz="0" w:space="0" w:color="auto"/>
              </w:divBdr>
            </w:div>
            <w:div w:id="563570524">
              <w:marLeft w:val="0"/>
              <w:marRight w:val="0"/>
              <w:marTop w:val="0"/>
              <w:marBottom w:val="0"/>
              <w:divBdr>
                <w:top w:val="none" w:sz="0" w:space="0" w:color="auto"/>
                <w:left w:val="none" w:sz="0" w:space="0" w:color="auto"/>
                <w:bottom w:val="none" w:sz="0" w:space="0" w:color="auto"/>
                <w:right w:val="none" w:sz="0" w:space="0" w:color="auto"/>
              </w:divBdr>
            </w:div>
            <w:div w:id="1090152641">
              <w:marLeft w:val="0"/>
              <w:marRight w:val="0"/>
              <w:marTop w:val="0"/>
              <w:marBottom w:val="0"/>
              <w:divBdr>
                <w:top w:val="none" w:sz="0" w:space="0" w:color="auto"/>
                <w:left w:val="none" w:sz="0" w:space="0" w:color="auto"/>
                <w:bottom w:val="none" w:sz="0" w:space="0" w:color="auto"/>
                <w:right w:val="none" w:sz="0" w:space="0" w:color="auto"/>
              </w:divBdr>
            </w:div>
            <w:div w:id="1120957828">
              <w:marLeft w:val="0"/>
              <w:marRight w:val="0"/>
              <w:marTop w:val="0"/>
              <w:marBottom w:val="0"/>
              <w:divBdr>
                <w:top w:val="none" w:sz="0" w:space="0" w:color="auto"/>
                <w:left w:val="none" w:sz="0" w:space="0" w:color="auto"/>
                <w:bottom w:val="none" w:sz="0" w:space="0" w:color="auto"/>
                <w:right w:val="none" w:sz="0" w:space="0" w:color="auto"/>
              </w:divBdr>
            </w:div>
            <w:div w:id="1206794698">
              <w:marLeft w:val="0"/>
              <w:marRight w:val="0"/>
              <w:marTop w:val="0"/>
              <w:marBottom w:val="0"/>
              <w:divBdr>
                <w:top w:val="none" w:sz="0" w:space="0" w:color="auto"/>
                <w:left w:val="none" w:sz="0" w:space="0" w:color="auto"/>
                <w:bottom w:val="none" w:sz="0" w:space="0" w:color="auto"/>
                <w:right w:val="none" w:sz="0" w:space="0" w:color="auto"/>
              </w:divBdr>
            </w:div>
            <w:div w:id="1289050756">
              <w:marLeft w:val="0"/>
              <w:marRight w:val="0"/>
              <w:marTop w:val="0"/>
              <w:marBottom w:val="0"/>
              <w:divBdr>
                <w:top w:val="none" w:sz="0" w:space="0" w:color="auto"/>
                <w:left w:val="none" w:sz="0" w:space="0" w:color="auto"/>
                <w:bottom w:val="none" w:sz="0" w:space="0" w:color="auto"/>
                <w:right w:val="none" w:sz="0" w:space="0" w:color="auto"/>
              </w:divBdr>
            </w:div>
            <w:div w:id="1373581377">
              <w:marLeft w:val="0"/>
              <w:marRight w:val="0"/>
              <w:marTop w:val="0"/>
              <w:marBottom w:val="0"/>
              <w:divBdr>
                <w:top w:val="none" w:sz="0" w:space="0" w:color="auto"/>
                <w:left w:val="none" w:sz="0" w:space="0" w:color="auto"/>
                <w:bottom w:val="none" w:sz="0" w:space="0" w:color="auto"/>
                <w:right w:val="none" w:sz="0" w:space="0" w:color="auto"/>
              </w:divBdr>
            </w:div>
            <w:div w:id="1430271983">
              <w:marLeft w:val="0"/>
              <w:marRight w:val="0"/>
              <w:marTop w:val="0"/>
              <w:marBottom w:val="0"/>
              <w:divBdr>
                <w:top w:val="none" w:sz="0" w:space="0" w:color="auto"/>
                <w:left w:val="none" w:sz="0" w:space="0" w:color="auto"/>
                <w:bottom w:val="none" w:sz="0" w:space="0" w:color="auto"/>
                <w:right w:val="none" w:sz="0" w:space="0" w:color="auto"/>
              </w:divBdr>
            </w:div>
            <w:div w:id="1441340194">
              <w:marLeft w:val="0"/>
              <w:marRight w:val="0"/>
              <w:marTop w:val="0"/>
              <w:marBottom w:val="0"/>
              <w:divBdr>
                <w:top w:val="none" w:sz="0" w:space="0" w:color="auto"/>
                <w:left w:val="none" w:sz="0" w:space="0" w:color="auto"/>
                <w:bottom w:val="none" w:sz="0" w:space="0" w:color="auto"/>
                <w:right w:val="none" w:sz="0" w:space="0" w:color="auto"/>
              </w:divBdr>
            </w:div>
            <w:div w:id="1828940332">
              <w:marLeft w:val="0"/>
              <w:marRight w:val="0"/>
              <w:marTop w:val="0"/>
              <w:marBottom w:val="0"/>
              <w:divBdr>
                <w:top w:val="none" w:sz="0" w:space="0" w:color="auto"/>
                <w:left w:val="none" w:sz="0" w:space="0" w:color="auto"/>
                <w:bottom w:val="none" w:sz="0" w:space="0" w:color="auto"/>
                <w:right w:val="none" w:sz="0" w:space="0" w:color="auto"/>
              </w:divBdr>
            </w:div>
            <w:div w:id="2027708648">
              <w:marLeft w:val="0"/>
              <w:marRight w:val="0"/>
              <w:marTop w:val="0"/>
              <w:marBottom w:val="0"/>
              <w:divBdr>
                <w:top w:val="none" w:sz="0" w:space="0" w:color="auto"/>
                <w:left w:val="none" w:sz="0" w:space="0" w:color="auto"/>
                <w:bottom w:val="none" w:sz="0" w:space="0" w:color="auto"/>
                <w:right w:val="none" w:sz="0" w:space="0" w:color="auto"/>
              </w:divBdr>
            </w:div>
          </w:divsChild>
        </w:div>
        <w:div w:id="1048183471">
          <w:marLeft w:val="0"/>
          <w:marRight w:val="0"/>
          <w:marTop w:val="0"/>
          <w:marBottom w:val="0"/>
          <w:divBdr>
            <w:top w:val="none" w:sz="0" w:space="0" w:color="auto"/>
            <w:left w:val="none" w:sz="0" w:space="0" w:color="auto"/>
            <w:bottom w:val="none" w:sz="0" w:space="0" w:color="auto"/>
            <w:right w:val="none" w:sz="0" w:space="0" w:color="auto"/>
          </w:divBdr>
        </w:div>
        <w:div w:id="1085415443">
          <w:marLeft w:val="0"/>
          <w:marRight w:val="0"/>
          <w:marTop w:val="0"/>
          <w:marBottom w:val="0"/>
          <w:divBdr>
            <w:top w:val="none" w:sz="0" w:space="0" w:color="auto"/>
            <w:left w:val="none" w:sz="0" w:space="0" w:color="auto"/>
            <w:bottom w:val="none" w:sz="0" w:space="0" w:color="auto"/>
            <w:right w:val="none" w:sz="0" w:space="0" w:color="auto"/>
          </w:divBdr>
        </w:div>
        <w:div w:id="1268656864">
          <w:marLeft w:val="0"/>
          <w:marRight w:val="0"/>
          <w:marTop w:val="0"/>
          <w:marBottom w:val="0"/>
          <w:divBdr>
            <w:top w:val="none" w:sz="0" w:space="0" w:color="auto"/>
            <w:left w:val="none" w:sz="0" w:space="0" w:color="auto"/>
            <w:bottom w:val="none" w:sz="0" w:space="0" w:color="auto"/>
            <w:right w:val="none" w:sz="0" w:space="0" w:color="auto"/>
          </w:divBdr>
        </w:div>
        <w:div w:id="1440027706">
          <w:marLeft w:val="0"/>
          <w:marRight w:val="0"/>
          <w:marTop w:val="0"/>
          <w:marBottom w:val="0"/>
          <w:divBdr>
            <w:top w:val="none" w:sz="0" w:space="0" w:color="auto"/>
            <w:left w:val="none" w:sz="0" w:space="0" w:color="auto"/>
            <w:bottom w:val="none" w:sz="0" w:space="0" w:color="auto"/>
            <w:right w:val="none" w:sz="0" w:space="0" w:color="auto"/>
          </w:divBdr>
        </w:div>
        <w:div w:id="1652757713">
          <w:marLeft w:val="0"/>
          <w:marRight w:val="0"/>
          <w:marTop w:val="0"/>
          <w:marBottom w:val="0"/>
          <w:divBdr>
            <w:top w:val="none" w:sz="0" w:space="0" w:color="auto"/>
            <w:left w:val="none" w:sz="0" w:space="0" w:color="auto"/>
            <w:bottom w:val="none" w:sz="0" w:space="0" w:color="auto"/>
            <w:right w:val="none" w:sz="0" w:space="0" w:color="auto"/>
          </w:divBdr>
        </w:div>
        <w:div w:id="1724402695">
          <w:marLeft w:val="0"/>
          <w:marRight w:val="0"/>
          <w:marTop w:val="0"/>
          <w:marBottom w:val="0"/>
          <w:divBdr>
            <w:top w:val="none" w:sz="0" w:space="0" w:color="auto"/>
            <w:left w:val="none" w:sz="0" w:space="0" w:color="auto"/>
            <w:bottom w:val="none" w:sz="0" w:space="0" w:color="auto"/>
            <w:right w:val="none" w:sz="0" w:space="0" w:color="auto"/>
          </w:divBdr>
        </w:div>
        <w:div w:id="2008553136">
          <w:marLeft w:val="0"/>
          <w:marRight w:val="0"/>
          <w:marTop w:val="0"/>
          <w:marBottom w:val="0"/>
          <w:divBdr>
            <w:top w:val="none" w:sz="0" w:space="0" w:color="auto"/>
            <w:left w:val="none" w:sz="0" w:space="0" w:color="auto"/>
            <w:bottom w:val="none" w:sz="0" w:space="0" w:color="auto"/>
            <w:right w:val="none" w:sz="0" w:space="0" w:color="auto"/>
          </w:divBdr>
        </w:div>
      </w:divsChild>
    </w:div>
    <w:div w:id="1960064451">
      <w:bodyDiv w:val="1"/>
      <w:marLeft w:val="0"/>
      <w:marRight w:val="0"/>
      <w:marTop w:val="0"/>
      <w:marBottom w:val="0"/>
      <w:divBdr>
        <w:top w:val="none" w:sz="0" w:space="0" w:color="auto"/>
        <w:left w:val="none" w:sz="0" w:space="0" w:color="auto"/>
        <w:bottom w:val="none" w:sz="0" w:space="0" w:color="auto"/>
        <w:right w:val="none" w:sz="0" w:space="0" w:color="auto"/>
      </w:divBdr>
      <w:divsChild>
        <w:div w:id="47725816">
          <w:marLeft w:val="0"/>
          <w:marRight w:val="0"/>
          <w:marTop w:val="0"/>
          <w:marBottom w:val="0"/>
          <w:divBdr>
            <w:top w:val="none" w:sz="0" w:space="0" w:color="auto"/>
            <w:left w:val="none" w:sz="0" w:space="0" w:color="auto"/>
            <w:bottom w:val="none" w:sz="0" w:space="0" w:color="auto"/>
            <w:right w:val="none" w:sz="0" w:space="0" w:color="auto"/>
          </w:divBdr>
        </w:div>
        <w:div w:id="84881744">
          <w:marLeft w:val="0"/>
          <w:marRight w:val="0"/>
          <w:marTop w:val="0"/>
          <w:marBottom w:val="0"/>
          <w:divBdr>
            <w:top w:val="none" w:sz="0" w:space="0" w:color="auto"/>
            <w:left w:val="none" w:sz="0" w:space="0" w:color="auto"/>
            <w:bottom w:val="none" w:sz="0" w:space="0" w:color="auto"/>
            <w:right w:val="none" w:sz="0" w:space="0" w:color="auto"/>
          </w:divBdr>
        </w:div>
        <w:div w:id="268439733">
          <w:marLeft w:val="0"/>
          <w:marRight w:val="0"/>
          <w:marTop w:val="0"/>
          <w:marBottom w:val="0"/>
          <w:divBdr>
            <w:top w:val="none" w:sz="0" w:space="0" w:color="auto"/>
            <w:left w:val="none" w:sz="0" w:space="0" w:color="auto"/>
            <w:bottom w:val="none" w:sz="0" w:space="0" w:color="auto"/>
            <w:right w:val="none" w:sz="0" w:space="0" w:color="auto"/>
          </w:divBdr>
        </w:div>
        <w:div w:id="1883249188">
          <w:marLeft w:val="0"/>
          <w:marRight w:val="0"/>
          <w:marTop w:val="0"/>
          <w:marBottom w:val="0"/>
          <w:divBdr>
            <w:top w:val="none" w:sz="0" w:space="0" w:color="auto"/>
            <w:left w:val="none" w:sz="0" w:space="0" w:color="auto"/>
            <w:bottom w:val="none" w:sz="0" w:space="0" w:color="auto"/>
            <w:right w:val="none" w:sz="0" w:space="0" w:color="auto"/>
          </w:divBdr>
        </w:div>
        <w:div w:id="1939101084">
          <w:marLeft w:val="0"/>
          <w:marRight w:val="0"/>
          <w:marTop w:val="0"/>
          <w:marBottom w:val="0"/>
          <w:divBdr>
            <w:top w:val="none" w:sz="0" w:space="0" w:color="auto"/>
            <w:left w:val="none" w:sz="0" w:space="0" w:color="auto"/>
            <w:bottom w:val="none" w:sz="0" w:space="0" w:color="auto"/>
            <w:right w:val="none" w:sz="0" w:space="0" w:color="auto"/>
          </w:divBdr>
        </w:div>
      </w:divsChild>
    </w:div>
    <w:div w:id="1969706133">
      <w:bodyDiv w:val="1"/>
      <w:marLeft w:val="0"/>
      <w:marRight w:val="0"/>
      <w:marTop w:val="0"/>
      <w:marBottom w:val="0"/>
      <w:divBdr>
        <w:top w:val="none" w:sz="0" w:space="0" w:color="auto"/>
        <w:left w:val="none" w:sz="0" w:space="0" w:color="auto"/>
        <w:bottom w:val="none" w:sz="0" w:space="0" w:color="auto"/>
        <w:right w:val="none" w:sz="0" w:space="0" w:color="auto"/>
      </w:divBdr>
    </w:div>
    <w:div w:id="1985425912">
      <w:bodyDiv w:val="1"/>
      <w:marLeft w:val="0"/>
      <w:marRight w:val="0"/>
      <w:marTop w:val="0"/>
      <w:marBottom w:val="0"/>
      <w:divBdr>
        <w:top w:val="none" w:sz="0" w:space="0" w:color="auto"/>
        <w:left w:val="none" w:sz="0" w:space="0" w:color="auto"/>
        <w:bottom w:val="none" w:sz="0" w:space="0" w:color="auto"/>
        <w:right w:val="none" w:sz="0" w:space="0" w:color="auto"/>
      </w:divBdr>
    </w:div>
    <w:div w:id="2011716623">
      <w:bodyDiv w:val="1"/>
      <w:marLeft w:val="0"/>
      <w:marRight w:val="0"/>
      <w:marTop w:val="0"/>
      <w:marBottom w:val="0"/>
      <w:divBdr>
        <w:top w:val="none" w:sz="0" w:space="0" w:color="auto"/>
        <w:left w:val="none" w:sz="0" w:space="0" w:color="auto"/>
        <w:bottom w:val="none" w:sz="0" w:space="0" w:color="auto"/>
        <w:right w:val="none" w:sz="0" w:space="0" w:color="auto"/>
      </w:divBdr>
      <w:divsChild>
        <w:div w:id="760637552">
          <w:marLeft w:val="0"/>
          <w:marRight w:val="0"/>
          <w:marTop w:val="0"/>
          <w:marBottom w:val="0"/>
          <w:divBdr>
            <w:top w:val="none" w:sz="0" w:space="0" w:color="auto"/>
            <w:left w:val="none" w:sz="0" w:space="0" w:color="auto"/>
            <w:bottom w:val="none" w:sz="0" w:space="0" w:color="auto"/>
            <w:right w:val="none" w:sz="0" w:space="0" w:color="auto"/>
          </w:divBdr>
        </w:div>
        <w:div w:id="874076592">
          <w:marLeft w:val="0"/>
          <w:marRight w:val="0"/>
          <w:marTop w:val="0"/>
          <w:marBottom w:val="0"/>
          <w:divBdr>
            <w:top w:val="none" w:sz="0" w:space="0" w:color="auto"/>
            <w:left w:val="none" w:sz="0" w:space="0" w:color="auto"/>
            <w:bottom w:val="none" w:sz="0" w:space="0" w:color="auto"/>
            <w:right w:val="none" w:sz="0" w:space="0" w:color="auto"/>
          </w:divBdr>
        </w:div>
        <w:div w:id="1176656725">
          <w:marLeft w:val="0"/>
          <w:marRight w:val="0"/>
          <w:marTop w:val="0"/>
          <w:marBottom w:val="0"/>
          <w:divBdr>
            <w:top w:val="none" w:sz="0" w:space="0" w:color="auto"/>
            <w:left w:val="none" w:sz="0" w:space="0" w:color="auto"/>
            <w:bottom w:val="none" w:sz="0" w:space="0" w:color="auto"/>
            <w:right w:val="none" w:sz="0" w:space="0" w:color="auto"/>
          </w:divBdr>
        </w:div>
      </w:divsChild>
    </w:div>
    <w:div w:id="2017534555">
      <w:bodyDiv w:val="1"/>
      <w:marLeft w:val="0"/>
      <w:marRight w:val="0"/>
      <w:marTop w:val="0"/>
      <w:marBottom w:val="0"/>
      <w:divBdr>
        <w:top w:val="none" w:sz="0" w:space="0" w:color="auto"/>
        <w:left w:val="none" w:sz="0" w:space="0" w:color="auto"/>
        <w:bottom w:val="none" w:sz="0" w:space="0" w:color="auto"/>
        <w:right w:val="none" w:sz="0" w:space="0" w:color="auto"/>
      </w:divBdr>
      <w:divsChild>
        <w:div w:id="299579173">
          <w:marLeft w:val="0"/>
          <w:marRight w:val="0"/>
          <w:marTop w:val="0"/>
          <w:marBottom w:val="0"/>
          <w:divBdr>
            <w:top w:val="none" w:sz="0" w:space="0" w:color="auto"/>
            <w:left w:val="none" w:sz="0" w:space="0" w:color="auto"/>
            <w:bottom w:val="none" w:sz="0" w:space="0" w:color="auto"/>
            <w:right w:val="none" w:sz="0" w:space="0" w:color="auto"/>
          </w:divBdr>
        </w:div>
        <w:div w:id="369496468">
          <w:marLeft w:val="0"/>
          <w:marRight w:val="0"/>
          <w:marTop w:val="0"/>
          <w:marBottom w:val="0"/>
          <w:divBdr>
            <w:top w:val="none" w:sz="0" w:space="0" w:color="auto"/>
            <w:left w:val="none" w:sz="0" w:space="0" w:color="auto"/>
            <w:bottom w:val="none" w:sz="0" w:space="0" w:color="auto"/>
            <w:right w:val="none" w:sz="0" w:space="0" w:color="auto"/>
          </w:divBdr>
        </w:div>
        <w:div w:id="711687555">
          <w:marLeft w:val="0"/>
          <w:marRight w:val="0"/>
          <w:marTop w:val="0"/>
          <w:marBottom w:val="0"/>
          <w:divBdr>
            <w:top w:val="none" w:sz="0" w:space="0" w:color="auto"/>
            <w:left w:val="none" w:sz="0" w:space="0" w:color="auto"/>
            <w:bottom w:val="none" w:sz="0" w:space="0" w:color="auto"/>
            <w:right w:val="none" w:sz="0" w:space="0" w:color="auto"/>
          </w:divBdr>
        </w:div>
        <w:div w:id="720330650">
          <w:marLeft w:val="0"/>
          <w:marRight w:val="0"/>
          <w:marTop w:val="0"/>
          <w:marBottom w:val="0"/>
          <w:divBdr>
            <w:top w:val="none" w:sz="0" w:space="0" w:color="auto"/>
            <w:left w:val="none" w:sz="0" w:space="0" w:color="auto"/>
            <w:bottom w:val="none" w:sz="0" w:space="0" w:color="auto"/>
            <w:right w:val="none" w:sz="0" w:space="0" w:color="auto"/>
          </w:divBdr>
        </w:div>
        <w:div w:id="832261628">
          <w:marLeft w:val="0"/>
          <w:marRight w:val="0"/>
          <w:marTop w:val="0"/>
          <w:marBottom w:val="0"/>
          <w:divBdr>
            <w:top w:val="none" w:sz="0" w:space="0" w:color="auto"/>
            <w:left w:val="none" w:sz="0" w:space="0" w:color="auto"/>
            <w:bottom w:val="none" w:sz="0" w:space="0" w:color="auto"/>
            <w:right w:val="none" w:sz="0" w:space="0" w:color="auto"/>
          </w:divBdr>
        </w:div>
        <w:div w:id="960527539">
          <w:marLeft w:val="0"/>
          <w:marRight w:val="0"/>
          <w:marTop w:val="0"/>
          <w:marBottom w:val="0"/>
          <w:divBdr>
            <w:top w:val="none" w:sz="0" w:space="0" w:color="auto"/>
            <w:left w:val="none" w:sz="0" w:space="0" w:color="auto"/>
            <w:bottom w:val="none" w:sz="0" w:space="0" w:color="auto"/>
            <w:right w:val="none" w:sz="0" w:space="0" w:color="auto"/>
          </w:divBdr>
        </w:div>
        <w:div w:id="1030684707">
          <w:marLeft w:val="0"/>
          <w:marRight w:val="0"/>
          <w:marTop w:val="0"/>
          <w:marBottom w:val="0"/>
          <w:divBdr>
            <w:top w:val="none" w:sz="0" w:space="0" w:color="auto"/>
            <w:left w:val="none" w:sz="0" w:space="0" w:color="auto"/>
            <w:bottom w:val="none" w:sz="0" w:space="0" w:color="auto"/>
            <w:right w:val="none" w:sz="0" w:space="0" w:color="auto"/>
          </w:divBdr>
        </w:div>
        <w:div w:id="1080643177">
          <w:marLeft w:val="0"/>
          <w:marRight w:val="0"/>
          <w:marTop w:val="0"/>
          <w:marBottom w:val="0"/>
          <w:divBdr>
            <w:top w:val="none" w:sz="0" w:space="0" w:color="auto"/>
            <w:left w:val="none" w:sz="0" w:space="0" w:color="auto"/>
            <w:bottom w:val="none" w:sz="0" w:space="0" w:color="auto"/>
            <w:right w:val="none" w:sz="0" w:space="0" w:color="auto"/>
          </w:divBdr>
        </w:div>
        <w:div w:id="1156992129">
          <w:marLeft w:val="0"/>
          <w:marRight w:val="0"/>
          <w:marTop w:val="0"/>
          <w:marBottom w:val="0"/>
          <w:divBdr>
            <w:top w:val="none" w:sz="0" w:space="0" w:color="auto"/>
            <w:left w:val="none" w:sz="0" w:space="0" w:color="auto"/>
            <w:bottom w:val="none" w:sz="0" w:space="0" w:color="auto"/>
            <w:right w:val="none" w:sz="0" w:space="0" w:color="auto"/>
          </w:divBdr>
          <w:divsChild>
            <w:div w:id="288317185">
              <w:marLeft w:val="-75"/>
              <w:marRight w:val="0"/>
              <w:marTop w:val="30"/>
              <w:marBottom w:val="30"/>
              <w:divBdr>
                <w:top w:val="none" w:sz="0" w:space="0" w:color="auto"/>
                <w:left w:val="none" w:sz="0" w:space="0" w:color="auto"/>
                <w:bottom w:val="none" w:sz="0" w:space="0" w:color="auto"/>
                <w:right w:val="none" w:sz="0" w:space="0" w:color="auto"/>
              </w:divBdr>
              <w:divsChild>
                <w:div w:id="29689116">
                  <w:marLeft w:val="0"/>
                  <w:marRight w:val="0"/>
                  <w:marTop w:val="0"/>
                  <w:marBottom w:val="0"/>
                  <w:divBdr>
                    <w:top w:val="none" w:sz="0" w:space="0" w:color="auto"/>
                    <w:left w:val="none" w:sz="0" w:space="0" w:color="auto"/>
                    <w:bottom w:val="none" w:sz="0" w:space="0" w:color="auto"/>
                    <w:right w:val="none" w:sz="0" w:space="0" w:color="auto"/>
                  </w:divBdr>
                  <w:divsChild>
                    <w:div w:id="1848786461">
                      <w:marLeft w:val="0"/>
                      <w:marRight w:val="0"/>
                      <w:marTop w:val="0"/>
                      <w:marBottom w:val="0"/>
                      <w:divBdr>
                        <w:top w:val="none" w:sz="0" w:space="0" w:color="auto"/>
                        <w:left w:val="none" w:sz="0" w:space="0" w:color="auto"/>
                        <w:bottom w:val="none" w:sz="0" w:space="0" w:color="auto"/>
                        <w:right w:val="none" w:sz="0" w:space="0" w:color="auto"/>
                      </w:divBdr>
                    </w:div>
                  </w:divsChild>
                </w:div>
                <w:div w:id="49766962">
                  <w:marLeft w:val="0"/>
                  <w:marRight w:val="0"/>
                  <w:marTop w:val="0"/>
                  <w:marBottom w:val="0"/>
                  <w:divBdr>
                    <w:top w:val="none" w:sz="0" w:space="0" w:color="auto"/>
                    <w:left w:val="none" w:sz="0" w:space="0" w:color="auto"/>
                    <w:bottom w:val="none" w:sz="0" w:space="0" w:color="auto"/>
                    <w:right w:val="none" w:sz="0" w:space="0" w:color="auto"/>
                  </w:divBdr>
                  <w:divsChild>
                    <w:div w:id="658656625">
                      <w:marLeft w:val="0"/>
                      <w:marRight w:val="0"/>
                      <w:marTop w:val="0"/>
                      <w:marBottom w:val="0"/>
                      <w:divBdr>
                        <w:top w:val="none" w:sz="0" w:space="0" w:color="auto"/>
                        <w:left w:val="none" w:sz="0" w:space="0" w:color="auto"/>
                        <w:bottom w:val="none" w:sz="0" w:space="0" w:color="auto"/>
                        <w:right w:val="none" w:sz="0" w:space="0" w:color="auto"/>
                      </w:divBdr>
                    </w:div>
                  </w:divsChild>
                </w:div>
                <w:div w:id="60835279">
                  <w:marLeft w:val="0"/>
                  <w:marRight w:val="0"/>
                  <w:marTop w:val="0"/>
                  <w:marBottom w:val="0"/>
                  <w:divBdr>
                    <w:top w:val="none" w:sz="0" w:space="0" w:color="auto"/>
                    <w:left w:val="none" w:sz="0" w:space="0" w:color="auto"/>
                    <w:bottom w:val="none" w:sz="0" w:space="0" w:color="auto"/>
                    <w:right w:val="none" w:sz="0" w:space="0" w:color="auto"/>
                  </w:divBdr>
                  <w:divsChild>
                    <w:div w:id="749083473">
                      <w:marLeft w:val="0"/>
                      <w:marRight w:val="0"/>
                      <w:marTop w:val="0"/>
                      <w:marBottom w:val="0"/>
                      <w:divBdr>
                        <w:top w:val="none" w:sz="0" w:space="0" w:color="auto"/>
                        <w:left w:val="none" w:sz="0" w:space="0" w:color="auto"/>
                        <w:bottom w:val="none" w:sz="0" w:space="0" w:color="auto"/>
                        <w:right w:val="none" w:sz="0" w:space="0" w:color="auto"/>
                      </w:divBdr>
                    </w:div>
                  </w:divsChild>
                </w:div>
                <w:div w:id="95830032">
                  <w:marLeft w:val="0"/>
                  <w:marRight w:val="0"/>
                  <w:marTop w:val="0"/>
                  <w:marBottom w:val="0"/>
                  <w:divBdr>
                    <w:top w:val="none" w:sz="0" w:space="0" w:color="auto"/>
                    <w:left w:val="none" w:sz="0" w:space="0" w:color="auto"/>
                    <w:bottom w:val="none" w:sz="0" w:space="0" w:color="auto"/>
                    <w:right w:val="none" w:sz="0" w:space="0" w:color="auto"/>
                  </w:divBdr>
                  <w:divsChild>
                    <w:div w:id="1820147733">
                      <w:marLeft w:val="0"/>
                      <w:marRight w:val="0"/>
                      <w:marTop w:val="0"/>
                      <w:marBottom w:val="0"/>
                      <w:divBdr>
                        <w:top w:val="none" w:sz="0" w:space="0" w:color="auto"/>
                        <w:left w:val="none" w:sz="0" w:space="0" w:color="auto"/>
                        <w:bottom w:val="none" w:sz="0" w:space="0" w:color="auto"/>
                        <w:right w:val="none" w:sz="0" w:space="0" w:color="auto"/>
                      </w:divBdr>
                    </w:div>
                  </w:divsChild>
                </w:div>
                <w:div w:id="128979729">
                  <w:marLeft w:val="0"/>
                  <w:marRight w:val="0"/>
                  <w:marTop w:val="0"/>
                  <w:marBottom w:val="0"/>
                  <w:divBdr>
                    <w:top w:val="none" w:sz="0" w:space="0" w:color="auto"/>
                    <w:left w:val="none" w:sz="0" w:space="0" w:color="auto"/>
                    <w:bottom w:val="none" w:sz="0" w:space="0" w:color="auto"/>
                    <w:right w:val="none" w:sz="0" w:space="0" w:color="auto"/>
                  </w:divBdr>
                  <w:divsChild>
                    <w:div w:id="19670055">
                      <w:marLeft w:val="0"/>
                      <w:marRight w:val="0"/>
                      <w:marTop w:val="0"/>
                      <w:marBottom w:val="0"/>
                      <w:divBdr>
                        <w:top w:val="none" w:sz="0" w:space="0" w:color="auto"/>
                        <w:left w:val="none" w:sz="0" w:space="0" w:color="auto"/>
                        <w:bottom w:val="none" w:sz="0" w:space="0" w:color="auto"/>
                        <w:right w:val="none" w:sz="0" w:space="0" w:color="auto"/>
                      </w:divBdr>
                    </w:div>
                  </w:divsChild>
                </w:div>
                <w:div w:id="131990278">
                  <w:marLeft w:val="0"/>
                  <w:marRight w:val="0"/>
                  <w:marTop w:val="0"/>
                  <w:marBottom w:val="0"/>
                  <w:divBdr>
                    <w:top w:val="none" w:sz="0" w:space="0" w:color="auto"/>
                    <w:left w:val="none" w:sz="0" w:space="0" w:color="auto"/>
                    <w:bottom w:val="none" w:sz="0" w:space="0" w:color="auto"/>
                    <w:right w:val="none" w:sz="0" w:space="0" w:color="auto"/>
                  </w:divBdr>
                  <w:divsChild>
                    <w:div w:id="1035815868">
                      <w:marLeft w:val="0"/>
                      <w:marRight w:val="0"/>
                      <w:marTop w:val="0"/>
                      <w:marBottom w:val="0"/>
                      <w:divBdr>
                        <w:top w:val="none" w:sz="0" w:space="0" w:color="auto"/>
                        <w:left w:val="none" w:sz="0" w:space="0" w:color="auto"/>
                        <w:bottom w:val="none" w:sz="0" w:space="0" w:color="auto"/>
                        <w:right w:val="none" w:sz="0" w:space="0" w:color="auto"/>
                      </w:divBdr>
                    </w:div>
                  </w:divsChild>
                </w:div>
                <w:div w:id="146628369">
                  <w:marLeft w:val="0"/>
                  <w:marRight w:val="0"/>
                  <w:marTop w:val="0"/>
                  <w:marBottom w:val="0"/>
                  <w:divBdr>
                    <w:top w:val="none" w:sz="0" w:space="0" w:color="auto"/>
                    <w:left w:val="none" w:sz="0" w:space="0" w:color="auto"/>
                    <w:bottom w:val="none" w:sz="0" w:space="0" w:color="auto"/>
                    <w:right w:val="none" w:sz="0" w:space="0" w:color="auto"/>
                  </w:divBdr>
                  <w:divsChild>
                    <w:div w:id="508297907">
                      <w:marLeft w:val="0"/>
                      <w:marRight w:val="0"/>
                      <w:marTop w:val="0"/>
                      <w:marBottom w:val="0"/>
                      <w:divBdr>
                        <w:top w:val="none" w:sz="0" w:space="0" w:color="auto"/>
                        <w:left w:val="none" w:sz="0" w:space="0" w:color="auto"/>
                        <w:bottom w:val="none" w:sz="0" w:space="0" w:color="auto"/>
                        <w:right w:val="none" w:sz="0" w:space="0" w:color="auto"/>
                      </w:divBdr>
                    </w:div>
                  </w:divsChild>
                </w:div>
                <w:div w:id="152382185">
                  <w:marLeft w:val="0"/>
                  <w:marRight w:val="0"/>
                  <w:marTop w:val="0"/>
                  <w:marBottom w:val="0"/>
                  <w:divBdr>
                    <w:top w:val="none" w:sz="0" w:space="0" w:color="auto"/>
                    <w:left w:val="none" w:sz="0" w:space="0" w:color="auto"/>
                    <w:bottom w:val="none" w:sz="0" w:space="0" w:color="auto"/>
                    <w:right w:val="none" w:sz="0" w:space="0" w:color="auto"/>
                  </w:divBdr>
                  <w:divsChild>
                    <w:div w:id="110369717">
                      <w:marLeft w:val="0"/>
                      <w:marRight w:val="0"/>
                      <w:marTop w:val="0"/>
                      <w:marBottom w:val="0"/>
                      <w:divBdr>
                        <w:top w:val="none" w:sz="0" w:space="0" w:color="auto"/>
                        <w:left w:val="none" w:sz="0" w:space="0" w:color="auto"/>
                        <w:bottom w:val="none" w:sz="0" w:space="0" w:color="auto"/>
                        <w:right w:val="none" w:sz="0" w:space="0" w:color="auto"/>
                      </w:divBdr>
                    </w:div>
                  </w:divsChild>
                </w:div>
                <w:div w:id="247082480">
                  <w:marLeft w:val="0"/>
                  <w:marRight w:val="0"/>
                  <w:marTop w:val="0"/>
                  <w:marBottom w:val="0"/>
                  <w:divBdr>
                    <w:top w:val="none" w:sz="0" w:space="0" w:color="auto"/>
                    <w:left w:val="none" w:sz="0" w:space="0" w:color="auto"/>
                    <w:bottom w:val="none" w:sz="0" w:space="0" w:color="auto"/>
                    <w:right w:val="none" w:sz="0" w:space="0" w:color="auto"/>
                  </w:divBdr>
                  <w:divsChild>
                    <w:div w:id="757794827">
                      <w:marLeft w:val="0"/>
                      <w:marRight w:val="0"/>
                      <w:marTop w:val="0"/>
                      <w:marBottom w:val="0"/>
                      <w:divBdr>
                        <w:top w:val="none" w:sz="0" w:space="0" w:color="auto"/>
                        <w:left w:val="none" w:sz="0" w:space="0" w:color="auto"/>
                        <w:bottom w:val="none" w:sz="0" w:space="0" w:color="auto"/>
                        <w:right w:val="none" w:sz="0" w:space="0" w:color="auto"/>
                      </w:divBdr>
                    </w:div>
                  </w:divsChild>
                </w:div>
                <w:div w:id="248780929">
                  <w:marLeft w:val="0"/>
                  <w:marRight w:val="0"/>
                  <w:marTop w:val="0"/>
                  <w:marBottom w:val="0"/>
                  <w:divBdr>
                    <w:top w:val="none" w:sz="0" w:space="0" w:color="auto"/>
                    <w:left w:val="none" w:sz="0" w:space="0" w:color="auto"/>
                    <w:bottom w:val="none" w:sz="0" w:space="0" w:color="auto"/>
                    <w:right w:val="none" w:sz="0" w:space="0" w:color="auto"/>
                  </w:divBdr>
                  <w:divsChild>
                    <w:div w:id="987827004">
                      <w:marLeft w:val="0"/>
                      <w:marRight w:val="0"/>
                      <w:marTop w:val="0"/>
                      <w:marBottom w:val="0"/>
                      <w:divBdr>
                        <w:top w:val="none" w:sz="0" w:space="0" w:color="auto"/>
                        <w:left w:val="none" w:sz="0" w:space="0" w:color="auto"/>
                        <w:bottom w:val="none" w:sz="0" w:space="0" w:color="auto"/>
                        <w:right w:val="none" w:sz="0" w:space="0" w:color="auto"/>
                      </w:divBdr>
                    </w:div>
                  </w:divsChild>
                </w:div>
                <w:div w:id="254290372">
                  <w:marLeft w:val="0"/>
                  <w:marRight w:val="0"/>
                  <w:marTop w:val="0"/>
                  <w:marBottom w:val="0"/>
                  <w:divBdr>
                    <w:top w:val="none" w:sz="0" w:space="0" w:color="auto"/>
                    <w:left w:val="none" w:sz="0" w:space="0" w:color="auto"/>
                    <w:bottom w:val="none" w:sz="0" w:space="0" w:color="auto"/>
                    <w:right w:val="none" w:sz="0" w:space="0" w:color="auto"/>
                  </w:divBdr>
                  <w:divsChild>
                    <w:div w:id="774324699">
                      <w:marLeft w:val="0"/>
                      <w:marRight w:val="0"/>
                      <w:marTop w:val="0"/>
                      <w:marBottom w:val="0"/>
                      <w:divBdr>
                        <w:top w:val="none" w:sz="0" w:space="0" w:color="auto"/>
                        <w:left w:val="none" w:sz="0" w:space="0" w:color="auto"/>
                        <w:bottom w:val="none" w:sz="0" w:space="0" w:color="auto"/>
                        <w:right w:val="none" w:sz="0" w:space="0" w:color="auto"/>
                      </w:divBdr>
                    </w:div>
                  </w:divsChild>
                </w:div>
                <w:div w:id="299700518">
                  <w:marLeft w:val="0"/>
                  <w:marRight w:val="0"/>
                  <w:marTop w:val="0"/>
                  <w:marBottom w:val="0"/>
                  <w:divBdr>
                    <w:top w:val="none" w:sz="0" w:space="0" w:color="auto"/>
                    <w:left w:val="none" w:sz="0" w:space="0" w:color="auto"/>
                    <w:bottom w:val="none" w:sz="0" w:space="0" w:color="auto"/>
                    <w:right w:val="none" w:sz="0" w:space="0" w:color="auto"/>
                  </w:divBdr>
                  <w:divsChild>
                    <w:div w:id="1125656726">
                      <w:marLeft w:val="0"/>
                      <w:marRight w:val="0"/>
                      <w:marTop w:val="0"/>
                      <w:marBottom w:val="0"/>
                      <w:divBdr>
                        <w:top w:val="none" w:sz="0" w:space="0" w:color="auto"/>
                        <w:left w:val="none" w:sz="0" w:space="0" w:color="auto"/>
                        <w:bottom w:val="none" w:sz="0" w:space="0" w:color="auto"/>
                        <w:right w:val="none" w:sz="0" w:space="0" w:color="auto"/>
                      </w:divBdr>
                    </w:div>
                  </w:divsChild>
                </w:div>
                <w:div w:id="316685816">
                  <w:marLeft w:val="0"/>
                  <w:marRight w:val="0"/>
                  <w:marTop w:val="0"/>
                  <w:marBottom w:val="0"/>
                  <w:divBdr>
                    <w:top w:val="none" w:sz="0" w:space="0" w:color="auto"/>
                    <w:left w:val="none" w:sz="0" w:space="0" w:color="auto"/>
                    <w:bottom w:val="none" w:sz="0" w:space="0" w:color="auto"/>
                    <w:right w:val="none" w:sz="0" w:space="0" w:color="auto"/>
                  </w:divBdr>
                  <w:divsChild>
                    <w:div w:id="478576419">
                      <w:marLeft w:val="0"/>
                      <w:marRight w:val="0"/>
                      <w:marTop w:val="0"/>
                      <w:marBottom w:val="0"/>
                      <w:divBdr>
                        <w:top w:val="none" w:sz="0" w:space="0" w:color="auto"/>
                        <w:left w:val="none" w:sz="0" w:space="0" w:color="auto"/>
                        <w:bottom w:val="none" w:sz="0" w:space="0" w:color="auto"/>
                        <w:right w:val="none" w:sz="0" w:space="0" w:color="auto"/>
                      </w:divBdr>
                    </w:div>
                  </w:divsChild>
                </w:div>
                <w:div w:id="340545412">
                  <w:marLeft w:val="0"/>
                  <w:marRight w:val="0"/>
                  <w:marTop w:val="0"/>
                  <w:marBottom w:val="0"/>
                  <w:divBdr>
                    <w:top w:val="none" w:sz="0" w:space="0" w:color="auto"/>
                    <w:left w:val="none" w:sz="0" w:space="0" w:color="auto"/>
                    <w:bottom w:val="none" w:sz="0" w:space="0" w:color="auto"/>
                    <w:right w:val="none" w:sz="0" w:space="0" w:color="auto"/>
                  </w:divBdr>
                  <w:divsChild>
                    <w:div w:id="712652758">
                      <w:marLeft w:val="0"/>
                      <w:marRight w:val="0"/>
                      <w:marTop w:val="0"/>
                      <w:marBottom w:val="0"/>
                      <w:divBdr>
                        <w:top w:val="none" w:sz="0" w:space="0" w:color="auto"/>
                        <w:left w:val="none" w:sz="0" w:space="0" w:color="auto"/>
                        <w:bottom w:val="none" w:sz="0" w:space="0" w:color="auto"/>
                        <w:right w:val="none" w:sz="0" w:space="0" w:color="auto"/>
                      </w:divBdr>
                    </w:div>
                  </w:divsChild>
                </w:div>
                <w:div w:id="356733185">
                  <w:marLeft w:val="0"/>
                  <w:marRight w:val="0"/>
                  <w:marTop w:val="0"/>
                  <w:marBottom w:val="0"/>
                  <w:divBdr>
                    <w:top w:val="none" w:sz="0" w:space="0" w:color="auto"/>
                    <w:left w:val="none" w:sz="0" w:space="0" w:color="auto"/>
                    <w:bottom w:val="none" w:sz="0" w:space="0" w:color="auto"/>
                    <w:right w:val="none" w:sz="0" w:space="0" w:color="auto"/>
                  </w:divBdr>
                  <w:divsChild>
                    <w:div w:id="1363094511">
                      <w:marLeft w:val="0"/>
                      <w:marRight w:val="0"/>
                      <w:marTop w:val="0"/>
                      <w:marBottom w:val="0"/>
                      <w:divBdr>
                        <w:top w:val="none" w:sz="0" w:space="0" w:color="auto"/>
                        <w:left w:val="none" w:sz="0" w:space="0" w:color="auto"/>
                        <w:bottom w:val="none" w:sz="0" w:space="0" w:color="auto"/>
                        <w:right w:val="none" w:sz="0" w:space="0" w:color="auto"/>
                      </w:divBdr>
                    </w:div>
                  </w:divsChild>
                </w:div>
                <w:div w:id="381442366">
                  <w:marLeft w:val="0"/>
                  <w:marRight w:val="0"/>
                  <w:marTop w:val="0"/>
                  <w:marBottom w:val="0"/>
                  <w:divBdr>
                    <w:top w:val="none" w:sz="0" w:space="0" w:color="auto"/>
                    <w:left w:val="none" w:sz="0" w:space="0" w:color="auto"/>
                    <w:bottom w:val="none" w:sz="0" w:space="0" w:color="auto"/>
                    <w:right w:val="none" w:sz="0" w:space="0" w:color="auto"/>
                  </w:divBdr>
                  <w:divsChild>
                    <w:div w:id="435831620">
                      <w:marLeft w:val="0"/>
                      <w:marRight w:val="0"/>
                      <w:marTop w:val="0"/>
                      <w:marBottom w:val="0"/>
                      <w:divBdr>
                        <w:top w:val="none" w:sz="0" w:space="0" w:color="auto"/>
                        <w:left w:val="none" w:sz="0" w:space="0" w:color="auto"/>
                        <w:bottom w:val="none" w:sz="0" w:space="0" w:color="auto"/>
                        <w:right w:val="none" w:sz="0" w:space="0" w:color="auto"/>
                      </w:divBdr>
                    </w:div>
                  </w:divsChild>
                </w:div>
                <w:div w:id="464277132">
                  <w:marLeft w:val="0"/>
                  <w:marRight w:val="0"/>
                  <w:marTop w:val="0"/>
                  <w:marBottom w:val="0"/>
                  <w:divBdr>
                    <w:top w:val="none" w:sz="0" w:space="0" w:color="auto"/>
                    <w:left w:val="none" w:sz="0" w:space="0" w:color="auto"/>
                    <w:bottom w:val="none" w:sz="0" w:space="0" w:color="auto"/>
                    <w:right w:val="none" w:sz="0" w:space="0" w:color="auto"/>
                  </w:divBdr>
                  <w:divsChild>
                    <w:div w:id="1726634811">
                      <w:marLeft w:val="0"/>
                      <w:marRight w:val="0"/>
                      <w:marTop w:val="0"/>
                      <w:marBottom w:val="0"/>
                      <w:divBdr>
                        <w:top w:val="none" w:sz="0" w:space="0" w:color="auto"/>
                        <w:left w:val="none" w:sz="0" w:space="0" w:color="auto"/>
                        <w:bottom w:val="none" w:sz="0" w:space="0" w:color="auto"/>
                        <w:right w:val="none" w:sz="0" w:space="0" w:color="auto"/>
                      </w:divBdr>
                    </w:div>
                  </w:divsChild>
                </w:div>
                <w:div w:id="471098361">
                  <w:marLeft w:val="0"/>
                  <w:marRight w:val="0"/>
                  <w:marTop w:val="0"/>
                  <w:marBottom w:val="0"/>
                  <w:divBdr>
                    <w:top w:val="none" w:sz="0" w:space="0" w:color="auto"/>
                    <w:left w:val="none" w:sz="0" w:space="0" w:color="auto"/>
                    <w:bottom w:val="none" w:sz="0" w:space="0" w:color="auto"/>
                    <w:right w:val="none" w:sz="0" w:space="0" w:color="auto"/>
                  </w:divBdr>
                  <w:divsChild>
                    <w:div w:id="372972330">
                      <w:marLeft w:val="0"/>
                      <w:marRight w:val="0"/>
                      <w:marTop w:val="0"/>
                      <w:marBottom w:val="0"/>
                      <w:divBdr>
                        <w:top w:val="none" w:sz="0" w:space="0" w:color="auto"/>
                        <w:left w:val="none" w:sz="0" w:space="0" w:color="auto"/>
                        <w:bottom w:val="none" w:sz="0" w:space="0" w:color="auto"/>
                        <w:right w:val="none" w:sz="0" w:space="0" w:color="auto"/>
                      </w:divBdr>
                    </w:div>
                  </w:divsChild>
                </w:div>
                <w:div w:id="510486885">
                  <w:marLeft w:val="0"/>
                  <w:marRight w:val="0"/>
                  <w:marTop w:val="0"/>
                  <w:marBottom w:val="0"/>
                  <w:divBdr>
                    <w:top w:val="none" w:sz="0" w:space="0" w:color="auto"/>
                    <w:left w:val="none" w:sz="0" w:space="0" w:color="auto"/>
                    <w:bottom w:val="none" w:sz="0" w:space="0" w:color="auto"/>
                    <w:right w:val="none" w:sz="0" w:space="0" w:color="auto"/>
                  </w:divBdr>
                  <w:divsChild>
                    <w:div w:id="1407413443">
                      <w:marLeft w:val="0"/>
                      <w:marRight w:val="0"/>
                      <w:marTop w:val="0"/>
                      <w:marBottom w:val="0"/>
                      <w:divBdr>
                        <w:top w:val="none" w:sz="0" w:space="0" w:color="auto"/>
                        <w:left w:val="none" w:sz="0" w:space="0" w:color="auto"/>
                        <w:bottom w:val="none" w:sz="0" w:space="0" w:color="auto"/>
                        <w:right w:val="none" w:sz="0" w:space="0" w:color="auto"/>
                      </w:divBdr>
                    </w:div>
                  </w:divsChild>
                </w:div>
                <w:div w:id="515578029">
                  <w:marLeft w:val="0"/>
                  <w:marRight w:val="0"/>
                  <w:marTop w:val="0"/>
                  <w:marBottom w:val="0"/>
                  <w:divBdr>
                    <w:top w:val="none" w:sz="0" w:space="0" w:color="auto"/>
                    <w:left w:val="none" w:sz="0" w:space="0" w:color="auto"/>
                    <w:bottom w:val="none" w:sz="0" w:space="0" w:color="auto"/>
                    <w:right w:val="none" w:sz="0" w:space="0" w:color="auto"/>
                  </w:divBdr>
                  <w:divsChild>
                    <w:div w:id="1325236214">
                      <w:marLeft w:val="0"/>
                      <w:marRight w:val="0"/>
                      <w:marTop w:val="0"/>
                      <w:marBottom w:val="0"/>
                      <w:divBdr>
                        <w:top w:val="none" w:sz="0" w:space="0" w:color="auto"/>
                        <w:left w:val="none" w:sz="0" w:space="0" w:color="auto"/>
                        <w:bottom w:val="none" w:sz="0" w:space="0" w:color="auto"/>
                        <w:right w:val="none" w:sz="0" w:space="0" w:color="auto"/>
                      </w:divBdr>
                    </w:div>
                  </w:divsChild>
                </w:div>
                <w:div w:id="523787973">
                  <w:marLeft w:val="0"/>
                  <w:marRight w:val="0"/>
                  <w:marTop w:val="0"/>
                  <w:marBottom w:val="0"/>
                  <w:divBdr>
                    <w:top w:val="none" w:sz="0" w:space="0" w:color="auto"/>
                    <w:left w:val="none" w:sz="0" w:space="0" w:color="auto"/>
                    <w:bottom w:val="none" w:sz="0" w:space="0" w:color="auto"/>
                    <w:right w:val="none" w:sz="0" w:space="0" w:color="auto"/>
                  </w:divBdr>
                  <w:divsChild>
                    <w:div w:id="1658067190">
                      <w:marLeft w:val="0"/>
                      <w:marRight w:val="0"/>
                      <w:marTop w:val="0"/>
                      <w:marBottom w:val="0"/>
                      <w:divBdr>
                        <w:top w:val="none" w:sz="0" w:space="0" w:color="auto"/>
                        <w:left w:val="none" w:sz="0" w:space="0" w:color="auto"/>
                        <w:bottom w:val="none" w:sz="0" w:space="0" w:color="auto"/>
                        <w:right w:val="none" w:sz="0" w:space="0" w:color="auto"/>
                      </w:divBdr>
                    </w:div>
                  </w:divsChild>
                </w:div>
                <w:div w:id="563104648">
                  <w:marLeft w:val="0"/>
                  <w:marRight w:val="0"/>
                  <w:marTop w:val="0"/>
                  <w:marBottom w:val="0"/>
                  <w:divBdr>
                    <w:top w:val="none" w:sz="0" w:space="0" w:color="auto"/>
                    <w:left w:val="none" w:sz="0" w:space="0" w:color="auto"/>
                    <w:bottom w:val="none" w:sz="0" w:space="0" w:color="auto"/>
                    <w:right w:val="none" w:sz="0" w:space="0" w:color="auto"/>
                  </w:divBdr>
                  <w:divsChild>
                    <w:div w:id="2117215556">
                      <w:marLeft w:val="0"/>
                      <w:marRight w:val="0"/>
                      <w:marTop w:val="0"/>
                      <w:marBottom w:val="0"/>
                      <w:divBdr>
                        <w:top w:val="none" w:sz="0" w:space="0" w:color="auto"/>
                        <w:left w:val="none" w:sz="0" w:space="0" w:color="auto"/>
                        <w:bottom w:val="none" w:sz="0" w:space="0" w:color="auto"/>
                        <w:right w:val="none" w:sz="0" w:space="0" w:color="auto"/>
                      </w:divBdr>
                    </w:div>
                  </w:divsChild>
                </w:div>
                <w:div w:id="587272426">
                  <w:marLeft w:val="0"/>
                  <w:marRight w:val="0"/>
                  <w:marTop w:val="0"/>
                  <w:marBottom w:val="0"/>
                  <w:divBdr>
                    <w:top w:val="none" w:sz="0" w:space="0" w:color="auto"/>
                    <w:left w:val="none" w:sz="0" w:space="0" w:color="auto"/>
                    <w:bottom w:val="none" w:sz="0" w:space="0" w:color="auto"/>
                    <w:right w:val="none" w:sz="0" w:space="0" w:color="auto"/>
                  </w:divBdr>
                  <w:divsChild>
                    <w:div w:id="1766341166">
                      <w:marLeft w:val="0"/>
                      <w:marRight w:val="0"/>
                      <w:marTop w:val="0"/>
                      <w:marBottom w:val="0"/>
                      <w:divBdr>
                        <w:top w:val="none" w:sz="0" w:space="0" w:color="auto"/>
                        <w:left w:val="none" w:sz="0" w:space="0" w:color="auto"/>
                        <w:bottom w:val="none" w:sz="0" w:space="0" w:color="auto"/>
                        <w:right w:val="none" w:sz="0" w:space="0" w:color="auto"/>
                      </w:divBdr>
                    </w:div>
                  </w:divsChild>
                </w:div>
                <w:div w:id="593050824">
                  <w:marLeft w:val="0"/>
                  <w:marRight w:val="0"/>
                  <w:marTop w:val="0"/>
                  <w:marBottom w:val="0"/>
                  <w:divBdr>
                    <w:top w:val="none" w:sz="0" w:space="0" w:color="auto"/>
                    <w:left w:val="none" w:sz="0" w:space="0" w:color="auto"/>
                    <w:bottom w:val="none" w:sz="0" w:space="0" w:color="auto"/>
                    <w:right w:val="none" w:sz="0" w:space="0" w:color="auto"/>
                  </w:divBdr>
                  <w:divsChild>
                    <w:div w:id="1697004549">
                      <w:marLeft w:val="0"/>
                      <w:marRight w:val="0"/>
                      <w:marTop w:val="0"/>
                      <w:marBottom w:val="0"/>
                      <w:divBdr>
                        <w:top w:val="none" w:sz="0" w:space="0" w:color="auto"/>
                        <w:left w:val="none" w:sz="0" w:space="0" w:color="auto"/>
                        <w:bottom w:val="none" w:sz="0" w:space="0" w:color="auto"/>
                        <w:right w:val="none" w:sz="0" w:space="0" w:color="auto"/>
                      </w:divBdr>
                    </w:div>
                  </w:divsChild>
                </w:div>
                <w:div w:id="622737046">
                  <w:marLeft w:val="0"/>
                  <w:marRight w:val="0"/>
                  <w:marTop w:val="0"/>
                  <w:marBottom w:val="0"/>
                  <w:divBdr>
                    <w:top w:val="none" w:sz="0" w:space="0" w:color="auto"/>
                    <w:left w:val="none" w:sz="0" w:space="0" w:color="auto"/>
                    <w:bottom w:val="none" w:sz="0" w:space="0" w:color="auto"/>
                    <w:right w:val="none" w:sz="0" w:space="0" w:color="auto"/>
                  </w:divBdr>
                  <w:divsChild>
                    <w:div w:id="2053915994">
                      <w:marLeft w:val="0"/>
                      <w:marRight w:val="0"/>
                      <w:marTop w:val="0"/>
                      <w:marBottom w:val="0"/>
                      <w:divBdr>
                        <w:top w:val="none" w:sz="0" w:space="0" w:color="auto"/>
                        <w:left w:val="none" w:sz="0" w:space="0" w:color="auto"/>
                        <w:bottom w:val="none" w:sz="0" w:space="0" w:color="auto"/>
                        <w:right w:val="none" w:sz="0" w:space="0" w:color="auto"/>
                      </w:divBdr>
                    </w:div>
                  </w:divsChild>
                </w:div>
                <w:div w:id="828444219">
                  <w:marLeft w:val="0"/>
                  <w:marRight w:val="0"/>
                  <w:marTop w:val="0"/>
                  <w:marBottom w:val="0"/>
                  <w:divBdr>
                    <w:top w:val="none" w:sz="0" w:space="0" w:color="auto"/>
                    <w:left w:val="none" w:sz="0" w:space="0" w:color="auto"/>
                    <w:bottom w:val="none" w:sz="0" w:space="0" w:color="auto"/>
                    <w:right w:val="none" w:sz="0" w:space="0" w:color="auto"/>
                  </w:divBdr>
                  <w:divsChild>
                    <w:div w:id="1211379640">
                      <w:marLeft w:val="0"/>
                      <w:marRight w:val="0"/>
                      <w:marTop w:val="0"/>
                      <w:marBottom w:val="0"/>
                      <w:divBdr>
                        <w:top w:val="none" w:sz="0" w:space="0" w:color="auto"/>
                        <w:left w:val="none" w:sz="0" w:space="0" w:color="auto"/>
                        <w:bottom w:val="none" w:sz="0" w:space="0" w:color="auto"/>
                        <w:right w:val="none" w:sz="0" w:space="0" w:color="auto"/>
                      </w:divBdr>
                    </w:div>
                  </w:divsChild>
                </w:div>
                <w:div w:id="842083686">
                  <w:marLeft w:val="0"/>
                  <w:marRight w:val="0"/>
                  <w:marTop w:val="0"/>
                  <w:marBottom w:val="0"/>
                  <w:divBdr>
                    <w:top w:val="none" w:sz="0" w:space="0" w:color="auto"/>
                    <w:left w:val="none" w:sz="0" w:space="0" w:color="auto"/>
                    <w:bottom w:val="none" w:sz="0" w:space="0" w:color="auto"/>
                    <w:right w:val="none" w:sz="0" w:space="0" w:color="auto"/>
                  </w:divBdr>
                  <w:divsChild>
                    <w:div w:id="876770657">
                      <w:marLeft w:val="0"/>
                      <w:marRight w:val="0"/>
                      <w:marTop w:val="0"/>
                      <w:marBottom w:val="0"/>
                      <w:divBdr>
                        <w:top w:val="none" w:sz="0" w:space="0" w:color="auto"/>
                        <w:left w:val="none" w:sz="0" w:space="0" w:color="auto"/>
                        <w:bottom w:val="none" w:sz="0" w:space="0" w:color="auto"/>
                        <w:right w:val="none" w:sz="0" w:space="0" w:color="auto"/>
                      </w:divBdr>
                    </w:div>
                  </w:divsChild>
                </w:div>
                <w:div w:id="915745979">
                  <w:marLeft w:val="0"/>
                  <w:marRight w:val="0"/>
                  <w:marTop w:val="0"/>
                  <w:marBottom w:val="0"/>
                  <w:divBdr>
                    <w:top w:val="none" w:sz="0" w:space="0" w:color="auto"/>
                    <w:left w:val="none" w:sz="0" w:space="0" w:color="auto"/>
                    <w:bottom w:val="none" w:sz="0" w:space="0" w:color="auto"/>
                    <w:right w:val="none" w:sz="0" w:space="0" w:color="auto"/>
                  </w:divBdr>
                  <w:divsChild>
                    <w:div w:id="260071739">
                      <w:marLeft w:val="0"/>
                      <w:marRight w:val="0"/>
                      <w:marTop w:val="0"/>
                      <w:marBottom w:val="0"/>
                      <w:divBdr>
                        <w:top w:val="none" w:sz="0" w:space="0" w:color="auto"/>
                        <w:left w:val="none" w:sz="0" w:space="0" w:color="auto"/>
                        <w:bottom w:val="none" w:sz="0" w:space="0" w:color="auto"/>
                        <w:right w:val="none" w:sz="0" w:space="0" w:color="auto"/>
                      </w:divBdr>
                    </w:div>
                  </w:divsChild>
                </w:div>
                <w:div w:id="955480869">
                  <w:marLeft w:val="0"/>
                  <w:marRight w:val="0"/>
                  <w:marTop w:val="0"/>
                  <w:marBottom w:val="0"/>
                  <w:divBdr>
                    <w:top w:val="none" w:sz="0" w:space="0" w:color="auto"/>
                    <w:left w:val="none" w:sz="0" w:space="0" w:color="auto"/>
                    <w:bottom w:val="none" w:sz="0" w:space="0" w:color="auto"/>
                    <w:right w:val="none" w:sz="0" w:space="0" w:color="auto"/>
                  </w:divBdr>
                  <w:divsChild>
                    <w:div w:id="1746806057">
                      <w:marLeft w:val="0"/>
                      <w:marRight w:val="0"/>
                      <w:marTop w:val="0"/>
                      <w:marBottom w:val="0"/>
                      <w:divBdr>
                        <w:top w:val="none" w:sz="0" w:space="0" w:color="auto"/>
                        <w:left w:val="none" w:sz="0" w:space="0" w:color="auto"/>
                        <w:bottom w:val="none" w:sz="0" w:space="0" w:color="auto"/>
                        <w:right w:val="none" w:sz="0" w:space="0" w:color="auto"/>
                      </w:divBdr>
                    </w:div>
                  </w:divsChild>
                </w:div>
                <w:div w:id="1051424382">
                  <w:marLeft w:val="0"/>
                  <w:marRight w:val="0"/>
                  <w:marTop w:val="0"/>
                  <w:marBottom w:val="0"/>
                  <w:divBdr>
                    <w:top w:val="none" w:sz="0" w:space="0" w:color="auto"/>
                    <w:left w:val="none" w:sz="0" w:space="0" w:color="auto"/>
                    <w:bottom w:val="none" w:sz="0" w:space="0" w:color="auto"/>
                    <w:right w:val="none" w:sz="0" w:space="0" w:color="auto"/>
                  </w:divBdr>
                  <w:divsChild>
                    <w:div w:id="2143769057">
                      <w:marLeft w:val="0"/>
                      <w:marRight w:val="0"/>
                      <w:marTop w:val="0"/>
                      <w:marBottom w:val="0"/>
                      <w:divBdr>
                        <w:top w:val="none" w:sz="0" w:space="0" w:color="auto"/>
                        <w:left w:val="none" w:sz="0" w:space="0" w:color="auto"/>
                        <w:bottom w:val="none" w:sz="0" w:space="0" w:color="auto"/>
                        <w:right w:val="none" w:sz="0" w:space="0" w:color="auto"/>
                      </w:divBdr>
                    </w:div>
                  </w:divsChild>
                </w:div>
                <w:div w:id="1056661197">
                  <w:marLeft w:val="0"/>
                  <w:marRight w:val="0"/>
                  <w:marTop w:val="0"/>
                  <w:marBottom w:val="0"/>
                  <w:divBdr>
                    <w:top w:val="none" w:sz="0" w:space="0" w:color="auto"/>
                    <w:left w:val="none" w:sz="0" w:space="0" w:color="auto"/>
                    <w:bottom w:val="none" w:sz="0" w:space="0" w:color="auto"/>
                    <w:right w:val="none" w:sz="0" w:space="0" w:color="auto"/>
                  </w:divBdr>
                  <w:divsChild>
                    <w:div w:id="1647931491">
                      <w:marLeft w:val="0"/>
                      <w:marRight w:val="0"/>
                      <w:marTop w:val="0"/>
                      <w:marBottom w:val="0"/>
                      <w:divBdr>
                        <w:top w:val="none" w:sz="0" w:space="0" w:color="auto"/>
                        <w:left w:val="none" w:sz="0" w:space="0" w:color="auto"/>
                        <w:bottom w:val="none" w:sz="0" w:space="0" w:color="auto"/>
                        <w:right w:val="none" w:sz="0" w:space="0" w:color="auto"/>
                      </w:divBdr>
                    </w:div>
                  </w:divsChild>
                </w:div>
                <w:div w:id="1057977818">
                  <w:marLeft w:val="0"/>
                  <w:marRight w:val="0"/>
                  <w:marTop w:val="0"/>
                  <w:marBottom w:val="0"/>
                  <w:divBdr>
                    <w:top w:val="none" w:sz="0" w:space="0" w:color="auto"/>
                    <w:left w:val="none" w:sz="0" w:space="0" w:color="auto"/>
                    <w:bottom w:val="none" w:sz="0" w:space="0" w:color="auto"/>
                    <w:right w:val="none" w:sz="0" w:space="0" w:color="auto"/>
                  </w:divBdr>
                  <w:divsChild>
                    <w:div w:id="613756025">
                      <w:marLeft w:val="0"/>
                      <w:marRight w:val="0"/>
                      <w:marTop w:val="0"/>
                      <w:marBottom w:val="0"/>
                      <w:divBdr>
                        <w:top w:val="none" w:sz="0" w:space="0" w:color="auto"/>
                        <w:left w:val="none" w:sz="0" w:space="0" w:color="auto"/>
                        <w:bottom w:val="none" w:sz="0" w:space="0" w:color="auto"/>
                        <w:right w:val="none" w:sz="0" w:space="0" w:color="auto"/>
                      </w:divBdr>
                    </w:div>
                  </w:divsChild>
                </w:div>
                <w:div w:id="1081218079">
                  <w:marLeft w:val="0"/>
                  <w:marRight w:val="0"/>
                  <w:marTop w:val="0"/>
                  <w:marBottom w:val="0"/>
                  <w:divBdr>
                    <w:top w:val="none" w:sz="0" w:space="0" w:color="auto"/>
                    <w:left w:val="none" w:sz="0" w:space="0" w:color="auto"/>
                    <w:bottom w:val="none" w:sz="0" w:space="0" w:color="auto"/>
                    <w:right w:val="none" w:sz="0" w:space="0" w:color="auto"/>
                  </w:divBdr>
                  <w:divsChild>
                    <w:div w:id="72776527">
                      <w:marLeft w:val="0"/>
                      <w:marRight w:val="0"/>
                      <w:marTop w:val="0"/>
                      <w:marBottom w:val="0"/>
                      <w:divBdr>
                        <w:top w:val="none" w:sz="0" w:space="0" w:color="auto"/>
                        <w:left w:val="none" w:sz="0" w:space="0" w:color="auto"/>
                        <w:bottom w:val="none" w:sz="0" w:space="0" w:color="auto"/>
                        <w:right w:val="none" w:sz="0" w:space="0" w:color="auto"/>
                      </w:divBdr>
                    </w:div>
                  </w:divsChild>
                </w:div>
                <w:div w:id="1081944874">
                  <w:marLeft w:val="0"/>
                  <w:marRight w:val="0"/>
                  <w:marTop w:val="0"/>
                  <w:marBottom w:val="0"/>
                  <w:divBdr>
                    <w:top w:val="none" w:sz="0" w:space="0" w:color="auto"/>
                    <w:left w:val="none" w:sz="0" w:space="0" w:color="auto"/>
                    <w:bottom w:val="none" w:sz="0" w:space="0" w:color="auto"/>
                    <w:right w:val="none" w:sz="0" w:space="0" w:color="auto"/>
                  </w:divBdr>
                  <w:divsChild>
                    <w:div w:id="799225921">
                      <w:marLeft w:val="0"/>
                      <w:marRight w:val="0"/>
                      <w:marTop w:val="0"/>
                      <w:marBottom w:val="0"/>
                      <w:divBdr>
                        <w:top w:val="none" w:sz="0" w:space="0" w:color="auto"/>
                        <w:left w:val="none" w:sz="0" w:space="0" w:color="auto"/>
                        <w:bottom w:val="none" w:sz="0" w:space="0" w:color="auto"/>
                        <w:right w:val="none" w:sz="0" w:space="0" w:color="auto"/>
                      </w:divBdr>
                    </w:div>
                  </w:divsChild>
                </w:div>
                <w:div w:id="1158375829">
                  <w:marLeft w:val="0"/>
                  <w:marRight w:val="0"/>
                  <w:marTop w:val="0"/>
                  <w:marBottom w:val="0"/>
                  <w:divBdr>
                    <w:top w:val="none" w:sz="0" w:space="0" w:color="auto"/>
                    <w:left w:val="none" w:sz="0" w:space="0" w:color="auto"/>
                    <w:bottom w:val="none" w:sz="0" w:space="0" w:color="auto"/>
                    <w:right w:val="none" w:sz="0" w:space="0" w:color="auto"/>
                  </w:divBdr>
                  <w:divsChild>
                    <w:div w:id="722757150">
                      <w:marLeft w:val="0"/>
                      <w:marRight w:val="0"/>
                      <w:marTop w:val="0"/>
                      <w:marBottom w:val="0"/>
                      <w:divBdr>
                        <w:top w:val="none" w:sz="0" w:space="0" w:color="auto"/>
                        <w:left w:val="none" w:sz="0" w:space="0" w:color="auto"/>
                        <w:bottom w:val="none" w:sz="0" w:space="0" w:color="auto"/>
                        <w:right w:val="none" w:sz="0" w:space="0" w:color="auto"/>
                      </w:divBdr>
                    </w:div>
                  </w:divsChild>
                </w:div>
                <w:div w:id="1179393040">
                  <w:marLeft w:val="0"/>
                  <w:marRight w:val="0"/>
                  <w:marTop w:val="0"/>
                  <w:marBottom w:val="0"/>
                  <w:divBdr>
                    <w:top w:val="none" w:sz="0" w:space="0" w:color="auto"/>
                    <w:left w:val="none" w:sz="0" w:space="0" w:color="auto"/>
                    <w:bottom w:val="none" w:sz="0" w:space="0" w:color="auto"/>
                    <w:right w:val="none" w:sz="0" w:space="0" w:color="auto"/>
                  </w:divBdr>
                  <w:divsChild>
                    <w:div w:id="45641477">
                      <w:marLeft w:val="0"/>
                      <w:marRight w:val="0"/>
                      <w:marTop w:val="0"/>
                      <w:marBottom w:val="0"/>
                      <w:divBdr>
                        <w:top w:val="none" w:sz="0" w:space="0" w:color="auto"/>
                        <w:left w:val="none" w:sz="0" w:space="0" w:color="auto"/>
                        <w:bottom w:val="none" w:sz="0" w:space="0" w:color="auto"/>
                        <w:right w:val="none" w:sz="0" w:space="0" w:color="auto"/>
                      </w:divBdr>
                    </w:div>
                  </w:divsChild>
                </w:div>
                <w:div w:id="1181511895">
                  <w:marLeft w:val="0"/>
                  <w:marRight w:val="0"/>
                  <w:marTop w:val="0"/>
                  <w:marBottom w:val="0"/>
                  <w:divBdr>
                    <w:top w:val="none" w:sz="0" w:space="0" w:color="auto"/>
                    <w:left w:val="none" w:sz="0" w:space="0" w:color="auto"/>
                    <w:bottom w:val="none" w:sz="0" w:space="0" w:color="auto"/>
                    <w:right w:val="none" w:sz="0" w:space="0" w:color="auto"/>
                  </w:divBdr>
                  <w:divsChild>
                    <w:div w:id="46531379">
                      <w:marLeft w:val="0"/>
                      <w:marRight w:val="0"/>
                      <w:marTop w:val="0"/>
                      <w:marBottom w:val="0"/>
                      <w:divBdr>
                        <w:top w:val="none" w:sz="0" w:space="0" w:color="auto"/>
                        <w:left w:val="none" w:sz="0" w:space="0" w:color="auto"/>
                        <w:bottom w:val="none" w:sz="0" w:space="0" w:color="auto"/>
                        <w:right w:val="none" w:sz="0" w:space="0" w:color="auto"/>
                      </w:divBdr>
                    </w:div>
                  </w:divsChild>
                </w:div>
                <w:div w:id="1285773632">
                  <w:marLeft w:val="0"/>
                  <w:marRight w:val="0"/>
                  <w:marTop w:val="0"/>
                  <w:marBottom w:val="0"/>
                  <w:divBdr>
                    <w:top w:val="none" w:sz="0" w:space="0" w:color="auto"/>
                    <w:left w:val="none" w:sz="0" w:space="0" w:color="auto"/>
                    <w:bottom w:val="none" w:sz="0" w:space="0" w:color="auto"/>
                    <w:right w:val="none" w:sz="0" w:space="0" w:color="auto"/>
                  </w:divBdr>
                  <w:divsChild>
                    <w:div w:id="2053186067">
                      <w:marLeft w:val="0"/>
                      <w:marRight w:val="0"/>
                      <w:marTop w:val="0"/>
                      <w:marBottom w:val="0"/>
                      <w:divBdr>
                        <w:top w:val="none" w:sz="0" w:space="0" w:color="auto"/>
                        <w:left w:val="none" w:sz="0" w:space="0" w:color="auto"/>
                        <w:bottom w:val="none" w:sz="0" w:space="0" w:color="auto"/>
                        <w:right w:val="none" w:sz="0" w:space="0" w:color="auto"/>
                      </w:divBdr>
                    </w:div>
                  </w:divsChild>
                </w:div>
                <w:div w:id="1287732606">
                  <w:marLeft w:val="0"/>
                  <w:marRight w:val="0"/>
                  <w:marTop w:val="0"/>
                  <w:marBottom w:val="0"/>
                  <w:divBdr>
                    <w:top w:val="none" w:sz="0" w:space="0" w:color="auto"/>
                    <w:left w:val="none" w:sz="0" w:space="0" w:color="auto"/>
                    <w:bottom w:val="none" w:sz="0" w:space="0" w:color="auto"/>
                    <w:right w:val="none" w:sz="0" w:space="0" w:color="auto"/>
                  </w:divBdr>
                  <w:divsChild>
                    <w:div w:id="1590193322">
                      <w:marLeft w:val="0"/>
                      <w:marRight w:val="0"/>
                      <w:marTop w:val="0"/>
                      <w:marBottom w:val="0"/>
                      <w:divBdr>
                        <w:top w:val="none" w:sz="0" w:space="0" w:color="auto"/>
                        <w:left w:val="none" w:sz="0" w:space="0" w:color="auto"/>
                        <w:bottom w:val="none" w:sz="0" w:space="0" w:color="auto"/>
                        <w:right w:val="none" w:sz="0" w:space="0" w:color="auto"/>
                      </w:divBdr>
                    </w:div>
                  </w:divsChild>
                </w:div>
                <w:div w:id="1303004857">
                  <w:marLeft w:val="0"/>
                  <w:marRight w:val="0"/>
                  <w:marTop w:val="0"/>
                  <w:marBottom w:val="0"/>
                  <w:divBdr>
                    <w:top w:val="none" w:sz="0" w:space="0" w:color="auto"/>
                    <w:left w:val="none" w:sz="0" w:space="0" w:color="auto"/>
                    <w:bottom w:val="none" w:sz="0" w:space="0" w:color="auto"/>
                    <w:right w:val="none" w:sz="0" w:space="0" w:color="auto"/>
                  </w:divBdr>
                  <w:divsChild>
                    <w:div w:id="996691902">
                      <w:marLeft w:val="0"/>
                      <w:marRight w:val="0"/>
                      <w:marTop w:val="0"/>
                      <w:marBottom w:val="0"/>
                      <w:divBdr>
                        <w:top w:val="none" w:sz="0" w:space="0" w:color="auto"/>
                        <w:left w:val="none" w:sz="0" w:space="0" w:color="auto"/>
                        <w:bottom w:val="none" w:sz="0" w:space="0" w:color="auto"/>
                        <w:right w:val="none" w:sz="0" w:space="0" w:color="auto"/>
                      </w:divBdr>
                    </w:div>
                  </w:divsChild>
                </w:div>
                <w:div w:id="1414932090">
                  <w:marLeft w:val="0"/>
                  <w:marRight w:val="0"/>
                  <w:marTop w:val="0"/>
                  <w:marBottom w:val="0"/>
                  <w:divBdr>
                    <w:top w:val="none" w:sz="0" w:space="0" w:color="auto"/>
                    <w:left w:val="none" w:sz="0" w:space="0" w:color="auto"/>
                    <w:bottom w:val="none" w:sz="0" w:space="0" w:color="auto"/>
                    <w:right w:val="none" w:sz="0" w:space="0" w:color="auto"/>
                  </w:divBdr>
                  <w:divsChild>
                    <w:div w:id="515340999">
                      <w:marLeft w:val="0"/>
                      <w:marRight w:val="0"/>
                      <w:marTop w:val="0"/>
                      <w:marBottom w:val="0"/>
                      <w:divBdr>
                        <w:top w:val="none" w:sz="0" w:space="0" w:color="auto"/>
                        <w:left w:val="none" w:sz="0" w:space="0" w:color="auto"/>
                        <w:bottom w:val="none" w:sz="0" w:space="0" w:color="auto"/>
                        <w:right w:val="none" w:sz="0" w:space="0" w:color="auto"/>
                      </w:divBdr>
                    </w:div>
                  </w:divsChild>
                </w:div>
                <w:div w:id="1470709603">
                  <w:marLeft w:val="0"/>
                  <w:marRight w:val="0"/>
                  <w:marTop w:val="0"/>
                  <w:marBottom w:val="0"/>
                  <w:divBdr>
                    <w:top w:val="none" w:sz="0" w:space="0" w:color="auto"/>
                    <w:left w:val="none" w:sz="0" w:space="0" w:color="auto"/>
                    <w:bottom w:val="none" w:sz="0" w:space="0" w:color="auto"/>
                    <w:right w:val="none" w:sz="0" w:space="0" w:color="auto"/>
                  </w:divBdr>
                  <w:divsChild>
                    <w:div w:id="1089499289">
                      <w:marLeft w:val="0"/>
                      <w:marRight w:val="0"/>
                      <w:marTop w:val="0"/>
                      <w:marBottom w:val="0"/>
                      <w:divBdr>
                        <w:top w:val="none" w:sz="0" w:space="0" w:color="auto"/>
                        <w:left w:val="none" w:sz="0" w:space="0" w:color="auto"/>
                        <w:bottom w:val="none" w:sz="0" w:space="0" w:color="auto"/>
                        <w:right w:val="none" w:sz="0" w:space="0" w:color="auto"/>
                      </w:divBdr>
                    </w:div>
                  </w:divsChild>
                </w:div>
                <w:div w:id="1506284145">
                  <w:marLeft w:val="0"/>
                  <w:marRight w:val="0"/>
                  <w:marTop w:val="0"/>
                  <w:marBottom w:val="0"/>
                  <w:divBdr>
                    <w:top w:val="none" w:sz="0" w:space="0" w:color="auto"/>
                    <w:left w:val="none" w:sz="0" w:space="0" w:color="auto"/>
                    <w:bottom w:val="none" w:sz="0" w:space="0" w:color="auto"/>
                    <w:right w:val="none" w:sz="0" w:space="0" w:color="auto"/>
                  </w:divBdr>
                  <w:divsChild>
                    <w:div w:id="2054379512">
                      <w:marLeft w:val="0"/>
                      <w:marRight w:val="0"/>
                      <w:marTop w:val="0"/>
                      <w:marBottom w:val="0"/>
                      <w:divBdr>
                        <w:top w:val="none" w:sz="0" w:space="0" w:color="auto"/>
                        <w:left w:val="none" w:sz="0" w:space="0" w:color="auto"/>
                        <w:bottom w:val="none" w:sz="0" w:space="0" w:color="auto"/>
                        <w:right w:val="none" w:sz="0" w:space="0" w:color="auto"/>
                      </w:divBdr>
                    </w:div>
                  </w:divsChild>
                </w:div>
                <w:div w:id="1530336142">
                  <w:marLeft w:val="0"/>
                  <w:marRight w:val="0"/>
                  <w:marTop w:val="0"/>
                  <w:marBottom w:val="0"/>
                  <w:divBdr>
                    <w:top w:val="none" w:sz="0" w:space="0" w:color="auto"/>
                    <w:left w:val="none" w:sz="0" w:space="0" w:color="auto"/>
                    <w:bottom w:val="none" w:sz="0" w:space="0" w:color="auto"/>
                    <w:right w:val="none" w:sz="0" w:space="0" w:color="auto"/>
                  </w:divBdr>
                  <w:divsChild>
                    <w:div w:id="1022588482">
                      <w:marLeft w:val="0"/>
                      <w:marRight w:val="0"/>
                      <w:marTop w:val="0"/>
                      <w:marBottom w:val="0"/>
                      <w:divBdr>
                        <w:top w:val="none" w:sz="0" w:space="0" w:color="auto"/>
                        <w:left w:val="none" w:sz="0" w:space="0" w:color="auto"/>
                        <w:bottom w:val="none" w:sz="0" w:space="0" w:color="auto"/>
                        <w:right w:val="none" w:sz="0" w:space="0" w:color="auto"/>
                      </w:divBdr>
                    </w:div>
                  </w:divsChild>
                </w:div>
                <w:div w:id="1576089033">
                  <w:marLeft w:val="0"/>
                  <w:marRight w:val="0"/>
                  <w:marTop w:val="0"/>
                  <w:marBottom w:val="0"/>
                  <w:divBdr>
                    <w:top w:val="none" w:sz="0" w:space="0" w:color="auto"/>
                    <w:left w:val="none" w:sz="0" w:space="0" w:color="auto"/>
                    <w:bottom w:val="none" w:sz="0" w:space="0" w:color="auto"/>
                    <w:right w:val="none" w:sz="0" w:space="0" w:color="auto"/>
                  </w:divBdr>
                  <w:divsChild>
                    <w:div w:id="2013100390">
                      <w:marLeft w:val="0"/>
                      <w:marRight w:val="0"/>
                      <w:marTop w:val="0"/>
                      <w:marBottom w:val="0"/>
                      <w:divBdr>
                        <w:top w:val="none" w:sz="0" w:space="0" w:color="auto"/>
                        <w:left w:val="none" w:sz="0" w:space="0" w:color="auto"/>
                        <w:bottom w:val="none" w:sz="0" w:space="0" w:color="auto"/>
                        <w:right w:val="none" w:sz="0" w:space="0" w:color="auto"/>
                      </w:divBdr>
                    </w:div>
                  </w:divsChild>
                </w:div>
                <w:div w:id="1611744740">
                  <w:marLeft w:val="0"/>
                  <w:marRight w:val="0"/>
                  <w:marTop w:val="0"/>
                  <w:marBottom w:val="0"/>
                  <w:divBdr>
                    <w:top w:val="none" w:sz="0" w:space="0" w:color="auto"/>
                    <w:left w:val="none" w:sz="0" w:space="0" w:color="auto"/>
                    <w:bottom w:val="none" w:sz="0" w:space="0" w:color="auto"/>
                    <w:right w:val="none" w:sz="0" w:space="0" w:color="auto"/>
                  </w:divBdr>
                  <w:divsChild>
                    <w:div w:id="1200826423">
                      <w:marLeft w:val="0"/>
                      <w:marRight w:val="0"/>
                      <w:marTop w:val="0"/>
                      <w:marBottom w:val="0"/>
                      <w:divBdr>
                        <w:top w:val="none" w:sz="0" w:space="0" w:color="auto"/>
                        <w:left w:val="none" w:sz="0" w:space="0" w:color="auto"/>
                        <w:bottom w:val="none" w:sz="0" w:space="0" w:color="auto"/>
                        <w:right w:val="none" w:sz="0" w:space="0" w:color="auto"/>
                      </w:divBdr>
                    </w:div>
                  </w:divsChild>
                </w:div>
                <w:div w:id="1626888299">
                  <w:marLeft w:val="0"/>
                  <w:marRight w:val="0"/>
                  <w:marTop w:val="0"/>
                  <w:marBottom w:val="0"/>
                  <w:divBdr>
                    <w:top w:val="none" w:sz="0" w:space="0" w:color="auto"/>
                    <w:left w:val="none" w:sz="0" w:space="0" w:color="auto"/>
                    <w:bottom w:val="none" w:sz="0" w:space="0" w:color="auto"/>
                    <w:right w:val="none" w:sz="0" w:space="0" w:color="auto"/>
                  </w:divBdr>
                  <w:divsChild>
                    <w:div w:id="1784105701">
                      <w:marLeft w:val="0"/>
                      <w:marRight w:val="0"/>
                      <w:marTop w:val="0"/>
                      <w:marBottom w:val="0"/>
                      <w:divBdr>
                        <w:top w:val="none" w:sz="0" w:space="0" w:color="auto"/>
                        <w:left w:val="none" w:sz="0" w:space="0" w:color="auto"/>
                        <w:bottom w:val="none" w:sz="0" w:space="0" w:color="auto"/>
                        <w:right w:val="none" w:sz="0" w:space="0" w:color="auto"/>
                      </w:divBdr>
                    </w:div>
                  </w:divsChild>
                </w:div>
                <w:div w:id="1636131933">
                  <w:marLeft w:val="0"/>
                  <w:marRight w:val="0"/>
                  <w:marTop w:val="0"/>
                  <w:marBottom w:val="0"/>
                  <w:divBdr>
                    <w:top w:val="none" w:sz="0" w:space="0" w:color="auto"/>
                    <w:left w:val="none" w:sz="0" w:space="0" w:color="auto"/>
                    <w:bottom w:val="none" w:sz="0" w:space="0" w:color="auto"/>
                    <w:right w:val="none" w:sz="0" w:space="0" w:color="auto"/>
                  </w:divBdr>
                  <w:divsChild>
                    <w:div w:id="1027562662">
                      <w:marLeft w:val="0"/>
                      <w:marRight w:val="0"/>
                      <w:marTop w:val="0"/>
                      <w:marBottom w:val="0"/>
                      <w:divBdr>
                        <w:top w:val="none" w:sz="0" w:space="0" w:color="auto"/>
                        <w:left w:val="none" w:sz="0" w:space="0" w:color="auto"/>
                        <w:bottom w:val="none" w:sz="0" w:space="0" w:color="auto"/>
                        <w:right w:val="none" w:sz="0" w:space="0" w:color="auto"/>
                      </w:divBdr>
                    </w:div>
                  </w:divsChild>
                </w:div>
                <w:div w:id="1642147854">
                  <w:marLeft w:val="0"/>
                  <w:marRight w:val="0"/>
                  <w:marTop w:val="0"/>
                  <w:marBottom w:val="0"/>
                  <w:divBdr>
                    <w:top w:val="none" w:sz="0" w:space="0" w:color="auto"/>
                    <w:left w:val="none" w:sz="0" w:space="0" w:color="auto"/>
                    <w:bottom w:val="none" w:sz="0" w:space="0" w:color="auto"/>
                    <w:right w:val="none" w:sz="0" w:space="0" w:color="auto"/>
                  </w:divBdr>
                  <w:divsChild>
                    <w:div w:id="1882591803">
                      <w:marLeft w:val="0"/>
                      <w:marRight w:val="0"/>
                      <w:marTop w:val="0"/>
                      <w:marBottom w:val="0"/>
                      <w:divBdr>
                        <w:top w:val="none" w:sz="0" w:space="0" w:color="auto"/>
                        <w:left w:val="none" w:sz="0" w:space="0" w:color="auto"/>
                        <w:bottom w:val="none" w:sz="0" w:space="0" w:color="auto"/>
                        <w:right w:val="none" w:sz="0" w:space="0" w:color="auto"/>
                      </w:divBdr>
                    </w:div>
                  </w:divsChild>
                </w:div>
                <w:div w:id="1661496919">
                  <w:marLeft w:val="0"/>
                  <w:marRight w:val="0"/>
                  <w:marTop w:val="0"/>
                  <w:marBottom w:val="0"/>
                  <w:divBdr>
                    <w:top w:val="none" w:sz="0" w:space="0" w:color="auto"/>
                    <w:left w:val="none" w:sz="0" w:space="0" w:color="auto"/>
                    <w:bottom w:val="none" w:sz="0" w:space="0" w:color="auto"/>
                    <w:right w:val="none" w:sz="0" w:space="0" w:color="auto"/>
                  </w:divBdr>
                  <w:divsChild>
                    <w:div w:id="1848667596">
                      <w:marLeft w:val="0"/>
                      <w:marRight w:val="0"/>
                      <w:marTop w:val="0"/>
                      <w:marBottom w:val="0"/>
                      <w:divBdr>
                        <w:top w:val="none" w:sz="0" w:space="0" w:color="auto"/>
                        <w:left w:val="none" w:sz="0" w:space="0" w:color="auto"/>
                        <w:bottom w:val="none" w:sz="0" w:space="0" w:color="auto"/>
                        <w:right w:val="none" w:sz="0" w:space="0" w:color="auto"/>
                      </w:divBdr>
                    </w:div>
                  </w:divsChild>
                </w:div>
                <w:div w:id="1775400061">
                  <w:marLeft w:val="0"/>
                  <w:marRight w:val="0"/>
                  <w:marTop w:val="0"/>
                  <w:marBottom w:val="0"/>
                  <w:divBdr>
                    <w:top w:val="none" w:sz="0" w:space="0" w:color="auto"/>
                    <w:left w:val="none" w:sz="0" w:space="0" w:color="auto"/>
                    <w:bottom w:val="none" w:sz="0" w:space="0" w:color="auto"/>
                    <w:right w:val="none" w:sz="0" w:space="0" w:color="auto"/>
                  </w:divBdr>
                  <w:divsChild>
                    <w:div w:id="52893587">
                      <w:marLeft w:val="0"/>
                      <w:marRight w:val="0"/>
                      <w:marTop w:val="0"/>
                      <w:marBottom w:val="0"/>
                      <w:divBdr>
                        <w:top w:val="none" w:sz="0" w:space="0" w:color="auto"/>
                        <w:left w:val="none" w:sz="0" w:space="0" w:color="auto"/>
                        <w:bottom w:val="none" w:sz="0" w:space="0" w:color="auto"/>
                        <w:right w:val="none" w:sz="0" w:space="0" w:color="auto"/>
                      </w:divBdr>
                    </w:div>
                  </w:divsChild>
                </w:div>
                <w:div w:id="1791976969">
                  <w:marLeft w:val="0"/>
                  <w:marRight w:val="0"/>
                  <w:marTop w:val="0"/>
                  <w:marBottom w:val="0"/>
                  <w:divBdr>
                    <w:top w:val="none" w:sz="0" w:space="0" w:color="auto"/>
                    <w:left w:val="none" w:sz="0" w:space="0" w:color="auto"/>
                    <w:bottom w:val="none" w:sz="0" w:space="0" w:color="auto"/>
                    <w:right w:val="none" w:sz="0" w:space="0" w:color="auto"/>
                  </w:divBdr>
                  <w:divsChild>
                    <w:div w:id="1829787977">
                      <w:marLeft w:val="0"/>
                      <w:marRight w:val="0"/>
                      <w:marTop w:val="0"/>
                      <w:marBottom w:val="0"/>
                      <w:divBdr>
                        <w:top w:val="none" w:sz="0" w:space="0" w:color="auto"/>
                        <w:left w:val="none" w:sz="0" w:space="0" w:color="auto"/>
                        <w:bottom w:val="none" w:sz="0" w:space="0" w:color="auto"/>
                        <w:right w:val="none" w:sz="0" w:space="0" w:color="auto"/>
                      </w:divBdr>
                    </w:div>
                  </w:divsChild>
                </w:div>
                <w:div w:id="1826362749">
                  <w:marLeft w:val="0"/>
                  <w:marRight w:val="0"/>
                  <w:marTop w:val="0"/>
                  <w:marBottom w:val="0"/>
                  <w:divBdr>
                    <w:top w:val="none" w:sz="0" w:space="0" w:color="auto"/>
                    <w:left w:val="none" w:sz="0" w:space="0" w:color="auto"/>
                    <w:bottom w:val="none" w:sz="0" w:space="0" w:color="auto"/>
                    <w:right w:val="none" w:sz="0" w:space="0" w:color="auto"/>
                  </w:divBdr>
                  <w:divsChild>
                    <w:div w:id="1383870226">
                      <w:marLeft w:val="0"/>
                      <w:marRight w:val="0"/>
                      <w:marTop w:val="0"/>
                      <w:marBottom w:val="0"/>
                      <w:divBdr>
                        <w:top w:val="none" w:sz="0" w:space="0" w:color="auto"/>
                        <w:left w:val="none" w:sz="0" w:space="0" w:color="auto"/>
                        <w:bottom w:val="none" w:sz="0" w:space="0" w:color="auto"/>
                        <w:right w:val="none" w:sz="0" w:space="0" w:color="auto"/>
                      </w:divBdr>
                    </w:div>
                  </w:divsChild>
                </w:div>
                <w:div w:id="1916550780">
                  <w:marLeft w:val="0"/>
                  <w:marRight w:val="0"/>
                  <w:marTop w:val="0"/>
                  <w:marBottom w:val="0"/>
                  <w:divBdr>
                    <w:top w:val="none" w:sz="0" w:space="0" w:color="auto"/>
                    <w:left w:val="none" w:sz="0" w:space="0" w:color="auto"/>
                    <w:bottom w:val="none" w:sz="0" w:space="0" w:color="auto"/>
                    <w:right w:val="none" w:sz="0" w:space="0" w:color="auto"/>
                  </w:divBdr>
                  <w:divsChild>
                    <w:div w:id="1692029330">
                      <w:marLeft w:val="0"/>
                      <w:marRight w:val="0"/>
                      <w:marTop w:val="0"/>
                      <w:marBottom w:val="0"/>
                      <w:divBdr>
                        <w:top w:val="none" w:sz="0" w:space="0" w:color="auto"/>
                        <w:left w:val="none" w:sz="0" w:space="0" w:color="auto"/>
                        <w:bottom w:val="none" w:sz="0" w:space="0" w:color="auto"/>
                        <w:right w:val="none" w:sz="0" w:space="0" w:color="auto"/>
                      </w:divBdr>
                    </w:div>
                  </w:divsChild>
                </w:div>
                <w:div w:id="1923709687">
                  <w:marLeft w:val="0"/>
                  <w:marRight w:val="0"/>
                  <w:marTop w:val="0"/>
                  <w:marBottom w:val="0"/>
                  <w:divBdr>
                    <w:top w:val="none" w:sz="0" w:space="0" w:color="auto"/>
                    <w:left w:val="none" w:sz="0" w:space="0" w:color="auto"/>
                    <w:bottom w:val="none" w:sz="0" w:space="0" w:color="auto"/>
                    <w:right w:val="none" w:sz="0" w:space="0" w:color="auto"/>
                  </w:divBdr>
                  <w:divsChild>
                    <w:div w:id="363942831">
                      <w:marLeft w:val="0"/>
                      <w:marRight w:val="0"/>
                      <w:marTop w:val="0"/>
                      <w:marBottom w:val="0"/>
                      <w:divBdr>
                        <w:top w:val="none" w:sz="0" w:space="0" w:color="auto"/>
                        <w:left w:val="none" w:sz="0" w:space="0" w:color="auto"/>
                        <w:bottom w:val="none" w:sz="0" w:space="0" w:color="auto"/>
                        <w:right w:val="none" w:sz="0" w:space="0" w:color="auto"/>
                      </w:divBdr>
                    </w:div>
                  </w:divsChild>
                </w:div>
                <w:div w:id="1930501523">
                  <w:marLeft w:val="0"/>
                  <w:marRight w:val="0"/>
                  <w:marTop w:val="0"/>
                  <w:marBottom w:val="0"/>
                  <w:divBdr>
                    <w:top w:val="none" w:sz="0" w:space="0" w:color="auto"/>
                    <w:left w:val="none" w:sz="0" w:space="0" w:color="auto"/>
                    <w:bottom w:val="none" w:sz="0" w:space="0" w:color="auto"/>
                    <w:right w:val="none" w:sz="0" w:space="0" w:color="auto"/>
                  </w:divBdr>
                  <w:divsChild>
                    <w:div w:id="534001057">
                      <w:marLeft w:val="0"/>
                      <w:marRight w:val="0"/>
                      <w:marTop w:val="0"/>
                      <w:marBottom w:val="0"/>
                      <w:divBdr>
                        <w:top w:val="none" w:sz="0" w:space="0" w:color="auto"/>
                        <w:left w:val="none" w:sz="0" w:space="0" w:color="auto"/>
                        <w:bottom w:val="none" w:sz="0" w:space="0" w:color="auto"/>
                        <w:right w:val="none" w:sz="0" w:space="0" w:color="auto"/>
                      </w:divBdr>
                    </w:div>
                  </w:divsChild>
                </w:div>
                <w:div w:id="1998027385">
                  <w:marLeft w:val="0"/>
                  <w:marRight w:val="0"/>
                  <w:marTop w:val="0"/>
                  <w:marBottom w:val="0"/>
                  <w:divBdr>
                    <w:top w:val="none" w:sz="0" w:space="0" w:color="auto"/>
                    <w:left w:val="none" w:sz="0" w:space="0" w:color="auto"/>
                    <w:bottom w:val="none" w:sz="0" w:space="0" w:color="auto"/>
                    <w:right w:val="none" w:sz="0" w:space="0" w:color="auto"/>
                  </w:divBdr>
                  <w:divsChild>
                    <w:div w:id="1326856653">
                      <w:marLeft w:val="0"/>
                      <w:marRight w:val="0"/>
                      <w:marTop w:val="0"/>
                      <w:marBottom w:val="0"/>
                      <w:divBdr>
                        <w:top w:val="none" w:sz="0" w:space="0" w:color="auto"/>
                        <w:left w:val="none" w:sz="0" w:space="0" w:color="auto"/>
                        <w:bottom w:val="none" w:sz="0" w:space="0" w:color="auto"/>
                        <w:right w:val="none" w:sz="0" w:space="0" w:color="auto"/>
                      </w:divBdr>
                    </w:div>
                  </w:divsChild>
                </w:div>
                <w:div w:id="2004434020">
                  <w:marLeft w:val="0"/>
                  <w:marRight w:val="0"/>
                  <w:marTop w:val="0"/>
                  <w:marBottom w:val="0"/>
                  <w:divBdr>
                    <w:top w:val="none" w:sz="0" w:space="0" w:color="auto"/>
                    <w:left w:val="none" w:sz="0" w:space="0" w:color="auto"/>
                    <w:bottom w:val="none" w:sz="0" w:space="0" w:color="auto"/>
                    <w:right w:val="none" w:sz="0" w:space="0" w:color="auto"/>
                  </w:divBdr>
                  <w:divsChild>
                    <w:div w:id="1638292980">
                      <w:marLeft w:val="0"/>
                      <w:marRight w:val="0"/>
                      <w:marTop w:val="0"/>
                      <w:marBottom w:val="0"/>
                      <w:divBdr>
                        <w:top w:val="none" w:sz="0" w:space="0" w:color="auto"/>
                        <w:left w:val="none" w:sz="0" w:space="0" w:color="auto"/>
                        <w:bottom w:val="none" w:sz="0" w:space="0" w:color="auto"/>
                        <w:right w:val="none" w:sz="0" w:space="0" w:color="auto"/>
                      </w:divBdr>
                    </w:div>
                  </w:divsChild>
                </w:div>
                <w:div w:id="2080399397">
                  <w:marLeft w:val="0"/>
                  <w:marRight w:val="0"/>
                  <w:marTop w:val="0"/>
                  <w:marBottom w:val="0"/>
                  <w:divBdr>
                    <w:top w:val="none" w:sz="0" w:space="0" w:color="auto"/>
                    <w:left w:val="none" w:sz="0" w:space="0" w:color="auto"/>
                    <w:bottom w:val="none" w:sz="0" w:space="0" w:color="auto"/>
                    <w:right w:val="none" w:sz="0" w:space="0" w:color="auto"/>
                  </w:divBdr>
                  <w:divsChild>
                    <w:div w:id="395670199">
                      <w:marLeft w:val="0"/>
                      <w:marRight w:val="0"/>
                      <w:marTop w:val="0"/>
                      <w:marBottom w:val="0"/>
                      <w:divBdr>
                        <w:top w:val="none" w:sz="0" w:space="0" w:color="auto"/>
                        <w:left w:val="none" w:sz="0" w:space="0" w:color="auto"/>
                        <w:bottom w:val="none" w:sz="0" w:space="0" w:color="auto"/>
                        <w:right w:val="none" w:sz="0" w:space="0" w:color="auto"/>
                      </w:divBdr>
                    </w:div>
                  </w:divsChild>
                </w:div>
                <w:div w:id="2132698159">
                  <w:marLeft w:val="0"/>
                  <w:marRight w:val="0"/>
                  <w:marTop w:val="0"/>
                  <w:marBottom w:val="0"/>
                  <w:divBdr>
                    <w:top w:val="none" w:sz="0" w:space="0" w:color="auto"/>
                    <w:left w:val="none" w:sz="0" w:space="0" w:color="auto"/>
                    <w:bottom w:val="none" w:sz="0" w:space="0" w:color="auto"/>
                    <w:right w:val="none" w:sz="0" w:space="0" w:color="auto"/>
                  </w:divBdr>
                  <w:divsChild>
                    <w:div w:id="2086686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752479">
          <w:marLeft w:val="0"/>
          <w:marRight w:val="0"/>
          <w:marTop w:val="0"/>
          <w:marBottom w:val="0"/>
          <w:divBdr>
            <w:top w:val="none" w:sz="0" w:space="0" w:color="auto"/>
            <w:left w:val="none" w:sz="0" w:space="0" w:color="auto"/>
            <w:bottom w:val="none" w:sz="0" w:space="0" w:color="auto"/>
            <w:right w:val="none" w:sz="0" w:space="0" w:color="auto"/>
          </w:divBdr>
        </w:div>
        <w:div w:id="1277299091">
          <w:marLeft w:val="0"/>
          <w:marRight w:val="0"/>
          <w:marTop w:val="0"/>
          <w:marBottom w:val="0"/>
          <w:divBdr>
            <w:top w:val="none" w:sz="0" w:space="0" w:color="auto"/>
            <w:left w:val="none" w:sz="0" w:space="0" w:color="auto"/>
            <w:bottom w:val="none" w:sz="0" w:space="0" w:color="auto"/>
            <w:right w:val="none" w:sz="0" w:space="0" w:color="auto"/>
          </w:divBdr>
        </w:div>
        <w:div w:id="1498225515">
          <w:marLeft w:val="0"/>
          <w:marRight w:val="0"/>
          <w:marTop w:val="0"/>
          <w:marBottom w:val="0"/>
          <w:divBdr>
            <w:top w:val="none" w:sz="0" w:space="0" w:color="auto"/>
            <w:left w:val="none" w:sz="0" w:space="0" w:color="auto"/>
            <w:bottom w:val="none" w:sz="0" w:space="0" w:color="auto"/>
            <w:right w:val="none" w:sz="0" w:space="0" w:color="auto"/>
          </w:divBdr>
        </w:div>
        <w:div w:id="1504978912">
          <w:marLeft w:val="0"/>
          <w:marRight w:val="0"/>
          <w:marTop w:val="0"/>
          <w:marBottom w:val="0"/>
          <w:divBdr>
            <w:top w:val="none" w:sz="0" w:space="0" w:color="auto"/>
            <w:left w:val="none" w:sz="0" w:space="0" w:color="auto"/>
            <w:bottom w:val="none" w:sz="0" w:space="0" w:color="auto"/>
            <w:right w:val="none" w:sz="0" w:space="0" w:color="auto"/>
          </w:divBdr>
        </w:div>
        <w:div w:id="1574315368">
          <w:marLeft w:val="0"/>
          <w:marRight w:val="0"/>
          <w:marTop w:val="0"/>
          <w:marBottom w:val="0"/>
          <w:divBdr>
            <w:top w:val="none" w:sz="0" w:space="0" w:color="auto"/>
            <w:left w:val="none" w:sz="0" w:space="0" w:color="auto"/>
            <w:bottom w:val="none" w:sz="0" w:space="0" w:color="auto"/>
            <w:right w:val="none" w:sz="0" w:space="0" w:color="auto"/>
          </w:divBdr>
        </w:div>
        <w:div w:id="1575043873">
          <w:marLeft w:val="0"/>
          <w:marRight w:val="0"/>
          <w:marTop w:val="0"/>
          <w:marBottom w:val="0"/>
          <w:divBdr>
            <w:top w:val="none" w:sz="0" w:space="0" w:color="auto"/>
            <w:left w:val="none" w:sz="0" w:space="0" w:color="auto"/>
            <w:bottom w:val="none" w:sz="0" w:space="0" w:color="auto"/>
            <w:right w:val="none" w:sz="0" w:space="0" w:color="auto"/>
          </w:divBdr>
        </w:div>
        <w:div w:id="1938783415">
          <w:marLeft w:val="0"/>
          <w:marRight w:val="0"/>
          <w:marTop w:val="0"/>
          <w:marBottom w:val="0"/>
          <w:divBdr>
            <w:top w:val="none" w:sz="0" w:space="0" w:color="auto"/>
            <w:left w:val="none" w:sz="0" w:space="0" w:color="auto"/>
            <w:bottom w:val="none" w:sz="0" w:space="0" w:color="auto"/>
            <w:right w:val="none" w:sz="0" w:space="0" w:color="auto"/>
          </w:divBdr>
        </w:div>
      </w:divsChild>
    </w:div>
    <w:div w:id="2021005154">
      <w:bodyDiv w:val="1"/>
      <w:marLeft w:val="0"/>
      <w:marRight w:val="0"/>
      <w:marTop w:val="0"/>
      <w:marBottom w:val="0"/>
      <w:divBdr>
        <w:top w:val="none" w:sz="0" w:space="0" w:color="auto"/>
        <w:left w:val="none" w:sz="0" w:space="0" w:color="auto"/>
        <w:bottom w:val="none" w:sz="0" w:space="0" w:color="auto"/>
        <w:right w:val="none" w:sz="0" w:space="0" w:color="auto"/>
      </w:divBdr>
      <w:divsChild>
        <w:div w:id="741605939">
          <w:marLeft w:val="0"/>
          <w:marRight w:val="0"/>
          <w:marTop w:val="0"/>
          <w:marBottom w:val="0"/>
          <w:divBdr>
            <w:top w:val="none" w:sz="0" w:space="0" w:color="auto"/>
            <w:left w:val="none" w:sz="0" w:space="0" w:color="auto"/>
            <w:bottom w:val="none" w:sz="0" w:space="0" w:color="auto"/>
            <w:right w:val="none" w:sz="0" w:space="0" w:color="auto"/>
          </w:divBdr>
          <w:divsChild>
            <w:div w:id="1691250750">
              <w:marLeft w:val="0"/>
              <w:marRight w:val="0"/>
              <w:marTop w:val="0"/>
              <w:marBottom w:val="0"/>
              <w:divBdr>
                <w:top w:val="none" w:sz="0" w:space="0" w:color="auto"/>
                <w:left w:val="none" w:sz="0" w:space="0" w:color="auto"/>
                <w:bottom w:val="none" w:sz="0" w:space="0" w:color="auto"/>
                <w:right w:val="none" w:sz="0" w:space="0" w:color="auto"/>
              </w:divBdr>
              <w:divsChild>
                <w:div w:id="722414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927501">
      <w:bodyDiv w:val="1"/>
      <w:marLeft w:val="0"/>
      <w:marRight w:val="0"/>
      <w:marTop w:val="0"/>
      <w:marBottom w:val="0"/>
      <w:divBdr>
        <w:top w:val="none" w:sz="0" w:space="0" w:color="auto"/>
        <w:left w:val="none" w:sz="0" w:space="0" w:color="auto"/>
        <w:bottom w:val="none" w:sz="0" w:space="0" w:color="auto"/>
        <w:right w:val="none" w:sz="0" w:space="0" w:color="auto"/>
      </w:divBdr>
      <w:divsChild>
        <w:div w:id="599489639">
          <w:marLeft w:val="0"/>
          <w:marRight w:val="0"/>
          <w:marTop w:val="0"/>
          <w:marBottom w:val="0"/>
          <w:divBdr>
            <w:top w:val="none" w:sz="0" w:space="0" w:color="auto"/>
            <w:left w:val="none" w:sz="0" w:space="0" w:color="auto"/>
            <w:bottom w:val="none" w:sz="0" w:space="0" w:color="auto"/>
            <w:right w:val="none" w:sz="0" w:space="0" w:color="auto"/>
          </w:divBdr>
        </w:div>
        <w:div w:id="979110896">
          <w:marLeft w:val="0"/>
          <w:marRight w:val="0"/>
          <w:marTop w:val="0"/>
          <w:marBottom w:val="0"/>
          <w:divBdr>
            <w:top w:val="none" w:sz="0" w:space="0" w:color="auto"/>
            <w:left w:val="none" w:sz="0" w:space="0" w:color="auto"/>
            <w:bottom w:val="none" w:sz="0" w:space="0" w:color="auto"/>
            <w:right w:val="none" w:sz="0" w:space="0" w:color="auto"/>
          </w:divBdr>
        </w:div>
        <w:div w:id="1674603482">
          <w:marLeft w:val="0"/>
          <w:marRight w:val="0"/>
          <w:marTop w:val="0"/>
          <w:marBottom w:val="0"/>
          <w:divBdr>
            <w:top w:val="none" w:sz="0" w:space="0" w:color="auto"/>
            <w:left w:val="none" w:sz="0" w:space="0" w:color="auto"/>
            <w:bottom w:val="none" w:sz="0" w:space="0" w:color="auto"/>
            <w:right w:val="none" w:sz="0" w:space="0" w:color="auto"/>
          </w:divBdr>
        </w:div>
      </w:divsChild>
    </w:div>
    <w:div w:id="2060207033">
      <w:bodyDiv w:val="1"/>
      <w:marLeft w:val="0"/>
      <w:marRight w:val="0"/>
      <w:marTop w:val="0"/>
      <w:marBottom w:val="0"/>
      <w:divBdr>
        <w:top w:val="none" w:sz="0" w:space="0" w:color="auto"/>
        <w:left w:val="none" w:sz="0" w:space="0" w:color="auto"/>
        <w:bottom w:val="none" w:sz="0" w:space="0" w:color="auto"/>
        <w:right w:val="none" w:sz="0" w:space="0" w:color="auto"/>
      </w:divBdr>
      <w:divsChild>
        <w:div w:id="204024361">
          <w:marLeft w:val="0"/>
          <w:marRight w:val="0"/>
          <w:marTop w:val="0"/>
          <w:marBottom w:val="0"/>
          <w:divBdr>
            <w:top w:val="none" w:sz="0" w:space="0" w:color="auto"/>
            <w:left w:val="none" w:sz="0" w:space="0" w:color="auto"/>
            <w:bottom w:val="none" w:sz="0" w:space="0" w:color="auto"/>
            <w:right w:val="none" w:sz="0" w:space="0" w:color="auto"/>
          </w:divBdr>
        </w:div>
        <w:div w:id="647593226">
          <w:marLeft w:val="0"/>
          <w:marRight w:val="0"/>
          <w:marTop w:val="0"/>
          <w:marBottom w:val="0"/>
          <w:divBdr>
            <w:top w:val="none" w:sz="0" w:space="0" w:color="auto"/>
            <w:left w:val="none" w:sz="0" w:space="0" w:color="auto"/>
            <w:bottom w:val="none" w:sz="0" w:space="0" w:color="auto"/>
            <w:right w:val="none" w:sz="0" w:space="0" w:color="auto"/>
          </w:divBdr>
          <w:divsChild>
            <w:div w:id="1940991827">
              <w:marLeft w:val="-75"/>
              <w:marRight w:val="0"/>
              <w:marTop w:val="30"/>
              <w:marBottom w:val="30"/>
              <w:divBdr>
                <w:top w:val="none" w:sz="0" w:space="0" w:color="auto"/>
                <w:left w:val="none" w:sz="0" w:space="0" w:color="auto"/>
                <w:bottom w:val="none" w:sz="0" w:space="0" w:color="auto"/>
                <w:right w:val="none" w:sz="0" w:space="0" w:color="auto"/>
              </w:divBdr>
              <w:divsChild>
                <w:div w:id="51006934">
                  <w:marLeft w:val="0"/>
                  <w:marRight w:val="0"/>
                  <w:marTop w:val="0"/>
                  <w:marBottom w:val="0"/>
                  <w:divBdr>
                    <w:top w:val="none" w:sz="0" w:space="0" w:color="auto"/>
                    <w:left w:val="none" w:sz="0" w:space="0" w:color="auto"/>
                    <w:bottom w:val="none" w:sz="0" w:space="0" w:color="auto"/>
                    <w:right w:val="none" w:sz="0" w:space="0" w:color="auto"/>
                  </w:divBdr>
                  <w:divsChild>
                    <w:div w:id="1325426368">
                      <w:marLeft w:val="0"/>
                      <w:marRight w:val="0"/>
                      <w:marTop w:val="0"/>
                      <w:marBottom w:val="0"/>
                      <w:divBdr>
                        <w:top w:val="none" w:sz="0" w:space="0" w:color="auto"/>
                        <w:left w:val="none" w:sz="0" w:space="0" w:color="auto"/>
                        <w:bottom w:val="none" w:sz="0" w:space="0" w:color="auto"/>
                        <w:right w:val="none" w:sz="0" w:space="0" w:color="auto"/>
                      </w:divBdr>
                    </w:div>
                  </w:divsChild>
                </w:div>
                <w:div w:id="502818917">
                  <w:marLeft w:val="0"/>
                  <w:marRight w:val="0"/>
                  <w:marTop w:val="0"/>
                  <w:marBottom w:val="0"/>
                  <w:divBdr>
                    <w:top w:val="none" w:sz="0" w:space="0" w:color="auto"/>
                    <w:left w:val="none" w:sz="0" w:space="0" w:color="auto"/>
                    <w:bottom w:val="none" w:sz="0" w:space="0" w:color="auto"/>
                    <w:right w:val="none" w:sz="0" w:space="0" w:color="auto"/>
                  </w:divBdr>
                  <w:divsChild>
                    <w:div w:id="1143814209">
                      <w:marLeft w:val="0"/>
                      <w:marRight w:val="0"/>
                      <w:marTop w:val="0"/>
                      <w:marBottom w:val="0"/>
                      <w:divBdr>
                        <w:top w:val="none" w:sz="0" w:space="0" w:color="auto"/>
                        <w:left w:val="none" w:sz="0" w:space="0" w:color="auto"/>
                        <w:bottom w:val="none" w:sz="0" w:space="0" w:color="auto"/>
                        <w:right w:val="none" w:sz="0" w:space="0" w:color="auto"/>
                      </w:divBdr>
                    </w:div>
                  </w:divsChild>
                </w:div>
                <w:div w:id="854422333">
                  <w:marLeft w:val="0"/>
                  <w:marRight w:val="0"/>
                  <w:marTop w:val="0"/>
                  <w:marBottom w:val="0"/>
                  <w:divBdr>
                    <w:top w:val="none" w:sz="0" w:space="0" w:color="auto"/>
                    <w:left w:val="none" w:sz="0" w:space="0" w:color="auto"/>
                    <w:bottom w:val="none" w:sz="0" w:space="0" w:color="auto"/>
                    <w:right w:val="none" w:sz="0" w:space="0" w:color="auto"/>
                  </w:divBdr>
                  <w:divsChild>
                    <w:div w:id="691684038">
                      <w:marLeft w:val="0"/>
                      <w:marRight w:val="0"/>
                      <w:marTop w:val="0"/>
                      <w:marBottom w:val="0"/>
                      <w:divBdr>
                        <w:top w:val="none" w:sz="0" w:space="0" w:color="auto"/>
                        <w:left w:val="none" w:sz="0" w:space="0" w:color="auto"/>
                        <w:bottom w:val="none" w:sz="0" w:space="0" w:color="auto"/>
                        <w:right w:val="none" w:sz="0" w:space="0" w:color="auto"/>
                      </w:divBdr>
                    </w:div>
                  </w:divsChild>
                </w:div>
                <w:div w:id="1348142767">
                  <w:marLeft w:val="0"/>
                  <w:marRight w:val="0"/>
                  <w:marTop w:val="0"/>
                  <w:marBottom w:val="0"/>
                  <w:divBdr>
                    <w:top w:val="none" w:sz="0" w:space="0" w:color="auto"/>
                    <w:left w:val="none" w:sz="0" w:space="0" w:color="auto"/>
                    <w:bottom w:val="none" w:sz="0" w:space="0" w:color="auto"/>
                    <w:right w:val="none" w:sz="0" w:space="0" w:color="auto"/>
                  </w:divBdr>
                  <w:divsChild>
                    <w:div w:id="423696024">
                      <w:marLeft w:val="0"/>
                      <w:marRight w:val="0"/>
                      <w:marTop w:val="0"/>
                      <w:marBottom w:val="0"/>
                      <w:divBdr>
                        <w:top w:val="none" w:sz="0" w:space="0" w:color="auto"/>
                        <w:left w:val="none" w:sz="0" w:space="0" w:color="auto"/>
                        <w:bottom w:val="none" w:sz="0" w:space="0" w:color="auto"/>
                        <w:right w:val="none" w:sz="0" w:space="0" w:color="auto"/>
                      </w:divBdr>
                    </w:div>
                    <w:div w:id="490558906">
                      <w:marLeft w:val="0"/>
                      <w:marRight w:val="0"/>
                      <w:marTop w:val="0"/>
                      <w:marBottom w:val="0"/>
                      <w:divBdr>
                        <w:top w:val="none" w:sz="0" w:space="0" w:color="auto"/>
                        <w:left w:val="none" w:sz="0" w:space="0" w:color="auto"/>
                        <w:bottom w:val="none" w:sz="0" w:space="0" w:color="auto"/>
                        <w:right w:val="none" w:sz="0" w:space="0" w:color="auto"/>
                      </w:divBdr>
                    </w:div>
                    <w:div w:id="1384404577">
                      <w:marLeft w:val="0"/>
                      <w:marRight w:val="0"/>
                      <w:marTop w:val="0"/>
                      <w:marBottom w:val="0"/>
                      <w:divBdr>
                        <w:top w:val="none" w:sz="0" w:space="0" w:color="auto"/>
                        <w:left w:val="none" w:sz="0" w:space="0" w:color="auto"/>
                        <w:bottom w:val="none" w:sz="0" w:space="0" w:color="auto"/>
                        <w:right w:val="none" w:sz="0" w:space="0" w:color="auto"/>
                      </w:divBdr>
                    </w:div>
                    <w:div w:id="1854297378">
                      <w:marLeft w:val="0"/>
                      <w:marRight w:val="0"/>
                      <w:marTop w:val="0"/>
                      <w:marBottom w:val="0"/>
                      <w:divBdr>
                        <w:top w:val="none" w:sz="0" w:space="0" w:color="auto"/>
                        <w:left w:val="none" w:sz="0" w:space="0" w:color="auto"/>
                        <w:bottom w:val="none" w:sz="0" w:space="0" w:color="auto"/>
                        <w:right w:val="none" w:sz="0" w:space="0" w:color="auto"/>
                      </w:divBdr>
                    </w:div>
                    <w:div w:id="2081054402">
                      <w:marLeft w:val="0"/>
                      <w:marRight w:val="0"/>
                      <w:marTop w:val="0"/>
                      <w:marBottom w:val="0"/>
                      <w:divBdr>
                        <w:top w:val="none" w:sz="0" w:space="0" w:color="auto"/>
                        <w:left w:val="none" w:sz="0" w:space="0" w:color="auto"/>
                        <w:bottom w:val="none" w:sz="0" w:space="0" w:color="auto"/>
                        <w:right w:val="none" w:sz="0" w:space="0" w:color="auto"/>
                      </w:divBdr>
                    </w:div>
                  </w:divsChild>
                </w:div>
                <w:div w:id="1451705177">
                  <w:marLeft w:val="0"/>
                  <w:marRight w:val="0"/>
                  <w:marTop w:val="0"/>
                  <w:marBottom w:val="0"/>
                  <w:divBdr>
                    <w:top w:val="none" w:sz="0" w:space="0" w:color="auto"/>
                    <w:left w:val="none" w:sz="0" w:space="0" w:color="auto"/>
                    <w:bottom w:val="none" w:sz="0" w:space="0" w:color="auto"/>
                    <w:right w:val="none" w:sz="0" w:space="0" w:color="auto"/>
                  </w:divBdr>
                  <w:divsChild>
                    <w:div w:id="286469135">
                      <w:marLeft w:val="0"/>
                      <w:marRight w:val="0"/>
                      <w:marTop w:val="0"/>
                      <w:marBottom w:val="0"/>
                      <w:divBdr>
                        <w:top w:val="none" w:sz="0" w:space="0" w:color="auto"/>
                        <w:left w:val="none" w:sz="0" w:space="0" w:color="auto"/>
                        <w:bottom w:val="none" w:sz="0" w:space="0" w:color="auto"/>
                        <w:right w:val="none" w:sz="0" w:space="0" w:color="auto"/>
                      </w:divBdr>
                    </w:div>
                  </w:divsChild>
                </w:div>
                <w:div w:id="1455245211">
                  <w:marLeft w:val="0"/>
                  <w:marRight w:val="0"/>
                  <w:marTop w:val="0"/>
                  <w:marBottom w:val="0"/>
                  <w:divBdr>
                    <w:top w:val="none" w:sz="0" w:space="0" w:color="auto"/>
                    <w:left w:val="none" w:sz="0" w:space="0" w:color="auto"/>
                    <w:bottom w:val="none" w:sz="0" w:space="0" w:color="auto"/>
                    <w:right w:val="none" w:sz="0" w:space="0" w:color="auto"/>
                  </w:divBdr>
                  <w:divsChild>
                    <w:div w:id="58484748">
                      <w:marLeft w:val="0"/>
                      <w:marRight w:val="0"/>
                      <w:marTop w:val="0"/>
                      <w:marBottom w:val="0"/>
                      <w:divBdr>
                        <w:top w:val="none" w:sz="0" w:space="0" w:color="auto"/>
                        <w:left w:val="none" w:sz="0" w:space="0" w:color="auto"/>
                        <w:bottom w:val="none" w:sz="0" w:space="0" w:color="auto"/>
                        <w:right w:val="none" w:sz="0" w:space="0" w:color="auto"/>
                      </w:divBdr>
                    </w:div>
                    <w:div w:id="609047527">
                      <w:marLeft w:val="0"/>
                      <w:marRight w:val="0"/>
                      <w:marTop w:val="0"/>
                      <w:marBottom w:val="0"/>
                      <w:divBdr>
                        <w:top w:val="none" w:sz="0" w:space="0" w:color="auto"/>
                        <w:left w:val="none" w:sz="0" w:space="0" w:color="auto"/>
                        <w:bottom w:val="none" w:sz="0" w:space="0" w:color="auto"/>
                        <w:right w:val="none" w:sz="0" w:space="0" w:color="auto"/>
                      </w:divBdr>
                    </w:div>
                    <w:div w:id="1060205287">
                      <w:marLeft w:val="0"/>
                      <w:marRight w:val="0"/>
                      <w:marTop w:val="0"/>
                      <w:marBottom w:val="0"/>
                      <w:divBdr>
                        <w:top w:val="none" w:sz="0" w:space="0" w:color="auto"/>
                        <w:left w:val="none" w:sz="0" w:space="0" w:color="auto"/>
                        <w:bottom w:val="none" w:sz="0" w:space="0" w:color="auto"/>
                        <w:right w:val="none" w:sz="0" w:space="0" w:color="auto"/>
                      </w:divBdr>
                    </w:div>
                    <w:div w:id="1828475482">
                      <w:marLeft w:val="0"/>
                      <w:marRight w:val="0"/>
                      <w:marTop w:val="0"/>
                      <w:marBottom w:val="0"/>
                      <w:divBdr>
                        <w:top w:val="none" w:sz="0" w:space="0" w:color="auto"/>
                        <w:left w:val="none" w:sz="0" w:space="0" w:color="auto"/>
                        <w:bottom w:val="none" w:sz="0" w:space="0" w:color="auto"/>
                        <w:right w:val="none" w:sz="0" w:space="0" w:color="auto"/>
                      </w:divBdr>
                    </w:div>
                  </w:divsChild>
                </w:div>
                <w:div w:id="1520118922">
                  <w:marLeft w:val="0"/>
                  <w:marRight w:val="0"/>
                  <w:marTop w:val="0"/>
                  <w:marBottom w:val="0"/>
                  <w:divBdr>
                    <w:top w:val="none" w:sz="0" w:space="0" w:color="auto"/>
                    <w:left w:val="none" w:sz="0" w:space="0" w:color="auto"/>
                    <w:bottom w:val="none" w:sz="0" w:space="0" w:color="auto"/>
                    <w:right w:val="none" w:sz="0" w:space="0" w:color="auto"/>
                  </w:divBdr>
                  <w:divsChild>
                    <w:div w:id="840588941">
                      <w:marLeft w:val="0"/>
                      <w:marRight w:val="0"/>
                      <w:marTop w:val="0"/>
                      <w:marBottom w:val="0"/>
                      <w:divBdr>
                        <w:top w:val="none" w:sz="0" w:space="0" w:color="auto"/>
                        <w:left w:val="none" w:sz="0" w:space="0" w:color="auto"/>
                        <w:bottom w:val="none" w:sz="0" w:space="0" w:color="auto"/>
                        <w:right w:val="none" w:sz="0" w:space="0" w:color="auto"/>
                      </w:divBdr>
                    </w:div>
                  </w:divsChild>
                </w:div>
                <w:div w:id="1611889388">
                  <w:marLeft w:val="0"/>
                  <w:marRight w:val="0"/>
                  <w:marTop w:val="0"/>
                  <w:marBottom w:val="0"/>
                  <w:divBdr>
                    <w:top w:val="none" w:sz="0" w:space="0" w:color="auto"/>
                    <w:left w:val="none" w:sz="0" w:space="0" w:color="auto"/>
                    <w:bottom w:val="none" w:sz="0" w:space="0" w:color="auto"/>
                    <w:right w:val="none" w:sz="0" w:space="0" w:color="auto"/>
                  </w:divBdr>
                  <w:divsChild>
                    <w:div w:id="1314025172">
                      <w:marLeft w:val="0"/>
                      <w:marRight w:val="0"/>
                      <w:marTop w:val="0"/>
                      <w:marBottom w:val="0"/>
                      <w:divBdr>
                        <w:top w:val="none" w:sz="0" w:space="0" w:color="auto"/>
                        <w:left w:val="none" w:sz="0" w:space="0" w:color="auto"/>
                        <w:bottom w:val="none" w:sz="0" w:space="0" w:color="auto"/>
                        <w:right w:val="none" w:sz="0" w:space="0" w:color="auto"/>
                      </w:divBdr>
                    </w:div>
                  </w:divsChild>
                </w:div>
                <w:div w:id="1968467964">
                  <w:marLeft w:val="0"/>
                  <w:marRight w:val="0"/>
                  <w:marTop w:val="0"/>
                  <w:marBottom w:val="0"/>
                  <w:divBdr>
                    <w:top w:val="none" w:sz="0" w:space="0" w:color="auto"/>
                    <w:left w:val="none" w:sz="0" w:space="0" w:color="auto"/>
                    <w:bottom w:val="none" w:sz="0" w:space="0" w:color="auto"/>
                    <w:right w:val="none" w:sz="0" w:space="0" w:color="auto"/>
                  </w:divBdr>
                  <w:divsChild>
                    <w:div w:id="927544367">
                      <w:marLeft w:val="0"/>
                      <w:marRight w:val="0"/>
                      <w:marTop w:val="0"/>
                      <w:marBottom w:val="0"/>
                      <w:divBdr>
                        <w:top w:val="none" w:sz="0" w:space="0" w:color="auto"/>
                        <w:left w:val="none" w:sz="0" w:space="0" w:color="auto"/>
                        <w:bottom w:val="none" w:sz="0" w:space="0" w:color="auto"/>
                        <w:right w:val="none" w:sz="0" w:space="0" w:color="auto"/>
                      </w:divBdr>
                    </w:div>
                  </w:divsChild>
                </w:div>
                <w:div w:id="1970891105">
                  <w:marLeft w:val="0"/>
                  <w:marRight w:val="0"/>
                  <w:marTop w:val="0"/>
                  <w:marBottom w:val="0"/>
                  <w:divBdr>
                    <w:top w:val="none" w:sz="0" w:space="0" w:color="auto"/>
                    <w:left w:val="none" w:sz="0" w:space="0" w:color="auto"/>
                    <w:bottom w:val="none" w:sz="0" w:space="0" w:color="auto"/>
                    <w:right w:val="none" w:sz="0" w:space="0" w:color="auto"/>
                  </w:divBdr>
                  <w:divsChild>
                    <w:div w:id="943879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557095">
          <w:marLeft w:val="0"/>
          <w:marRight w:val="0"/>
          <w:marTop w:val="0"/>
          <w:marBottom w:val="0"/>
          <w:divBdr>
            <w:top w:val="none" w:sz="0" w:space="0" w:color="auto"/>
            <w:left w:val="none" w:sz="0" w:space="0" w:color="auto"/>
            <w:bottom w:val="none" w:sz="0" w:space="0" w:color="auto"/>
            <w:right w:val="none" w:sz="0" w:space="0" w:color="auto"/>
          </w:divBdr>
        </w:div>
        <w:div w:id="1338465077">
          <w:marLeft w:val="0"/>
          <w:marRight w:val="0"/>
          <w:marTop w:val="0"/>
          <w:marBottom w:val="0"/>
          <w:divBdr>
            <w:top w:val="none" w:sz="0" w:space="0" w:color="auto"/>
            <w:left w:val="none" w:sz="0" w:space="0" w:color="auto"/>
            <w:bottom w:val="none" w:sz="0" w:space="0" w:color="auto"/>
            <w:right w:val="none" w:sz="0" w:space="0" w:color="auto"/>
          </w:divBdr>
        </w:div>
        <w:div w:id="1658144624">
          <w:marLeft w:val="0"/>
          <w:marRight w:val="0"/>
          <w:marTop w:val="0"/>
          <w:marBottom w:val="0"/>
          <w:divBdr>
            <w:top w:val="none" w:sz="0" w:space="0" w:color="auto"/>
            <w:left w:val="none" w:sz="0" w:space="0" w:color="auto"/>
            <w:bottom w:val="none" w:sz="0" w:space="0" w:color="auto"/>
            <w:right w:val="none" w:sz="0" w:space="0" w:color="auto"/>
          </w:divBdr>
          <w:divsChild>
            <w:div w:id="1222980711">
              <w:marLeft w:val="0"/>
              <w:marRight w:val="0"/>
              <w:marTop w:val="0"/>
              <w:marBottom w:val="0"/>
              <w:divBdr>
                <w:top w:val="none" w:sz="0" w:space="0" w:color="auto"/>
                <w:left w:val="none" w:sz="0" w:space="0" w:color="auto"/>
                <w:bottom w:val="none" w:sz="0" w:space="0" w:color="auto"/>
                <w:right w:val="none" w:sz="0" w:space="0" w:color="auto"/>
              </w:divBdr>
            </w:div>
            <w:div w:id="1793595953">
              <w:marLeft w:val="0"/>
              <w:marRight w:val="0"/>
              <w:marTop w:val="0"/>
              <w:marBottom w:val="0"/>
              <w:divBdr>
                <w:top w:val="none" w:sz="0" w:space="0" w:color="auto"/>
                <w:left w:val="none" w:sz="0" w:space="0" w:color="auto"/>
                <w:bottom w:val="none" w:sz="0" w:space="0" w:color="auto"/>
                <w:right w:val="none" w:sz="0" w:space="0" w:color="auto"/>
              </w:divBdr>
            </w:div>
            <w:div w:id="1879539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913204">
      <w:bodyDiv w:val="1"/>
      <w:marLeft w:val="0"/>
      <w:marRight w:val="0"/>
      <w:marTop w:val="0"/>
      <w:marBottom w:val="0"/>
      <w:divBdr>
        <w:top w:val="none" w:sz="0" w:space="0" w:color="auto"/>
        <w:left w:val="none" w:sz="0" w:space="0" w:color="auto"/>
        <w:bottom w:val="none" w:sz="0" w:space="0" w:color="auto"/>
        <w:right w:val="none" w:sz="0" w:space="0" w:color="auto"/>
      </w:divBdr>
    </w:div>
    <w:div w:id="2094814673">
      <w:bodyDiv w:val="1"/>
      <w:marLeft w:val="0"/>
      <w:marRight w:val="0"/>
      <w:marTop w:val="0"/>
      <w:marBottom w:val="0"/>
      <w:divBdr>
        <w:top w:val="none" w:sz="0" w:space="0" w:color="auto"/>
        <w:left w:val="none" w:sz="0" w:space="0" w:color="auto"/>
        <w:bottom w:val="none" w:sz="0" w:space="0" w:color="auto"/>
        <w:right w:val="none" w:sz="0" w:space="0" w:color="auto"/>
      </w:divBdr>
    </w:div>
    <w:div w:id="2101871945">
      <w:bodyDiv w:val="1"/>
      <w:marLeft w:val="0"/>
      <w:marRight w:val="0"/>
      <w:marTop w:val="0"/>
      <w:marBottom w:val="0"/>
      <w:divBdr>
        <w:top w:val="none" w:sz="0" w:space="0" w:color="auto"/>
        <w:left w:val="none" w:sz="0" w:space="0" w:color="auto"/>
        <w:bottom w:val="none" w:sz="0" w:space="0" w:color="auto"/>
        <w:right w:val="none" w:sz="0" w:space="0" w:color="auto"/>
      </w:divBdr>
    </w:div>
    <w:div w:id="2117560649">
      <w:bodyDiv w:val="1"/>
      <w:marLeft w:val="0"/>
      <w:marRight w:val="0"/>
      <w:marTop w:val="0"/>
      <w:marBottom w:val="0"/>
      <w:divBdr>
        <w:top w:val="none" w:sz="0" w:space="0" w:color="auto"/>
        <w:left w:val="none" w:sz="0" w:space="0" w:color="auto"/>
        <w:bottom w:val="none" w:sz="0" w:space="0" w:color="auto"/>
        <w:right w:val="none" w:sz="0" w:space="0" w:color="auto"/>
      </w:divBdr>
      <w:divsChild>
        <w:div w:id="436947585">
          <w:marLeft w:val="0"/>
          <w:marRight w:val="0"/>
          <w:marTop w:val="0"/>
          <w:marBottom w:val="0"/>
          <w:divBdr>
            <w:top w:val="none" w:sz="0" w:space="0" w:color="auto"/>
            <w:left w:val="none" w:sz="0" w:space="0" w:color="auto"/>
            <w:bottom w:val="none" w:sz="0" w:space="0" w:color="auto"/>
            <w:right w:val="none" w:sz="0" w:space="0" w:color="auto"/>
          </w:divBdr>
        </w:div>
        <w:div w:id="438063038">
          <w:marLeft w:val="0"/>
          <w:marRight w:val="0"/>
          <w:marTop w:val="0"/>
          <w:marBottom w:val="0"/>
          <w:divBdr>
            <w:top w:val="none" w:sz="0" w:space="0" w:color="auto"/>
            <w:left w:val="none" w:sz="0" w:space="0" w:color="auto"/>
            <w:bottom w:val="none" w:sz="0" w:space="0" w:color="auto"/>
            <w:right w:val="none" w:sz="0" w:space="0" w:color="auto"/>
          </w:divBdr>
        </w:div>
        <w:div w:id="1433278699">
          <w:marLeft w:val="0"/>
          <w:marRight w:val="0"/>
          <w:marTop w:val="0"/>
          <w:marBottom w:val="0"/>
          <w:divBdr>
            <w:top w:val="none" w:sz="0" w:space="0" w:color="auto"/>
            <w:left w:val="none" w:sz="0" w:space="0" w:color="auto"/>
            <w:bottom w:val="none" w:sz="0" w:space="0" w:color="auto"/>
            <w:right w:val="none" w:sz="0" w:space="0" w:color="auto"/>
          </w:divBdr>
        </w:div>
        <w:div w:id="1529755835">
          <w:marLeft w:val="0"/>
          <w:marRight w:val="0"/>
          <w:marTop w:val="0"/>
          <w:marBottom w:val="0"/>
          <w:divBdr>
            <w:top w:val="none" w:sz="0" w:space="0" w:color="auto"/>
            <w:left w:val="none" w:sz="0" w:space="0" w:color="auto"/>
            <w:bottom w:val="none" w:sz="0" w:space="0" w:color="auto"/>
            <w:right w:val="none" w:sz="0" w:space="0" w:color="auto"/>
          </w:divBdr>
        </w:div>
        <w:div w:id="1893805640">
          <w:marLeft w:val="0"/>
          <w:marRight w:val="0"/>
          <w:marTop w:val="0"/>
          <w:marBottom w:val="0"/>
          <w:divBdr>
            <w:top w:val="none" w:sz="0" w:space="0" w:color="auto"/>
            <w:left w:val="none" w:sz="0" w:space="0" w:color="auto"/>
            <w:bottom w:val="none" w:sz="0" w:space="0" w:color="auto"/>
            <w:right w:val="none" w:sz="0" w:space="0" w:color="auto"/>
          </w:divBdr>
        </w:div>
        <w:div w:id="1903716783">
          <w:marLeft w:val="0"/>
          <w:marRight w:val="0"/>
          <w:marTop w:val="0"/>
          <w:marBottom w:val="0"/>
          <w:divBdr>
            <w:top w:val="none" w:sz="0" w:space="0" w:color="auto"/>
            <w:left w:val="none" w:sz="0" w:space="0" w:color="auto"/>
            <w:bottom w:val="none" w:sz="0" w:space="0" w:color="auto"/>
            <w:right w:val="none" w:sz="0" w:space="0" w:color="auto"/>
          </w:divBdr>
        </w:div>
      </w:divsChild>
    </w:div>
    <w:div w:id="2128549242">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footer" Target="footer17.xml"/><Relationship Id="rId21" Type="http://schemas.openxmlformats.org/officeDocument/2006/relationships/footer" Target="footer7.xml"/><Relationship Id="rId63" Type="http://schemas.openxmlformats.org/officeDocument/2006/relationships/footer" Target="footer14.xml"/><Relationship Id="rId159" Type="http://schemas.openxmlformats.org/officeDocument/2006/relationships/diagramQuickStyle" Target="diagrams/quickStyle9.xml"/><Relationship Id="rId324" Type="http://schemas.openxmlformats.org/officeDocument/2006/relationships/hyperlink" Target="http://doi.org/10.5194/hess-16-2985-2012" TargetMode="External"/><Relationship Id="rId366" Type="http://schemas.openxmlformats.org/officeDocument/2006/relationships/hyperlink" Target="http://dx.doi.org/10.1007/s002670010141" TargetMode="External"/><Relationship Id="rId170" Type="http://schemas.openxmlformats.org/officeDocument/2006/relationships/image" Target="media/image43.jpeg"/><Relationship Id="rId226" Type="http://schemas.openxmlformats.org/officeDocument/2006/relationships/hyperlink" Target="https://www.hbcoast.co.nz/assets/Uploads/Design-report-full-final-bookmarked-reduce-size.pdf" TargetMode="External"/><Relationship Id="rId433" Type="http://schemas.openxmlformats.org/officeDocument/2006/relationships/hyperlink" Target="https://essopenarchive.org/doi/full/10.1002/essoar.10511878.1" TargetMode="External"/><Relationship Id="rId268" Type="http://schemas.openxmlformats.org/officeDocument/2006/relationships/hyperlink" Target="http://ipcc.ch/report/ar5/wg2/" TargetMode="External"/><Relationship Id="rId475" Type="http://schemas.openxmlformats.org/officeDocument/2006/relationships/hyperlink" Target="http://dx.doi.org/10.1007/s00382-011-1057-6" TargetMode="External"/><Relationship Id="rId32" Type="http://schemas.openxmlformats.org/officeDocument/2006/relationships/image" Target="media/image4.png"/><Relationship Id="rId74" Type="http://schemas.openxmlformats.org/officeDocument/2006/relationships/hyperlink" Target="http://www.searise.nz/maps-2" TargetMode="External"/><Relationship Id="rId128" Type="http://schemas.openxmlformats.org/officeDocument/2006/relationships/image" Target="media/image35.png"/><Relationship Id="rId335" Type="http://schemas.openxmlformats.org/officeDocument/2006/relationships/hyperlink" Target="https://environment.govt.nz/publications/exploring-an-indigenous-worldview-framework-for-the-national-climate-change-adaptation-plan/" TargetMode="External"/><Relationship Id="rId377" Type="http://schemas.openxmlformats.org/officeDocument/2006/relationships/hyperlink" Target="https://resiliencechallenge.nz/outputs/enabling-coastal-adaptation-2/" TargetMode="External"/><Relationship Id="rId500" Type="http://schemas.openxmlformats.org/officeDocument/2006/relationships/hyperlink" Target="http://dx.doi.org/10.1007/s10584-014-1250-9" TargetMode="External"/><Relationship Id="rId5" Type="http://schemas.openxmlformats.org/officeDocument/2006/relationships/webSettings" Target="webSettings.xml"/><Relationship Id="rId181" Type="http://schemas.openxmlformats.org/officeDocument/2006/relationships/image" Target="media/image53.jpg"/><Relationship Id="rId237" Type="http://schemas.openxmlformats.org/officeDocument/2006/relationships/hyperlink" Target="https://www.ipcc.ch/site/assets/uploads/2018/02/WGIIAR5-Chap1_FINAL.pdf" TargetMode="External"/><Relationship Id="rId402" Type="http://schemas.openxmlformats.org/officeDocument/2006/relationships/hyperlink" Target="https://doi.org/10.1016/j.envsci.2006.10.004" TargetMode="External"/><Relationship Id="rId279" Type="http://schemas.openxmlformats.org/officeDocument/2006/relationships/hyperlink" Target="http://dx.doi.org/10.1073/pnas.1512482112" TargetMode="External"/><Relationship Id="rId444" Type="http://schemas.openxmlformats.org/officeDocument/2006/relationships/hyperlink" Target="https://doi.org/10.1002/casp.774" TargetMode="External"/><Relationship Id="rId486" Type="http://schemas.openxmlformats.org/officeDocument/2006/relationships/hyperlink" Target="https://www.tpk.govt.nz/en/o-matou-mohiotanga/te-taiao/understanding-climate-hazards-for-hapori-maori-ins" TargetMode="External"/><Relationship Id="rId43" Type="http://schemas.openxmlformats.org/officeDocument/2006/relationships/hyperlink" Target="https://www.legislation.govt.nz/act/public/2011/0003/latest/DLM3213131.html" TargetMode="External"/><Relationship Id="rId139" Type="http://schemas.openxmlformats.org/officeDocument/2006/relationships/diagramData" Target="diagrams/data7.xml"/><Relationship Id="rId290" Type="http://schemas.openxmlformats.org/officeDocument/2006/relationships/hyperlink" Target="https://doi.org/10.26050/WDCC/AR6.IPCC-DDC_AR6_Sup_SLPr" TargetMode="External"/><Relationship Id="rId304" Type="http://schemas.openxmlformats.org/officeDocument/2006/relationships/hyperlink" Target="http://dx.doi.org/10.1002/sd.438" TargetMode="External"/><Relationship Id="rId346" Type="http://schemas.openxmlformats.org/officeDocument/2006/relationships/hyperlink" Target="https://www.iso.org/obp/ui/" TargetMode="External"/><Relationship Id="rId388" Type="http://schemas.openxmlformats.org/officeDocument/2006/relationships/hyperlink" Target="http://www.rand.org/pubs/monograph_reports/MR1626.html" TargetMode="External"/><Relationship Id="rId511" Type="http://schemas.openxmlformats.org/officeDocument/2006/relationships/customXml" Target="../customXml/item2.xml"/><Relationship Id="rId85" Type="http://schemas.openxmlformats.org/officeDocument/2006/relationships/image" Target="media/image22.jpeg"/><Relationship Id="rId150" Type="http://schemas.openxmlformats.org/officeDocument/2006/relationships/diagramColors" Target="diagrams/colors8.xml"/><Relationship Id="rId192" Type="http://schemas.openxmlformats.org/officeDocument/2006/relationships/footer" Target="footer25.xml"/><Relationship Id="rId206" Type="http://schemas.openxmlformats.org/officeDocument/2006/relationships/hyperlink" Target="https://doi.org/10.26686/pq.v19i1.8105" TargetMode="External"/><Relationship Id="rId413" Type="http://schemas.openxmlformats.org/officeDocument/2006/relationships/hyperlink" Target="https://environment.govt.nz/publications/national-climate-change-risk-assessment-for-new-zealand-technical-report/" TargetMode="External"/><Relationship Id="rId248" Type="http://schemas.openxmlformats.org/officeDocument/2006/relationships/hyperlink" Target="https://doi.org/10.1016/j.quascirev.2015.09.025" TargetMode="External"/><Relationship Id="rId455" Type="http://schemas.openxmlformats.org/officeDocument/2006/relationships/hyperlink" Target="https://www.coastalsociety.org.nz/assets/Uploads/files/CN-32-2006-06.pdf" TargetMode="External"/><Relationship Id="rId497" Type="http://schemas.openxmlformats.org/officeDocument/2006/relationships/hyperlink" Target="http://dx.doi.org/10.1016/j.envsci.2014.09.004" TargetMode="External"/><Relationship Id="rId12" Type="http://schemas.openxmlformats.org/officeDocument/2006/relationships/hyperlink" Target="http://www.environment.govt.nz/" TargetMode="External"/><Relationship Id="rId108" Type="http://schemas.openxmlformats.org/officeDocument/2006/relationships/image" Target="media/image30.png"/><Relationship Id="rId315" Type="http://schemas.openxmlformats.org/officeDocument/2006/relationships/hyperlink" Target="http://dx.doi.org/10.4233/uuid:c3d38ad9-88cb-403c-b69e-ba22b005a26f" TargetMode="External"/><Relationship Id="rId357" Type="http://schemas.openxmlformats.org/officeDocument/2006/relationships/hyperlink" Target="http://www.niwa.co.nz/sites/niwa.co.nz/files/NIWA%20Report%20AKL2013-022_smaller.pdf" TargetMode="External"/><Relationship Id="rId54" Type="http://schemas.openxmlformats.org/officeDocument/2006/relationships/hyperlink" Target="https://environment.govt.nz/publications/community-led-retreat-and-adaptation-funding-issues-and-options/" TargetMode="External"/><Relationship Id="rId96" Type="http://schemas.openxmlformats.org/officeDocument/2006/relationships/header" Target="header12.xml"/><Relationship Id="rId161" Type="http://schemas.microsoft.com/office/2007/relationships/diagramDrawing" Target="diagrams/drawing9.xml"/><Relationship Id="rId217" Type="http://schemas.openxmlformats.org/officeDocument/2006/relationships/hyperlink" Target="http://dx.doi.org/10.1088/1748-9326/aac2f0" TargetMode="External"/><Relationship Id="rId399" Type="http://schemas.openxmlformats.org/officeDocument/2006/relationships/hyperlink" Target="https://www.waikatoregion.govt.nz/assets/WRC/TR202008.pdf" TargetMode="External"/><Relationship Id="rId259" Type="http://schemas.openxmlformats.org/officeDocument/2006/relationships/hyperlink" Target="https://doi.org/10.1111/1540-6237.8402002" TargetMode="External"/><Relationship Id="rId424" Type="http://schemas.openxmlformats.org/officeDocument/2006/relationships/hyperlink" Target="https://doi.org/10.1016/j.advwatres.2019.04.009" TargetMode="External"/><Relationship Id="rId466" Type="http://schemas.openxmlformats.org/officeDocument/2006/relationships/hyperlink" Target="https://doi.org/10.1016/j.envsci.2021.10.012" TargetMode="External"/><Relationship Id="rId23" Type="http://schemas.openxmlformats.org/officeDocument/2006/relationships/footer" Target="footer8.xml"/><Relationship Id="rId119" Type="http://schemas.openxmlformats.org/officeDocument/2006/relationships/image" Target="media/image33.png"/><Relationship Id="rId270" Type="http://schemas.openxmlformats.org/officeDocument/2006/relationships/hyperlink" Target="https://www.coastalsociety.org.nz/media/view/publications/sea-level-rise/" TargetMode="External"/><Relationship Id="rId326" Type="http://schemas.openxmlformats.org/officeDocument/2006/relationships/hyperlink" Target="http://dx.doi.org/10.1016/j.quascirev.2013.11.002" TargetMode="External"/><Relationship Id="rId65" Type="http://schemas.openxmlformats.org/officeDocument/2006/relationships/image" Target="media/image10.png"/><Relationship Id="rId130" Type="http://schemas.openxmlformats.org/officeDocument/2006/relationships/diagramLayout" Target="diagrams/layout6.xml"/><Relationship Id="rId368" Type="http://schemas.openxmlformats.org/officeDocument/2006/relationships/hyperlink" Target="https://link.springer.com/chapter/10.1007/978-3-030-05252-2_15" TargetMode="External"/><Relationship Id="rId172" Type="http://schemas.openxmlformats.org/officeDocument/2006/relationships/hyperlink" Target="https://coastalinundation.waikatoregion.govt.nz/" TargetMode="External"/><Relationship Id="rId228" Type="http://schemas.openxmlformats.org/officeDocument/2006/relationships/hyperlink" Target="https://ir.canterbury.ac.nz/server/api/core/bitstreams/294aea35-9bc1-4a4f-ba4a-2667e31ef3dc/content" TargetMode="External"/><Relationship Id="rId435" Type="http://schemas.openxmlformats.org/officeDocument/2006/relationships/hyperlink" Target="https://nccarf.edu.au/guidance-on-risk-assessment/" TargetMode="External"/><Relationship Id="rId477" Type="http://schemas.openxmlformats.org/officeDocument/2006/relationships/hyperlink" Target="https://doi.org/10.5194/nhess-20-783-2020" TargetMode="External"/><Relationship Id="rId281" Type="http://schemas.openxmlformats.org/officeDocument/2006/relationships/hyperlink" Target="https://doi.org/10.1016/0025-3227(95)00066-8" TargetMode="External"/><Relationship Id="rId337" Type="http://schemas.openxmlformats.org/officeDocument/2006/relationships/hyperlink" Target="https://iap2.org.au/resources/spectrum/" TargetMode="External"/><Relationship Id="rId502" Type="http://schemas.openxmlformats.org/officeDocument/2006/relationships/hyperlink" Target="https://doi.org/10.1111/j.1745-6584.2008.00535.x" TargetMode="External"/><Relationship Id="rId34" Type="http://schemas.openxmlformats.org/officeDocument/2006/relationships/hyperlink" Target="https://www.doc.govt.nz/about-us/science-publications/conservation-publications/marine-and-coastal/new-zealand-coastal-policy-statement/new-zealand-coastal-policy-statement-2010/" TargetMode="External"/><Relationship Id="rId76" Type="http://schemas.openxmlformats.org/officeDocument/2006/relationships/hyperlink" Target="http://www.stats.govt.nz/indicators/coastal-sea-level-rise" TargetMode="External"/><Relationship Id="rId141" Type="http://schemas.openxmlformats.org/officeDocument/2006/relationships/diagramQuickStyle" Target="diagrams/quickStyle7.xml"/><Relationship Id="rId379" Type="http://schemas.openxmlformats.org/officeDocument/2006/relationships/hyperlink" Target="http://www.deepsouthchallenge.co.nz/projects/tools-decision-makers" TargetMode="External"/><Relationship Id="rId7" Type="http://schemas.openxmlformats.org/officeDocument/2006/relationships/endnotes" Target="endnotes.xml"/><Relationship Id="rId183" Type="http://schemas.openxmlformats.org/officeDocument/2006/relationships/image" Target="media/image55.png"/><Relationship Id="rId239" Type="http://schemas.openxmlformats.org/officeDocument/2006/relationships/hyperlink" Target="https://www.coastal.ca.gov/climate/slrguidance.html" TargetMode="External"/><Relationship Id="rId390" Type="http://schemas.openxmlformats.org/officeDocument/2006/relationships/hyperlink" Target="https://www.coastalsociety.org.nz/media/view/publications/sea-level-rise/" TargetMode="External"/><Relationship Id="rId404" Type="http://schemas.openxmlformats.org/officeDocument/2006/relationships/hyperlink" Target="https://doi.org/10.3133/wsp2255" TargetMode="External"/><Relationship Id="rId446" Type="http://schemas.openxmlformats.org/officeDocument/2006/relationships/hyperlink" Target="http://www.pce.parliament.nz/publications/preparing-new-zealand-for-rising-seas-certainty-and-uncertainty" TargetMode="External"/><Relationship Id="rId250" Type="http://schemas.openxmlformats.org/officeDocument/2006/relationships/hyperlink" Target="https://doi.org/10.1007/s12237-020-00891-1" TargetMode="External"/><Relationship Id="rId292" Type="http://schemas.openxmlformats.org/officeDocument/2006/relationships/hyperlink" Target="http://dx.doi.org/10.1029/2007GL032632" TargetMode="External"/><Relationship Id="rId306" Type="http://schemas.openxmlformats.org/officeDocument/2006/relationships/hyperlink" Target="https://doi.org/10.1029/2023EF003784" TargetMode="External"/><Relationship Id="rId488" Type="http://schemas.openxmlformats.org/officeDocument/2006/relationships/hyperlink" Target="http://dx.doi.org/10.1016/j.progress.2006.12.004" TargetMode="External"/><Relationship Id="rId45" Type="http://schemas.openxmlformats.org/officeDocument/2006/relationships/hyperlink" Target="bookmark://figure3" TargetMode="External"/><Relationship Id="rId87" Type="http://schemas.openxmlformats.org/officeDocument/2006/relationships/image" Target="media/image23.jpeg"/><Relationship Id="rId110" Type="http://schemas.openxmlformats.org/officeDocument/2006/relationships/diagramData" Target="diagrams/data4.xml"/><Relationship Id="rId348" Type="http://schemas.openxmlformats.org/officeDocument/2006/relationships/hyperlink" Target="http://www.sustainableseaschallenge.co.nz/tools-and-resources/hui-te-ana-nui-understanding-kaitiakitanga-in-our-marine-environment/" TargetMode="External"/><Relationship Id="rId513" Type="http://schemas.openxmlformats.org/officeDocument/2006/relationships/customXml" Target="../customXml/item4.xml"/><Relationship Id="rId152" Type="http://schemas.openxmlformats.org/officeDocument/2006/relationships/header" Target="header18.xml"/><Relationship Id="rId194" Type="http://schemas.openxmlformats.org/officeDocument/2006/relationships/footer" Target="footer26.xml"/><Relationship Id="rId208" Type="http://schemas.openxmlformats.org/officeDocument/2006/relationships/hyperlink" Target="https://wellington.govt.nz/-/media/your-council/plans-policies-and-bylaws/plans-and-policies/a-to-z/spatial-plan/coastal-hazards-report---august-2021.pdf?la=en&amp;hash=E70B002B5D515679482B867E649FD90D3D74FB5C" TargetMode="External"/><Relationship Id="rId415" Type="http://schemas.openxmlformats.org/officeDocument/2006/relationships/hyperlink" Target="https://environment.govt.nz/publications/interim-guidance-on-the-use-of-new-sea-level-rise-projections/" TargetMode="External"/><Relationship Id="rId457" Type="http://schemas.openxmlformats.org/officeDocument/2006/relationships/hyperlink" Target="https://doi.org/10.1007/s10584-021-03288-6" TargetMode="External"/><Relationship Id="rId261" Type="http://schemas.openxmlformats.org/officeDocument/2006/relationships/hyperlink" Target="http://dx.doi.org/10.5751/ES-07581-200237" TargetMode="External"/><Relationship Id="rId499" Type="http://schemas.openxmlformats.org/officeDocument/2006/relationships/hyperlink" Target="https://www.waikatoregion.govt.nz/services/regional-hazards-and-emergency-management/coastal-flooding-inundation/coastal-inundation-tool/" TargetMode="External"/><Relationship Id="rId14" Type="http://schemas.openxmlformats.org/officeDocument/2006/relationships/footer" Target="footer3.xml"/><Relationship Id="rId56" Type="http://schemas.openxmlformats.org/officeDocument/2006/relationships/diagramLayout" Target="diagrams/layout1.xml"/><Relationship Id="rId317" Type="http://schemas.openxmlformats.org/officeDocument/2006/relationships/hyperlink" Target="http://dx.doi.org/10.1111/j.1467-9523.2004.00264.x" TargetMode="External"/><Relationship Id="rId359" Type="http://schemas.openxmlformats.org/officeDocument/2006/relationships/hyperlink" Target="https://doi.org/10.1016/j.margeo.2023.107199" TargetMode="External"/><Relationship Id="rId98" Type="http://schemas.openxmlformats.org/officeDocument/2006/relationships/diagramData" Target="diagrams/data3.xml"/><Relationship Id="rId121" Type="http://schemas.openxmlformats.org/officeDocument/2006/relationships/diagramData" Target="diagrams/data5.xml"/><Relationship Id="rId163" Type="http://schemas.openxmlformats.org/officeDocument/2006/relationships/image" Target="media/image42.png"/><Relationship Id="rId219" Type="http://schemas.openxmlformats.org/officeDocument/2006/relationships/hyperlink" Target="https://www.researchgate.net/publication/266741093_A_local_coastal_adaptation_pathway" TargetMode="External"/><Relationship Id="rId370" Type="http://schemas.openxmlformats.org/officeDocument/2006/relationships/hyperlink" Target="http://www.ecologyandsociety.org/vol11/iss1/art19/" TargetMode="External"/><Relationship Id="rId426" Type="http://schemas.openxmlformats.org/officeDocument/2006/relationships/hyperlink" Target="https://doi.org/10.1038/s41598-020-59018-y" TargetMode="External"/><Relationship Id="rId230" Type="http://schemas.openxmlformats.org/officeDocument/2006/relationships/hyperlink" Target="https://doi.org/10.1029/2021EF002580" TargetMode="External"/><Relationship Id="rId468" Type="http://schemas.openxmlformats.org/officeDocument/2006/relationships/hyperlink" Target="https://sfplanning.org/sea-level-rise-action-plan" TargetMode="External"/><Relationship Id="rId25" Type="http://schemas.openxmlformats.org/officeDocument/2006/relationships/footer" Target="footer10.xml"/><Relationship Id="rId67" Type="http://schemas.openxmlformats.org/officeDocument/2006/relationships/hyperlink" Target="http://www.stats.govt.nz/indicators/coastal-sea-level-rise" TargetMode="External"/><Relationship Id="rId272" Type="http://schemas.openxmlformats.org/officeDocument/2006/relationships/hyperlink" Target="https://doi.org/10.1007/s10584-006-9200-9" TargetMode="External"/><Relationship Id="rId328" Type="http://schemas.openxmlformats.org/officeDocument/2006/relationships/hyperlink" Target="https://www.nature.com/articles/s41561-021-00721-4" TargetMode="External"/><Relationship Id="rId132" Type="http://schemas.openxmlformats.org/officeDocument/2006/relationships/diagramColors" Target="diagrams/colors6.xml"/><Relationship Id="rId174" Type="http://schemas.openxmlformats.org/officeDocument/2006/relationships/image" Target="media/image46.jpeg"/><Relationship Id="rId381" Type="http://schemas.openxmlformats.org/officeDocument/2006/relationships/hyperlink" Target="https://doi.org/10.1016/j.crm.2020.100234" TargetMode="External"/><Relationship Id="rId241" Type="http://schemas.openxmlformats.org/officeDocument/2006/relationships/hyperlink" Target="https://www.aucklandcouncil.govt.nz/plans-projects-policies-reports-bylaws/our-plans-strategies/topic-based-plans-strategies/environmental-plans-strategies/Documents/coastal-management-framework-2017.pdf" TargetMode="External"/><Relationship Id="rId437" Type="http://schemas.openxmlformats.org/officeDocument/2006/relationships/hyperlink" Target="https://doi.org/10.1017/9781009325844.026" TargetMode="External"/><Relationship Id="rId479" Type="http://schemas.openxmlformats.org/officeDocument/2006/relationships/hyperlink" Target="https://iopscience.iop.org/article/10.1088/1748-9326/aadf96" TargetMode="External"/><Relationship Id="rId36" Type="http://schemas.openxmlformats.org/officeDocument/2006/relationships/hyperlink" Target="https://environment.govt.nz/acts-and-regulations/national-planning-standards/" TargetMode="External"/><Relationship Id="rId283" Type="http://schemas.openxmlformats.org/officeDocument/2006/relationships/hyperlink" Target="https://doi.org/10.1002/wcc.376" TargetMode="External"/><Relationship Id="rId339" Type="http://schemas.openxmlformats.org/officeDocument/2006/relationships/hyperlink" Target="http://ipcc.ch/report/ar5/wg2/" TargetMode="External"/><Relationship Id="rId490" Type="http://schemas.openxmlformats.org/officeDocument/2006/relationships/hyperlink" Target="https://www.jstor.org/stable/26268129" TargetMode="External"/><Relationship Id="rId504" Type="http://schemas.openxmlformats.org/officeDocument/2006/relationships/hyperlink" Target="https://doi.org/10.5194/esurf-8-595-2020" TargetMode="External"/><Relationship Id="rId78" Type="http://schemas.openxmlformats.org/officeDocument/2006/relationships/hyperlink" Target="https://www.searise.nz/maps-2" TargetMode="External"/><Relationship Id="rId101" Type="http://schemas.openxmlformats.org/officeDocument/2006/relationships/diagramColors" Target="diagrams/colors3.xml"/><Relationship Id="rId143" Type="http://schemas.microsoft.com/office/2007/relationships/diagramDrawing" Target="diagrams/drawing7.xml"/><Relationship Id="rId185" Type="http://schemas.openxmlformats.org/officeDocument/2006/relationships/hyperlink" Target="https://tangoio.maori.nz/wp-content/uploads/2023/05/MTT_Locality_Plan_version-1.2_compressed.pdf" TargetMode="External"/><Relationship Id="rId350" Type="http://schemas.openxmlformats.org/officeDocument/2006/relationships/hyperlink" Target="http://dx.doi.org/10.1016/j.gloplacha.2011.09.006" TargetMode="External"/><Relationship Id="rId406" Type="http://schemas.openxmlformats.org/officeDocument/2006/relationships/hyperlink" Target="https://www.building.govt.nz/assets/Uploads/projects-and-consents/Planning-a-successful-build/Scope-and-design/natural-hazard-provisions-guidance.pdf" TargetMode="External"/><Relationship Id="rId9" Type="http://schemas.openxmlformats.org/officeDocument/2006/relationships/header" Target="header1.xml"/><Relationship Id="rId210" Type="http://schemas.openxmlformats.org/officeDocument/2006/relationships/hyperlink" Target="http://www.ipcc.ch/report/ar6/wg2/downloads/report/IPCC_AR6_%20WGII_Chapter01.pdf" TargetMode="External"/><Relationship Id="rId392" Type="http://schemas.openxmlformats.org/officeDocument/2006/relationships/hyperlink" Target="https://ndhadeliver.natlib.govt.nz/delivery/DeliveryManagerServlet?dps_pid=IE27791832" TargetMode="External"/><Relationship Id="rId448" Type="http://schemas.openxmlformats.org/officeDocument/2006/relationships/hyperlink" Target="https://doi.org/10.1126/science.aaz5487" TargetMode="External"/><Relationship Id="rId252" Type="http://schemas.openxmlformats.org/officeDocument/2006/relationships/hyperlink" Target="https://doi.org/10.1038/s41558-020-00934-2" TargetMode="External"/><Relationship Id="rId294" Type="http://schemas.openxmlformats.org/officeDocument/2006/relationships/hyperlink" Target="https://unesdoc.unesco.org/ark:/48223/pf0000375768" TargetMode="External"/><Relationship Id="rId308" Type="http://schemas.openxmlformats.org/officeDocument/2006/relationships/hyperlink" Target="https://www.science.org/doi/10.1126/science.aam7194" TargetMode="External"/><Relationship Id="rId47" Type="http://schemas.openxmlformats.org/officeDocument/2006/relationships/image" Target="media/image6.png"/><Relationship Id="rId89" Type="http://schemas.openxmlformats.org/officeDocument/2006/relationships/diagramData" Target="diagrams/data2.xml"/><Relationship Id="rId112" Type="http://schemas.openxmlformats.org/officeDocument/2006/relationships/diagramQuickStyle" Target="diagrams/quickStyle4.xml"/><Relationship Id="rId154" Type="http://schemas.openxmlformats.org/officeDocument/2006/relationships/footer" Target="footer21.xml"/><Relationship Id="rId361" Type="http://schemas.openxmlformats.org/officeDocument/2006/relationships/hyperlink" Target="https://doi.org/10.1016/0378-3839(92)90054-X" TargetMode="External"/><Relationship Id="rId196" Type="http://schemas.openxmlformats.org/officeDocument/2006/relationships/image" Target="media/image58.png"/><Relationship Id="rId417" Type="http://schemas.openxmlformats.org/officeDocument/2006/relationships/hyperlink" Target="https://environment.govt.nz/publications/aotearoa-new-zealands-first-emissions-reduction-plan/" TargetMode="External"/><Relationship Id="rId459" Type="http://schemas.openxmlformats.org/officeDocument/2006/relationships/hyperlink" Target="https://www.ipcc.ch/event/guidance-note-concept-of-risk-in-the-6ar-cross-wg-discussions/" TargetMode="External"/><Relationship Id="rId16" Type="http://schemas.openxmlformats.org/officeDocument/2006/relationships/header" Target="header3.xml"/><Relationship Id="rId221" Type="http://schemas.openxmlformats.org/officeDocument/2006/relationships/hyperlink" Target="https://www.gns.cri.nz/assets/News-files/N-files/SR-2012-029.pdf" TargetMode="External"/><Relationship Id="rId263" Type="http://schemas.openxmlformats.org/officeDocument/2006/relationships/hyperlink" Target="https://www.nature.com/articles/s41586-021-03427-0" TargetMode="External"/><Relationship Id="rId319" Type="http://schemas.openxmlformats.org/officeDocument/2006/relationships/hyperlink" Target="http://dx.doi.org/10.1061/(ASCE)WR.1943-5452.0000509" TargetMode="External"/><Relationship Id="rId470" Type="http://schemas.openxmlformats.org/officeDocument/2006/relationships/hyperlink" Target="https://www.researchgate.net/publication/304404592_Why_the_right_climate_target_was_agreed_in_Paris" TargetMode="External"/><Relationship Id="rId58" Type="http://schemas.openxmlformats.org/officeDocument/2006/relationships/diagramColors" Target="diagrams/colors1.xml"/><Relationship Id="rId123" Type="http://schemas.openxmlformats.org/officeDocument/2006/relationships/diagramQuickStyle" Target="diagrams/quickStyle5.xml"/><Relationship Id="rId330" Type="http://schemas.openxmlformats.org/officeDocument/2006/relationships/hyperlink" Target="https://doi.org/10.1002/wcc.645" TargetMode="External"/><Relationship Id="rId165" Type="http://schemas.openxmlformats.org/officeDocument/2006/relationships/hyperlink" Target="http://www.lgnz.co.nz/" TargetMode="External"/><Relationship Id="rId372" Type="http://schemas.openxmlformats.org/officeDocument/2006/relationships/hyperlink" Target="https://doi.org/10.1080/00288330.2017.1390772" TargetMode="External"/><Relationship Id="rId428" Type="http://schemas.openxmlformats.org/officeDocument/2006/relationships/hyperlink" Target="https://doi.org/10.1002/wcc.403" TargetMode="External"/><Relationship Id="rId232" Type="http://schemas.openxmlformats.org/officeDocument/2006/relationships/hyperlink" Target="https://doi.org/10.1061/JWHEAU.0000252" TargetMode="External"/><Relationship Id="rId274" Type="http://schemas.openxmlformats.org/officeDocument/2006/relationships/hyperlink" Target="http://dx.doi.org/10.1016/S0074-6142(01)80006-1" TargetMode="External"/><Relationship Id="rId481" Type="http://schemas.openxmlformats.org/officeDocument/2006/relationships/hyperlink" Target="http://www.ecologyandsociety.org/vol11/iss2/art39/" TargetMode="External"/><Relationship Id="rId27" Type="http://schemas.openxmlformats.org/officeDocument/2006/relationships/header" Target="header7.xml"/><Relationship Id="rId69" Type="http://schemas.openxmlformats.org/officeDocument/2006/relationships/image" Target="media/image12.png"/><Relationship Id="rId134" Type="http://schemas.openxmlformats.org/officeDocument/2006/relationships/header" Target="header16.xml"/><Relationship Id="rId80" Type="http://schemas.openxmlformats.org/officeDocument/2006/relationships/image" Target="media/image17.png"/><Relationship Id="rId176" Type="http://schemas.openxmlformats.org/officeDocument/2006/relationships/image" Target="media/image48.png"/><Relationship Id="rId341" Type="http://schemas.openxmlformats.org/officeDocument/2006/relationships/hyperlink" Target="https://www.ipcc.ch/report/ar6/wg2/chapter/summary-for-policymakers/" TargetMode="External"/><Relationship Id="rId383" Type="http://schemas.openxmlformats.org/officeDocument/2006/relationships/hyperlink" Target="https://www.ipcc.ch/report/ar6/wg2/chapter/chapter-11/" TargetMode="External"/><Relationship Id="rId439" Type="http://schemas.openxmlformats.org/officeDocument/2006/relationships/hyperlink" Target="https://www.standards.govt.nz/shop/nzs-44042010/" TargetMode="External"/><Relationship Id="rId201" Type="http://schemas.openxmlformats.org/officeDocument/2006/relationships/hyperlink" Target="http://www.linz.govt.nz/data/geodetic-services/coordinate-conversion/online-conversions/instructions-for-carrying-out-online-height-conversions" TargetMode="External"/><Relationship Id="rId243" Type="http://schemas.openxmlformats.org/officeDocument/2006/relationships/hyperlink" Target="https://doi.org/10.1073/pnas.1231332100" TargetMode="External"/><Relationship Id="rId285" Type="http://schemas.openxmlformats.org/officeDocument/2006/relationships/hyperlink" Target="https://www.ipcc.ch/report/ar6/wg1/downloads/report/IPCC_AR6_WGI_Chapter_09.pdf" TargetMode="External"/><Relationship Id="rId450" Type="http://schemas.openxmlformats.org/officeDocument/2006/relationships/hyperlink" Target="https://doi.org/10.1016/j.ijdrr.2021.102612" TargetMode="External"/><Relationship Id="rId506" Type="http://schemas.openxmlformats.org/officeDocument/2006/relationships/hyperlink" Target="https://doi.org/10.1108/17568691011040399" TargetMode="External"/><Relationship Id="rId38" Type="http://schemas.openxmlformats.org/officeDocument/2006/relationships/hyperlink" Target="https://environment.govt.nz/publications/national-policy-statement-on-urban-development-2020-updated-may-2022/" TargetMode="External"/><Relationship Id="rId103" Type="http://schemas.openxmlformats.org/officeDocument/2006/relationships/header" Target="header13.xml"/><Relationship Id="rId310" Type="http://schemas.openxmlformats.org/officeDocument/2006/relationships/hyperlink" Target="http://dx.doi.org/10.1080/07900620801921439" TargetMode="External"/><Relationship Id="rId492" Type="http://schemas.openxmlformats.org/officeDocument/2006/relationships/hyperlink" Target="https://www.undrr.org/quick/71077" TargetMode="External"/><Relationship Id="rId91" Type="http://schemas.openxmlformats.org/officeDocument/2006/relationships/diagramQuickStyle" Target="diagrams/quickStyle2.xml"/><Relationship Id="rId145" Type="http://schemas.openxmlformats.org/officeDocument/2006/relationships/image" Target="media/image39.png"/><Relationship Id="rId187" Type="http://schemas.openxmlformats.org/officeDocument/2006/relationships/hyperlink" Target="https://www.hastingsdc.govt.nz/land-categorisation-hb/" TargetMode="External"/><Relationship Id="rId352" Type="http://schemas.openxmlformats.org/officeDocument/2006/relationships/hyperlink" Target="https://doi.org/10.3390/w15193408" TargetMode="External"/><Relationship Id="rId394" Type="http://schemas.openxmlformats.org/officeDocument/2006/relationships/hyperlink" Target="https://doi.org/10.1111/risa.13733" TargetMode="External"/><Relationship Id="rId408" Type="http://schemas.openxmlformats.org/officeDocument/2006/relationships/hyperlink" Target="https://environment.govt.nz/publications/coastal-hazards-and-climate-change-guidance-for-local-government/" TargetMode="External"/><Relationship Id="rId212" Type="http://schemas.openxmlformats.org/officeDocument/2006/relationships/hyperlink" Target="https://doi.org/10.1017/9781009157896.002" TargetMode="External"/><Relationship Id="rId254" Type="http://schemas.openxmlformats.org/officeDocument/2006/relationships/hyperlink" Target="http://dx.doi.org/10.1177/0309132511425708" TargetMode="External"/><Relationship Id="rId49" Type="http://schemas.openxmlformats.org/officeDocument/2006/relationships/hyperlink" Target="https://www.iso.org/obp/ui/" TargetMode="External"/><Relationship Id="rId114" Type="http://schemas.microsoft.com/office/2007/relationships/diagramDrawing" Target="diagrams/drawing4.xml"/><Relationship Id="rId296" Type="http://schemas.openxmlformats.org/officeDocument/2006/relationships/hyperlink" Target="https://doi.org/10.1002/wcc.634" TargetMode="External"/><Relationship Id="rId461" Type="http://schemas.openxmlformats.org/officeDocument/2006/relationships/hyperlink" Target="https://pubmed.ncbi.nlm.nih.gov/26580020/" TargetMode="External"/><Relationship Id="rId60" Type="http://schemas.openxmlformats.org/officeDocument/2006/relationships/header" Target="header9.xml"/><Relationship Id="rId156" Type="http://schemas.openxmlformats.org/officeDocument/2006/relationships/hyperlink" Target="https://www.lawa.org.nz/" TargetMode="External"/><Relationship Id="rId198" Type="http://schemas.openxmlformats.org/officeDocument/2006/relationships/hyperlink" Target="http://www.linz.govt.nz/sea/tides/tide-predictions/standard-port-periods-observation" TargetMode="External"/><Relationship Id="rId321" Type="http://schemas.openxmlformats.org/officeDocument/2006/relationships/hyperlink" Target="https://doi.org/10.1111/gcb.13176" TargetMode="External"/><Relationship Id="rId363" Type="http://schemas.openxmlformats.org/officeDocument/2006/relationships/hyperlink" Target="http://dx.doi.org/10.1002/2014EF000239" TargetMode="External"/><Relationship Id="rId419" Type="http://schemas.openxmlformats.org/officeDocument/2006/relationships/hyperlink" Target="https://environment.govt.nz/publications/community-led-retreat-and-adaptation-funding-issues-and-options/" TargetMode="External"/><Relationship Id="rId223" Type="http://schemas.openxmlformats.org/officeDocument/2006/relationships/hyperlink" Target="https://environment.govt.nz/publications/planning-for-climate-change-effects-on-coastal-margins/" TargetMode="External"/><Relationship Id="rId430" Type="http://schemas.openxmlformats.org/officeDocument/2006/relationships/hyperlink" Target="https://niwa.co.nz/sites/niwa.co.nz/files/slmacc_extremewinds_slew093_may2011.pdf" TargetMode="External"/><Relationship Id="rId18" Type="http://schemas.openxmlformats.org/officeDocument/2006/relationships/header" Target="header4.xml"/><Relationship Id="rId265" Type="http://schemas.openxmlformats.org/officeDocument/2006/relationships/hyperlink" Target="http://www.doc.govt.nz/about-us/science-publications/conservation-publications/marine-and-coastal/new-zealand-coastal-policy-statement/new-zealand-coastal-policy-statement-2010/" TargetMode="External"/><Relationship Id="rId472" Type="http://schemas.openxmlformats.org/officeDocument/2006/relationships/hyperlink" Target="https://doi.org/10.1016/j.crm.2020.100244" TargetMode="External"/><Relationship Id="rId125" Type="http://schemas.microsoft.com/office/2007/relationships/diagramDrawing" Target="diagrams/drawing5.xml"/><Relationship Id="rId167" Type="http://schemas.openxmlformats.org/officeDocument/2006/relationships/header" Target="header21.xml"/><Relationship Id="rId332" Type="http://schemas.openxmlformats.org/officeDocument/2006/relationships/hyperlink" Target="http://dx.doi.org/10.1016/j.envsci.2015.01.011" TargetMode="External"/><Relationship Id="rId374" Type="http://schemas.openxmlformats.org/officeDocument/2006/relationships/hyperlink" Target="https://www.coastalsociety.org.nz/media/view/publications/special-publication-5-coastal-adaptation/" TargetMode="External"/><Relationship Id="rId71" Type="http://schemas.openxmlformats.org/officeDocument/2006/relationships/image" Target="media/image14.jpeg"/><Relationship Id="rId234" Type="http://schemas.openxmlformats.org/officeDocument/2006/relationships/hyperlink" Target="https://resiliencechallenge.nz/outputs/the-response-of-sandy-coastal-systems-to-changes-associated-with-sea-level-rise/" TargetMode="External"/><Relationship Id="rId2" Type="http://schemas.openxmlformats.org/officeDocument/2006/relationships/numbering" Target="numbering.xml"/><Relationship Id="rId29" Type="http://schemas.openxmlformats.org/officeDocument/2006/relationships/footer" Target="footer11.xml"/><Relationship Id="rId276" Type="http://schemas.openxmlformats.org/officeDocument/2006/relationships/hyperlink" Target="https://doi.org/10.1038/s41586-021-03302-y" TargetMode="External"/><Relationship Id="rId441" Type="http://schemas.openxmlformats.org/officeDocument/2006/relationships/hyperlink" Target="http://www.ecologyandsociety.org/vol11/iss1/art18/" TargetMode="External"/><Relationship Id="rId483" Type="http://schemas.openxmlformats.org/officeDocument/2006/relationships/hyperlink" Target="https://doi.org/10.26686/wgtn.21685091" TargetMode="External"/><Relationship Id="rId40" Type="http://schemas.openxmlformats.org/officeDocument/2006/relationships/hyperlink" Target="https://www.legislation.govt.nz/regulation/public/1992/0150/latest/DLM162576.html" TargetMode="External"/><Relationship Id="rId136" Type="http://schemas.openxmlformats.org/officeDocument/2006/relationships/image" Target="media/image37.jpeg"/><Relationship Id="rId178" Type="http://schemas.openxmlformats.org/officeDocument/2006/relationships/image" Target="media/image50.jpeg"/><Relationship Id="rId301" Type="http://schemas.openxmlformats.org/officeDocument/2006/relationships/hyperlink" Target="http://dx.doi.org/10.1016/j.gloenvcha.2012.12.006" TargetMode="External"/><Relationship Id="rId343" Type="http://schemas.openxmlformats.org/officeDocument/2006/relationships/hyperlink" Target="https://www.issmge.org/publications/publication/stability-of-natural-deposits-during-earthquakes" TargetMode="External"/><Relationship Id="rId82" Type="http://schemas.openxmlformats.org/officeDocument/2006/relationships/image" Target="media/image19.jpeg"/><Relationship Id="rId203" Type="http://schemas.openxmlformats.org/officeDocument/2006/relationships/hyperlink" Target="https://doi.org/10.2307/26169734" TargetMode="External"/><Relationship Id="rId385" Type="http://schemas.openxmlformats.org/officeDocument/2006/relationships/hyperlink" Target="https://doi.org/10.1016/j.envsoft.2015.07.021" TargetMode="External"/><Relationship Id="rId245" Type="http://schemas.openxmlformats.org/officeDocument/2006/relationships/hyperlink" Target="https://www.ipcc.ch/report/ar6/wg1/downloads/report/IPCC_AR6_WGI_Chapter_01.pdf" TargetMode="External"/><Relationship Id="rId287" Type="http://schemas.openxmlformats.org/officeDocument/2006/relationships/hyperlink" Target="https://niwa.co.nz/sites/niwa.co.nz/files/RA5-Synthesis-report.pdf" TargetMode="External"/><Relationship Id="rId410" Type="http://schemas.openxmlformats.org/officeDocument/2006/relationships/hyperlink" Target="https://environment.govt.nz/publications/arotakenga-huringa-ahuarangi-a-framework-for-the-national-climate-change-risk-assessment-for-aotearoa-new-zealand/" TargetMode="External"/><Relationship Id="rId452" Type="http://schemas.openxmlformats.org/officeDocument/2006/relationships/hyperlink" Target="https://dx.doi.org/10.5194/esd-4-11-2013" TargetMode="External"/><Relationship Id="rId494" Type="http://schemas.openxmlformats.org/officeDocument/2006/relationships/hyperlink" Target="http://dx.doi.org/10.1016/j.envsoft.2015.10.008" TargetMode="External"/><Relationship Id="rId508" Type="http://schemas.openxmlformats.org/officeDocument/2006/relationships/footer" Target="footer30.xml"/><Relationship Id="rId105" Type="http://schemas.openxmlformats.org/officeDocument/2006/relationships/image" Target="media/image27.png"/><Relationship Id="rId147" Type="http://schemas.openxmlformats.org/officeDocument/2006/relationships/diagramData" Target="diagrams/data8.xml"/><Relationship Id="rId312" Type="http://schemas.openxmlformats.org/officeDocument/2006/relationships/hyperlink" Target="http://dx.doi.org/10.1029/2011JC007591" TargetMode="External"/><Relationship Id="rId354" Type="http://schemas.openxmlformats.org/officeDocument/2006/relationships/hyperlink" Target="https://openaccess.wgtn.ac.nz/articles/thesis/Effective_design_and_implementation_of_a_monitoring_system_to_support_dynamic_adaptive_pathways_planning_DAPP_for_managing_rising_coastal_risk_in_New_Zealand/20304567" TargetMode="External"/><Relationship Id="rId51" Type="http://schemas.openxmlformats.org/officeDocument/2006/relationships/image" Target="media/image7.jpeg"/><Relationship Id="rId93" Type="http://schemas.microsoft.com/office/2007/relationships/diagramDrawing" Target="diagrams/drawing2.xml"/><Relationship Id="rId189" Type="http://schemas.openxmlformats.org/officeDocument/2006/relationships/footer" Target="footer23.xml"/><Relationship Id="rId396" Type="http://schemas.openxmlformats.org/officeDocument/2006/relationships/hyperlink" Target="http://dx.doi.org/10.1038/nclimate3038" TargetMode="External"/><Relationship Id="rId214" Type="http://schemas.openxmlformats.org/officeDocument/2006/relationships/hyperlink" Target="http://docs.niwa.co.nz/library/public/Baker1991.pdf" TargetMode="External"/><Relationship Id="rId256" Type="http://schemas.openxmlformats.org/officeDocument/2006/relationships/hyperlink" Target="https://doi.org/10.1111/j.1539-6924.2008.01030.x" TargetMode="External"/><Relationship Id="rId298" Type="http://schemas.openxmlformats.org/officeDocument/2006/relationships/hyperlink" Target="https://www.epa.ie/publications/research/climate-change/research-report-164.php" TargetMode="External"/><Relationship Id="rId421" Type="http://schemas.openxmlformats.org/officeDocument/2006/relationships/hyperlink" Target="https://environment.govt.nz/assets/publications/Environmental-Reporting/Our-atmosphere-and-climate-2023.pdf" TargetMode="External"/><Relationship Id="rId463" Type="http://schemas.openxmlformats.org/officeDocument/2006/relationships/hyperlink" Target="http://www.niwa.co.nz/sites/niwa.co.nz/files/making_it_work_final_december2011.pdf" TargetMode="External"/><Relationship Id="rId116" Type="http://schemas.openxmlformats.org/officeDocument/2006/relationships/footer" Target="footer16.xml"/><Relationship Id="rId158" Type="http://schemas.openxmlformats.org/officeDocument/2006/relationships/diagramLayout" Target="diagrams/layout9.xml"/><Relationship Id="rId323" Type="http://schemas.openxmlformats.org/officeDocument/2006/relationships/hyperlink" Target="https://www.nature.com/articles/s43247-023-00703-x" TargetMode="External"/><Relationship Id="rId20" Type="http://schemas.openxmlformats.org/officeDocument/2006/relationships/footer" Target="footer6.xml"/><Relationship Id="rId62" Type="http://schemas.openxmlformats.org/officeDocument/2006/relationships/header" Target="header10.xml"/><Relationship Id="rId365" Type="http://schemas.openxmlformats.org/officeDocument/2006/relationships/hyperlink" Target="https://doi.org/10.5194/egusphere-2023-14" TargetMode="External"/><Relationship Id="rId225" Type="http://schemas.openxmlformats.org/officeDocument/2006/relationships/hyperlink" Target="https://www.waternz.org.nz/Article?Action=View&amp;Article_id=33" TargetMode="External"/><Relationship Id="rId267" Type="http://schemas.openxmlformats.org/officeDocument/2006/relationships/hyperlink" Target="https://www.doc.govt.nz/globalassets/documents/conservation/biodiversity/anzbs-2020.pdf" TargetMode="External"/><Relationship Id="rId432" Type="http://schemas.openxmlformats.org/officeDocument/2006/relationships/hyperlink" Target="https://www.searise.nz/publications" TargetMode="External"/><Relationship Id="rId474" Type="http://schemas.openxmlformats.org/officeDocument/2006/relationships/hyperlink" Target="http://dx.doi.org/10.1038/nclimate2991" TargetMode="External"/><Relationship Id="rId127" Type="http://schemas.openxmlformats.org/officeDocument/2006/relationships/footer" Target="footer18.xml"/><Relationship Id="rId31" Type="http://schemas.openxmlformats.org/officeDocument/2006/relationships/image" Target="media/image3.png"/><Relationship Id="rId73" Type="http://schemas.openxmlformats.org/officeDocument/2006/relationships/image" Target="media/image15.png"/><Relationship Id="rId169" Type="http://schemas.openxmlformats.org/officeDocument/2006/relationships/footer" Target="footer22.xml"/><Relationship Id="rId334" Type="http://schemas.openxmlformats.org/officeDocument/2006/relationships/hyperlink" Target="https://iccinet.org/statecryo23/" TargetMode="External"/><Relationship Id="rId376" Type="http://schemas.openxmlformats.org/officeDocument/2006/relationships/hyperlink" Target="https://resiliencechallenge.nz/outputs/enabling-coastal-adaptation/" TargetMode="External"/><Relationship Id="rId4" Type="http://schemas.openxmlformats.org/officeDocument/2006/relationships/settings" Target="settings.xml"/><Relationship Id="rId180" Type="http://schemas.openxmlformats.org/officeDocument/2006/relationships/image" Target="media/image52.jpg"/><Relationship Id="rId236" Type="http://schemas.openxmlformats.org/officeDocument/2006/relationships/hyperlink" Target="https://www.jstor.org/stable/23355431" TargetMode="External"/><Relationship Id="rId278" Type="http://schemas.openxmlformats.org/officeDocument/2006/relationships/hyperlink" Target="https://www.researchgate.net/publication/259894290_Considering_local_adaptation_increases_willingness_to_mitigate" TargetMode="External"/><Relationship Id="rId401" Type="http://schemas.openxmlformats.org/officeDocument/2006/relationships/hyperlink" Target="https://doi.org/10.20417/nzjecol.47.3521" TargetMode="External"/><Relationship Id="rId443" Type="http://schemas.openxmlformats.org/officeDocument/2006/relationships/hyperlink" Target="https://doi.org/10.1017/9781009157964.006" TargetMode="External"/><Relationship Id="rId303" Type="http://schemas.openxmlformats.org/officeDocument/2006/relationships/hyperlink" Target="https://doi.org/10.1007/s10584-012-0444-2" TargetMode="External"/><Relationship Id="rId485" Type="http://schemas.openxmlformats.org/officeDocument/2006/relationships/hyperlink" Target="https://www.waitangitribunal.govt.nz/assets/Documents/Publications/WT-Principles-of-the-Treaty-of-Waitangi-as-expressed-by-the-Courts-and-the-Waitangi-Tribunal.pdf" TargetMode="External"/><Relationship Id="rId42" Type="http://schemas.openxmlformats.org/officeDocument/2006/relationships/hyperlink" Target="https://www.legislation.govt.nz/act/public/2019/0051/latest/whole.html" TargetMode="External"/><Relationship Id="rId84" Type="http://schemas.openxmlformats.org/officeDocument/2006/relationships/image" Target="media/image21.jpeg"/><Relationship Id="rId138" Type="http://schemas.openxmlformats.org/officeDocument/2006/relationships/footer" Target="footer19.xml"/><Relationship Id="rId345" Type="http://schemas.openxmlformats.org/officeDocument/2006/relationships/hyperlink" Target="https://www.iso.org/obp/ui/" TargetMode="External"/><Relationship Id="rId387" Type="http://schemas.openxmlformats.org/officeDocument/2006/relationships/hyperlink" Target="https://link.springer.com/chapter/10.1007/978-3-030-05252-2_2" TargetMode="External"/><Relationship Id="rId510" Type="http://schemas.openxmlformats.org/officeDocument/2006/relationships/theme" Target="theme/theme1.xml"/><Relationship Id="rId191" Type="http://schemas.openxmlformats.org/officeDocument/2006/relationships/hyperlink" Target="https://niwa.co.nz/natural-hazards/hazards/planning-for-coastal-adaptation" TargetMode="External"/><Relationship Id="rId205" Type="http://schemas.openxmlformats.org/officeDocument/2006/relationships/hyperlink" Target="https://doi.org/10.1029/2018JC014828" TargetMode="External"/><Relationship Id="rId247" Type="http://schemas.openxmlformats.org/officeDocument/2006/relationships/hyperlink" Target="https://www.researchgate.net/publication/293190702_Consequences_of_Twenty-First-Century_Policy_for_Multi-Millennial_Climate_and_Sea-Level_Change" TargetMode="External"/><Relationship Id="rId412" Type="http://schemas.openxmlformats.org/officeDocument/2006/relationships/hyperlink" Target="https://environment.govt.nz/publications/national-climate-change-risk-assessment-for-new-zealand-method-report/" TargetMode="External"/><Relationship Id="rId107" Type="http://schemas.openxmlformats.org/officeDocument/2006/relationships/image" Target="media/image29.png"/><Relationship Id="rId289" Type="http://schemas.openxmlformats.org/officeDocument/2006/relationships/hyperlink" Target="https://doi.org/10.5194/tc-7-375-2013" TargetMode="External"/><Relationship Id="rId454" Type="http://schemas.openxmlformats.org/officeDocument/2006/relationships/hyperlink" Target="http://dx.doi.org/10.1007/s00382-011-1226-7" TargetMode="External"/><Relationship Id="rId496" Type="http://schemas.openxmlformats.org/officeDocument/2006/relationships/hyperlink" Target="https://doi.org/10.1029/2022EF002751" TargetMode="External"/><Relationship Id="rId11" Type="http://schemas.openxmlformats.org/officeDocument/2006/relationships/footer" Target="footer2.xml"/><Relationship Id="rId53" Type="http://schemas.openxmlformats.org/officeDocument/2006/relationships/image" Target="media/image9.png"/><Relationship Id="rId149" Type="http://schemas.openxmlformats.org/officeDocument/2006/relationships/diagramQuickStyle" Target="diagrams/quickStyle8.xml"/><Relationship Id="rId314" Type="http://schemas.openxmlformats.org/officeDocument/2006/relationships/hyperlink" Target="https://www.landcareresearch.co.nz/discover-our-research/environment/sustainable-society-and-policy/vmo/planning-and-decision-making/matauranga-maori/" TargetMode="External"/><Relationship Id="rId356" Type="http://schemas.openxmlformats.org/officeDocument/2006/relationships/hyperlink" Target="http://www.niwa.co.nz/sites/niwa.co.nz/files/niwa_report_akl2012-029.pdf" TargetMode="External"/><Relationship Id="rId398" Type="http://schemas.openxmlformats.org/officeDocument/2006/relationships/hyperlink" Target="http://dx.doi.org/10.1007/s10712-016-9373-3" TargetMode="External"/><Relationship Id="rId95" Type="http://schemas.openxmlformats.org/officeDocument/2006/relationships/footer" Target="footer15.xml"/><Relationship Id="rId160" Type="http://schemas.openxmlformats.org/officeDocument/2006/relationships/diagramColors" Target="diagrams/colors9.xml"/><Relationship Id="rId216" Type="http://schemas.openxmlformats.org/officeDocument/2006/relationships/hyperlink" Target="https://doi.org/10.1029/2022EF002772" TargetMode="External"/><Relationship Id="rId423" Type="http://schemas.openxmlformats.org/officeDocument/2006/relationships/hyperlink" Target="https://doi.org/10.1073/pnas.1620325114" TargetMode="External"/><Relationship Id="rId258" Type="http://schemas.openxmlformats.org/officeDocument/2006/relationships/hyperlink" Target="https://doi.org/10.1007/s10584-018-2270-7" TargetMode="External"/><Relationship Id="rId465" Type="http://schemas.openxmlformats.org/officeDocument/2006/relationships/hyperlink" Target="https://www.researchgate.net/publication/305660187_Role-play_simulations_for_climate_change_adaptation_education_and_engagement" TargetMode="External"/><Relationship Id="rId22" Type="http://schemas.openxmlformats.org/officeDocument/2006/relationships/header" Target="header6.xml"/><Relationship Id="rId64" Type="http://schemas.openxmlformats.org/officeDocument/2006/relationships/hyperlink" Target="https://www.searise.nz/maps-2" TargetMode="External"/><Relationship Id="rId118" Type="http://schemas.openxmlformats.org/officeDocument/2006/relationships/image" Target="media/image32.png"/><Relationship Id="rId325" Type="http://schemas.openxmlformats.org/officeDocument/2006/relationships/hyperlink" Target="https://doi.org/10.1146/annurev-environ-102017-025826" TargetMode="External"/><Relationship Id="rId367" Type="http://schemas.openxmlformats.org/officeDocument/2006/relationships/hyperlink" Target="https://doi.org/10.1002/wcc.64" TargetMode="External"/><Relationship Id="rId171" Type="http://schemas.openxmlformats.org/officeDocument/2006/relationships/image" Target="media/image44.jpeg"/><Relationship Id="rId227" Type="http://schemas.openxmlformats.org/officeDocument/2006/relationships/hyperlink" Target="https://doi.org/10.1007/s11625-021-00998-9" TargetMode="External"/><Relationship Id="rId269" Type="http://schemas.openxmlformats.org/officeDocument/2006/relationships/hyperlink" Target="https://www.coastalsociety.org.nz/media/view/publications/special-publication-5-coastal-adaptation/" TargetMode="External"/><Relationship Id="rId434" Type="http://schemas.openxmlformats.org/officeDocument/2006/relationships/hyperlink" Target="https://doi.org/10.1073/pnas.1907461116" TargetMode="External"/><Relationship Id="rId476" Type="http://schemas.openxmlformats.org/officeDocument/2006/relationships/hyperlink" Target="http://www.pce.parliament.nz/media/1382/the-effect-of-sea-level-rise-on-the-frequency-of-extreme-sea-levels-in-new-zealand-niwa-2015.pdf" TargetMode="External"/><Relationship Id="rId33" Type="http://schemas.openxmlformats.org/officeDocument/2006/relationships/hyperlink" Target="https://www.legislation.govt.nz/act/public/1991/0069/latest/DLM230265.html" TargetMode="External"/><Relationship Id="rId129" Type="http://schemas.openxmlformats.org/officeDocument/2006/relationships/diagramData" Target="diagrams/data6.xml"/><Relationship Id="rId280" Type="http://schemas.openxmlformats.org/officeDocument/2006/relationships/hyperlink" Target="https://www.fema.gov/sites/default/files/nepa/Guidelines_for_Coastal_Flood_Hazard_Analysis_and_Mapping_for_the_Pacific_Coast_of_the_United_States__Jan_2005__SUPERSEDED.pdf" TargetMode="External"/><Relationship Id="rId336" Type="http://schemas.openxmlformats.org/officeDocument/2006/relationships/hyperlink" Target="https://www.icnz.org.nz/wp-content/uploads/2023/01/ICNZ_submission_on_Natural_Hazards_Insurance_Bill_260522.pdf" TargetMode="External"/><Relationship Id="rId501" Type="http://schemas.openxmlformats.org/officeDocument/2006/relationships/hyperlink" Target="https://www.landcareresearch.co.nz/assets/Publications/Science-series/LRSS_38_The_Christchurch_Story.pdf" TargetMode="External"/><Relationship Id="rId75" Type="http://schemas.openxmlformats.org/officeDocument/2006/relationships/image" Target="media/image16.png"/><Relationship Id="rId140" Type="http://schemas.openxmlformats.org/officeDocument/2006/relationships/diagramLayout" Target="diagrams/layout7.xml"/><Relationship Id="rId182" Type="http://schemas.openxmlformats.org/officeDocument/2006/relationships/image" Target="media/image54.png"/><Relationship Id="rId378" Type="http://schemas.openxmlformats.org/officeDocument/2006/relationships/hyperlink" Target="https://doi.org/10.3389/fclim.2021.734726" TargetMode="External"/><Relationship Id="rId403" Type="http://schemas.openxmlformats.org/officeDocument/2006/relationships/hyperlink" Target="https://doi.org/10.5194/gmd-13-3571-2020" TargetMode="External"/><Relationship Id="rId6" Type="http://schemas.openxmlformats.org/officeDocument/2006/relationships/footnotes" Target="footnotes.xml"/><Relationship Id="rId238" Type="http://schemas.openxmlformats.org/officeDocument/2006/relationships/hyperlink" Target="https://doi.org/10.1002/joc.6283" TargetMode="External"/><Relationship Id="rId445" Type="http://schemas.openxmlformats.org/officeDocument/2006/relationships/hyperlink" Target="https://pce.parliament.nz/publications/changing-climate-and-rising-seas-understanding-the-science/" TargetMode="External"/><Relationship Id="rId487" Type="http://schemas.openxmlformats.org/officeDocument/2006/relationships/hyperlink" Target="https://doi.org/10.1111/risa.14153" TargetMode="External"/><Relationship Id="rId291" Type="http://schemas.openxmlformats.org/officeDocument/2006/relationships/hyperlink" Target="https://doi.org/10.1016/j.crm.2021.100357" TargetMode="External"/><Relationship Id="rId305" Type="http://schemas.openxmlformats.org/officeDocument/2006/relationships/hyperlink" Target="http://dx.doi.org/10.1088/1748-9326/10/10/105008" TargetMode="External"/><Relationship Id="rId347" Type="http://schemas.openxmlformats.org/officeDocument/2006/relationships/hyperlink" Target="https://www.iso.org/obp/ui/" TargetMode="External"/><Relationship Id="rId512" Type="http://schemas.openxmlformats.org/officeDocument/2006/relationships/customXml" Target="../customXml/item3.xml"/><Relationship Id="rId44" Type="http://schemas.openxmlformats.org/officeDocument/2006/relationships/hyperlink" Target="https://www.legislation.govt.nz/act/public/2019/0019/latest/LMS16679.html" TargetMode="External"/><Relationship Id="rId86" Type="http://schemas.openxmlformats.org/officeDocument/2006/relationships/image" Target="file:///\\niwa.local\projects\hamilton\CAVA1704\Working\MissionBay_mapping\Mission_Bay_SLR_maps\gisjpg3\Increasing_inundation_present_day_MSL.png" TargetMode="External"/><Relationship Id="rId151" Type="http://schemas.microsoft.com/office/2007/relationships/diagramDrawing" Target="diagrams/drawing8.xml"/><Relationship Id="rId389" Type="http://schemas.openxmlformats.org/officeDocument/2006/relationships/hyperlink" Target="http://dx.doi.org/10.1073/pnas.1219414110" TargetMode="External"/><Relationship Id="rId193" Type="http://schemas.openxmlformats.org/officeDocument/2006/relationships/image" Target="media/image57.png"/><Relationship Id="rId207" Type="http://schemas.openxmlformats.org/officeDocument/2006/relationships/hyperlink" Target="https://www.coastsandports.org/papers/2021/094_allis_finalpaper.pdf" TargetMode="External"/><Relationship Id="rId249" Type="http://schemas.openxmlformats.org/officeDocument/2006/relationships/hyperlink" Target="https://www.coastalsociety.org.nz/media/view/publications/sea-level-rise/" TargetMode="External"/><Relationship Id="rId414" Type="http://schemas.openxmlformats.org/officeDocument/2006/relationships/hyperlink" Target="https://environment.govt.nz/assets/publications/climate-risk-assessment-guide.pdf" TargetMode="External"/><Relationship Id="rId456" Type="http://schemas.openxmlformats.org/officeDocument/2006/relationships/hyperlink" Target="http://dx.doi.org/10.1016/S0025-3227(04)00002-7" TargetMode="External"/><Relationship Id="rId498" Type="http://schemas.openxmlformats.org/officeDocument/2006/relationships/hyperlink" Target="http://dx.doi.org/10.1016/j.envsoft.2010.03.007" TargetMode="External"/><Relationship Id="rId13" Type="http://schemas.openxmlformats.org/officeDocument/2006/relationships/header" Target="header2.xml"/><Relationship Id="rId109" Type="http://schemas.openxmlformats.org/officeDocument/2006/relationships/image" Target="media/image31.png"/><Relationship Id="rId260" Type="http://schemas.openxmlformats.org/officeDocument/2006/relationships/hyperlink" Target="https://www.researchgate.net/publication/334975572_Persistent_acceleration_in_global_sea-level_rise_since_the_1960s" TargetMode="External"/><Relationship Id="rId316" Type="http://schemas.openxmlformats.org/officeDocument/2006/relationships/hyperlink" Target="https://doi.org/10.1080/00221680209499940" TargetMode="External"/><Relationship Id="rId55" Type="http://schemas.openxmlformats.org/officeDocument/2006/relationships/diagramData" Target="diagrams/data1.xml"/><Relationship Id="rId97" Type="http://schemas.openxmlformats.org/officeDocument/2006/relationships/image" Target="media/image25.png"/><Relationship Id="rId120" Type="http://schemas.openxmlformats.org/officeDocument/2006/relationships/image" Target="media/image34.jpeg"/><Relationship Id="rId358" Type="http://schemas.openxmlformats.org/officeDocument/2006/relationships/hyperlink" Target="http://www.niwa.co.nz/sites/niwa.co.nz/files/niwa_report_akl2011-015_0.pdf" TargetMode="External"/><Relationship Id="rId162" Type="http://schemas.openxmlformats.org/officeDocument/2006/relationships/header" Target="header19.xml"/><Relationship Id="rId218" Type="http://schemas.openxmlformats.org/officeDocument/2006/relationships/hyperlink" Target="https://sustain.ubc.ca/sites/sustain.ubc.ca/files/GCS/2015%20Project%20Reports/A%20Public%20Engagement%20Toolkit%20for%20Sea%20Level%20Rise%20-%20GC%20Scholars%202015.pdf" TargetMode="External"/><Relationship Id="rId425" Type="http://schemas.openxmlformats.org/officeDocument/2006/relationships/hyperlink" Target="https://doi.org/10.1002/rog.20015" TargetMode="External"/><Relationship Id="rId467" Type="http://schemas.openxmlformats.org/officeDocument/2006/relationships/hyperlink" Target="http://dx.doi.org/10.1002/2016GL069563" TargetMode="External"/><Relationship Id="rId271" Type="http://schemas.openxmlformats.org/officeDocument/2006/relationships/hyperlink" Target="https://doi.org/10.1038/s41467-023-44149-3" TargetMode="External"/><Relationship Id="rId24" Type="http://schemas.openxmlformats.org/officeDocument/2006/relationships/footer" Target="footer9.xml"/><Relationship Id="rId66" Type="http://schemas.openxmlformats.org/officeDocument/2006/relationships/image" Target="media/image11.png"/><Relationship Id="rId131" Type="http://schemas.openxmlformats.org/officeDocument/2006/relationships/diagramQuickStyle" Target="diagrams/quickStyle6.xml"/><Relationship Id="rId327" Type="http://schemas.openxmlformats.org/officeDocument/2006/relationships/hyperlink" Target="https://doi.org/10.1680/cm.61149.407" TargetMode="External"/><Relationship Id="rId369" Type="http://schemas.openxmlformats.org/officeDocument/2006/relationships/hyperlink" Target="http://www.ecologyandsociety.org/vol11/iss1/art19" TargetMode="External"/><Relationship Id="rId173" Type="http://schemas.openxmlformats.org/officeDocument/2006/relationships/image" Target="media/image45.png"/><Relationship Id="rId229" Type="http://schemas.openxmlformats.org/officeDocument/2006/relationships/hyperlink" Target="https://doi.org/10.1016/j.cities.2020.102734" TargetMode="External"/><Relationship Id="rId380" Type="http://schemas.openxmlformats.org/officeDocument/2006/relationships/hyperlink" Target="https://doi.org/10.3390/su11020406" TargetMode="External"/><Relationship Id="rId436" Type="http://schemas.openxmlformats.org/officeDocument/2006/relationships/hyperlink" Target="https://www.civildefence.govt.nz/cdem-sector/plans-and-strategies/national-disaster-resilience-strategy/" TargetMode="External"/><Relationship Id="rId240" Type="http://schemas.openxmlformats.org/officeDocument/2006/relationships/hyperlink" Target="https://knowledgeauckland.org.nz/publications/auckland-s-exposure-to-coastal-inundation-by-storm-tides-and-waves/" TargetMode="External"/><Relationship Id="rId478" Type="http://schemas.openxmlformats.org/officeDocument/2006/relationships/hyperlink" Target="http://www.mdpi.com/2077-1312/5/3/40" TargetMode="External"/><Relationship Id="rId35" Type="http://schemas.openxmlformats.org/officeDocument/2006/relationships/hyperlink" Target="https://www.legislation.govt.nz/act/public/2002/0040/latest/DLM158584.html" TargetMode="External"/><Relationship Id="rId77" Type="http://schemas.openxmlformats.org/officeDocument/2006/relationships/hyperlink" Target="https://www.searise.nz/maps-2" TargetMode="External"/><Relationship Id="rId100" Type="http://schemas.openxmlformats.org/officeDocument/2006/relationships/diagramQuickStyle" Target="diagrams/quickStyle3.xml"/><Relationship Id="rId282" Type="http://schemas.openxmlformats.org/officeDocument/2006/relationships/hyperlink" Target="https://doi.org/10.1016/j.margeo.2018.08.002" TargetMode="External"/><Relationship Id="rId338" Type="http://schemas.openxmlformats.org/officeDocument/2006/relationships/hyperlink" Target="http://www.ipcc.ch/report/ar5/wg1/" TargetMode="External"/><Relationship Id="rId503" Type="http://schemas.openxmlformats.org/officeDocument/2006/relationships/hyperlink" Target="https://doi.org/10.1016/j.gecadv.2023.100002" TargetMode="External"/><Relationship Id="rId8" Type="http://schemas.openxmlformats.org/officeDocument/2006/relationships/image" Target="media/image1.jpeg"/><Relationship Id="rId142" Type="http://schemas.openxmlformats.org/officeDocument/2006/relationships/diagramColors" Target="diagrams/colors7.xml"/><Relationship Id="rId184" Type="http://schemas.openxmlformats.org/officeDocument/2006/relationships/image" Target="media/image56.png"/><Relationship Id="rId391" Type="http://schemas.openxmlformats.org/officeDocument/2006/relationships/hyperlink" Target="https://doi.org/10.1080/03036758.2023.2232743" TargetMode="External"/><Relationship Id="rId405" Type="http://schemas.openxmlformats.org/officeDocument/2006/relationships/hyperlink" Target="https://doi.org/10.1073/pnas.1500515113" TargetMode="External"/><Relationship Id="rId447" Type="http://schemas.openxmlformats.org/officeDocument/2006/relationships/hyperlink" Target="https://doi.org/10.1016/j.wace.2021.100358" TargetMode="External"/><Relationship Id="rId251" Type="http://schemas.openxmlformats.org/officeDocument/2006/relationships/hyperlink" Target="https://doi.org/10.1017/9781009325844.005" TargetMode="External"/><Relationship Id="rId489" Type="http://schemas.openxmlformats.org/officeDocument/2006/relationships/hyperlink" Target="http://www.hbrc.govt.nz/assets/Document-Library/Reports/Coastal-Hazards/2016.SHAF.Risk-Assessment-Report.R5.pdf" TargetMode="External"/><Relationship Id="rId46" Type="http://schemas.openxmlformats.org/officeDocument/2006/relationships/image" Target="media/image5.png"/><Relationship Id="rId293" Type="http://schemas.openxmlformats.org/officeDocument/2006/relationships/hyperlink" Target="https://doi.org/10.1016/j.gloplacha.2012.10.020" TargetMode="External"/><Relationship Id="rId307" Type="http://schemas.openxmlformats.org/officeDocument/2006/relationships/hyperlink" Target="https://openrepository.aut.ac.nz/items/ecc373f4-2597-4370-b758-46f86d1188bc" TargetMode="External"/><Relationship Id="rId349" Type="http://schemas.openxmlformats.org/officeDocument/2006/relationships/hyperlink" Target="https://doi.org/10.1016/S0025-3227(02)00314-6" TargetMode="External"/><Relationship Id="rId514" Type="http://schemas.openxmlformats.org/officeDocument/2006/relationships/customXml" Target="../customXml/item5.xml"/><Relationship Id="rId88" Type="http://schemas.openxmlformats.org/officeDocument/2006/relationships/image" Target="media/image24.png"/><Relationship Id="rId111" Type="http://schemas.openxmlformats.org/officeDocument/2006/relationships/diagramLayout" Target="diagrams/layout4.xml"/><Relationship Id="rId153" Type="http://schemas.openxmlformats.org/officeDocument/2006/relationships/footer" Target="footer20.xml"/><Relationship Id="rId195" Type="http://schemas.openxmlformats.org/officeDocument/2006/relationships/footer" Target="footer27.xml"/><Relationship Id="rId209" Type="http://schemas.openxmlformats.org/officeDocument/2006/relationships/hyperlink" Target="https://doi.org/10.3390/jmse11020343" TargetMode="External"/><Relationship Id="rId360" Type="http://schemas.openxmlformats.org/officeDocument/2006/relationships/hyperlink" Target="https://www.jstor.org/stable/30138402&#160;" TargetMode="External"/><Relationship Id="rId416" Type="http://schemas.openxmlformats.org/officeDocument/2006/relationships/hyperlink" Target="https://environment.govt.nz/publications/aotearoa-new-zealands-first-national-adaptation-plan/our-first-national-adaptation-plan-2022-28/" TargetMode="External"/><Relationship Id="rId220" Type="http://schemas.openxmlformats.org/officeDocument/2006/relationships/hyperlink" Target="https://doi.org/10.1038/nclimate3140" TargetMode="External"/><Relationship Id="rId458" Type="http://schemas.openxmlformats.org/officeDocument/2006/relationships/hyperlink" Target="http://dx.doi.org/10.1016/j.jenvman.2009.01.001" TargetMode="External"/><Relationship Id="rId15" Type="http://schemas.openxmlformats.org/officeDocument/2006/relationships/footer" Target="footer4.xml"/><Relationship Id="rId57" Type="http://schemas.openxmlformats.org/officeDocument/2006/relationships/diagramQuickStyle" Target="diagrams/quickStyle1.xml"/><Relationship Id="rId262" Type="http://schemas.openxmlformats.org/officeDocument/2006/relationships/hyperlink" Target="https://www.researchgate.net/publication/299499248_Contribution_of_Antarctica_to_past_and_future_sea-level_rise" TargetMode="External"/><Relationship Id="rId318" Type="http://schemas.openxmlformats.org/officeDocument/2006/relationships/hyperlink" Target="https://www.nature.com/articles/nclimate1791" TargetMode="External"/><Relationship Id="rId99" Type="http://schemas.openxmlformats.org/officeDocument/2006/relationships/diagramLayout" Target="diagrams/layout3.xml"/><Relationship Id="rId122" Type="http://schemas.openxmlformats.org/officeDocument/2006/relationships/diagramLayout" Target="diagrams/layout5.xml"/><Relationship Id="rId164" Type="http://schemas.openxmlformats.org/officeDocument/2006/relationships/header" Target="header20.xml"/><Relationship Id="rId371" Type="http://schemas.openxmlformats.org/officeDocument/2006/relationships/hyperlink" Target="https://doi.org/10.3390/jmse11071420" TargetMode="External"/><Relationship Id="rId427" Type="http://schemas.openxmlformats.org/officeDocument/2006/relationships/hyperlink" Target="https://doi.org/10.1038/s41558-019-0542-5" TargetMode="External"/><Relationship Id="rId469" Type="http://schemas.openxmlformats.org/officeDocument/2006/relationships/hyperlink" Target="https://www.unisdr.org/preventionweb/files/57370_roleofiwimanagementplansinnaturalha.pdf" TargetMode="External"/><Relationship Id="rId26" Type="http://schemas.openxmlformats.org/officeDocument/2006/relationships/image" Target="media/image2.png"/><Relationship Id="rId231" Type="http://schemas.openxmlformats.org/officeDocument/2006/relationships/hyperlink" Target="https://www.google.com/url?sa=t&amp;rct=j&amp;q=&amp;esrc=s&amp;source=web&amp;cd=&amp;cad=rja&amp;uact=8&amp;ved=2ahUKEwiWyaHPnuv7AhVhSWwGHdMVDAAQFnoECDAQAQ&amp;url=https%3A%2F%2Fwww.researchgate.net%2Fpublication%2F337670247_Auckland%2527s_Exposure_to_Sea_Level_Rise_Part_2_-Local_Inventory&amp;usg=AOvVaw2Bkl_TG_1rcRDeS6aLVctO" TargetMode="External"/><Relationship Id="rId273" Type="http://schemas.openxmlformats.org/officeDocument/2006/relationships/hyperlink" Target="https://doi.org/10.3390/biology12010105" TargetMode="External"/><Relationship Id="rId329" Type="http://schemas.openxmlformats.org/officeDocument/2006/relationships/hyperlink" Target="https://doi.org/10.1130/GES02479.1" TargetMode="External"/><Relationship Id="rId480" Type="http://schemas.openxmlformats.org/officeDocument/2006/relationships/hyperlink" Target="http://dx.doi.org/10.1073/pnas.1511186112" TargetMode="External"/><Relationship Id="rId68" Type="http://schemas.openxmlformats.org/officeDocument/2006/relationships/hyperlink" Target="http://www.searise.nz/maps-2" TargetMode="External"/><Relationship Id="rId133" Type="http://schemas.microsoft.com/office/2007/relationships/diagramDrawing" Target="diagrams/drawing6.xml"/><Relationship Id="rId175" Type="http://schemas.openxmlformats.org/officeDocument/2006/relationships/image" Target="media/image47.jpeg"/><Relationship Id="rId340" Type="http://schemas.openxmlformats.org/officeDocument/2006/relationships/hyperlink" Target="http://www.ipcc.ch/report/ar6/wg1/downloads/report/IPCC_AR6_WGI_SPM.pdf" TargetMode="External"/><Relationship Id="rId200" Type="http://schemas.openxmlformats.org/officeDocument/2006/relationships/hyperlink" Target="http://www.linz.govt.nz/guidance/marine-information/tide-prediction-guidance/standard-port-datum-descriptions" TargetMode="External"/><Relationship Id="rId382" Type="http://schemas.openxmlformats.org/officeDocument/2006/relationships/hyperlink" Target="https://deepsouthchallenge.co.nz/resource/climate-change-the-cascade-effect/" TargetMode="External"/><Relationship Id="rId438" Type="http://schemas.openxmlformats.org/officeDocument/2006/relationships/hyperlink" Target="https://www.building.govt.nz/building-code-compliance/b-stability/b1-structure/module-3-identify-liquefaction-hazards/" TargetMode="External"/><Relationship Id="rId242" Type="http://schemas.openxmlformats.org/officeDocument/2006/relationships/hyperlink" Target="https://www.coastalsociety.org.nz/media/view/publications/special-publication-5-coastal-adaptation/" TargetMode="External"/><Relationship Id="rId284" Type="http://schemas.openxmlformats.org/officeDocument/2006/relationships/hyperlink" Target="https://doi.org/10.3389/fmars.2019.00065" TargetMode="External"/><Relationship Id="rId491" Type="http://schemas.openxmlformats.org/officeDocument/2006/relationships/hyperlink" Target="https://doi.org/10.1016/S0378-3839(97)00015-X" TargetMode="External"/><Relationship Id="rId505" Type="http://schemas.openxmlformats.org/officeDocument/2006/relationships/hyperlink" Target="https://doi.org/10.1016/j.gloenvcha.2013.12.002" TargetMode="External"/><Relationship Id="rId37" Type="http://schemas.openxmlformats.org/officeDocument/2006/relationships/hyperlink" Target="https://www.legislation.govt.nz/act/public/2002/0084/latest/whole.html" TargetMode="External"/><Relationship Id="rId79" Type="http://schemas.openxmlformats.org/officeDocument/2006/relationships/hyperlink" Target="https://data.coastalchange.nz/" TargetMode="External"/><Relationship Id="rId102" Type="http://schemas.microsoft.com/office/2007/relationships/diagramDrawing" Target="diagrams/drawing3.xml"/><Relationship Id="rId144" Type="http://schemas.openxmlformats.org/officeDocument/2006/relationships/image" Target="media/image38.png"/><Relationship Id="rId90" Type="http://schemas.openxmlformats.org/officeDocument/2006/relationships/diagramLayout" Target="diagrams/layout2.xml"/><Relationship Id="rId186" Type="http://schemas.openxmlformats.org/officeDocument/2006/relationships/hyperlink" Target="https://tangoio.maori.nz/recovery/" TargetMode="External"/><Relationship Id="rId351" Type="http://schemas.openxmlformats.org/officeDocument/2006/relationships/hyperlink" Target="http://www.coastsandports.org/papers/2021/036_john_finalpaper-converted.pdf" TargetMode="External"/><Relationship Id="rId393" Type="http://schemas.openxmlformats.org/officeDocument/2006/relationships/hyperlink" Target="https://doi.org/10.1038/s41558-023-01642-3" TargetMode="External"/><Relationship Id="rId407" Type="http://schemas.openxmlformats.org/officeDocument/2006/relationships/hyperlink" Target="https://environment.govt.nz/assets/Publications/Files/coastal-hazards-climate-change-guidance-manual-2008.pdf" TargetMode="External"/><Relationship Id="rId449" Type="http://schemas.openxmlformats.org/officeDocument/2006/relationships/hyperlink" Target="https://doi.org/10.3390/su12041513" TargetMode="External"/><Relationship Id="rId211" Type="http://schemas.openxmlformats.org/officeDocument/2006/relationships/hyperlink" Target="https://hdl.handle.net/10289/15744" TargetMode="External"/><Relationship Id="rId253" Type="http://schemas.openxmlformats.org/officeDocument/2006/relationships/hyperlink" Target="https://doi.org/10.1016/j.ocecoaman.2023.106490" TargetMode="External"/><Relationship Id="rId295" Type="http://schemas.openxmlformats.org/officeDocument/2006/relationships/hyperlink" Target="https://www.ipcc.ch/report/ar6/wg2/chapter/ccp2/" TargetMode="External"/><Relationship Id="rId309" Type="http://schemas.openxmlformats.org/officeDocument/2006/relationships/hyperlink" Target="https://doi.org/10.1029/2021GL096465" TargetMode="External"/><Relationship Id="rId460" Type="http://schemas.openxmlformats.org/officeDocument/2006/relationships/hyperlink" Target="http://dx.doi.org/10.1002/2014GL060140" TargetMode="External"/><Relationship Id="rId48" Type="http://schemas.openxmlformats.org/officeDocument/2006/relationships/hyperlink" Target="https://www.iso.org/obp/ui/" TargetMode="External"/><Relationship Id="rId113" Type="http://schemas.openxmlformats.org/officeDocument/2006/relationships/diagramColors" Target="diagrams/colors4.xml"/><Relationship Id="rId320" Type="http://schemas.openxmlformats.org/officeDocument/2006/relationships/hyperlink" Target="https://doi.org/10.1016/j.envsci.2016.12.005" TargetMode="External"/><Relationship Id="rId155" Type="http://schemas.openxmlformats.org/officeDocument/2006/relationships/image" Target="media/image41.png"/><Relationship Id="rId197" Type="http://schemas.openxmlformats.org/officeDocument/2006/relationships/hyperlink" Target="http://www.linz.govt.nz/sea/tides/tide-predictions/standard-port-tidal-levels" TargetMode="External"/><Relationship Id="rId362" Type="http://schemas.openxmlformats.org/officeDocument/2006/relationships/hyperlink" Target="https://doi.org/10.3390/infrastructures5110092" TargetMode="External"/><Relationship Id="rId418" Type="http://schemas.openxmlformats.org/officeDocument/2006/relationships/hyperlink" Target="https://environment.govt.nz/publications/national-adaptation-plan-and-emissions-reduction-plan-resource-management-act-1991-guidance-note/" TargetMode="External"/><Relationship Id="rId222" Type="http://schemas.openxmlformats.org/officeDocument/2006/relationships/hyperlink" Target="https://www.allenandunwin.co.nz/browse/book/Edited-by-Helen-Clark-Climate-Aotearoa-9781988547633" TargetMode="External"/><Relationship Id="rId264" Type="http://schemas.openxmlformats.org/officeDocument/2006/relationships/hyperlink" Target="https://doi.org/10.1029/2019JB018055" TargetMode="External"/><Relationship Id="rId471" Type="http://schemas.openxmlformats.org/officeDocument/2006/relationships/hyperlink" Target="https://mro.massey.ac.nz/items/e5e7c4d6-c88f-413f-be5e-d42cac7db122" TargetMode="External"/><Relationship Id="rId17" Type="http://schemas.openxmlformats.org/officeDocument/2006/relationships/footer" Target="footer5.xml"/><Relationship Id="rId59" Type="http://schemas.microsoft.com/office/2007/relationships/diagramDrawing" Target="diagrams/drawing1.xml"/><Relationship Id="rId124" Type="http://schemas.openxmlformats.org/officeDocument/2006/relationships/diagramColors" Target="diagrams/colors5.xml"/><Relationship Id="rId70" Type="http://schemas.openxmlformats.org/officeDocument/2006/relationships/image" Target="media/image13.png"/><Relationship Id="rId166" Type="http://schemas.openxmlformats.org/officeDocument/2006/relationships/hyperlink" Target="http://www.nams.org.nz/" TargetMode="External"/><Relationship Id="rId331" Type="http://schemas.openxmlformats.org/officeDocument/2006/relationships/hyperlink" Target="https://pce.parliament.nz/publications/preparing-new-zealand-for-rising-seas-certainty-and-uncertainty/" TargetMode="External"/><Relationship Id="rId373" Type="http://schemas.openxmlformats.org/officeDocument/2006/relationships/hyperlink" Target="https://resiliencechallenge.nz/outputs/a-decade-of-dynamic-adaptive-decision-making-tools-in-new-zealand-practice-applications-lessons-learned-and-next-steps/" TargetMode="External"/><Relationship Id="rId429" Type="http://schemas.openxmlformats.org/officeDocument/2006/relationships/hyperlink" Target="https://www.nature.com/articles/nature08823" TargetMode="External"/><Relationship Id="rId1" Type="http://schemas.openxmlformats.org/officeDocument/2006/relationships/customXml" Target="../customXml/item1.xml"/><Relationship Id="rId233" Type="http://schemas.openxmlformats.org/officeDocument/2006/relationships/hyperlink" Target="http://dx.doi.org/10.1016/j.envsoft.2009.06.004" TargetMode="External"/><Relationship Id="rId440" Type="http://schemas.openxmlformats.org/officeDocument/2006/relationships/hyperlink" Target="https://doi.org/10.1080/17565529.2019.1624495" TargetMode="External"/><Relationship Id="rId28" Type="http://schemas.openxmlformats.org/officeDocument/2006/relationships/header" Target="header8.xml"/><Relationship Id="rId275" Type="http://schemas.openxmlformats.org/officeDocument/2006/relationships/hyperlink" Target="https://doi.org/10.1002/2014GL062534" TargetMode="External"/><Relationship Id="rId300" Type="http://schemas.openxmlformats.org/officeDocument/2006/relationships/hyperlink" Target="https://www.ipcc.ch/report/ar6/wg1/chapter/chapter-2/" TargetMode="External"/><Relationship Id="rId482" Type="http://schemas.openxmlformats.org/officeDocument/2006/relationships/hyperlink" Target="http://tidesandcurrents.noaa.gov/publications/NOAA_Technical_Report_NOS_COOPS_073.pdf" TargetMode="External"/><Relationship Id="rId81" Type="http://schemas.openxmlformats.org/officeDocument/2006/relationships/image" Target="media/image18.jpeg"/><Relationship Id="rId135" Type="http://schemas.openxmlformats.org/officeDocument/2006/relationships/image" Target="media/image36.png"/><Relationship Id="rId177" Type="http://schemas.openxmlformats.org/officeDocument/2006/relationships/image" Target="media/image49.jpeg"/><Relationship Id="rId342" Type="http://schemas.openxmlformats.org/officeDocument/2006/relationships/hyperlink" Target="http://dx.doi.org/10.1111/j.1540-6210.2004.00346.x" TargetMode="External"/><Relationship Id="rId384" Type="http://schemas.openxmlformats.org/officeDocument/2006/relationships/hyperlink" Target="https://doi.org/10.3389/fmars.2021.703902" TargetMode="External"/><Relationship Id="rId202" Type="http://schemas.openxmlformats.org/officeDocument/2006/relationships/footer" Target="footer28.xml"/><Relationship Id="rId244" Type="http://schemas.openxmlformats.org/officeDocument/2006/relationships/hyperlink" Target="https://doi.org/10.1002/2013EF000188" TargetMode="External"/><Relationship Id="rId39" Type="http://schemas.openxmlformats.org/officeDocument/2006/relationships/hyperlink" Target="https://www.legislation.govt.nz/act/public/2004/0072/latest/DLM306036.html" TargetMode="External"/><Relationship Id="rId286" Type="http://schemas.openxmlformats.org/officeDocument/2006/relationships/hyperlink" Target="https://doi.org/10.1016/j.crm.2018.05.001" TargetMode="External"/><Relationship Id="rId451" Type="http://schemas.openxmlformats.org/officeDocument/2006/relationships/hyperlink" Target="https://doi.org/10.3389/fenvs.2022.1045743" TargetMode="External"/><Relationship Id="rId493" Type="http://schemas.openxmlformats.org/officeDocument/2006/relationships/hyperlink" Target="http://unhabitat.org/books/planning-for-climate-change-a-strategic-values-based-approach-for-urban-planners-cities-and-climate-change-initiative/" TargetMode="External"/><Relationship Id="rId507" Type="http://schemas.openxmlformats.org/officeDocument/2006/relationships/footer" Target="footer29.xml"/><Relationship Id="rId50" Type="http://schemas.openxmlformats.org/officeDocument/2006/relationships/hyperlink" Target="https://www.iso.org/obp/ui/" TargetMode="External"/><Relationship Id="rId104" Type="http://schemas.openxmlformats.org/officeDocument/2006/relationships/image" Target="media/image26.png"/><Relationship Id="rId146" Type="http://schemas.openxmlformats.org/officeDocument/2006/relationships/image" Target="media/image40.png"/><Relationship Id="rId188" Type="http://schemas.openxmlformats.org/officeDocument/2006/relationships/hyperlink" Target="https://www.youtube.com/watch?v=rlIOSOuIdMo" TargetMode="External"/><Relationship Id="rId311" Type="http://schemas.openxmlformats.org/officeDocument/2006/relationships/hyperlink" Target="http://dx.doi.org/10.1029/2003GL019166" TargetMode="External"/><Relationship Id="rId353" Type="http://schemas.openxmlformats.org/officeDocument/2006/relationships/hyperlink" Target="https://doi.org/10.1080/15564894.2023.2207493" TargetMode="External"/><Relationship Id="rId395" Type="http://schemas.openxmlformats.org/officeDocument/2006/relationships/hyperlink" Target="https://doi.org/10.1038/s41558-023-01647-y" TargetMode="External"/><Relationship Id="rId409" Type="http://schemas.openxmlformats.org/officeDocument/2006/relationships/hyperlink" Target="https://environment.govt.nz/publications/climate-change-projections-for-new-zealand/" TargetMode="External"/><Relationship Id="rId92" Type="http://schemas.openxmlformats.org/officeDocument/2006/relationships/diagramColors" Target="diagrams/colors2.xml"/><Relationship Id="rId213" Type="http://schemas.openxmlformats.org/officeDocument/2006/relationships/hyperlink" Target="https://researchcommons.waikato.ac.nz/handle/10289/14567" TargetMode="External"/><Relationship Id="rId420" Type="http://schemas.openxmlformats.org/officeDocument/2006/relationships/hyperlink" Target="https://environment.govt.nz/publications/developing-adapting-and-applying-environmental-models-in-a-regulatory-context-in-new-zealand/" TargetMode="External"/><Relationship Id="rId255" Type="http://schemas.openxmlformats.org/officeDocument/2006/relationships/hyperlink" Target="https://www.jstor.org/stable/4300279" TargetMode="External"/><Relationship Id="rId297" Type="http://schemas.openxmlformats.org/officeDocument/2006/relationships/hyperlink" Target="https://www.researchgate.net/publication/282871121_The_multi-millennial_Antarctic_commitment_to_future_sea-level_rise" TargetMode="External"/><Relationship Id="rId462" Type="http://schemas.openxmlformats.org/officeDocument/2006/relationships/hyperlink" Target="https://pubmed.ncbi.nlm.nih.gov/27357792/" TargetMode="External"/><Relationship Id="rId115" Type="http://schemas.openxmlformats.org/officeDocument/2006/relationships/header" Target="header14.xml"/><Relationship Id="rId157" Type="http://schemas.openxmlformats.org/officeDocument/2006/relationships/diagramData" Target="diagrams/data9.xml"/><Relationship Id="rId322" Type="http://schemas.openxmlformats.org/officeDocument/2006/relationships/hyperlink" Target="http://www.coastalsociety.org.nz/media/view/publications/sea-level-rise/" TargetMode="External"/><Relationship Id="rId364" Type="http://schemas.openxmlformats.org/officeDocument/2006/relationships/hyperlink" Target="http://dx.doi.org/10.1073/pnas.1517056113" TargetMode="External"/><Relationship Id="rId61" Type="http://schemas.openxmlformats.org/officeDocument/2006/relationships/footer" Target="footer13.xml"/><Relationship Id="rId199" Type="http://schemas.openxmlformats.org/officeDocument/2006/relationships/hyperlink" Target="http://www.geodesy.linz.govt.nz/gdb/?mode=gmap" TargetMode="External"/><Relationship Id="rId19" Type="http://schemas.openxmlformats.org/officeDocument/2006/relationships/header" Target="header5.xml"/><Relationship Id="rId224" Type="http://schemas.openxmlformats.org/officeDocument/2006/relationships/hyperlink" Target="http://www.pce.parliament.nz/media/1384/national-and-regional-risk-exposure-in-low-lying-coastal-areas-niwa-2015.pdf" TargetMode="External"/><Relationship Id="rId266" Type="http://schemas.openxmlformats.org/officeDocument/2006/relationships/hyperlink" Target="https://www.doc.govt.nz/globalassets/documents/conservation/marine-and-coastal/coastal-management/guidance/policy-24-to-27.pdf" TargetMode="External"/><Relationship Id="rId431" Type="http://schemas.openxmlformats.org/officeDocument/2006/relationships/hyperlink" Target="http://dx.doi.org/10.1080/09640560801977190" TargetMode="External"/><Relationship Id="rId473" Type="http://schemas.openxmlformats.org/officeDocument/2006/relationships/hyperlink" Target="https://d1pepq1a2249p5.cloudfront.net/media/documents/Planning-for-Sea-Level-Rise-v7-FINAL.pdf" TargetMode="External"/><Relationship Id="rId30" Type="http://schemas.openxmlformats.org/officeDocument/2006/relationships/footer" Target="footer12.xml"/><Relationship Id="rId126" Type="http://schemas.openxmlformats.org/officeDocument/2006/relationships/header" Target="header15.xml"/><Relationship Id="rId168" Type="http://schemas.openxmlformats.org/officeDocument/2006/relationships/header" Target="header22.xml"/><Relationship Id="rId333" Type="http://schemas.openxmlformats.org/officeDocument/2006/relationships/hyperlink" Target="https://www.nature.com/articles/s41467-018-03739-2" TargetMode="External"/><Relationship Id="rId72" Type="http://schemas.openxmlformats.org/officeDocument/2006/relationships/hyperlink" Target="http://www.farmersweekly.co.nz/news/sea-threat-arrives" TargetMode="External"/><Relationship Id="rId375" Type="http://schemas.openxmlformats.org/officeDocument/2006/relationships/hyperlink" Target="https://doi.org/10.1016/j.envsci.2016.12.003" TargetMode="External"/><Relationship Id="rId3" Type="http://schemas.openxmlformats.org/officeDocument/2006/relationships/styles" Target="styles.xml"/><Relationship Id="rId235" Type="http://schemas.openxmlformats.org/officeDocument/2006/relationships/hyperlink" Target="https://doi.org/10.2112/SI65-354.1" TargetMode="External"/><Relationship Id="rId277" Type="http://schemas.openxmlformats.org/officeDocument/2006/relationships/hyperlink" Target="https://doi.org/10.1016/j.lcsi.2019.100331" TargetMode="External"/><Relationship Id="rId400" Type="http://schemas.openxmlformats.org/officeDocument/2006/relationships/hyperlink" Target="https://doi.org/10.14465/2020.arc08.cgm" TargetMode="External"/><Relationship Id="rId442" Type="http://schemas.openxmlformats.org/officeDocument/2006/relationships/hyperlink" Target="https://doi.org/10.1017/9781009325844.025" TargetMode="External"/><Relationship Id="rId484" Type="http://schemas.openxmlformats.org/officeDocument/2006/relationships/hyperlink" Target="https://tasman.govt.nz/my-council/projects/coastal-management-responding-to-climate-change/coastal-risk-assessment/" TargetMode="External"/><Relationship Id="rId137" Type="http://schemas.openxmlformats.org/officeDocument/2006/relationships/header" Target="header17.xml"/><Relationship Id="rId302" Type="http://schemas.openxmlformats.org/officeDocument/2006/relationships/hyperlink" Target="https://www.science.org/doi/10.1126/science.abi6594" TargetMode="External"/><Relationship Id="rId344" Type="http://schemas.openxmlformats.org/officeDocument/2006/relationships/hyperlink" Target="https://www.standards.govt.nz/shop/asnzs-iso-310002009/" TargetMode="External"/><Relationship Id="rId41" Type="http://schemas.openxmlformats.org/officeDocument/2006/relationships/hyperlink" Target="https://www.standards.govt.nz/shop/nzs-44042010/" TargetMode="External"/><Relationship Id="rId83" Type="http://schemas.openxmlformats.org/officeDocument/2006/relationships/image" Target="media/image20.png"/><Relationship Id="rId179" Type="http://schemas.openxmlformats.org/officeDocument/2006/relationships/image" Target="media/image51.png"/><Relationship Id="rId386" Type="http://schemas.openxmlformats.org/officeDocument/2006/relationships/hyperlink" Target="https://doi.org/10.5751/ES-12211-260129" TargetMode="External"/><Relationship Id="rId190" Type="http://schemas.openxmlformats.org/officeDocument/2006/relationships/footer" Target="footer24.xml"/><Relationship Id="rId204" Type="http://schemas.openxmlformats.org/officeDocument/2006/relationships/hyperlink" Target="https://doi.org/10.1016/j.gloenvcha.2006.02.006" TargetMode="External"/><Relationship Id="rId246" Type="http://schemas.openxmlformats.org/officeDocument/2006/relationships/hyperlink" Target="http://dx.doi.org/10.1007/s10712-011-9119-1" TargetMode="External"/><Relationship Id="rId288" Type="http://schemas.openxmlformats.org/officeDocument/2006/relationships/hyperlink" Target="https://www.researchgate.net/publication/343750830_The_causes_of_sea-level_rise_since_1900" TargetMode="External"/><Relationship Id="rId411" Type="http://schemas.openxmlformats.org/officeDocument/2006/relationships/hyperlink" Target="https://environment.govt.nz/publications/national-climate-change-risk-assessment-for-new-zealand-main-report/" TargetMode="External"/><Relationship Id="rId453" Type="http://schemas.openxmlformats.org/officeDocument/2006/relationships/hyperlink" Target="http://eprints.soton.ac.uk/19157/1/sea-level.pdf" TargetMode="External"/><Relationship Id="rId509" Type="http://schemas.openxmlformats.org/officeDocument/2006/relationships/fontTable" Target="fontTable.xml"/><Relationship Id="rId106" Type="http://schemas.openxmlformats.org/officeDocument/2006/relationships/image" Target="media/image28.png"/><Relationship Id="rId313" Type="http://schemas.openxmlformats.org/officeDocument/2006/relationships/hyperlink" Target="https://www.researchgate.net/publication/260404248_Good_practice_guidelines_for_working_with_tangata_whenua_and_Maori_organisations_Consolidating_our_learning" TargetMode="External"/><Relationship Id="rId495" Type="http://schemas.openxmlformats.org/officeDocument/2006/relationships/hyperlink" Target="https://www.researchgate.net/publication/243772037_Geographic_Information_Systems_and_Dynamic_Models." TargetMode="External"/><Relationship Id="rId10" Type="http://schemas.openxmlformats.org/officeDocument/2006/relationships/footer" Target="footer1.xml"/><Relationship Id="rId52" Type="http://schemas.openxmlformats.org/officeDocument/2006/relationships/image" Target="media/image8.png"/><Relationship Id="rId94" Type="http://schemas.openxmlformats.org/officeDocument/2006/relationships/header" Target="header11.xml"/><Relationship Id="rId148" Type="http://schemas.openxmlformats.org/officeDocument/2006/relationships/diagramLayout" Target="diagrams/layout8.xml"/><Relationship Id="rId355" Type="http://schemas.openxmlformats.org/officeDocument/2006/relationships/hyperlink" Target="https://doi.org/10.1177/0013916514551049" TargetMode="External"/><Relationship Id="rId397" Type="http://schemas.openxmlformats.org/officeDocument/2006/relationships/hyperlink" Target="https://link.springer.com/book/10.1007/978-3-030-05252-2" TargetMode="External"/><Relationship Id="rId215" Type="http://schemas.openxmlformats.org/officeDocument/2006/relationships/hyperlink" Target="https://doi.org/10.1073/pnas.1817205116" TargetMode="External"/><Relationship Id="rId257" Type="http://schemas.openxmlformats.org/officeDocument/2006/relationships/hyperlink" Target="https://doi.org/10.1061/(ASCE)0733-950X(1986)112:1(161)" TargetMode="External"/><Relationship Id="rId422" Type="http://schemas.openxmlformats.org/officeDocument/2006/relationships/hyperlink" Target="https://www.hbcoast.co.nz/assets/Uploads/Assessment-Panel-Report-FINAL-28.2.18-reduced-size.pdf" TargetMode="External"/><Relationship Id="rId464" Type="http://schemas.openxmlformats.org/officeDocument/2006/relationships/hyperlink" Target="https://doi.org/10.1002/2017JC013655" TargetMode="External"/><Relationship Id="rId299" Type="http://schemas.openxmlformats.org/officeDocument/2006/relationships/hyperlink" Target="https://www.gw.govt.nz/document/19851/hutt-river-city-centre-upgrade-project-river-corridor-options-report/"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s://www.waikatoregion.govt.nz/services/regional-hazards-and-emergency-management/coastal-flooding-inundation/coastal-inundation-tool/" TargetMode="External"/><Relationship Id="rId18" Type="http://schemas.openxmlformats.org/officeDocument/2006/relationships/hyperlink" Target="https://hirds.niwa.co.nz/" TargetMode="External"/><Relationship Id="rId26" Type="http://schemas.openxmlformats.org/officeDocument/2006/relationships/hyperlink" Target="https://ccc.govt.nz/environment/coast/adapting-to-coastal-hazards/community-science-and-youth-involvement/coastsnap" TargetMode="External"/><Relationship Id="rId3" Type="http://schemas.openxmlformats.org/officeDocument/2006/relationships/hyperlink" Target="https://www.stats.govt.nz/indicators/coastal-sea-level-rise" TargetMode="External"/><Relationship Id="rId21" Type="http://schemas.openxmlformats.org/officeDocument/2006/relationships/hyperlink" Target="https://research.uintel.co.nz/access-resilience/" TargetMode="External"/><Relationship Id="rId34" Type="http://schemas.openxmlformats.org/officeDocument/2006/relationships/hyperlink" Target="https://www.linz.govt.nz/guidance/geodetic-system/coordinate-systems-used-new-zealand/vertical-datums/new-zealand-vertical-datum-2016-nzvd2016" TargetMode="External"/><Relationship Id="rId7" Type="http://schemas.openxmlformats.org/officeDocument/2006/relationships/hyperlink" Target="https://resiliencechallenge.nz/programme/coastal-hazards/" TargetMode="External"/><Relationship Id="rId12" Type="http://schemas.openxmlformats.org/officeDocument/2006/relationships/hyperlink" Target="https://niwa.co.nz/natural-hazards/our-services/extreme-coastal-flood-maps-for-aotearoa-new-zealand" TargetMode="External"/><Relationship Id="rId17" Type="http://schemas.openxmlformats.org/officeDocument/2006/relationships/hyperlink" Target="https://niwa.co.nz/natural-hazards/our-services/extreme-coastal-flood-maps-for-aotearoa-new-zealand" TargetMode="External"/><Relationship Id="rId25" Type="http://schemas.openxmlformats.org/officeDocument/2006/relationships/hyperlink" Target="https://data.linz.govt.nz/layer/101290-nz-building-outlines/" TargetMode="External"/><Relationship Id="rId33" Type="http://schemas.openxmlformats.org/officeDocument/2006/relationships/hyperlink" Target="https://www.searise.nz/maps-2" TargetMode="External"/><Relationship Id="rId2" Type="http://schemas.openxmlformats.org/officeDocument/2006/relationships/hyperlink" Target="https://www.waitangitribunal.govt.nz/treaty-of-waitangi/principles-of-the-treaty" TargetMode="External"/><Relationship Id="rId16" Type="http://schemas.openxmlformats.org/officeDocument/2006/relationships/hyperlink" Target="https://riskscape.org.nz/" TargetMode="External"/><Relationship Id="rId20" Type="http://schemas.openxmlformats.org/officeDocument/2006/relationships/hyperlink" Target="https://www.rnz.co.nz/news/ldr/468823/cost-benefits-of-westport-flood-scheme-tipped-to-top-200m" TargetMode="External"/><Relationship Id="rId29" Type="http://schemas.openxmlformats.org/officeDocument/2006/relationships/hyperlink" Target="https://unitaryplan.aucklandcouncil.govt.nz/pages/plan/Book.aspx?exhibit=AucklandUnitaryPlan_Print" TargetMode="External"/><Relationship Id="rId1" Type="http://schemas.openxmlformats.org/officeDocument/2006/relationships/hyperlink" Target="https://environment.govt.nz/publications/national-adaptation-plan-and-emissions-reduction-plan-resource-management-act-1991-guidance-note/" TargetMode="External"/><Relationship Id="rId6" Type="http://schemas.openxmlformats.org/officeDocument/2006/relationships/hyperlink" Target="https://hirds.niwa.co.nz" TargetMode="External"/><Relationship Id="rId11" Type="http://schemas.openxmlformats.org/officeDocument/2006/relationships/hyperlink" Target="https://www.naturalhazardsportal.govt.nz/s/" TargetMode="External"/><Relationship Id="rId24" Type="http://schemas.openxmlformats.org/officeDocument/2006/relationships/hyperlink" Target="https://www.boprc.govt.nz/environment/climate-change/regional-risk-assessment" TargetMode="External"/><Relationship Id="rId32" Type="http://schemas.openxmlformats.org/officeDocument/2006/relationships/hyperlink" Target="https://deepsouthchallenge.co.nz/resource/https-deepsouthchallenge-co-nz-wp-content-uploads-2023-05-a-decade-of-dynamic-adaptive-decision-making-tools-in-new-zealand-practice-applications-lessons-learned-and-next-steps_all-slides-9-march-pdf/" TargetMode="External"/><Relationship Id="rId5" Type="http://schemas.openxmlformats.org/officeDocument/2006/relationships/hyperlink" Target="http://www.searise.nz/maps-2" TargetMode="External"/><Relationship Id="rId15" Type="http://schemas.openxmlformats.org/officeDocument/2006/relationships/hyperlink" Target="https://www.tasman.govt.nz/my-council/projects/coastal-management-responding-to-climate-change/coastal-hazards-project/" TargetMode="External"/><Relationship Id="rId23" Type="http://schemas.openxmlformats.org/officeDocument/2006/relationships/hyperlink" Target="https://www.deltares.nl/en/software-and-data/products/circle-critical-infrastructures" TargetMode="External"/><Relationship Id="rId28" Type="http://schemas.openxmlformats.org/officeDocument/2006/relationships/hyperlink" Target="https://geomapspublic.aucklandcouncil.govt.nz/viewer/index.html" TargetMode="External"/><Relationship Id="rId10" Type="http://schemas.openxmlformats.org/officeDocument/2006/relationships/hyperlink" Target="https://www.orc.govt.nz/managing-our-environment/natural-hazards/otago-natural-hazards-database" TargetMode="External"/><Relationship Id="rId19" Type="http://schemas.openxmlformats.org/officeDocument/2006/relationships/hyperlink" Target="https://riskscape.org.nz/" TargetMode="External"/><Relationship Id="rId31" Type="http://schemas.openxmlformats.org/officeDocument/2006/relationships/hyperlink" Target="https://niwa.co.nz/te-kuwaha/tools-and-resources/te-huringa-ki-te-rangi-adapting-to-climate-change" TargetMode="External"/><Relationship Id="rId4" Type="http://schemas.openxmlformats.org/officeDocument/2006/relationships/hyperlink" Target="https://www.stats.govt.nz/indicators/coastal-sea-level-rise" TargetMode="External"/><Relationship Id="rId9" Type="http://schemas.openxmlformats.org/officeDocument/2006/relationships/hyperlink" Target="http://www.civildefence.govt.nz/resources/news-and-events/news-and-events/updated-tsunami-evacuation-zones-directors-guideline-for-cdem-groups" TargetMode="External"/><Relationship Id="rId14" Type="http://schemas.openxmlformats.org/officeDocument/2006/relationships/hyperlink" Target="https://mapping1.gw.govt.nz/GW/SLR/" TargetMode="External"/><Relationship Id="rId22" Type="http://schemas.openxmlformats.org/officeDocument/2006/relationships/hyperlink" Target="https://circle.deltares.org/" TargetMode="External"/><Relationship Id="rId27" Type="http://schemas.openxmlformats.org/officeDocument/2006/relationships/hyperlink" Target="https://shape.nelson.govt.nz/coastsnap" TargetMode="External"/><Relationship Id="rId30" Type="http://schemas.openxmlformats.org/officeDocument/2006/relationships/hyperlink" Target="https://www.marlborough.govt.nz/your-council/resource-management-policy-and-plans/proposed-marlborough-environment-plan" TargetMode="External"/><Relationship Id="rId8" Type="http://schemas.openxmlformats.org/officeDocument/2006/relationships/hyperlink" Target="http://www.gns.cri.nz/data-and-resources/2021-national-tsunami-hazard-model/"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34F0F86-DB19-41E7-B6C1-82875BF9AAF4}" type="doc">
      <dgm:prSet loTypeId="urn:microsoft.com/office/officeart/2008/layout/LinedList" loCatId="list" qsTypeId="urn:microsoft.com/office/officeart/2005/8/quickstyle/simple1" qsCatId="simple" csTypeId="urn:microsoft.com/office/officeart/2005/8/colors/accent1_2" csCatId="accent1" phldr="1"/>
      <dgm:spPr/>
      <dgm:t>
        <a:bodyPr/>
        <a:lstStyle/>
        <a:p>
          <a:endParaRPr lang="en-NZ"/>
        </a:p>
      </dgm:t>
    </dgm:pt>
    <dgm:pt modelId="{956689CB-851D-42A1-A4EE-C49B629F6E82}">
      <dgm:prSet phldrT="[Text]" custT="1"/>
      <dgm:spPr/>
      <dgm:t>
        <a:bodyPr/>
        <a:lstStyle/>
        <a:p>
          <a:pPr>
            <a:lnSpc>
              <a:spcPts val="1800"/>
            </a:lnSpc>
          </a:pPr>
          <a:r>
            <a:rPr lang="en-NZ" sz="1400" b="1">
              <a:solidFill>
                <a:schemeClr val="accent4"/>
              </a:solidFill>
              <a:latin typeface="Georgia" panose="02040502050405020303" pitchFamily="18" charset="0"/>
            </a:rPr>
            <a:t>Recommended key tasks to complete before moving to Step 2</a:t>
          </a:r>
          <a:endParaRPr lang="en-NZ" sz="1400">
            <a:solidFill>
              <a:schemeClr val="accent4"/>
            </a:solidFill>
            <a:latin typeface="Georgia" panose="02040502050405020303" pitchFamily="18" charset="0"/>
          </a:endParaRPr>
        </a:p>
      </dgm:t>
    </dgm:pt>
    <dgm:pt modelId="{75846AEE-E3B2-46B7-B433-C5EFDE3CCD45}" type="parTrans" cxnId="{8B5C7044-1CEE-4E96-9590-9FC29964BB24}">
      <dgm:prSet/>
      <dgm:spPr/>
      <dgm:t>
        <a:bodyPr/>
        <a:lstStyle/>
        <a:p>
          <a:endParaRPr lang="en-NZ"/>
        </a:p>
      </dgm:t>
    </dgm:pt>
    <dgm:pt modelId="{6C545816-801F-43AF-8139-8E9453FD0309}" type="sibTrans" cxnId="{8B5C7044-1CEE-4E96-9590-9FC29964BB24}">
      <dgm:prSet/>
      <dgm:spPr/>
      <dgm:t>
        <a:bodyPr/>
        <a:lstStyle/>
        <a:p>
          <a:endParaRPr lang="en-NZ"/>
        </a:p>
      </dgm:t>
    </dgm:pt>
    <dgm:pt modelId="{FF2C293D-AEC5-4960-8CD5-4061B1888DB2}">
      <dgm:prSet phldrT="[Text]" custT="1"/>
      <dgm:spPr/>
      <dgm:t>
        <a:bodyPr/>
        <a:lstStyle/>
        <a:p>
          <a:r>
            <a:rPr lang="en-NZ" sz="1200"/>
            <a:t>Understand the statutory framework and principles for managing coastal hazards and climate change impacts. </a:t>
          </a:r>
        </a:p>
      </dgm:t>
    </dgm:pt>
    <dgm:pt modelId="{694AA41B-0BB1-4C83-8BC0-6EC168F7CC62}" type="parTrans" cxnId="{237597C6-2F37-41E7-BF4A-AB18577A83D3}">
      <dgm:prSet/>
      <dgm:spPr/>
      <dgm:t>
        <a:bodyPr/>
        <a:lstStyle/>
        <a:p>
          <a:endParaRPr lang="en-NZ"/>
        </a:p>
      </dgm:t>
    </dgm:pt>
    <dgm:pt modelId="{D53169FB-BA21-4583-A4E5-584D5380BEC2}" type="sibTrans" cxnId="{237597C6-2F37-41E7-BF4A-AB18577A83D3}">
      <dgm:prSet/>
      <dgm:spPr/>
      <dgm:t>
        <a:bodyPr/>
        <a:lstStyle/>
        <a:p>
          <a:endParaRPr lang="en-NZ"/>
        </a:p>
      </dgm:t>
    </dgm:pt>
    <dgm:pt modelId="{3F5A34B4-8501-43A2-9F02-B6F43923C31A}">
      <dgm:prSet phldrT="[Text]" custT="1"/>
      <dgm:spPr/>
      <dgm:t>
        <a:bodyPr/>
        <a:lstStyle/>
        <a:p>
          <a:pPr>
            <a:buFont typeface="Symbol" panose="05050102010706020507" pitchFamily="18" charset="2"/>
            <a:buChar char=""/>
          </a:pPr>
          <a:r>
            <a:rPr lang="en-NZ" sz="1200"/>
            <a:t>Engage with iwi/hapū Māori and work in partnership with tangata whenua to ensure that climate adaptation responses are informed by te ao Māori and mātauranga Māori.</a:t>
          </a:r>
        </a:p>
      </dgm:t>
    </dgm:pt>
    <dgm:pt modelId="{EEFDD995-AC75-4A91-A4B2-353421E88D3F}" type="parTrans" cxnId="{D8750B11-4113-4D7B-A71E-84E95201ECB3}">
      <dgm:prSet/>
      <dgm:spPr/>
      <dgm:t>
        <a:bodyPr/>
        <a:lstStyle/>
        <a:p>
          <a:endParaRPr lang="en-NZ"/>
        </a:p>
      </dgm:t>
    </dgm:pt>
    <dgm:pt modelId="{0F97A74C-E7D8-4A09-BE62-CB9F91DD8615}" type="sibTrans" cxnId="{D8750B11-4113-4D7B-A71E-84E95201ECB3}">
      <dgm:prSet/>
      <dgm:spPr/>
      <dgm:t>
        <a:bodyPr/>
        <a:lstStyle/>
        <a:p>
          <a:endParaRPr lang="en-NZ"/>
        </a:p>
      </dgm:t>
    </dgm:pt>
    <dgm:pt modelId="{CA41E89E-D0AD-4FFF-89AB-FC599C55B6C5}">
      <dgm:prSet phldrT="[Text]" custT="1"/>
      <dgm:spPr/>
      <dgm:t>
        <a:bodyPr/>
        <a:lstStyle/>
        <a:p>
          <a:pPr>
            <a:buFont typeface="Symbol" panose="05050102010706020507" pitchFamily="18" charset="2"/>
            <a:buNone/>
          </a:pPr>
          <a:r>
            <a:rPr lang="en-NZ" sz="1200"/>
            <a:t>Become familiar with the preparatory tasks involved in developing a coastal hazards adaptation plan.</a:t>
          </a:r>
        </a:p>
      </dgm:t>
    </dgm:pt>
    <dgm:pt modelId="{CAA27D22-D9B1-4177-B99F-9C56BF5ABC91}" type="parTrans" cxnId="{6AE3292F-FF69-409B-9760-950B07CDF4DF}">
      <dgm:prSet/>
      <dgm:spPr/>
      <dgm:t>
        <a:bodyPr/>
        <a:lstStyle/>
        <a:p>
          <a:endParaRPr lang="en-NZ"/>
        </a:p>
      </dgm:t>
    </dgm:pt>
    <dgm:pt modelId="{E2DDB982-F07E-460E-B203-E073357CA5A8}" type="sibTrans" cxnId="{6AE3292F-FF69-409B-9760-950B07CDF4DF}">
      <dgm:prSet/>
      <dgm:spPr/>
      <dgm:t>
        <a:bodyPr/>
        <a:lstStyle/>
        <a:p>
          <a:endParaRPr lang="en-NZ"/>
        </a:p>
      </dgm:t>
    </dgm:pt>
    <dgm:pt modelId="{E6E76F58-F473-4463-9304-76AF63335416}">
      <dgm:prSet custT="1"/>
      <dgm:spPr/>
      <dgm:t>
        <a:bodyPr/>
        <a:lstStyle/>
        <a:p>
          <a:r>
            <a:rPr lang="en-NZ" sz="1200"/>
            <a:t>Build a multi-disciplinary adaptation team.</a:t>
          </a:r>
        </a:p>
      </dgm:t>
    </dgm:pt>
    <dgm:pt modelId="{72B04DEA-AD2C-44C4-95E2-9253AE9886D0}" type="parTrans" cxnId="{3651F282-AE87-4AF7-B820-C344E9F11E80}">
      <dgm:prSet/>
      <dgm:spPr/>
      <dgm:t>
        <a:bodyPr/>
        <a:lstStyle/>
        <a:p>
          <a:endParaRPr lang="en-NZ"/>
        </a:p>
      </dgm:t>
    </dgm:pt>
    <dgm:pt modelId="{B34C6303-A1DC-4636-B07F-273CC86418E9}" type="sibTrans" cxnId="{3651F282-AE87-4AF7-B820-C344E9F11E80}">
      <dgm:prSet/>
      <dgm:spPr/>
      <dgm:t>
        <a:bodyPr/>
        <a:lstStyle/>
        <a:p>
          <a:endParaRPr lang="en-NZ"/>
        </a:p>
      </dgm:t>
    </dgm:pt>
    <dgm:pt modelId="{E9BD178F-FD65-4CF9-84A0-1268C4763795}" type="pres">
      <dgm:prSet presAssocID="{D34F0F86-DB19-41E7-B6C1-82875BF9AAF4}" presName="vert0" presStyleCnt="0">
        <dgm:presLayoutVars>
          <dgm:dir/>
          <dgm:animOne val="branch"/>
          <dgm:animLvl val="lvl"/>
        </dgm:presLayoutVars>
      </dgm:prSet>
      <dgm:spPr/>
    </dgm:pt>
    <dgm:pt modelId="{5727CFB7-D36E-4B7D-A1A0-BC59B422BE7B}" type="pres">
      <dgm:prSet presAssocID="{956689CB-851D-42A1-A4EE-C49B629F6E82}" presName="thickLine" presStyleLbl="alignNode1" presStyleIdx="0" presStyleCnt="1"/>
      <dgm:spPr/>
    </dgm:pt>
    <dgm:pt modelId="{CE193FB5-4FF9-4A8F-8BF1-2B4314296992}" type="pres">
      <dgm:prSet presAssocID="{956689CB-851D-42A1-A4EE-C49B629F6E82}" presName="horz1" presStyleCnt="0"/>
      <dgm:spPr/>
    </dgm:pt>
    <dgm:pt modelId="{9C3645CB-2DE0-4DFB-AC40-AA3738A1E278}" type="pres">
      <dgm:prSet presAssocID="{956689CB-851D-42A1-A4EE-C49B629F6E82}" presName="tx1" presStyleLbl="revTx" presStyleIdx="0" presStyleCnt="5" custScaleX="170883"/>
      <dgm:spPr/>
    </dgm:pt>
    <dgm:pt modelId="{42ACC580-5E46-44EE-9EC0-BF7EF6EDDE86}" type="pres">
      <dgm:prSet presAssocID="{956689CB-851D-42A1-A4EE-C49B629F6E82}" presName="vert1" presStyleCnt="0"/>
      <dgm:spPr/>
    </dgm:pt>
    <dgm:pt modelId="{89DCD850-0DC8-4D09-A285-303649B6D17D}" type="pres">
      <dgm:prSet presAssocID="{FF2C293D-AEC5-4960-8CD5-4061B1888DB2}" presName="vertSpace2a" presStyleCnt="0"/>
      <dgm:spPr/>
    </dgm:pt>
    <dgm:pt modelId="{B07A1943-D1FD-4882-ABE3-1AAE1F398CC0}" type="pres">
      <dgm:prSet presAssocID="{FF2C293D-AEC5-4960-8CD5-4061B1888DB2}" presName="horz2" presStyleCnt="0"/>
      <dgm:spPr/>
    </dgm:pt>
    <dgm:pt modelId="{D8166E62-D41C-4722-97D7-3FA89BC375EA}" type="pres">
      <dgm:prSet presAssocID="{FF2C293D-AEC5-4960-8CD5-4061B1888DB2}" presName="horzSpace2" presStyleCnt="0"/>
      <dgm:spPr/>
    </dgm:pt>
    <dgm:pt modelId="{0B1B7560-6D6B-4366-87F2-361E64D66644}" type="pres">
      <dgm:prSet presAssocID="{FF2C293D-AEC5-4960-8CD5-4061B1888DB2}" presName="tx2" presStyleLbl="revTx" presStyleIdx="1" presStyleCnt="5" custScaleY="72880"/>
      <dgm:spPr/>
    </dgm:pt>
    <dgm:pt modelId="{57B2711A-6079-4ABF-AC51-AFD17BB9660E}" type="pres">
      <dgm:prSet presAssocID="{FF2C293D-AEC5-4960-8CD5-4061B1888DB2}" presName="vert2" presStyleCnt="0"/>
      <dgm:spPr/>
    </dgm:pt>
    <dgm:pt modelId="{9F44F2A9-5445-432F-9D51-83118698DF45}" type="pres">
      <dgm:prSet presAssocID="{FF2C293D-AEC5-4960-8CD5-4061B1888DB2}" presName="thinLine2b" presStyleLbl="callout" presStyleIdx="0" presStyleCnt="4" custLinFactY="-300000" custLinFactNeighborX="-414" custLinFactNeighborY="-331527"/>
      <dgm:spPr/>
    </dgm:pt>
    <dgm:pt modelId="{322E6026-7211-4E0F-B753-D81DBAF6B9D2}" type="pres">
      <dgm:prSet presAssocID="{FF2C293D-AEC5-4960-8CD5-4061B1888DB2}" presName="vertSpace2b" presStyleCnt="0"/>
      <dgm:spPr/>
    </dgm:pt>
    <dgm:pt modelId="{997ADF23-6BDC-48FD-A62C-3B151301F030}" type="pres">
      <dgm:prSet presAssocID="{3F5A34B4-8501-43A2-9F02-B6F43923C31A}" presName="horz2" presStyleCnt="0"/>
      <dgm:spPr/>
    </dgm:pt>
    <dgm:pt modelId="{316902DE-387B-452D-A389-5FB343C5E4D9}" type="pres">
      <dgm:prSet presAssocID="{3F5A34B4-8501-43A2-9F02-B6F43923C31A}" presName="horzSpace2" presStyleCnt="0"/>
      <dgm:spPr/>
    </dgm:pt>
    <dgm:pt modelId="{B0372044-6EFE-4278-AE80-6F807BE7F1B5}" type="pres">
      <dgm:prSet presAssocID="{3F5A34B4-8501-43A2-9F02-B6F43923C31A}" presName="tx2" presStyleLbl="revTx" presStyleIdx="2" presStyleCnt="5" custScaleY="58759" custLinFactNeighborY="-30348"/>
      <dgm:spPr/>
    </dgm:pt>
    <dgm:pt modelId="{BA3B994A-7132-4DEB-8ADD-FB27665E3104}" type="pres">
      <dgm:prSet presAssocID="{3F5A34B4-8501-43A2-9F02-B6F43923C31A}" presName="vert2" presStyleCnt="0"/>
      <dgm:spPr/>
    </dgm:pt>
    <dgm:pt modelId="{FF4796FB-75BC-499F-ADA7-D7228148EE72}" type="pres">
      <dgm:prSet presAssocID="{3F5A34B4-8501-43A2-9F02-B6F43923C31A}" presName="thinLine2b" presStyleLbl="callout" presStyleIdx="1" presStyleCnt="4" custLinFactY="-317291" custLinFactNeighborY="-400000"/>
      <dgm:spPr/>
    </dgm:pt>
    <dgm:pt modelId="{01B67631-BD1B-4E83-8B5A-BDC2BC5231A0}" type="pres">
      <dgm:prSet presAssocID="{3F5A34B4-8501-43A2-9F02-B6F43923C31A}" presName="vertSpace2b" presStyleCnt="0"/>
      <dgm:spPr/>
    </dgm:pt>
    <dgm:pt modelId="{4E0665FE-F9F8-48E5-A927-4B544C228038}" type="pres">
      <dgm:prSet presAssocID="{CA41E89E-D0AD-4FFF-89AB-FC599C55B6C5}" presName="horz2" presStyleCnt="0"/>
      <dgm:spPr/>
    </dgm:pt>
    <dgm:pt modelId="{48712BD8-46B4-473A-85C3-525042C05219}" type="pres">
      <dgm:prSet presAssocID="{CA41E89E-D0AD-4FFF-89AB-FC599C55B6C5}" presName="horzSpace2" presStyleCnt="0"/>
      <dgm:spPr/>
    </dgm:pt>
    <dgm:pt modelId="{08459E75-70F0-4721-9FBA-876D67B3BC32}" type="pres">
      <dgm:prSet presAssocID="{CA41E89E-D0AD-4FFF-89AB-FC599C55B6C5}" presName="tx2" presStyleLbl="revTx" presStyleIdx="3" presStyleCnt="5" custScaleY="38345" custLinFactNeighborY="-31963"/>
      <dgm:spPr/>
    </dgm:pt>
    <dgm:pt modelId="{DF20A674-2F41-4BEB-87E0-33F05BAE4248}" type="pres">
      <dgm:prSet presAssocID="{CA41E89E-D0AD-4FFF-89AB-FC599C55B6C5}" presName="vert2" presStyleCnt="0"/>
      <dgm:spPr/>
    </dgm:pt>
    <dgm:pt modelId="{DE5AB8E8-91E8-404E-995C-FF9747AEB301}" type="pres">
      <dgm:prSet presAssocID="{CA41E89E-D0AD-4FFF-89AB-FC599C55B6C5}" presName="thinLine2b" presStyleLbl="callout" presStyleIdx="2" presStyleCnt="4" custLinFactY="-317291" custLinFactNeighborY="-400000"/>
      <dgm:spPr/>
    </dgm:pt>
    <dgm:pt modelId="{3EF69631-605F-40E7-ACEE-1586A5DE358D}" type="pres">
      <dgm:prSet presAssocID="{CA41E89E-D0AD-4FFF-89AB-FC599C55B6C5}" presName="vertSpace2b" presStyleCnt="0"/>
      <dgm:spPr/>
    </dgm:pt>
    <dgm:pt modelId="{E0B846FC-5460-485B-8535-4C347B965235}" type="pres">
      <dgm:prSet presAssocID="{E6E76F58-F473-4463-9304-76AF63335416}" presName="horz2" presStyleCnt="0"/>
      <dgm:spPr/>
    </dgm:pt>
    <dgm:pt modelId="{A91C9201-1694-4B45-8AB1-3899F6E403DF}" type="pres">
      <dgm:prSet presAssocID="{E6E76F58-F473-4463-9304-76AF63335416}" presName="horzSpace2" presStyleCnt="0"/>
      <dgm:spPr/>
    </dgm:pt>
    <dgm:pt modelId="{AFD1B0BF-7C3B-429E-9241-2DE32546767F}" type="pres">
      <dgm:prSet presAssocID="{E6E76F58-F473-4463-9304-76AF63335416}" presName="tx2" presStyleLbl="revTx" presStyleIdx="4" presStyleCnt="5" custScaleY="22045" custLinFactNeighborY="-30723"/>
      <dgm:spPr/>
    </dgm:pt>
    <dgm:pt modelId="{28CA8B23-E765-451C-B572-C3C61BEF7614}" type="pres">
      <dgm:prSet presAssocID="{E6E76F58-F473-4463-9304-76AF63335416}" presName="vert2" presStyleCnt="0"/>
      <dgm:spPr/>
    </dgm:pt>
    <dgm:pt modelId="{DA31E984-C53F-4C62-A641-EA53895B25F5}" type="pres">
      <dgm:prSet presAssocID="{E6E76F58-F473-4463-9304-76AF63335416}" presName="thinLine2b" presStyleLbl="callout" presStyleIdx="3" presStyleCnt="4" custLinFactY="-300000" custLinFactNeighborY="-321638"/>
      <dgm:spPr/>
    </dgm:pt>
    <dgm:pt modelId="{6A93BD92-5860-4FB2-8E51-76CA34A8F7C9}" type="pres">
      <dgm:prSet presAssocID="{E6E76F58-F473-4463-9304-76AF63335416}" presName="vertSpace2b" presStyleCnt="0"/>
      <dgm:spPr/>
    </dgm:pt>
  </dgm:ptLst>
  <dgm:cxnLst>
    <dgm:cxn modelId="{66B86106-A544-4465-A6BD-FCDC2C1DF360}" type="presOf" srcId="{D34F0F86-DB19-41E7-B6C1-82875BF9AAF4}" destId="{E9BD178F-FD65-4CF9-84A0-1268C4763795}" srcOrd="0" destOrd="0" presId="urn:microsoft.com/office/officeart/2008/layout/LinedList"/>
    <dgm:cxn modelId="{823F3308-CB84-4314-BBF2-C8CB4AD6F9BA}" type="presOf" srcId="{E6E76F58-F473-4463-9304-76AF63335416}" destId="{AFD1B0BF-7C3B-429E-9241-2DE32546767F}" srcOrd="0" destOrd="0" presId="urn:microsoft.com/office/officeart/2008/layout/LinedList"/>
    <dgm:cxn modelId="{D8750B11-4113-4D7B-A71E-84E95201ECB3}" srcId="{956689CB-851D-42A1-A4EE-C49B629F6E82}" destId="{3F5A34B4-8501-43A2-9F02-B6F43923C31A}" srcOrd="1" destOrd="0" parTransId="{EEFDD995-AC75-4A91-A4B2-353421E88D3F}" sibTransId="{0F97A74C-E7D8-4A09-BE62-CB9F91DD8615}"/>
    <dgm:cxn modelId="{6AE3292F-FF69-409B-9760-950B07CDF4DF}" srcId="{956689CB-851D-42A1-A4EE-C49B629F6E82}" destId="{CA41E89E-D0AD-4FFF-89AB-FC599C55B6C5}" srcOrd="2" destOrd="0" parTransId="{CAA27D22-D9B1-4177-B99F-9C56BF5ABC91}" sibTransId="{E2DDB982-F07E-460E-B203-E073357CA5A8}"/>
    <dgm:cxn modelId="{2B068B5E-322A-4B7A-934D-19692B02D86C}" type="presOf" srcId="{FF2C293D-AEC5-4960-8CD5-4061B1888DB2}" destId="{0B1B7560-6D6B-4366-87F2-361E64D66644}" srcOrd="0" destOrd="0" presId="urn:microsoft.com/office/officeart/2008/layout/LinedList"/>
    <dgm:cxn modelId="{8B5C7044-1CEE-4E96-9590-9FC29964BB24}" srcId="{D34F0F86-DB19-41E7-B6C1-82875BF9AAF4}" destId="{956689CB-851D-42A1-A4EE-C49B629F6E82}" srcOrd="0" destOrd="0" parTransId="{75846AEE-E3B2-46B7-B433-C5EFDE3CCD45}" sibTransId="{6C545816-801F-43AF-8139-8E9453FD0309}"/>
    <dgm:cxn modelId="{8321B059-4916-4EC1-AA71-4B1F187D1CEF}" type="presOf" srcId="{956689CB-851D-42A1-A4EE-C49B629F6E82}" destId="{9C3645CB-2DE0-4DFB-AC40-AA3738A1E278}" srcOrd="0" destOrd="0" presId="urn:microsoft.com/office/officeart/2008/layout/LinedList"/>
    <dgm:cxn modelId="{3651F282-AE87-4AF7-B820-C344E9F11E80}" srcId="{956689CB-851D-42A1-A4EE-C49B629F6E82}" destId="{E6E76F58-F473-4463-9304-76AF63335416}" srcOrd="3" destOrd="0" parTransId="{72B04DEA-AD2C-44C4-95E2-9253AE9886D0}" sibTransId="{B34C6303-A1DC-4636-B07F-273CC86418E9}"/>
    <dgm:cxn modelId="{E923FC9A-7DDA-4BFF-8926-451E9BDE73BE}" type="presOf" srcId="{CA41E89E-D0AD-4FFF-89AB-FC599C55B6C5}" destId="{08459E75-70F0-4721-9FBA-876D67B3BC32}" srcOrd="0" destOrd="0" presId="urn:microsoft.com/office/officeart/2008/layout/LinedList"/>
    <dgm:cxn modelId="{EDE231AD-62FF-4FB2-BC3D-D551702BB557}" type="presOf" srcId="{3F5A34B4-8501-43A2-9F02-B6F43923C31A}" destId="{B0372044-6EFE-4278-AE80-6F807BE7F1B5}" srcOrd="0" destOrd="0" presId="urn:microsoft.com/office/officeart/2008/layout/LinedList"/>
    <dgm:cxn modelId="{237597C6-2F37-41E7-BF4A-AB18577A83D3}" srcId="{956689CB-851D-42A1-A4EE-C49B629F6E82}" destId="{FF2C293D-AEC5-4960-8CD5-4061B1888DB2}" srcOrd="0" destOrd="0" parTransId="{694AA41B-0BB1-4C83-8BC0-6EC168F7CC62}" sibTransId="{D53169FB-BA21-4583-A4E5-584D5380BEC2}"/>
    <dgm:cxn modelId="{19D08D3D-9DC3-45D9-94FA-9BF025A1DF7F}" type="presParOf" srcId="{E9BD178F-FD65-4CF9-84A0-1268C4763795}" destId="{5727CFB7-D36E-4B7D-A1A0-BC59B422BE7B}" srcOrd="0" destOrd="0" presId="urn:microsoft.com/office/officeart/2008/layout/LinedList"/>
    <dgm:cxn modelId="{E6A29537-88A3-4E78-BAC2-C77E99894228}" type="presParOf" srcId="{E9BD178F-FD65-4CF9-84A0-1268C4763795}" destId="{CE193FB5-4FF9-4A8F-8BF1-2B4314296992}" srcOrd="1" destOrd="0" presId="urn:microsoft.com/office/officeart/2008/layout/LinedList"/>
    <dgm:cxn modelId="{3974CC3A-F0AE-4CC8-A6A4-E64E17C847EE}" type="presParOf" srcId="{CE193FB5-4FF9-4A8F-8BF1-2B4314296992}" destId="{9C3645CB-2DE0-4DFB-AC40-AA3738A1E278}" srcOrd="0" destOrd="0" presId="urn:microsoft.com/office/officeart/2008/layout/LinedList"/>
    <dgm:cxn modelId="{D53A3B54-584C-4749-866C-CC17F82EA376}" type="presParOf" srcId="{CE193FB5-4FF9-4A8F-8BF1-2B4314296992}" destId="{42ACC580-5E46-44EE-9EC0-BF7EF6EDDE86}" srcOrd="1" destOrd="0" presId="urn:microsoft.com/office/officeart/2008/layout/LinedList"/>
    <dgm:cxn modelId="{0C2C5E3D-42DA-45D0-9B04-ED69BC136E86}" type="presParOf" srcId="{42ACC580-5E46-44EE-9EC0-BF7EF6EDDE86}" destId="{89DCD850-0DC8-4D09-A285-303649B6D17D}" srcOrd="0" destOrd="0" presId="urn:microsoft.com/office/officeart/2008/layout/LinedList"/>
    <dgm:cxn modelId="{EA43FB01-1003-45ED-B753-8540EDE19088}" type="presParOf" srcId="{42ACC580-5E46-44EE-9EC0-BF7EF6EDDE86}" destId="{B07A1943-D1FD-4882-ABE3-1AAE1F398CC0}" srcOrd="1" destOrd="0" presId="urn:microsoft.com/office/officeart/2008/layout/LinedList"/>
    <dgm:cxn modelId="{419B21AF-2A2F-479A-9DAC-49B8D13ECDB1}" type="presParOf" srcId="{B07A1943-D1FD-4882-ABE3-1AAE1F398CC0}" destId="{D8166E62-D41C-4722-97D7-3FA89BC375EA}" srcOrd="0" destOrd="0" presId="urn:microsoft.com/office/officeart/2008/layout/LinedList"/>
    <dgm:cxn modelId="{72943A0C-8E2F-4A8C-85EC-6DEBEBC369C0}" type="presParOf" srcId="{B07A1943-D1FD-4882-ABE3-1AAE1F398CC0}" destId="{0B1B7560-6D6B-4366-87F2-361E64D66644}" srcOrd="1" destOrd="0" presId="urn:microsoft.com/office/officeart/2008/layout/LinedList"/>
    <dgm:cxn modelId="{A4920711-5911-4AE4-8896-14562FC19730}" type="presParOf" srcId="{B07A1943-D1FD-4882-ABE3-1AAE1F398CC0}" destId="{57B2711A-6079-4ABF-AC51-AFD17BB9660E}" srcOrd="2" destOrd="0" presId="urn:microsoft.com/office/officeart/2008/layout/LinedList"/>
    <dgm:cxn modelId="{BCD329AD-EA48-4012-B53B-102860EBFDCC}" type="presParOf" srcId="{42ACC580-5E46-44EE-9EC0-BF7EF6EDDE86}" destId="{9F44F2A9-5445-432F-9D51-83118698DF45}" srcOrd="2" destOrd="0" presId="urn:microsoft.com/office/officeart/2008/layout/LinedList"/>
    <dgm:cxn modelId="{C1AEA293-5316-4BFA-9E19-3B567D252E8D}" type="presParOf" srcId="{42ACC580-5E46-44EE-9EC0-BF7EF6EDDE86}" destId="{322E6026-7211-4E0F-B753-D81DBAF6B9D2}" srcOrd="3" destOrd="0" presId="urn:microsoft.com/office/officeart/2008/layout/LinedList"/>
    <dgm:cxn modelId="{C67C089F-EE0E-4B49-A018-07E02858224F}" type="presParOf" srcId="{42ACC580-5E46-44EE-9EC0-BF7EF6EDDE86}" destId="{997ADF23-6BDC-48FD-A62C-3B151301F030}" srcOrd="4" destOrd="0" presId="urn:microsoft.com/office/officeart/2008/layout/LinedList"/>
    <dgm:cxn modelId="{1417684B-B6EB-43BC-ABE8-BE99474999CE}" type="presParOf" srcId="{997ADF23-6BDC-48FD-A62C-3B151301F030}" destId="{316902DE-387B-452D-A389-5FB343C5E4D9}" srcOrd="0" destOrd="0" presId="urn:microsoft.com/office/officeart/2008/layout/LinedList"/>
    <dgm:cxn modelId="{C8A462B7-F39A-48FA-9EA1-B90F69BB86A7}" type="presParOf" srcId="{997ADF23-6BDC-48FD-A62C-3B151301F030}" destId="{B0372044-6EFE-4278-AE80-6F807BE7F1B5}" srcOrd="1" destOrd="0" presId="urn:microsoft.com/office/officeart/2008/layout/LinedList"/>
    <dgm:cxn modelId="{47A3D32D-2978-4A81-A6CB-882F2B2A0DBD}" type="presParOf" srcId="{997ADF23-6BDC-48FD-A62C-3B151301F030}" destId="{BA3B994A-7132-4DEB-8ADD-FB27665E3104}" srcOrd="2" destOrd="0" presId="urn:microsoft.com/office/officeart/2008/layout/LinedList"/>
    <dgm:cxn modelId="{6C7BE3E6-CE82-4574-B292-1CFB33F11286}" type="presParOf" srcId="{42ACC580-5E46-44EE-9EC0-BF7EF6EDDE86}" destId="{FF4796FB-75BC-499F-ADA7-D7228148EE72}" srcOrd="5" destOrd="0" presId="urn:microsoft.com/office/officeart/2008/layout/LinedList"/>
    <dgm:cxn modelId="{E416B009-42F3-4556-A5C7-AB1B23F662D0}" type="presParOf" srcId="{42ACC580-5E46-44EE-9EC0-BF7EF6EDDE86}" destId="{01B67631-BD1B-4E83-8B5A-BDC2BC5231A0}" srcOrd="6" destOrd="0" presId="urn:microsoft.com/office/officeart/2008/layout/LinedList"/>
    <dgm:cxn modelId="{F86DCFE1-D99B-48F8-943A-C7CC8A0C29F1}" type="presParOf" srcId="{42ACC580-5E46-44EE-9EC0-BF7EF6EDDE86}" destId="{4E0665FE-F9F8-48E5-A927-4B544C228038}" srcOrd="7" destOrd="0" presId="urn:microsoft.com/office/officeart/2008/layout/LinedList"/>
    <dgm:cxn modelId="{7F54F5CA-3BE6-44A3-BB17-6BCAA02BD0BC}" type="presParOf" srcId="{4E0665FE-F9F8-48E5-A927-4B544C228038}" destId="{48712BD8-46B4-473A-85C3-525042C05219}" srcOrd="0" destOrd="0" presId="urn:microsoft.com/office/officeart/2008/layout/LinedList"/>
    <dgm:cxn modelId="{8DAAB5BB-96C8-44EA-A538-945CD8DF0787}" type="presParOf" srcId="{4E0665FE-F9F8-48E5-A927-4B544C228038}" destId="{08459E75-70F0-4721-9FBA-876D67B3BC32}" srcOrd="1" destOrd="0" presId="urn:microsoft.com/office/officeart/2008/layout/LinedList"/>
    <dgm:cxn modelId="{E4D4232D-2446-4D35-B347-80FF8FC5DFF8}" type="presParOf" srcId="{4E0665FE-F9F8-48E5-A927-4B544C228038}" destId="{DF20A674-2F41-4BEB-87E0-33F05BAE4248}" srcOrd="2" destOrd="0" presId="urn:microsoft.com/office/officeart/2008/layout/LinedList"/>
    <dgm:cxn modelId="{F533C61D-5F6E-4DDD-AD31-910FB99F2924}" type="presParOf" srcId="{42ACC580-5E46-44EE-9EC0-BF7EF6EDDE86}" destId="{DE5AB8E8-91E8-404E-995C-FF9747AEB301}" srcOrd="8" destOrd="0" presId="urn:microsoft.com/office/officeart/2008/layout/LinedList"/>
    <dgm:cxn modelId="{7E06FF80-CA39-41CF-AA38-6CC889B8B5E3}" type="presParOf" srcId="{42ACC580-5E46-44EE-9EC0-BF7EF6EDDE86}" destId="{3EF69631-605F-40E7-ACEE-1586A5DE358D}" srcOrd="9" destOrd="0" presId="urn:microsoft.com/office/officeart/2008/layout/LinedList"/>
    <dgm:cxn modelId="{C171B79A-BFE1-40C1-A38D-EFC5ED7EAE62}" type="presParOf" srcId="{42ACC580-5E46-44EE-9EC0-BF7EF6EDDE86}" destId="{E0B846FC-5460-485B-8535-4C347B965235}" srcOrd="10" destOrd="0" presId="urn:microsoft.com/office/officeart/2008/layout/LinedList"/>
    <dgm:cxn modelId="{479B2B8D-DDF9-4D22-B5BE-DCF88C613398}" type="presParOf" srcId="{E0B846FC-5460-485B-8535-4C347B965235}" destId="{A91C9201-1694-4B45-8AB1-3899F6E403DF}" srcOrd="0" destOrd="0" presId="urn:microsoft.com/office/officeart/2008/layout/LinedList"/>
    <dgm:cxn modelId="{F6EEC5B8-4048-483B-B0F0-673AB46EECC7}" type="presParOf" srcId="{E0B846FC-5460-485B-8535-4C347B965235}" destId="{AFD1B0BF-7C3B-429E-9241-2DE32546767F}" srcOrd="1" destOrd="0" presId="urn:microsoft.com/office/officeart/2008/layout/LinedList"/>
    <dgm:cxn modelId="{EECD3C0D-F82F-47FD-81BF-0E0AA804370A}" type="presParOf" srcId="{E0B846FC-5460-485B-8535-4C347B965235}" destId="{28CA8B23-E765-451C-B572-C3C61BEF7614}" srcOrd="2" destOrd="0" presId="urn:microsoft.com/office/officeart/2008/layout/LinedList"/>
    <dgm:cxn modelId="{FE157BEA-6428-4678-93C8-D3A19C40088E}" type="presParOf" srcId="{42ACC580-5E46-44EE-9EC0-BF7EF6EDDE86}" destId="{DA31E984-C53F-4C62-A641-EA53895B25F5}" srcOrd="11" destOrd="0" presId="urn:microsoft.com/office/officeart/2008/layout/LinedList"/>
    <dgm:cxn modelId="{32032DFD-E340-4179-A121-9AC94CDB96DD}" type="presParOf" srcId="{42ACC580-5E46-44EE-9EC0-BF7EF6EDDE86}" destId="{6A93BD92-5860-4FB2-8E51-76CA34A8F7C9}" srcOrd="12" destOrd="0" presId="urn:microsoft.com/office/officeart/2008/layout/LinedList"/>
  </dgm:cxnLst>
  <dgm:bg/>
  <dgm:whole/>
  <dgm:extLst>
    <a:ext uri="http://schemas.microsoft.com/office/drawing/2008/diagram">
      <dsp:dataModelExt xmlns:dsp="http://schemas.microsoft.com/office/drawing/2008/diagram" relId="rId59"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D34F0F86-DB19-41E7-B6C1-82875BF9AAF4}" type="doc">
      <dgm:prSet loTypeId="urn:microsoft.com/office/officeart/2008/layout/LinedList" loCatId="list" qsTypeId="urn:microsoft.com/office/officeart/2005/8/quickstyle/3d2" qsCatId="3D" csTypeId="urn:microsoft.com/office/officeart/2005/8/colors/accent1_2" csCatId="accent1" phldr="1"/>
      <dgm:spPr/>
      <dgm:t>
        <a:bodyPr/>
        <a:lstStyle/>
        <a:p>
          <a:endParaRPr lang="en-NZ"/>
        </a:p>
      </dgm:t>
    </dgm:pt>
    <dgm:pt modelId="{956689CB-851D-42A1-A4EE-C49B629F6E82}">
      <dgm:prSet phldrT="[Text]" custT="1"/>
      <dgm:spPr/>
      <dgm:t>
        <a:bodyPr/>
        <a:lstStyle/>
        <a:p>
          <a:pPr>
            <a:lnSpc>
              <a:spcPct val="100000"/>
            </a:lnSpc>
          </a:pPr>
          <a:r>
            <a:rPr lang="en-NZ" sz="1400" b="1">
              <a:solidFill>
                <a:schemeClr val="accent4"/>
              </a:solidFill>
              <a:latin typeface="Georgia" panose="02040502050405020303" pitchFamily="18" charset="0"/>
            </a:rPr>
            <a:t>Recommended key tasks to complete before moving to Step 3</a:t>
          </a:r>
          <a:endParaRPr lang="en-NZ" sz="1400">
            <a:solidFill>
              <a:schemeClr val="accent4"/>
            </a:solidFill>
            <a:latin typeface="Georgia" panose="02040502050405020303" pitchFamily="18" charset="0"/>
          </a:endParaRPr>
        </a:p>
      </dgm:t>
    </dgm:pt>
    <dgm:pt modelId="{75846AEE-E3B2-46B7-B433-C5EFDE3CCD45}" type="parTrans" cxnId="{8B5C7044-1CEE-4E96-9590-9FC29964BB24}">
      <dgm:prSet/>
      <dgm:spPr/>
      <dgm:t>
        <a:bodyPr/>
        <a:lstStyle/>
        <a:p>
          <a:endParaRPr lang="en-NZ"/>
        </a:p>
      </dgm:t>
    </dgm:pt>
    <dgm:pt modelId="{6C545816-801F-43AF-8139-8E9453FD0309}" type="sibTrans" cxnId="{8B5C7044-1CEE-4E96-9590-9FC29964BB24}">
      <dgm:prSet/>
      <dgm:spPr/>
      <dgm:t>
        <a:bodyPr/>
        <a:lstStyle/>
        <a:p>
          <a:endParaRPr lang="en-NZ"/>
        </a:p>
      </dgm:t>
    </dgm:pt>
    <dgm:pt modelId="{FF2C293D-AEC5-4960-8CD5-4061B1888DB2}">
      <dgm:prSet phldrT="[Text]" custT="1"/>
      <dgm:spPr/>
      <dgm:t>
        <a:bodyPr/>
        <a:lstStyle/>
        <a:p>
          <a:r>
            <a:rPr lang="en-NZ" sz="1200"/>
            <a:t>Set up the recommended SSP scenarios and RSLR projections over periods of at least 100 years (2130) or more for your location from the NZ SeaRise platform. </a:t>
          </a:r>
        </a:p>
      </dgm:t>
    </dgm:pt>
    <dgm:pt modelId="{694AA41B-0BB1-4C83-8BC0-6EC168F7CC62}" type="parTrans" cxnId="{237597C6-2F37-41E7-BF4A-AB18577A83D3}">
      <dgm:prSet/>
      <dgm:spPr/>
      <dgm:t>
        <a:bodyPr/>
        <a:lstStyle/>
        <a:p>
          <a:endParaRPr lang="en-NZ"/>
        </a:p>
      </dgm:t>
    </dgm:pt>
    <dgm:pt modelId="{D53169FB-BA21-4583-A4E5-584D5380BEC2}" type="sibTrans" cxnId="{237597C6-2F37-41E7-BF4A-AB18577A83D3}">
      <dgm:prSet/>
      <dgm:spPr/>
      <dgm:t>
        <a:bodyPr/>
        <a:lstStyle/>
        <a:p>
          <a:endParaRPr lang="en-NZ"/>
        </a:p>
      </dgm:t>
    </dgm:pt>
    <dgm:pt modelId="{3F5A34B4-8501-43A2-9F02-B6F43923C31A}">
      <dgm:prSet phldrT="[Text]" custT="1"/>
      <dgm:spPr/>
      <dgm:t>
        <a:bodyPr/>
        <a:lstStyle/>
        <a:p>
          <a:pPr>
            <a:buFont typeface="Symbol" panose="05050102010706020507" pitchFamily="18" charset="2"/>
            <a:buChar char=""/>
          </a:pPr>
          <a:r>
            <a:rPr lang="en-NZ" sz="1200"/>
            <a:t>Determine the RSLR increments (0.1–0.2 metre) and range to cover the range of the RSLR projections. </a:t>
          </a:r>
        </a:p>
      </dgm:t>
    </dgm:pt>
    <dgm:pt modelId="{EEFDD995-AC75-4A91-A4B2-353421E88D3F}" type="parTrans" cxnId="{D8750B11-4113-4D7B-A71E-84E95201ECB3}">
      <dgm:prSet/>
      <dgm:spPr/>
      <dgm:t>
        <a:bodyPr/>
        <a:lstStyle/>
        <a:p>
          <a:endParaRPr lang="en-NZ"/>
        </a:p>
      </dgm:t>
    </dgm:pt>
    <dgm:pt modelId="{0F97A74C-E7D8-4A09-BE62-CB9F91DD8615}" type="sibTrans" cxnId="{D8750B11-4113-4D7B-A71E-84E95201ECB3}">
      <dgm:prSet/>
      <dgm:spPr/>
      <dgm:t>
        <a:bodyPr/>
        <a:lstStyle/>
        <a:p>
          <a:endParaRPr lang="en-NZ"/>
        </a:p>
      </dgm:t>
    </dgm:pt>
    <dgm:pt modelId="{CA41E89E-D0AD-4FFF-89AB-FC599C55B6C5}">
      <dgm:prSet phldrT="[Text]" custT="1"/>
      <dgm:spPr/>
      <dgm:t>
        <a:bodyPr/>
        <a:lstStyle/>
        <a:p>
          <a:pPr>
            <a:buFont typeface="Symbol" panose="05050102010706020507" pitchFamily="18" charset="2"/>
            <a:buNone/>
          </a:pPr>
          <a:r>
            <a:rPr lang="en-NZ" sz="1200"/>
            <a:t>Prior to the development of an adaptive planning strategy, adopt the recommended precautionary interim RSLR allowances relevant to land-use activities, plans or policies.</a:t>
          </a:r>
        </a:p>
      </dgm:t>
    </dgm:pt>
    <dgm:pt modelId="{CAA27D22-D9B1-4177-B99F-9C56BF5ABC91}" type="parTrans" cxnId="{6AE3292F-FF69-409B-9760-950B07CDF4DF}">
      <dgm:prSet/>
      <dgm:spPr/>
      <dgm:t>
        <a:bodyPr/>
        <a:lstStyle/>
        <a:p>
          <a:endParaRPr lang="en-NZ"/>
        </a:p>
      </dgm:t>
    </dgm:pt>
    <dgm:pt modelId="{E2DDB982-F07E-460E-B203-E073357CA5A8}" type="sibTrans" cxnId="{6AE3292F-FF69-409B-9760-950B07CDF4DF}">
      <dgm:prSet/>
      <dgm:spPr/>
      <dgm:t>
        <a:bodyPr/>
        <a:lstStyle/>
        <a:p>
          <a:endParaRPr lang="en-NZ"/>
        </a:p>
      </dgm:t>
    </dgm:pt>
    <dgm:pt modelId="{E6E76F58-F473-4463-9304-76AF63335416}">
      <dgm:prSet custT="1"/>
      <dgm:spPr/>
      <dgm:t>
        <a:bodyPr/>
        <a:lstStyle/>
        <a:p>
          <a:r>
            <a:rPr lang="en-NZ" sz="1200"/>
            <a:t>Conduct a regional coastal hazard screening assessment by gathering relevant data and information, assess the area potentially affected primarily by coastal flooding and erosion (and other relevant hazards or progressive changes), using the upper-range RSLR projection to identify areas at high risk of being affected. </a:t>
          </a:r>
        </a:p>
      </dgm:t>
    </dgm:pt>
    <dgm:pt modelId="{72B04DEA-AD2C-44C4-95E2-9253AE9886D0}" type="parTrans" cxnId="{3651F282-AE87-4AF7-B820-C344E9F11E80}">
      <dgm:prSet/>
      <dgm:spPr/>
      <dgm:t>
        <a:bodyPr/>
        <a:lstStyle/>
        <a:p>
          <a:endParaRPr lang="en-NZ"/>
        </a:p>
      </dgm:t>
    </dgm:pt>
    <dgm:pt modelId="{B34C6303-A1DC-4636-B07F-273CC86418E9}" type="sibTrans" cxnId="{3651F282-AE87-4AF7-B820-C344E9F11E80}">
      <dgm:prSet/>
      <dgm:spPr/>
      <dgm:t>
        <a:bodyPr/>
        <a:lstStyle/>
        <a:p>
          <a:endParaRPr lang="en-NZ"/>
        </a:p>
      </dgm:t>
    </dgm:pt>
    <dgm:pt modelId="{499BC168-BB3E-4AE9-B6F4-6D9B9879D0B9}">
      <dgm:prSet custT="1"/>
      <dgm:spPr/>
      <dgm:t>
        <a:bodyPr/>
        <a:lstStyle/>
        <a:p>
          <a:pPr>
            <a:buFont typeface="Symbol" panose="05050102010706020507" pitchFamily="18" charset="2"/>
            <a:buChar char=""/>
          </a:pPr>
          <a:r>
            <a:rPr lang="en-NZ" sz="1200">
              <a:latin typeface="+mn-lt"/>
            </a:rPr>
            <a:t>At regional and/or district levels, conduct a detailed hazard assessment and mapping for both specific and compound coastal hazards, including sensitivity factors to cover uncertainties in storm intensity and other climate and ocean drivers.</a:t>
          </a:r>
        </a:p>
      </dgm:t>
    </dgm:pt>
    <dgm:pt modelId="{DE805DCE-7C49-402D-9EB3-255619CC833C}" type="parTrans" cxnId="{EF06D56F-AC94-4891-ACB9-7B9606F74726}">
      <dgm:prSet/>
      <dgm:spPr/>
      <dgm:t>
        <a:bodyPr/>
        <a:lstStyle/>
        <a:p>
          <a:endParaRPr lang="en-NZ"/>
        </a:p>
      </dgm:t>
    </dgm:pt>
    <dgm:pt modelId="{ED240CE6-20B6-45C6-B010-F87BD9D7E2D6}" type="sibTrans" cxnId="{EF06D56F-AC94-4891-ACB9-7B9606F74726}">
      <dgm:prSet/>
      <dgm:spPr/>
      <dgm:t>
        <a:bodyPr/>
        <a:lstStyle/>
        <a:p>
          <a:endParaRPr lang="en-NZ"/>
        </a:p>
      </dgm:t>
    </dgm:pt>
    <dgm:pt modelId="{E9BD178F-FD65-4CF9-84A0-1268C4763795}" type="pres">
      <dgm:prSet presAssocID="{D34F0F86-DB19-41E7-B6C1-82875BF9AAF4}" presName="vert0" presStyleCnt="0">
        <dgm:presLayoutVars>
          <dgm:dir/>
          <dgm:animOne val="branch"/>
          <dgm:animLvl val="lvl"/>
        </dgm:presLayoutVars>
      </dgm:prSet>
      <dgm:spPr/>
    </dgm:pt>
    <dgm:pt modelId="{5727CFB7-D36E-4B7D-A1A0-BC59B422BE7B}" type="pres">
      <dgm:prSet presAssocID="{956689CB-851D-42A1-A4EE-C49B629F6E82}" presName="thickLine" presStyleLbl="alignNode1" presStyleIdx="0" presStyleCnt="1"/>
      <dgm:spPr/>
    </dgm:pt>
    <dgm:pt modelId="{CE193FB5-4FF9-4A8F-8BF1-2B4314296992}" type="pres">
      <dgm:prSet presAssocID="{956689CB-851D-42A1-A4EE-C49B629F6E82}" presName="horz1" presStyleCnt="0"/>
      <dgm:spPr/>
    </dgm:pt>
    <dgm:pt modelId="{9C3645CB-2DE0-4DFB-AC40-AA3738A1E278}" type="pres">
      <dgm:prSet presAssocID="{956689CB-851D-42A1-A4EE-C49B629F6E82}" presName="tx1" presStyleLbl="revTx" presStyleIdx="0" presStyleCnt="6" custScaleX="191007"/>
      <dgm:spPr/>
    </dgm:pt>
    <dgm:pt modelId="{42ACC580-5E46-44EE-9EC0-BF7EF6EDDE86}" type="pres">
      <dgm:prSet presAssocID="{956689CB-851D-42A1-A4EE-C49B629F6E82}" presName="vert1" presStyleCnt="0"/>
      <dgm:spPr/>
    </dgm:pt>
    <dgm:pt modelId="{89DCD850-0DC8-4D09-A285-303649B6D17D}" type="pres">
      <dgm:prSet presAssocID="{FF2C293D-AEC5-4960-8CD5-4061B1888DB2}" presName="vertSpace2a" presStyleCnt="0"/>
      <dgm:spPr/>
    </dgm:pt>
    <dgm:pt modelId="{B07A1943-D1FD-4882-ABE3-1AAE1F398CC0}" type="pres">
      <dgm:prSet presAssocID="{FF2C293D-AEC5-4960-8CD5-4061B1888DB2}" presName="horz2" presStyleCnt="0"/>
      <dgm:spPr/>
    </dgm:pt>
    <dgm:pt modelId="{D8166E62-D41C-4722-97D7-3FA89BC375EA}" type="pres">
      <dgm:prSet presAssocID="{FF2C293D-AEC5-4960-8CD5-4061B1888DB2}" presName="horzSpace2" presStyleCnt="0"/>
      <dgm:spPr/>
    </dgm:pt>
    <dgm:pt modelId="{0B1B7560-6D6B-4366-87F2-361E64D66644}" type="pres">
      <dgm:prSet presAssocID="{FF2C293D-AEC5-4960-8CD5-4061B1888DB2}" presName="tx2" presStyleLbl="revTx" presStyleIdx="1" presStyleCnt="6" custScaleY="42094"/>
      <dgm:spPr/>
    </dgm:pt>
    <dgm:pt modelId="{57B2711A-6079-4ABF-AC51-AFD17BB9660E}" type="pres">
      <dgm:prSet presAssocID="{FF2C293D-AEC5-4960-8CD5-4061B1888DB2}" presName="vert2" presStyleCnt="0"/>
      <dgm:spPr/>
    </dgm:pt>
    <dgm:pt modelId="{9F44F2A9-5445-432F-9D51-83118698DF45}" type="pres">
      <dgm:prSet presAssocID="{FF2C293D-AEC5-4960-8CD5-4061B1888DB2}" presName="thinLine2b" presStyleLbl="callout" presStyleIdx="0" presStyleCnt="5"/>
      <dgm:spPr/>
    </dgm:pt>
    <dgm:pt modelId="{322E6026-7211-4E0F-B753-D81DBAF6B9D2}" type="pres">
      <dgm:prSet presAssocID="{FF2C293D-AEC5-4960-8CD5-4061B1888DB2}" presName="vertSpace2b" presStyleCnt="0"/>
      <dgm:spPr/>
    </dgm:pt>
    <dgm:pt modelId="{997ADF23-6BDC-48FD-A62C-3B151301F030}" type="pres">
      <dgm:prSet presAssocID="{3F5A34B4-8501-43A2-9F02-B6F43923C31A}" presName="horz2" presStyleCnt="0"/>
      <dgm:spPr/>
    </dgm:pt>
    <dgm:pt modelId="{316902DE-387B-452D-A389-5FB343C5E4D9}" type="pres">
      <dgm:prSet presAssocID="{3F5A34B4-8501-43A2-9F02-B6F43923C31A}" presName="horzSpace2" presStyleCnt="0"/>
      <dgm:spPr/>
    </dgm:pt>
    <dgm:pt modelId="{B0372044-6EFE-4278-AE80-6F807BE7F1B5}" type="pres">
      <dgm:prSet presAssocID="{3F5A34B4-8501-43A2-9F02-B6F43923C31A}" presName="tx2" presStyleLbl="revTx" presStyleIdx="2" presStyleCnt="6" custScaleY="31309"/>
      <dgm:spPr/>
    </dgm:pt>
    <dgm:pt modelId="{BA3B994A-7132-4DEB-8ADD-FB27665E3104}" type="pres">
      <dgm:prSet presAssocID="{3F5A34B4-8501-43A2-9F02-B6F43923C31A}" presName="vert2" presStyleCnt="0"/>
      <dgm:spPr/>
    </dgm:pt>
    <dgm:pt modelId="{FF4796FB-75BC-499F-ADA7-D7228148EE72}" type="pres">
      <dgm:prSet presAssocID="{3F5A34B4-8501-43A2-9F02-B6F43923C31A}" presName="thinLine2b" presStyleLbl="callout" presStyleIdx="1" presStyleCnt="5"/>
      <dgm:spPr/>
    </dgm:pt>
    <dgm:pt modelId="{01B67631-BD1B-4E83-8B5A-BDC2BC5231A0}" type="pres">
      <dgm:prSet presAssocID="{3F5A34B4-8501-43A2-9F02-B6F43923C31A}" presName="vertSpace2b" presStyleCnt="0"/>
      <dgm:spPr/>
    </dgm:pt>
    <dgm:pt modelId="{4E0665FE-F9F8-48E5-A927-4B544C228038}" type="pres">
      <dgm:prSet presAssocID="{CA41E89E-D0AD-4FFF-89AB-FC599C55B6C5}" presName="horz2" presStyleCnt="0"/>
      <dgm:spPr/>
    </dgm:pt>
    <dgm:pt modelId="{48712BD8-46B4-473A-85C3-525042C05219}" type="pres">
      <dgm:prSet presAssocID="{CA41E89E-D0AD-4FFF-89AB-FC599C55B6C5}" presName="horzSpace2" presStyleCnt="0"/>
      <dgm:spPr/>
    </dgm:pt>
    <dgm:pt modelId="{08459E75-70F0-4721-9FBA-876D67B3BC32}" type="pres">
      <dgm:prSet presAssocID="{CA41E89E-D0AD-4FFF-89AB-FC599C55B6C5}" presName="tx2" presStyleLbl="revTx" presStyleIdx="3" presStyleCnt="6" custScaleY="54073"/>
      <dgm:spPr/>
    </dgm:pt>
    <dgm:pt modelId="{DF20A674-2F41-4BEB-87E0-33F05BAE4248}" type="pres">
      <dgm:prSet presAssocID="{CA41E89E-D0AD-4FFF-89AB-FC599C55B6C5}" presName="vert2" presStyleCnt="0"/>
      <dgm:spPr/>
    </dgm:pt>
    <dgm:pt modelId="{DE5AB8E8-91E8-404E-995C-FF9747AEB301}" type="pres">
      <dgm:prSet presAssocID="{CA41E89E-D0AD-4FFF-89AB-FC599C55B6C5}" presName="thinLine2b" presStyleLbl="callout" presStyleIdx="2" presStyleCnt="5"/>
      <dgm:spPr/>
    </dgm:pt>
    <dgm:pt modelId="{3EF69631-605F-40E7-ACEE-1586A5DE358D}" type="pres">
      <dgm:prSet presAssocID="{CA41E89E-D0AD-4FFF-89AB-FC599C55B6C5}" presName="vertSpace2b" presStyleCnt="0"/>
      <dgm:spPr/>
    </dgm:pt>
    <dgm:pt modelId="{E0B846FC-5460-485B-8535-4C347B965235}" type="pres">
      <dgm:prSet presAssocID="{E6E76F58-F473-4463-9304-76AF63335416}" presName="horz2" presStyleCnt="0"/>
      <dgm:spPr/>
    </dgm:pt>
    <dgm:pt modelId="{A91C9201-1694-4B45-8AB1-3899F6E403DF}" type="pres">
      <dgm:prSet presAssocID="{E6E76F58-F473-4463-9304-76AF63335416}" presName="horzSpace2" presStyleCnt="0"/>
      <dgm:spPr/>
    </dgm:pt>
    <dgm:pt modelId="{AFD1B0BF-7C3B-429E-9241-2DE32546767F}" type="pres">
      <dgm:prSet presAssocID="{E6E76F58-F473-4463-9304-76AF63335416}" presName="tx2" presStyleLbl="revTx" presStyleIdx="4" presStyleCnt="6" custScaleY="78131"/>
      <dgm:spPr/>
    </dgm:pt>
    <dgm:pt modelId="{28CA8B23-E765-451C-B572-C3C61BEF7614}" type="pres">
      <dgm:prSet presAssocID="{E6E76F58-F473-4463-9304-76AF63335416}" presName="vert2" presStyleCnt="0"/>
      <dgm:spPr/>
    </dgm:pt>
    <dgm:pt modelId="{DA31E984-C53F-4C62-A641-EA53895B25F5}" type="pres">
      <dgm:prSet presAssocID="{E6E76F58-F473-4463-9304-76AF63335416}" presName="thinLine2b" presStyleLbl="callout" presStyleIdx="3" presStyleCnt="5"/>
      <dgm:spPr/>
    </dgm:pt>
    <dgm:pt modelId="{6A93BD92-5860-4FB2-8E51-76CA34A8F7C9}" type="pres">
      <dgm:prSet presAssocID="{E6E76F58-F473-4463-9304-76AF63335416}" presName="vertSpace2b" presStyleCnt="0"/>
      <dgm:spPr/>
    </dgm:pt>
    <dgm:pt modelId="{5D1E3559-E752-4202-AE6A-02FED7D53676}" type="pres">
      <dgm:prSet presAssocID="{499BC168-BB3E-4AE9-B6F4-6D9B9879D0B9}" presName="horz2" presStyleCnt="0"/>
      <dgm:spPr/>
    </dgm:pt>
    <dgm:pt modelId="{EC05FF13-6F26-431A-A1C9-AA49080A25CA}" type="pres">
      <dgm:prSet presAssocID="{499BC168-BB3E-4AE9-B6F4-6D9B9879D0B9}" presName="horzSpace2" presStyleCnt="0"/>
      <dgm:spPr/>
    </dgm:pt>
    <dgm:pt modelId="{B97354C3-304A-424C-937A-B79790EE25DE}" type="pres">
      <dgm:prSet presAssocID="{499BC168-BB3E-4AE9-B6F4-6D9B9879D0B9}" presName="tx2" presStyleLbl="revTx" presStyleIdx="5" presStyleCnt="6" custScaleY="66008"/>
      <dgm:spPr/>
    </dgm:pt>
    <dgm:pt modelId="{96DEF5B4-045A-4D38-BB43-6A8C9D5BB740}" type="pres">
      <dgm:prSet presAssocID="{499BC168-BB3E-4AE9-B6F4-6D9B9879D0B9}" presName="vert2" presStyleCnt="0"/>
      <dgm:spPr/>
    </dgm:pt>
    <dgm:pt modelId="{5BABCEA8-2C81-4C63-9FD6-FB4B9976A685}" type="pres">
      <dgm:prSet presAssocID="{499BC168-BB3E-4AE9-B6F4-6D9B9879D0B9}" presName="thinLine2b" presStyleLbl="callout" presStyleIdx="4" presStyleCnt="5"/>
      <dgm:spPr/>
    </dgm:pt>
    <dgm:pt modelId="{8256B148-074A-4E27-A2FC-0BB595B20FC4}" type="pres">
      <dgm:prSet presAssocID="{499BC168-BB3E-4AE9-B6F4-6D9B9879D0B9}" presName="vertSpace2b" presStyleCnt="0"/>
      <dgm:spPr/>
    </dgm:pt>
  </dgm:ptLst>
  <dgm:cxnLst>
    <dgm:cxn modelId="{66B86106-A544-4465-A6BD-FCDC2C1DF360}" type="presOf" srcId="{D34F0F86-DB19-41E7-B6C1-82875BF9AAF4}" destId="{E9BD178F-FD65-4CF9-84A0-1268C4763795}" srcOrd="0" destOrd="0" presId="urn:microsoft.com/office/officeart/2008/layout/LinedList"/>
    <dgm:cxn modelId="{823F3308-CB84-4314-BBF2-C8CB4AD6F9BA}" type="presOf" srcId="{E6E76F58-F473-4463-9304-76AF63335416}" destId="{AFD1B0BF-7C3B-429E-9241-2DE32546767F}" srcOrd="0" destOrd="0" presId="urn:microsoft.com/office/officeart/2008/layout/LinedList"/>
    <dgm:cxn modelId="{D8750B11-4113-4D7B-A71E-84E95201ECB3}" srcId="{956689CB-851D-42A1-A4EE-C49B629F6E82}" destId="{3F5A34B4-8501-43A2-9F02-B6F43923C31A}" srcOrd="1" destOrd="0" parTransId="{EEFDD995-AC75-4A91-A4B2-353421E88D3F}" sibTransId="{0F97A74C-E7D8-4A09-BE62-CB9F91DD8615}"/>
    <dgm:cxn modelId="{863D3013-7A40-4A1D-BD6F-F0CDA9C31BB5}" type="presOf" srcId="{499BC168-BB3E-4AE9-B6F4-6D9B9879D0B9}" destId="{B97354C3-304A-424C-937A-B79790EE25DE}" srcOrd="0" destOrd="0" presId="urn:microsoft.com/office/officeart/2008/layout/LinedList"/>
    <dgm:cxn modelId="{6AE3292F-FF69-409B-9760-950B07CDF4DF}" srcId="{956689CB-851D-42A1-A4EE-C49B629F6E82}" destId="{CA41E89E-D0AD-4FFF-89AB-FC599C55B6C5}" srcOrd="2" destOrd="0" parTransId="{CAA27D22-D9B1-4177-B99F-9C56BF5ABC91}" sibTransId="{E2DDB982-F07E-460E-B203-E073357CA5A8}"/>
    <dgm:cxn modelId="{2B068B5E-322A-4B7A-934D-19692B02D86C}" type="presOf" srcId="{FF2C293D-AEC5-4960-8CD5-4061B1888DB2}" destId="{0B1B7560-6D6B-4366-87F2-361E64D66644}" srcOrd="0" destOrd="0" presId="urn:microsoft.com/office/officeart/2008/layout/LinedList"/>
    <dgm:cxn modelId="{8B5C7044-1CEE-4E96-9590-9FC29964BB24}" srcId="{D34F0F86-DB19-41E7-B6C1-82875BF9AAF4}" destId="{956689CB-851D-42A1-A4EE-C49B629F6E82}" srcOrd="0" destOrd="0" parTransId="{75846AEE-E3B2-46B7-B433-C5EFDE3CCD45}" sibTransId="{6C545816-801F-43AF-8139-8E9453FD0309}"/>
    <dgm:cxn modelId="{EF06D56F-AC94-4891-ACB9-7B9606F74726}" srcId="{956689CB-851D-42A1-A4EE-C49B629F6E82}" destId="{499BC168-BB3E-4AE9-B6F4-6D9B9879D0B9}" srcOrd="4" destOrd="0" parTransId="{DE805DCE-7C49-402D-9EB3-255619CC833C}" sibTransId="{ED240CE6-20B6-45C6-B010-F87BD9D7E2D6}"/>
    <dgm:cxn modelId="{8321B059-4916-4EC1-AA71-4B1F187D1CEF}" type="presOf" srcId="{956689CB-851D-42A1-A4EE-C49B629F6E82}" destId="{9C3645CB-2DE0-4DFB-AC40-AA3738A1E278}" srcOrd="0" destOrd="0" presId="urn:microsoft.com/office/officeart/2008/layout/LinedList"/>
    <dgm:cxn modelId="{3651F282-AE87-4AF7-B820-C344E9F11E80}" srcId="{956689CB-851D-42A1-A4EE-C49B629F6E82}" destId="{E6E76F58-F473-4463-9304-76AF63335416}" srcOrd="3" destOrd="0" parTransId="{72B04DEA-AD2C-44C4-95E2-9253AE9886D0}" sibTransId="{B34C6303-A1DC-4636-B07F-273CC86418E9}"/>
    <dgm:cxn modelId="{E923FC9A-7DDA-4BFF-8926-451E9BDE73BE}" type="presOf" srcId="{CA41E89E-D0AD-4FFF-89AB-FC599C55B6C5}" destId="{08459E75-70F0-4721-9FBA-876D67B3BC32}" srcOrd="0" destOrd="0" presId="urn:microsoft.com/office/officeart/2008/layout/LinedList"/>
    <dgm:cxn modelId="{EDE231AD-62FF-4FB2-BC3D-D551702BB557}" type="presOf" srcId="{3F5A34B4-8501-43A2-9F02-B6F43923C31A}" destId="{B0372044-6EFE-4278-AE80-6F807BE7F1B5}" srcOrd="0" destOrd="0" presId="urn:microsoft.com/office/officeart/2008/layout/LinedList"/>
    <dgm:cxn modelId="{237597C6-2F37-41E7-BF4A-AB18577A83D3}" srcId="{956689CB-851D-42A1-A4EE-C49B629F6E82}" destId="{FF2C293D-AEC5-4960-8CD5-4061B1888DB2}" srcOrd="0" destOrd="0" parTransId="{694AA41B-0BB1-4C83-8BC0-6EC168F7CC62}" sibTransId="{D53169FB-BA21-4583-A4E5-584D5380BEC2}"/>
    <dgm:cxn modelId="{19D08D3D-9DC3-45D9-94FA-9BF025A1DF7F}" type="presParOf" srcId="{E9BD178F-FD65-4CF9-84A0-1268C4763795}" destId="{5727CFB7-D36E-4B7D-A1A0-BC59B422BE7B}" srcOrd="0" destOrd="0" presId="urn:microsoft.com/office/officeart/2008/layout/LinedList"/>
    <dgm:cxn modelId="{E6A29537-88A3-4E78-BAC2-C77E99894228}" type="presParOf" srcId="{E9BD178F-FD65-4CF9-84A0-1268C4763795}" destId="{CE193FB5-4FF9-4A8F-8BF1-2B4314296992}" srcOrd="1" destOrd="0" presId="urn:microsoft.com/office/officeart/2008/layout/LinedList"/>
    <dgm:cxn modelId="{3974CC3A-F0AE-4CC8-A6A4-E64E17C847EE}" type="presParOf" srcId="{CE193FB5-4FF9-4A8F-8BF1-2B4314296992}" destId="{9C3645CB-2DE0-4DFB-AC40-AA3738A1E278}" srcOrd="0" destOrd="0" presId="urn:microsoft.com/office/officeart/2008/layout/LinedList"/>
    <dgm:cxn modelId="{D53A3B54-584C-4749-866C-CC17F82EA376}" type="presParOf" srcId="{CE193FB5-4FF9-4A8F-8BF1-2B4314296992}" destId="{42ACC580-5E46-44EE-9EC0-BF7EF6EDDE86}" srcOrd="1" destOrd="0" presId="urn:microsoft.com/office/officeart/2008/layout/LinedList"/>
    <dgm:cxn modelId="{0C2C5E3D-42DA-45D0-9B04-ED69BC136E86}" type="presParOf" srcId="{42ACC580-5E46-44EE-9EC0-BF7EF6EDDE86}" destId="{89DCD850-0DC8-4D09-A285-303649B6D17D}" srcOrd="0" destOrd="0" presId="urn:microsoft.com/office/officeart/2008/layout/LinedList"/>
    <dgm:cxn modelId="{EA43FB01-1003-45ED-B753-8540EDE19088}" type="presParOf" srcId="{42ACC580-5E46-44EE-9EC0-BF7EF6EDDE86}" destId="{B07A1943-D1FD-4882-ABE3-1AAE1F398CC0}" srcOrd="1" destOrd="0" presId="urn:microsoft.com/office/officeart/2008/layout/LinedList"/>
    <dgm:cxn modelId="{419B21AF-2A2F-479A-9DAC-49B8D13ECDB1}" type="presParOf" srcId="{B07A1943-D1FD-4882-ABE3-1AAE1F398CC0}" destId="{D8166E62-D41C-4722-97D7-3FA89BC375EA}" srcOrd="0" destOrd="0" presId="urn:microsoft.com/office/officeart/2008/layout/LinedList"/>
    <dgm:cxn modelId="{72943A0C-8E2F-4A8C-85EC-6DEBEBC369C0}" type="presParOf" srcId="{B07A1943-D1FD-4882-ABE3-1AAE1F398CC0}" destId="{0B1B7560-6D6B-4366-87F2-361E64D66644}" srcOrd="1" destOrd="0" presId="urn:microsoft.com/office/officeart/2008/layout/LinedList"/>
    <dgm:cxn modelId="{A4920711-5911-4AE4-8896-14562FC19730}" type="presParOf" srcId="{B07A1943-D1FD-4882-ABE3-1AAE1F398CC0}" destId="{57B2711A-6079-4ABF-AC51-AFD17BB9660E}" srcOrd="2" destOrd="0" presId="urn:microsoft.com/office/officeart/2008/layout/LinedList"/>
    <dgm:cxn modelId="{BCD329AD-EA48-4012-B53B-102860EBFDCC}" type="presParOf" srcId="{42ACC580-5E46-44EE-9EC0-BF7EF6EDDE86}" destId="{9F44F2A9-5445-432F-9D51-83118698DF45}" srcOrd="2" destOrd="0" presId="urn:microsoft.com/office/officeart/2008/layout/LinedList"/>
    <dgm:cxn modelId="{C1AEA293-5316-4BFA-9E19-3B567D252E8D}" type="presParOf" srcId="{42ACC580-5E46-44EE-9EC0-BF7EF6EDDE86}" destId="{322E6026-7211-4E0F-B753-D81DBAF6B9D2}" srcOrd="3" destOrd="0" presId="urn:microsoft.com/office/officeart/2008/layout/LinedList"/>
    <dgm:cxn modelId="{C67C089F-EE0E-4B49-A018-07E02858224F}" type="presParOf" srcId="{42ACC580-5E46-44EE-9EC0-BF7EF6EDDE86}" destId="{997ADF23-6BDC-48FD-A62C-3B151301F030}" srcOrd="4" destOrd="0" presId="urn:microsoft.com/office/officeart/2008/layout/LinedList"/>
    <dgm:cxn modelId="{1417684B-B6EB-43BC-ABE8-BE99474999CE}" type="presParOf" srcId="{997ADF23-6BDC-48FD-A62C-3B151301F030}" destId="{316902DE-387B-452D-A389-5FB343C5E4D9}" srcOrd="0" destOrd="0" presId="urn:microsoft.com/office/officeart/2008/layout/LinedList"/>
    <dgm:cxn modelId="{C8A462B7-F39A-48FA-9EA1-B90F69BB86A7}" type="presParOf" srcId="{997ADF23-6BDC-48FD-A62C-3B151301F030}" destId="{B0372044-6EFE-4278-AE80-6F807BE7F1B5}" srcOrd="1" destOrd="0" presId="urn:microsoft.com/office/officeart/2008/layout/LinedList"/>
    <dgm:cxn modelId="{47A3D32D-2978-4A81-A6CB-882F2B2A0DBD}" type="presParOf" srcId="{997ADF23-6BDC-48FD-A62C-3B151301F030}" destId="{BA3B994A-7132-4DEB-8ADD-FB27665E3104}" srcOrd="2" destOrd="0" presId="urn:microsoft.com/office/officeart/2008/layout/LinedList"/>
    <dgm:cxn modelId="{6C7BE3E6-CE82-4574-B292-1CFB33F11286}" type="presParOf" srcId="{42ACC580-5E46-44EE-9EC0-BF7EF6EDDE86}" destId="{FF4796FB-75BC-499F-ADA7-D7228148EE72}" srcOrd="5" destOrd="0" presId="urn:microsoft.com/office/officeart/2008/layout/LinedList"/>
    <dgm:cxn modelId="{E416B009-42F3-4556-A5C7-AB1B23F662D0}" type="presParOf" srcId="{42ACC580-5E46-44EE-9EC0-BF7EF6EDDE86}" destId="{01B67631-BD1B-4E83-8B5A-BDC2BC5231A0}" srcOrd="6" destOrd="0" presId="urn:microsoft.com/office/officeart/2008/layout/LinedList"/>
    <dgm:cxn modelId="{F86DCFE1-D99B-48F8-943A-C7CC8A0C29F1}" type="presParOf" srcId="{42ACC580-5E46-44EE-9EC0-BF7EF6EDDE86}" destId="{4E0665FE-F9F8-48E5-A927-4B544C228038}" srcOrd="7" destOrd="0" presId="urn:microsoft.com/office/officeart/2008/layout/LinedList"/>
    <dgm:cxn modelId="{7F54F5CA-3BE6-44A3-BB17-6BCAA02BD0BC}" type="presParOf" srcId="{4E0665FE-F9F8-48E5-A927-4B544C228038}" destId="{48712BD8-46B4-473A-85C3-525042C05219}" srcOrd="0" destOrd="0" presId="urn:microsoft.com/office/officeart/2008/layout/LinedList"/>
    <dgm:cxn modelId="{8DAAB5BB-96C8-44EA-A538-945CD8DF0787}" type="presParOf" srcId="{4E0665FE-F9F8-48E5-A927-4B544C228038}" destId="{08459E75-70F0-4721-9FBA-876D67B3BC32}" srcOrd="1" destOrd="0" presId="urn:microsoft.com/office/officeart/2008/layout/LinedList"/>
    <dgm:cxn modelId="{E4D4232D-2446-4D35-B347-80FF8FC5DFF8}" type="presParOf" srcId="{4E0665FE-F9F8-48E5-A927-4B544C228038}" destId="{DF20A674-2F41-4BEB-87E0-33F05BAE4248}" srcOrd="2" destOrd="0" presId="urn:microsoft.com/office/officeart/2008/layout/LinedList"/>
    <dgm:cxn modelId="{F533C61D-5F6E-4DDD-AD31-910FB99F2924}" type="presParOf" srcId="{42ACC580-5E46-44EE-9EC0-BF7EF6EDDE86}" destId="{DE5AB8E8-91E8-404E-995C-FF9747AEB301}" srcOrd="8" destOrd="0" presId="urn:microsoft.com/office/officeart/2008/layout/LinedList"/>
    <dgm:cxn modelId="{7E06FF80-CA39-41CF-AA38-6CC889B8B5E3}" type="presParOf" srcId="{42ACC580-5E46-44EE-9EC0-BF7EF6EDDE86}" destId="{3EF69631-605F-40E7-ACEE-1586A5DE358D}" srcOrd="9" destOrd="0" presId="urn:microsoft.com/office/officeart/2008/layout/LinedList"/>
    <dgm:cxn modelId="{C171B79A-BFE1-40C1-A38D-EFC5ED7EAE62}" type="presParOf" srcId="{42ACC580-5E46-44EE-9EC0-BF7EF6EDDE86}" destId="{E0B846FC-5460-485B-8535-4C347B965235}" srcOrd="10" destOrd="0" presId="urn:microsoft.com/office/officeart/2008/layout/LinedList"/>
    <dgm:cxn modelId="{479B2B8D-DDF9-4D22-B5BE-DCF88C613398}" type="presParOf" srcId="{E0B846FC-5460-485B-8535-4C347B965235}" destId="{A91C9201-1694-4B45-8AB1-3899F6E403DF}" srcOrd="0" destOrd="0" presId="urn:microsoft.com/office/officeart/2008/layout/LinedList"/>
    <dgm:cxn modelId="{F6EEC5B8-4048-483B-B0F0-673AB46EECC7}" type="presParOf" srcId="{E0B846FC-5460-485B-8535-4C347B965235}" destId="{AFD1B0BF-7C3B-429E-9241-2DE32546767F}" srcOrd="1" destOrd="0" presId="urn:microsoft.com/office/officeart/2008/layout/LinedList"/>
    <dgm:cxn modelId="{EECD3C0D-F82F-47FD-81BF-0E0AA804370A}" type="presParOf" srcId="{E0B846FC-5460-485B-8535-4C347B965235}" destId="{28CA8B23-E765-451C-B572-C3C61BEF7614}" srcOrd="2" destOrd="0" presId="urn:microsoft.com/office/officeart/2008/layout/LinedList"/>
    <dgm:cxn modelId="{FE157BEA-6428-4678-93C8-D3A19C40088E}" type="presParOf" srcId="{42ACC580-5E46-44EE-9EC0-BF7EF6EDDE86}" destId="{DA31E984-C53F-4C62-A641-EA53895B25F5}" srcOrd="11" destOrd="0" presId="urn:microsoft.com/office/officeart/2008/layout/LinedList"/>
    <dgm:cxn modelId="{32032DFD-E340-4179-A121-9AC94CDB96DD}" type="presParOf" srcId="{42ACC580-5E46-44EE-9EC0-BF7EF6EDDE86}" destId="{6A93BD92-5860-4FB2-8E51-76CA34A8F7C9}" srcOrd="12" destOrd="0" presId="urn:microsoft.com/office/officeart/2008/layout/LinedList"/>
    <dgm:cxn modelId="{A2C2C4A9-8687-40B5-B233-F8351022489A}" type="presParOf" srcId="{42ACC580-5E46-44EE-9EC0-BF7EF6EDDE86}" destId="{5D1E3559-E752-4202-AE6A-02FED7D53676}" srcOrd="13" destOrd="0" presId="urn:microsoft.com/office/officeart/2008/layout/LinedList"/>
    <dgm:cxn modelId="{35417037-B2B6-4F68-8089-4C5B7B992793}" type="presParOf" srcId="{5D1E3559-E752-4202-AE6A-02FED7D53676}" destId="{EC05FF13-6F26-431A-A1C9-AA49080A25CA}" srcOrd="0" destOrd="0" presId="urn:microsoft.com/office/officeart/2008/layout/LinedList"/>
    <dgm:cxn modelId="{56FE3114-53D4-41AF-823A-369289CA6D62}" type="presParOf" srcId="{5D1E3559-E752-4202-AE6A-02FED7D53676}" destId="{B97354C3-304A-424C-937A-B79790EE25DE}" srcOrd="1" destOrd="0" presId="urn:microsoft.com/office/officeart/2008/layout/LinedList"/>
    <dgm:cxn modelId="{F50F576B-4AE8-4EE4-83B5-741ECC2F5BAC}" type="presParOf" srcId="{5D1E3559-E752-4202-AE6A-02FED7D53676}" destId="{96DEF5B4-045A-4D38-BB43-6A8C9D5BB740}" srcOrd="2" destOrd="0" presId="urn:microsoft.com/office/officeart/2008/layout/LinedList"/>
    <dgm:cxn modelId="{9A0F767C-BBDC-4730-866D-47B8EDCADD2C}" type="presParOf" srcId="{42ACC580-5E46-44EE-9EC0-BF7EF6EDDE86}" destId="{5BABCEA8-2C81-4C63-9FD6-FB4B9976A685}" srcOrd="14" destOrd="0" presId="urn:microsoft.com/office/officeart/2008/layout/LinedList"/>
    <dgm:cxn modelId="{3557C509-15B7-41F8-93FF-45A881FD34B6}" type="presParOf" srcId="{42ACC580-5E46-44EE-9EC0-BF7EF6EDDE86}" destId="{8256B148-074A-4E27-A2FC-0BB595B20FC4}" srcOrd="15" destOrd="0" presId="urn:microsoft.com/office/officeart/2008/layout/LinedList"/>
  </dgm:cxnLst>
  <dgm:bg/>
  <dgm:whole/>
  <dgm:extLst>
    <a:ext uri="http://schemas.microsoft.com/office/drawing/2008/diagram">
      <dsp:dataModelExt xmlns:dsp="http://schemas.microsoft.com/office/drawing/2008/diagram" relId="rId93" minVer="http://schemas.openxmlformats.org/drawingml/2006/diagram"/>
    </a:ext>
    <a:ext uri="{C62137D5-CB1D-491B-B009-E17868A290BF}">
      <dgm14:recolorImg xmlns:dgm14="http://schemas.microsoft.com/office/drawing/2010/diagram" val="1"/>
    </a:ext>
  </dgm:extLst>
</dgm:dataModel>
</file>

<file path=word/diagrams/data3.xml><?xml version="1.0" encoding="utf-8"?>
<dgm:dataModel xmlns:dgm="http://schemas.openxmlformats.org/drawingml/2006/diagram" xmlns:a="http://schemas.openxmlformats.org/drawingml/2006/main">
  <dgm:ptLst>
    <dgm:pt modelId="{D34F0F86-DB19-41E7-B6C1-82875BF9AAF4}" type="doc">
      <dgm:prSet loTypeId="urn:microsoft.com/office/officeart/2008/layout/LinedList" loCatId="list" qsTypeId="urn:microsoft.com/office/officeart/2005/8/quickstyle/3d2" qsCatId="3D" csTypeId="urn:microsoft.com/office/officeart/2005/8/colors/accent1_2" csCatId="accent1" phldr="1"/>
      <dgm:spPr/>
      <dgm:t>
        <a:bodyPr/>
        <a:lstStyle/>
        <a:p>
          <a:endParaRPr lang="en-NZ"/>
        </a:p>
      </dgm:t>
    </dgm:pt>
    <dgm:pt modelId="{956689CB-851D-42A1-A4EE-C49B629F6E82}">
      <dgm:prSet phldrT="[Text]" custT="1"/>
      <dgm:spPr/>
      <dgm:t>
        <a:bodyPr/>
        <a:lstStyle/>
        <a:p>
          <a:pPr>
            <a:lnSpc>
              <a:spcPts val="1800"/>
            </a:lnSpc>
          </a:pPr>
          <a:r>
            <a:rPr lang="en-NZ" sz="1400" b="1">
              <a:solidFill>
                <a:schemeClr val="accent4"/>
              </a:solidFill>
              <a:latin typeface="Georgia" panose="02040502050405020303" pitchFamily="18" charset="0"/>
            </a:rPr>
            <a:t>Recommended key tasks to complete before moving to Step 4</a:t>
          </a:r>
          <a:endParaRPr lang="en-NZ" sz="1400">
            <a:solidFill>
              <a:schemeClr val="accent4"/>
            </a:solidFill>
            <a:latin typeface="Georgia" panose="02040502050405020303" pitchFamily="18" charset="0"/>
          </a:endParaRPr>
        </a:p>
      </dgm:t>
    </dgm:pt>
    <dgm:pt modelId="{75846AEE-E3B2-46B7-B433-C5EFDE3CCD45}" type="parTrans" cxnId="{8B5C7044-1CEE-4E96-9590-9FC29964BB24}">
      <dgm:prSet/>
      <dgm:spPr/>
      <dgm:t>
        <a:bodyPr/>
        <a:lstStyle/>
        <a:p>
          <a:endParaRPr lang="en-NZ"/>
        </a:p>
      </dgm:t>
    </dgm:pt>
    <dgm:pt modelId="{6C545816-801F-43AF-8139-8E9453FD0309}" type="sibTrans" cxnId="{8B5C7044-1CEE-4E96-9590-9FC29964BB24}">
      <dgm:prSet/>
      <dgm:spPr/>
      <dgm:t>
        <a:bodyPr/>
        <a:lstStyle/>
        <a:p>
          <a:endParaRPr lang="en-NZ"/>
        </a:p>
      </dgm:t>
    </dgm:pt>
    <dgm:pt modelId="{FF2C293D-AEC5-4960-8CD5-4061B1888DB2}">
      <dgm:prSet phldrT="[Text]" custT="1"/>
      <dgm:spPr/>
      <dgm:t>
        <a:bodyPr/>
        <a:lstStyle/>
        <a:p>
          <a:r>
            <a:rPr lang="en-NZ" sz="1200">
              <a:latin typeface="Calibri" panose="020F0502020204030204" pitchFamily="34" charset="0"/>
              <a:cs typeface="Calibri" panose="020F0502020204030204" pitchFamily="34" charset="0"/>
            </a:rPr>
            <a:t>Identify who should participate in engagement about community values. </a:t>
          </a:r>
        </a:p>
      </dgm:t>
    </dgm:pt>
    <dgm:pt modelId="{694AA41B-0BB1-4C83-8BC0-6EC168F7CC62}" type="parTrans" cxnId="{237597C6-2F37-41E7-BF4A-AB18577A83D3}">
      <dgm:prSet/>
      <dgm:spPr/>
      <dgm:t>
        <a:bodyPr/>
        <a:lstStyle/>
        <a:p>
          <a:endParaRPr lang="en-NZ"/>
        </a:p>
      </dgm:t>
    </dgm:pt>
    <dgm:pt modelId="{D53169FB-BA21-4583-A4E5-584D5380BEC2}" type="sibTrans" cxnId="{237597C6-2F37-41E7-BF4A-AB18577A83D3}">
      <dgm:prSet/>
      <dgm:spPr/>
      <dgm:t>
        <a:bodyPr/>
        <a:lstStyle/>
        <a:p>
          <a:endParaRPr lang="en-NZ"/>
        </a:p>
      </dgm:t>
    </dgm:pt>
    <dgm:pt modelId="{3F5A34B4-8501-43A2-9F02-B6F43923C31A}">
      <dgm:prSet phldrT="[Text]" custT="1"/>
      <dgm:spPr/>
      <dgm:t>
        <a:bodyPr/>
        <a:lstStyle/>
        <a:p>
          <a:pPr>
            <a:buFont typeface="Symbol" panose="05050102010706020507" pitchFamily="18" charset="2"/>
            <a:buChar char=""/>
          </a:pPr>
          <a:r>
            <a:rPr lang="en-NZ" sz="1200"/>
            <a:t>Decide which method to use to determine community values.</a:t>
          </a:r>
        </a:p>
      </dgm:t>
    </dgm:pt>
    <dgm:pt modelId="{EEFDD995-AC75-4A91-A4B2-353421E88D3F}" type="parTrans" cxnId="{D8750B11-4113-4D7B-A71E-84E95201ECB3}">
      <dgm:prSet/>
      <dgm:spPr/>
      <dgm:t>
        <a:bodyPr/>
        <a:lstStyle/>
        <a:p>
          <a:endParaRPr lang="en-NZ"/>
        </a:p>
      </dgm:t>
    </dgm:pt>
    <dgm:pt modelId="{0F97A74C-E7D8-4A09-BE62-CB9F91DD8615}" type="sibTrans" cxnId="{D8750B11-4113-4D7B-A71E-84E95201ECB3}">
      <dgm:prSet/>
      <dgm:spPr/>
      <dgm:t>
        <a:bodyPr/>
        <a:lstStyle/>
        <a:p>
          <a:endParaRPr lang="en-NZ"/>
        </a:p>
      </dgm:t>
    </dgm:pt>
    <dgm:pt modelId="{CA41E89E-D0AD-4FFF-89AB-FC599C55B6C5}">
      <dgm:prSet phldrT="[Text]" custT="1"/>
      <dgm:spPr/>
      <dgm:t>
        <a:bodyPr/>
        <a:lstStyle/>
        <a:p>
          <a:pPr>
            <a:buFont typeface="Symbol" panose="05050102010706020507" pitchFamily="18" charset="2"/>
            <a:buNone/>
          </a:pPr>
          <a:r>
            <a:rPr lang="en-NZ" sz="1200"/>
            <a:t>Translate the information on community values into themes, then objectives.</a:t>
          </a:r>
        </a:p>
      </dgm:t>
    </dgm:pt>
    <dgm:pt modelId="{CAA27D22-D9B1-4177-B99F-9C56BF5ABC91}" type="parTrans" cxnId="{6AE3292F-FF69-409B-9760-950B07CDF4DF}">
      <dgm:prSet/>
      <dgm:spPr/>
      <dgm:t>
        <a:bodyPr/>
        <a:lstStyle/>
        <a:p>
          <a:endParaRPr lang="en-NZ"/>
        </a:p>
      </dgm:t>
    </dgm:pt>
    <dgm:pt modelId="{E2DDB982-F07E-460E-B203-E073357CA5A8}" type="sibTrans" cxnId="{6AE3292F-FF69-409B-9760-950B07CDF4DF}">
      <dgm:prSet/>
      <dgm:spPr/>
      <dgm:t>
        <a:bodyPr/>
        <a:lstStyle/>
        <a:p>
          <a:endParaRPr lang="en-NZ"/>
        </a:p>
      </dgm:t>
    </dgm:pt>
    <dgm:pt modelId="{E6E76F58-F473-4463-9304-76AF63335416}">
      <dgm:prSet custT="1"/>
      <dgm:spPr/>
      <dgm:t>
        <a:bodyPr/>
        <a:lstStyle/>
        <a:p>
          <a:r>
            <a:rPr lang="en-NZ" sz="1200"/>
            <a:t>Identify local government objectives.</a:t>
          </a:r>
        </a:p>
      </dgm:t>
    </dgm:pt>
    <dgm:pt modelId="{72B04DEA-AD2C-44C4-95E2-9253AE9886D0}" type="parTrans" cxnId="{3651F282-AE87-4AF7-B820-C344E9F11E80}">
      <dgm:prSet/>
      <dgm:spPr/>
      <dgm:t>
        <a:bodyPr/>
        <a:lstStyle/>
        <a:p>
          <a:endParaRPr lang="en-NZ"/>
        </a:p>
      </dgm:t>
    </dgm:pt>
    <dgm:pt modelId="{B34C6303-A1DC-4636-B07F-273CC86418E9}" type="sibTrans" cxnId="{3651F282-AE87-4AF7-B820-C344E9F11E80}">
      <dgm:prSet/>
      <dgm:spPr/>
      <dgm:t>
        <a:bodyPr/>
        <a:lstStyle/>
        <a:p>
          <a:endParaRPr lang="en-NZ"/>
        </a:p>
      </dgm:t>
    </dgm:pt>
    <dgm:pt modelId="{499BC168-BB3E-4AE9-B6F4-6D9B9879D0B9}">
      <dgm:prSet custT="1"/>
      <dgm:spPr/>
      <dgm:t>
        <a:bodyPr/>
        <a:lstStyle/>
        <a:p>
          <a:pPr>
            <a:buFont typeface="Symbol" panose="05050102010706020507" pitchFamily="18" charset="2"/>
            <a:buChar char=""/>
          </a:pPr>
          <a:r>
            <a:rPr lang="en-NZ" sz="1200"/>
            <a:t>Collate and consolidate community and local government objectives to take forward into subsequent steps in the decision cycle.</a:t>
          </a:r>
          <a:endParaRPr lang="en-NZ" sz="1200">
            <a:latin typeface="+mn-lt"/>
          </a:endParaRPr>
        </a:p>
      </dgm:t>
    </dgm:pt>
    <dgm:pt modelId="{DE805DCE-7C49-402D-9EB3-255619CC833C}" type="parTrans" cxnId="{EF06D56F-AC94-4891-ACB9-7B9606F74726}">
      <dgm:prSet/>
      <dgm:spPr/>
      <dgm:t>
        <a:bodyPr/>
        <a:lstStyle/>
        <a:p>
          <a:endParaRPr lang="en-NZ"/>
        </a:p>
      </dgm:t>
    </dgm:pt>
    <dgm:pt modelId="{ED240CE6-20B6-45C6-B010-F87BD9D7E2D6}" type="sibTrans" cxnId="{EF06D56F-AC94-4891-ACB9-7B9606F74726}">
      <dgm:prSet/>
      <dgm:spPr/>
      <dgm:t>
        <a:bodyPr/>
        <a:lstStyle/>
        <a:p>
          <a:endParaRPr lang="en-NZ"/>
        </a:p>
      </dgm:t>
    </dgm:pt>
    <dgm:pt modelId="{E9BD178F-FD65-4CF9-84A0-1268C4763795}" type="pres">
      <dgm:prSet presAssocID="{D34F0F86-DB19-41E7-B6C1-82875BF9AAF4}" presName="vert0" presStyleCnt="0">
        <dgm:presLayoutVars>
          <dgm:dir/>
          <dgm:animOne val="branch"/>
          <dgm:animLvl val="lvl"/>
        </dgm:presLayoutVars>
      </dgm:prSet>
      <dgm:spPr/>
    </dgm:pt>
    <dgm:pt modelId="{5727CFB7-D36E-4B7D-A1A0-BC59B422BE7B}" type="pres">
      <dgm:prSet presAssocID="{956689CB-851D-42A1-A4EE-C49B629F6E82}" presName="thickLine" presStyleLbl="alignNode1" presStyleIdx="0" presStyleCnt="1"/>
      <dgm:spPr/>
    </dgm:pt>
    <dgm:pt modelId="{CE193FB5-4FF9-4A8F-8BF1-2B4314296992}" type="pres">
      <dgm:prSet presAssocID="{956689CB-851D-42A1-A4EE-C49B629F6E82}" presName="horz1" presStyleCnt="0"/>
      <dgm:spPr/>
    </dgm:pt>
    <dgm:pt modelId="{9C3645CB-2DE0-4DFB-AC40-AA3738A1E278}" type="pres">
      <dgm:prSet presAssocID="{956689CB-851D-42A1-A4EE-C49B629F6E82}" presName="tx1" presStyleLbl="revTx" presStyleIdx="0" presStyleCnt="6" custScaleX="192230"/>
      <dgm:spPr/>
    </dgm:pt>
    <dgm:pt modelId="{42ACC580-5E46-44EE-9EC0-BF7EF6EDDE86}" type="pres">
      <dgm:prSet presAssocID="{956689CB-851D-42A1-A4EE-C49B629F6E82}" presName="vert1" presStyleCnt="0"/>
      <dgm:spPr/>
    </dgm:pt>
    <dgm:pt modelId="{89DCD850-0DC8-4D09-A285-303649B6D17D}" type="pres">
      <dgm:prSet presAssocID="{FF2C293D-AEC5-4960-8CD5-4061B1888DB2}" presName="vertSpace2a" presStyleCnt="0"/>
      <dgm:spPr/>
    </dgm:pt>
    <dgm:pt modelId="{B07A1943-D1FD-4882-ABE3-1AAE1F398CC0}" type="pres">
      <dgm:prSet presAssocID="{FF2C293D-AEC5-4960-8CD5-4061B1888DB2}" presName="horz2" presStyleCnt="0"/>
      <dgm:spPr/>
    </dgm:pt>
    <dgm:pt modelId="{D8166E62-D41C-4722-97D7-3FA89BC375EA}" type="pres">
      <dgm:prSet presAssocID="{FF2C293D-AEC5-4960-8CD5-4061B1888DB2}" presName="horzSpace2" presStyleCnt="0"/>
      <dgm:spPr/>
    </dgm:pt>
    <dgm:pt modelId="{0B1B7560-6D6B-4366-87F2-361E64D66644}" type="pres">
      <dgm:prSet presAssocID="{FF2C293D-AEC5-4960-8CD5-4061B1888DB2}" presName="tx2" presStyleLbl="revTx" presStyleIdx="1" presStyleCnt="6" custScaleY="33447"/>
      <dgm:spPr/>
    </dgm:pt>
    <dgm:pt modelId="{57B2711A-6079-4ABF-AC51-AFD17BB9660E}" type="pres">
      <dgm:prSet presAssocID="{FF2C293D-AEC5-4960-8CD5-4061B1888DB2}" presName="vert2" presStyleCnt="0"/>
      <dgm:spPr/>
    </dgm:pt>
    <dgm:pt modelId="{9F44F2A9-5445-432F-9D51-83118698DF45}" type="pres">
      <dgm:prSet presAssocID="{FF2C293D-AEC5-4960-8CD5-4061B1888DB2}" presName="thinLine2b" presStyleLbl="callout" presStyleIdx="0" presStyleCnt="5"/>
      <dgm:spPr/>
    </dgm:pt>
    <dgm:pt modelId="{322E6026-7211-4E0F-B753-D81DBAF6B9D2}" type="pres">
      <dgm:prSet presAssocID="{FF2C293D-AEC5-4960-8CD5-4061B1888DB2}" presName="vertSpace2b" presStyleCnt="0"/>
      <dgm:spPr/>
    </dgm:pt>
    <dgm:pt modelId="{997ADF23-6BDC-48FD-A62C-3B151301F030}" type="pres">
      <dgm:prSet presAssocID="{3F5A34B4-8501-43A2-9F02-B6F43923C31A}" presName="horz2" presStyleCnt="0"/>
      <dgm:spPr/>
    </dgm:pt>
    <dgm:pt modelId="{316902DE-387B-452D-A389-5FB343C5E4D9}" type="pres">
      <dgm:prSet presAssocID="{3F5A34B4-8501-43A2-9F02-B6F43923C31A}" presName="horzSpace2" presStyleCnt="0"/>
      <dgm:spPr/>
    </dgm:pt>
    <dgm:pt modelId="{B0372044-6EFE-4278-AE80-6F807BE7F1B5}" type="pres">
      <dgm:prSet presAssocID="{3F5A34B4-8501-43A2-9F02-B6F43923C31A}" presName="tx2" presStyleLbl="revTx" presStyleIdx="2" presStyleCnt="6" custScaleY="34115"/>
      <dgm:spPr/>
    </dgm:pt>
    <dgm:pt modelId="{BA3B994A-7132-4DEB-8ADD-FB27665E3104}" type="pres">
      <dgm:prSet presAssocID="{3F5A34B4-8501-43A2-9F02-B6F43923C31A}" presName="vert2" presStyleCnt="0"/>
      <dgm:spPr/>
    </dgm:pt>
    <dgm:pt modelId="{FF4796FB-75BC-499F-ADA7-D7228148EE72}" type="pres">
      <dgm:prSet presAssocID="{3F5A34B4-8501-43A2-9F02-B6F43923C31A}" presName="thinLine2b" presStyleLbl="callout" presStyleIdx="1" presStyleCnt="5"/>
      <dgm:spPr/>
    </dgm:pt>
    <dgm:pt modelId="{01B67631-BD1B-4E83-8B5A-BDC2BC5231A0}" type="pres">
      <dgm:prSet presAssocID="{3F5A34B4-8501-43A2-9F02-B6F43923C31A}" presName="vertSpace2b" presStyleCnt="0"/>
      <dgm:spPr/>
    </dgm:pt>
    <dgm:pt modelId="{4E0665FE-F9F8-48E5-A927-4B544C228038}" type="pres">
      <dgm:prSet presAssocID="{CA41E89E-D0AD-4FFF-89AB-FC599C55B6C5}" presName="horz2" presStyleCnt="0"/>
      <dgm:spPr/>
    </dgm:pt>
    <dgm:pt modelId="{48712BD8-46B4-473A-85C3-525042C05219}" type="pres">
      <dgm:prSet presAssocID="{CA41E89E-D0AD-4FFF-89AB-FC599C55B6C5}" presName="horzSpace2" presStyleCnt="0"/>
      <dgm:spPr/>
    </dgm:pt>
    <dgm:pt modelId="{08459E75-70F0-4721-9FBA-876D67B3BC32}" type="pres">
      <dgm:prSet presAssocID="{CA41E89E-D0AD-4FFF-89AB-FC599C55B6C5}" presName="tx2" presStyleLbl="revTx" presStyleIdx="3" presStyleCnt="6" custScaleY="34822"/>
      <dgm:spPr/>
    </dgm:pt>
    <dgm:pt modelId="{DF20A674-2F41-4BEB-87E0-33F05BAE4248}" type="pres">
      <dgm:prSet presAssocID="{CA41E89E-D0AD-4FFF-89AB-FC599C55B6C5}" presName="vert2" presStyleCnt="0"/>
      <dgm:spPr/>
    </dgm:pt>
    <dgm:pt modelId="{DE5AB8E8-91E8-404E-995C-FF9747AEB301}" type="pres">
      <dgm:prSet presAssocID="{CA41E89E-D0AD-4FFF-89AB-FC599C55B6C5}" presName="thinLine2b" presStyleLbl="callout" presStyleIdx="2" presStyleCnt="5"/>
      <dgm:spPr/>
    </dgm:pt>
    <dgm:pt modelId="{3EF69631-605F-40E7-ACEE-1586A5DE358D}" type="pres">
      <dgm:prSet presAssocID="{CA41E89E-D0AD-4FFF-89AB-FC599C55B6C5}" presName="vertSpace2b" presStyleCnt="0"/>
      <dgm:spPr/>
    </dgm:pt>
    <dgm:pt modelId="{E0B846FC-5460-485B-8535-4C347B965235}" type="pres">
      <dgm:prSet presAssocID="{E6E76F58-F473-4463-9304-76AF63335416}" presName="horz2" presStyleCnt="0"/>
      <dgm:spPr/>
    </dgm:pt>
    <dgm:pt modelId="{A91C9201-1694-4B45-8AB1-3899F6E403DF}" type="pres">
      <dgm:prSet presAssocID="{E6E76F58-F473-4463-9304-76AF63335416}" presName="horzSpace2" presStyleCnt="0"/>
      <dgm:spPr/>
    </dgm:pt>
    <dgm:pt modelId="{AFD1B0BF-7C3B-429E-9241-2DE32546767F}" type="pres">
      <dgm:prSet presAssocID="{E6E76F58-F473-4463-9304-76AF63335416}" presName="tx2" presStyleLbl="revTx" presStyleIdx="4" presStyleCnt="6" custScaleY="19383"/>
      <dgm:spPr/>
    </dgm:pt>
    <dgm:pt modelId="{28CA8B23-E765-451C-B572-C3C61BEF7614}" type="pres">
      <dgm:prSet presAssocID="{E6E76F58-F473-4463-9304-76AF63335416}" presName="vert2" presStyleCnt="0"/>
      <dgm:spPr/>
    </dgm:pt>
    <dgm:pt modelId="{DA31E984-C53F-4C62-A641-EA53895B25F5}" type="pres">
      <dgm:prSet presAssocID="{E6E76F58-F473-4463-9304-76AF63335416}" presName="thinLine2b" presStyleLbl="callout" presStyleIdx="3" presStyleCnt="5"/>
      <dgm:spPr/>
    </dgm:pt>
    <dgm:pt modelId="{6A93BD92-5860-4FB2-8E51-76CA34A8F7C9}" type="pres">
      <dgm:prSet presAssocID="{E6E76F58-F473-4463-9304-76AF63335416}" presName="vertSpace2b" presStyleCnt="0"/>
      <dgm:spPr/>
    </dgm:pt>
    <dgm:pt modelId="{5D1E3559-E752-4202-AE6A-02FED7D53676}" type="pres">
      <dgm:prSet presAssocID="{499BC168-BB3E-4AE9-B6F4-6D9B9879D0B9}" presName="horz2" presStyleCnt="0"/>
      <dgm:spPr/>
    </dgm:pt>
    <dgm:pt modelId="{EC05FF13-6F26-431A-A1C9-AA49080A25CA}" type="pres">
      <dgm:prSet presAssocID="{499BC168-BB3E-4AE9-B6F4-6D9B9879D0B9}" presName="horzSpace2" presStyleCnt="0"/>
      <dgm:spPr/>
    </dgm:pt>
    <dgm:pt modelId="{B97354C3-304A-424C-937A-B79790EE25DE}" type="pres">
      <dgm:prSet presAssocID="{499BC168-BB3E-4AE9-B6F4-6D9B9879D0B9}" presName="tx2" presStyleLbl="revTx" presStyleIdx="5" presStyleCnt="6" custScaleY="47779"/>
      <dgm:spPr/>
    </dgm:pt>
    <dgm:pt modelId="{96DEF5B4-045A-4D38-BB43-6A8C9D5BB740}" type="pres">
      <dgm:prSet presAssocID="{499BC168-BB3E-4AE9-B6F4-6D9B9879D0B9}" presName="vert2" presStyleCnt="0"/>
      <dgm:spPr/>
    </dgm:pt>
    <dgm:pt modelId="{5BABCEA8-2C81-4C63-9FD6-FB4B9976A685}" type="pres">
      <dgm:prSet presAssocID="{499BC168-BB3E-4AE9-B6F4-6D9B9879D0B9}" presName="thinLine2b" presStyleLbl="callout" presStyleIdx="4" presStyleCnt="5"/>
      <dgm:spPr/>
    </dgm:pt>
    <dgm:pt modelId="{8256B148-074A-4E27-A2FC-0BB595B20FC4}" type="pres">
      <dgm:prSet presAssocID="{499BC168-BB3E-4AE9-B6F4-6D9B9879D0B9}" presName="vertSpace2b" presStyleCnt="0"/>
      <dgm:spPr/>
    </dgm:pt>
  </dgm:ptLst>
  <dgm:cxnLst>
    <dgm:cxn modelId="{66B86106-A544-4465-A6BD-FCDC2C1DF360}" type="presOf" srcId="{D34F0F86-DB19-41E7-B6C1-82875BF9AAF4}" destId="{E9BD178F-FD65-4CF9-84A0-1268C4763795}" srcOrd="0" destOrd="0" presId="urn:microsoft.com/office/officeart/2008/layout/LinedList"/>
    <dgm:cxn modelId="{823F3308-CB84-4314-BBF2-C8CB4AD6F9BA}" type="presOf" srcId="{E6E76F58-F473-4463-9304-76AF63335416}" destId="{AFD1B0BF-7C3B-429E-9241-2DE32546767F}" srcOrd="0" destOrd="0" presId="urn:microsoft.com/office/officeart/2008/layout/LinedList"/>
    <dgm:cxn modelId="{D8750B11-4113-4D7B-A71E-84E95201ECB3}" srcId="{956689CB-851D-42A1-A4EE-C49B629F6E82}" destId="{3F5A34B4-8501-43A2-9F02-B6F43923C31A}" srcOrd="1" destOrd="0" parTransId="{EEFDD995-AC75-4A91-A4B2-353421E88D3F}" sibTransId="{0F97A74C-E7D8-4A09-BE62-CB9F91DD8615}"/>
    <dgm:cxn modelId="{863D3013-7A40-4A1D-BD6F-F0CDA9C31BB5}" type="presOf" srcId="{499BC168-BB3E-4AE9-B6F4-6D9B9879D0B9}" destId="{B97354C3-304A-424C-937A-B79790EE25DE}" srcOrd="0" destOrd="0" presId="urn:microsoft.com/office/officeart/2008/layout/LinedList"/>
    <dgm:cxn modelId="{6AE3292F-FF69-409B-9760-950B07CDF4DF}" srcId="{956689CB-851D-42A1-A4EE-C49B629F6E82}" destId="{CA41E89E-D0AD-4FFF-89AB-FC599C55B6C5}" srcOrd="2" destOrd="0" parTransId="{CAA27D22-D9B1-4177-B99F-9C56BF5ABC91}" sibTransId="{E2DDB982-F07E-460E-B203-E073357CA5A8}"/>
    <dgm:cxn modelId="{2B068B5E-322A-4B7A-934D-19692B02D86C}" type="presOf" srcId="{FF2C293D-AEC5-4960-8CD5-4061B1888DB2}" destId="{0B1B7560-6D6B-4366-87F2-361E64D66644}" srcOrd="0" destOrd="0" presId="urn:microsoft.com/office/officeart/2008/layout/LinedList"/>
    <dgm:cxn modelId="{8B5C7044-1CEE-4E96-9590-9FC29964BB24}" srcId="{D34F0F86-DB19-41E7-B6C1-82875BF9AAF4}" destId="{956689CB-851D-42A1-A4EE-C49B629F6E82}" srcOrd="0" destOrd="0" parTransId="{75846AEE-E3B2-46B7-B433-C5EFDE3CCD45}" sibTransId="{6C545816-801F-43AF-8139-8E9453FD0309}"/>
    <dgm:cxn modelId="{EF06D56F-AC94-4891-ACB9-7B9606F74726}" srcId="{956689CB-851D-42A1-A4EE-C49B629F6E82}" destId="{499BC168-BB3E-4AE9-B6F4-6D9B9879D0B9}" srcOrd="4" destOrd="0" parTransId="{DE805DCE-7C49-402D-9EB3-255619CC833C}" sibTransId="{ED240CE6-20B6-45C6-B010-F87BD9D7E2D6}"/>
    <dgm:cxn modelId="{8321B059-4916-4EC1-AA71-4B1F187D1CEF}" type="presOf" srcId="{956689CB-851D-42A1-A4EE-C49B629F6E82}" destId="{9C3645CB-2DE0-4DFB-AC40-AA3738A1E278}" srcOrd="0" destOrd="0" presId="urn:microsoft.com/office/officeart/2008/layout/LinedList"/>
    <dgm:cxn modelId="{3651F282-AE87-4AF7-B820-C344E9F11E80}" srcId="{956689CB-851D-42A1-A4EE-C49B629F6E82}" destId="{E6E76F58-F473-4463-9304-76AF63335416}" srcOrd="3" destOrd="0" parTransId="{72B04DEA-AD2C-44C4-95E2-9253AE9886D0}" sibTransId="{B34C6303-A1DC-4636-B07F-273CC86418E9}"/>
    <dgm:cxn modelId="{E923FC9A-7DDA-4BFF-8926-451E9BDE73BE}" type="presOf" srcId="{CA41E89E-D0AD-4FFF-89AB-FC599C55B6C5}" destId="{08459E75-70F0-4721-9FBA-876D67B3BC32}" srcOrd="0" destOrd="0" presId="urn:microsoft.com/office/officeart/2008/layout/LinedList"/>
    <dgm:cxn modelId="{EDE231AD-62FF-4FB2-BC3D-D551702BB557}" type="presOf" srcId="{3F5A34B4-8501-43A2-9F02-B6F43923C31A}" destId="{B0372044-6EFE-4278-AE80-6F807BE7F1B5}" srcOrd="0" destOrd="0" presId="urn:microsoft.com/office/officeart/2008/layout/LinedList"/>
    <dgm:cxn modelId="{237597C6-2F37-41E7-BF4A-AB18577A83D3}" srcId="{956689CB-851D-42A1-A4EE-C49B629F6E82}" destId="{FF2C293D-AEC5-4960-8CD5-4061B1888DB2}" srcOrd="0" destOrd="0" parTransId="{694AA41B-0BB1-4C83-8BC0-6EC168F7CC62}" sibTransId="{D53169FB-BA21-4583-A4E5-584D5380BEC2}"/>
    <dgm:cxn modelId="{19D08D3D-9DC3-45D9-94FA-9BF025A1DF7F}" type="presParOf" srcId="{E9BD178F-FD65-4CF9-84A0-1268C4763795}" destId="{5727CFB7-D36E-4B7D-A1A0-BC59B422BE7B}" srcOrd="0" destOrd="0" presId="urn:microsoft.com/office/officeart/2008/layout/LinedList"/>
    <dgm:cxn modelId="{E6A29537-88A3-4E78-BAC2-C77E99894228}" type="presParOf" srcId="{E9BD178F-FD65-4CF9-84A0-1268C4763795}" destId="{CE193FB5-4FF9-4A8F-8BF1-2B4314296992}" srcOrd="1" destOrd="0" presId="urn:microsoft.com/office/officeart/2008/layout/LinedList"/>
    <dgm:cxn modelId="{3974CC3A-F0AE-4CC8-A6A4-E64E17C847EE}" type="presParOf" srcId="{CE193FB5-4FF9-4A8F-8BF1-2B4314296992}" destId="{9C3645CB-2DE0-4DFB-AC40-AA3738A1E278}" srcOrd="0" destOrd="0" presId="urn:microsoft.com/office/officeart/2008/layout/LinedList"/>
    <dgm:cxn modelId="{D53A3B54-584C-4749-866C-CC17F82EA376}" type="presParOf" srcId="{CE193FB5-4FF9-4A8F-8BF1-2B4314296992}" destId="{42ACC580-5E46-44EE-9EC0-BF7EF6EDDE86}" srcOrd="1" destOrd="0" presId="urn:microsoft.com/office/officeart/2008/layout/LinedList"/>
    <dgm:cxn modelId="{0C2C5E3D-42DA-45D0-9B04-ED69BC136E86}" type="presParOf" srcId="{42ACC580-5E46-44EE-9EC0-BF7EF6EDDE86}" destId="{89DCD850-0DC8-4D09-A285-303649B6D17D}" srcOrd="0" destOrd="0" presId="urn:microsoft.com/office/officeart/2008/layout/LinedList"/>
    <dgm:cxn modelId="{EA43FB01-1003-45ED-B753-8540EDE19088}" type="presParOf" srcId="{42ACC580-5E46-44EE-9EC0-BF7EF6EDDE86}" destId="{B07A1943-D1FD-4882-ABE3-1AAE1F398CC0}" srcOrd="1" destOrd="0" presId="urn:microsoft.com/office/officeart/2008/layout/LinedList"/>
    <dgm:cxn modelId="{419B21AF-2A2F-479A-9DAC-49B8D13ECDB1}" type="presParOf" srcId="{B07A1943-D1FD-4882-ABE3-1AAE1F398CC0}" destId="{D8166E62-D41C-4722-97D7-3FA89BC375EA}" srcOrd="0" destOrd="0" presId="urn:microsoft.com/office/officeart/2008/layout/LinedList"/>
    <dgm:cxn modelId="{72943A0C-8E2F-4A8C-85EC-6DEBEBC369C0}" type="presParOf" srcId="{B07A1943-D1FD-4882-ABE3-1AAE1F398CC0}" destId="{0B1B7560-6D6B-4366-87F2-361E64D66644}" srcOrd="1" destOrd="0" presId="urn:microsoft.com/office/officeart/2008/layout/LinedList"/>
    <dgm:cxn modelId="{A4920711-5911-4AE4-8896-14562FC19730}" type="presParOf" srcId="{B07A1943-D1FD-4882-ABE3-1AAE1F398CC0}" destId="{57B2711A-6079-4ABF-AC51-AFD17BB9660E}" srcOrd="2" destOrd="0" presId="urn:microsoft.com/office/officeart/2008/layout/LinedList"/>
    <dgm:cxn modelId="{BCD329AD-EA48-4012-B53B-102860EBFDCC}" type="presParOf" srcId="{42ACC580-5E46-44EE-9EC0-BF7EF6EDDE86}" destId="{9F44F2A9-5445-432F-9D51-83118698DF45}" srcOrd="2" destOrd="0" presId="urn:microsoft.com/office/officeart/2008/layout/LinedList"/>
    <dgm:cxn modelId="{C1AEA293-5316-4BFA-9E19-3B567D252E8D}" type="presParOf" srcId="{42ACC580-5E46-44EE-9EC0-BF7EF6EDDE86}" destId="{322E6026-7211-4E0F-B753-D81DBAF6B9D2}" srcOrd="3" destOrd="0" presId="urn:microsoft.com/office/officeart/2008/layout/LinedList"/>
    <dgm:cxn modelId="{C67C089F-EE0E-4B49-A018-07E02858224F}" type="presParOf" srcId="{42ACC580-5E46-44EE-9EC0-BF7EF6EDDE86}" destId="{997ADF23-6BDC-48FD-A62C-3B151301F030}" srcOrd="4" destOrd="0" presId="urn:microsoft.com/office/officeart/2008/layout/LinedList"/>
    <dgm:cxn modelId="{1417684B-B6EB-43BC-ABE8-BE99474999CE}" type="presParOf" srcId="{997ADF23-6BDC-48FD-A62C-3B151301F030}" destId="{316902DE-387B-452D-A389-5FB343C5E4D9}" srcOrd="0" destOrd="0" presId="urn:microsoft.com/office/officeart/2008/layout/LinedList"/>
    <dgm:cxn modelId="{C8A462B7-F39A-48FA-9EA1-B90F69BB86A7}" type="presParOf" srcId="{997ADF23-6BDC-48FD-A62C-3B151301F030}" destId="{B0372044-6EFE-4278-AE80-6F807BE7F1B5}" srcOrd="1" destOrd="0" presId="urn:microsoft.com/office/officeart/2008/layout/LinedList"/>
    <dgm:cxn modelId="{47A3D32D-2978-4A81-A6CB-882F2B2A0DBD}" type="presParOf" srcId="{997ADF23-6BDC-48FD-A62C-3B151301F030}" destId="{BA3B994A-7132-4DEB-8ADD-FB27665E3104}" srcOrd="2" destOrd="0" presId="urn:microsoft.com/office/officeart/2008/layout/LinedList"/>
    <dgm:cxn modelId="{6C7BE3E6-CE82-4574-B292-1CFB33F11286}" type="presParOf" srcId="{42ACC580-5E46-44EE-9EC0-BF7EF6EDDE86}" destId="{FF4796FB-75BC-499F-ADA7-D7228148EE72}" srcOrd="5" destOrd="0" presId="urn:microsoft.com/office/officeart/2008/layout/LinedList"/>
    <dgm:cxn modelId="{E416B009-42F3-4556-A5C7-AB1B23F662D0}" type="presParOf" srcId="{42ACC580-5E46-44EE-9EC0-BF7EF6EDDE86}" destId="{01B67631-BD1B-4E83-8B5A-BDC2BC5231A0}" srcOrd="6" destOrd="0" presId="urn:microsoft.com/office/officeart/2008/layout/LinedList"/>
    <dgm:cxn modelId="{F86DCFE1-D99B-48F8-943A-C7CC8A0C29F1}" type="presParOf" srcId="{42ACC580-5E46-44EE-9EC0-BF7EF6EDDE86}" destId="{4E0665FE-F9F8-48E5-A927-4B544C228038}" srcOrd="7" destOrd="0" presId="urn:microsoft.com/office/officeart/2008/layout/LinedList"/>
    <dgm:cxn modelId="{7F54F5CA-3BE6-44A3-BB17-6BCAA02BD0BC}" type="presParOf" srcId="{4E0665FE-F9F8-48E5-A927-4B544C228038}" destId="{48712BD8-46B4-473A-85C3-525042C05219}" srcOrd="0" destOrd="0" presId="urn:microsoft.com/office/officeart/2008/layout/LinedList"/>
    <dgm:cxn modelId="{8DAAB5BB-96C8-44EA-A538-945CD8DF0787}" type="presParOf" srcId="{4E0665FE-F9F8-48E5-A927-4B544C228038}" destId="{08459E75-70F0-4721-9FBA-876D67B3BC32}" srcOrd="1" destOrd="0" presId="urn:microsoft.com/office/officeart/2008/layout/LinedList"/>
    <dgm:cxn modelId="{E4D4232D-2446-4D35-B347-80FF8FC5DFF8}" type="presParOf" srcId="{4E0665FE-F9F8-48E5-A927-4B544C228038}" destId="{DF20A674-2F41-4BEB-87E0-33F05BAE4248}" srcOrd="2" destOrd="0" presId="urn:microsoft.com/office/officeart/2008/layout/LinedList"/>
    <dgm:cxn modelId="{F533C61D-5F6E-4DDD-AD31-910FB99F2924}" type="presParOf" srcId="{42ACC580-5E46-44EE-9EC0-BF7EF6EDDE86}" destId="{DE5AB8E8-91E8-404E-995C-FF9747AEB301}" srcOrd="8" destOrd="0" presId="urn:microsoft.com/office/officeart/2008/layout/LinedList"/>
    <dgm:cxn modelId="{7E06FF80-CA39-41CF-AA38-6CC889B8B5E3}" type="presParOf" srcId="{42ACC580-5E46-44EE-9EC0-BF7EF6EDDE86}" destId="{3EF69631-605F-40E7-ACEE-1586A5DE358D}" srcOrd="9" destOrd="0" presId="urn:microsoft.com/office/officeart/2008/layout/LinedList"/>
    <dgm:cxn modelId="{C171B79A-BFE1-40C1-A38D-EFC5ED7EAE62}" type="presParOf" srcId="{42ACC580-5E46-44EE-9EC0-BF7EF6EDDE86}" destId="{E0B846FC-5460-485B-8535-4C347B965235}" srcOrd="10" destOrd="0" presId="urn:microsoft.com/office/officeart/2008/layout/LinedList"/>
    <dgm:cxn modelId="{479B2B8D-DDF9-4D22-B5BE-DCF88C613398}" type="presParOf" srcId="{E0B846FC-5460-485B-8535-4C347B965235}" destId="{A91C9201-1694-4B45-8AB1-3899F6E403DF}" srcOrd="0" destOrd="0" presId="urn:microsoft.com/office/officeart/2008/layout/LinedList"/>
    <dgm:cxn modelId="{F6EEC5B8-4048-483B-B0F0-673AB46EECC7}" type="presParOf" srcId="{E0B846FC-5460-485B-8535-4C347B965235}" destId="{AFD1B0BF-7C3B-429E-9241-2DE32546767F}" srcOrd="1" destOrd="0" presId="urn:microsoft.com/office/officeart/2008/layout/LinedList"/>
    <dgm:cxn modelId="{EECD3C0D-F82F-47FD-81BF-0E0AA804370A}" type="presParOf" srcId="{E0B846FC-5460-485B-8535-4C347B965235}" destId="{28CA8B23-E765-451C-B572-C3C61BEF7614}" srcOrd="2" destOrd="0" presId="urn:microsoft.com/office/officeart/2008/layout/LinedList"/>
    <dgm:cxn modelId="{FE157BEA-6428-4678-93C8-D3A19C40088E}" type="presParOf" srcId="{42ACC580-5E46-44EE-9EC0-BF7EF6EDDE86}" destId="{DA31E984-C53F-4C62-A641-EA53895B25F5}" srcOrd="11" destOrd="0" presId="urn:microsoft.com/office/officeart/2008/layout/LinedList"/>
    <dgm:cxn modelId="{32032DFD-E340-4179-A121-9AC94CDB96DD}" type="presParOf" srcId="{42ACC580-5E46-44EE-9EC0-BF7EF6EDDE86}" destId="{6A93BD92-5860-4FB2-8E51-76CA34A8F7C9}" srcOrd="12" destOrd="0" presId="urn:microsoft.com/office/officeart/2008/layout/LinedList"/>
    <dgm:cxn modelId="{A2C2C4A9-8687-40B5-B233-F8351022489A}" type="presParOf" srcId="{42ACC580-5E46-44EE-9EC0-BF7EF6EDDE86}" destId="{5D1E3559-E752-4202-AE6A-02FED7D53676}" srcOrd="13" destOrd="0" presId="urn:microsoft.com/office/officeart/2008/layout/LinedList"/>
    <dgm:cxn modelId="{35417037-B2B6-4F68-8089-4C5B7B992793}" type="presParOf" srcId="{5D1E3559-E752-4202-AE6A-02FED7D53676}" destId="{EC05FF13-6F26-431A-A1C9-AA49080A25CA}" srcOrd="0" destOrd="0" presId="urn:microsoft.com/office/officeart/2008/layout/LinedList"/>
    <dgm:cxn modelId="{56FE3114-53D4-41AF-823A-369289CA6D62}" type="presParOf" srcId="{5D1E3559-E752-4202-AE6A-02FED7D53676}" destId="{B97354C3-304A-424C-937A-B79790EE25DE}" srcOrd="1" destOrd="0" presId="urn:microsoft.com/office/officeart/2008/layout/LinedList"/>
    <dgm:cxn modelId="{F50F576B-4AE8-4EE4-83B5-741ECC2F5BAC}" type="presParOf" srcId="{5D1E3559-E752-4202-AE6A-02FED7D53676}" destId="{96DEF5B4-045A-4D38-BB43-6A8C9D5BB740}" srcOrd="2" destOrd="0" presId="urn:microsoft.com/office/officeart/2008/layout/LinedList"/>
    <dgm:cxn modelId="{9A0F767C-BBDC-4730-866D-47B8EDCADD2C}" type="presParOf" srcId="{42ACC580-5E46-44EE-9EC0-BF7EF6EDDE86}" destId="{5BABCEA8-2C81-4C63-9FD6-FB4B9976A685}" srcOrd="14" destOrd="0" presId="urn:microsoft.com/office/officeart/2008/layout/LinedList"/>
    <dgm:cxn modelId="{3557C509-15B7-41F8-93FF-45A881FD34B6}" type="presParOf" srcId="{42ACC580-5E46-44EE-9EC0-BF7EF6EDDE86}" destId="{8256B148-074A-4E27-A2FC-0BB595B20FC4}" srcOrd="15" destOrd="0" presId="urn:microsoft.com/office/officeart/2008/layout/LinedList"/>
  </dgm:cxnLst>
  <dgm:bg/>
  <dgm:whole/>
  <dgm:extLst>
    <a:ext uri="http://schemas.microsoft.com/office/drawing/2008/diagram">
      <dsp:dataModelExt xmlns:dsp="http://schemas.microsoft.com/office/drawing/2008/diagram" relId="rId102" minVer="http://schemas.openxmlformats.org/drawingml/2006/diagram"/>
    </a:ext>
    <a:ext uri="{C62137D5-CB1D-491B-B009-E17868A290BF}">
      <dgm14:recolorImg xmlns:dgm14="http://schemas.microsoft.com/office/drawing/2010/diagram" val="1"/>
    </a:ext>
  </dgm:extLst>
</dgm:dataModel>
</file>

<file path=word/diagrams/data4.xml><?xml version="1.0" encoding="utf-8"?>
<dgm:dataModel xmlns:dgm="http://schemas.openxmlformats.org/drawingml/2006/diagram" xmlns:a="http://schemas.openxmlformats.org/drawingml/2006/main">
  <dgm:ptLst>
    <dgm:pt modelId="{D34F0F86-DB19-41E7-B6C1-82875BF9AAF4}" type="doc">
      <dgm:prSet loTypeId="urn:microsoft.com/office/officeart/2008/layout/LinedList" loCatId="list" qsTypeId="urn:microsoft.com/office/officeart/2005/8/quickstyle/3d2" qsCatId="3D" csTypeId="urn:microsoft.com/office/officeart/2005/8/colors/accent1_2" csCatId="accent1" phldr="1"/>
      <dgm:spPr/>
      <dgm:t>
        <a:bodyPr/>
        <a:lstStyle/>
        <a:p>
          <a:endParaRPr lang="en-NZ"/>
        </a:p>
      </dgm:t>
    </dgm:pt>
    <dgm:pt modelId="{956689CB-851D-42A1-A4EE-C49B629F6E82}">
      <dgm:prSet phldrT="[Text]" custT="1"/>
      <dgm:spPr/>
      <dgm:t>
        <a:bodyPr/>
        <a:lstStyle/>
        <a:p>
          <a:pPr>
            <a:lnSpc>
              <a:spcPct val="100000"/>
            </a:lnSpc>
          </a:pPr>
          <a:r>
            <a:rPr lang="en-NZ" sz="1400" b="1">
              <a:solidFill>
                <a:schemeClr val="accent4"/>
              </a:solidFill>
              <a:latin typeface="Georgia" panose="02040502050405020303" pitchFamily="18" charset="0"/>
            </a:rPr>
            <a:t>Recommended key tasks to complete before moving to Step 5</a:t>
          </a:r>
          <a:endParaRPr lang="en-NZ" sz="1400">
            <a:solidFill>
              <a:schemeClr val="accent4"/>
            </a:solidFill>
            <a:latin typeface="Georgia" panose="02040502050405020303" pitchFamily="18" charset="0"/>
          </a:endParaRPr>
        </a:p>
      </dgm:t>
    </dgm:pt>
    <dgm:pt modelId="{75846AEE-E3B2-46B7-B433-C5EFDE3CCD45}" type="parTrans" cxnId="{8B5C7044-1CEE-4E96-9590-9FC29964BB24}">
      <dgm:prSet/>
      <dgm:spPr/>
      <dgm:t>
        <a:bodyPr/>
        <a:lstStyle/>
        <a:p>
          <a:endParaRPr lang="en-NZ"/>
        </a:p>
      </dgm:t>
    </dgm:pt>
    <dgm:pt modelId="{6C545816-801F-43AF-8139-8E9453FD0309}" type="sibTrans" cxnId="{8B5C7044-1CEE-4E96-9590-9FC29964BB24}">
      <dgm:prSet/>
      <dgm:spPr/>
      <dgm:t>
        <a:bodyPr/>
        <a:lstStyle/>
        <a:p>
          <a:endParaRPr lang="en-NZ"/>
        </a:p>
      </dgm:t>
    </dgm:pt>
    <dgm:pt modelId="{FF2C293D-AEC5-4960-8CD5-4061B1888DB2}">
      <dgm:prSet phldrT="[Text]" custT="1"/>
      <dgm:spPr/>
      <dgm:t>
        <a:bodyPr/>
        <a:lstStyle/>
        <a:p>
          <a:r>
            <a:rPr lang="en-NZ" sz="1200"/>
            <a:t>Establish the purpose and objectives, governance, resourcing and capability, level of engagement, and use of mātauranga and local knowledge for risk assessments.</a:t>
          </a:r>
        </a:p>
      </dgm:t>
    </dgm:pt>
    <dgm:pt modelId="{694AA41B-0BB1-4C83-8BC0-6EC168F7CC62}" type="parTrans" cxnId="{237597C6-2F37-41E7-BF4A-AB18577A83D3}">
      <dgm:prSet/>
      <dgm:spPr/>
      <dgm:t>
        <a:bodyPr/>
        <a:lstStyle/>
        <a:p>
          <a:endParaRPr lang="en-NZ"/>
        </a:p>
      </dgm:t>
    </dgm:pt>
    <dgm:pt modelId="{D53169FB-BA21-4583-A4E5-584D5380BEC2}" type="sibTrans" cxnId="{237597C6-2F37-41E7-BF4A-AB18577A83D3}">
      <dgm:prSet/>
      <dgm:spPr/>
      <dgm:t>
        <a:bodyPr/>
        <a:lstStyle/>
        <a:p>
          <a:endParaRPr lang="en-NZ"/>
        </a:p>
      </dgm:t>
    </dgm:pt>
    <dgm:pt modelId="{3F5A34B4-8501-43A2-9F02-B6F43923C31A}">
      <dgm:prSet phldrT="[Text]" custT="1"/>
      <dgm:spPr/>
      <dgm:t>
        <a:bodyPr/>
        <a:lstStyle/>
        <a:p>
          <a:pPr>
            <a:buFont typeface="Symbol" panose="05050102010706020507" pitchFamily="18" charset="2"/>
            <a:buChar char=""/>
          </a:pPr>
          <a:r>
            <a:rPr lang="en-NZ" sz="1200"/>
            <a:t>Determine the scope, system boundaries, value domains, scenarios (climate, relative sea-level rise and socio-economic), outputs and outcomes, and budget.</a:t>
          </a:r>
        </a:p>
      </dgm:t>
    </dgm:pt>
    <dgm:pt modelId="{EEFDD995-AC75-4A91-A4B2-353421E88D3F}" type="parTrans" cxnId="{D8750B11-4113-4D7B-A71E-84E95201ECB3}">
      <dgm:prSet/>
      <dgm:spPr/>
      <dgm:t>
        <a:bodyPr/>
        <a:lstStyle/>
        <a:p>
          <a:endParaRPr lang="en-NZ"/>
        </a:p>
      </dgm:t>
    </dgm:pt>
    <dgm:pt modelId="{0F97A74C-E7D8-4A09-BE62-CB9F91DD8615}" type="sibTrans" cxnId="{D8750B11-4113-4D7B-A71E-84E95201ECB3}">
      <dgm:prSet/>
      <dgm:spPr/>
      <dgm:t>
        <a:bodyPr/>
        <a:lstStyle/>
        <a:p>
          <a:endParaRPr lang="en-NZ"/>
        </a:p>
      </dgm:t>
    </dgm:pt>
    <dgm:pt modelId="{CA41E89E-D0AD-4FFF-89AB-FC599C55B6C5}">
      <dgm:prSet phldrT="[Text]" custT="1"/>
      <dgm:spPr/>
      <dgm:t>
        <a:bodyPr/>
        <a:lstStyle/>
        <a:p>
          <a:pPr>
            <a:buFont typeface="Symbol" panose="05050102010706020507" pitchFamily="18" charset="2"/>
            <a:buNone/>
          </a:pPr>
          <a:r>
            <a:rPr lang="en-NZ" sz="1200"/>
            <a:t>Identify the types and range of hazards (including progressive changes and compound multi-hazards) to include (from step 2) and what is at risk, data availability, and cascading impacts and interaction (eg, via workshops and hui).</a:t>
          </a:r>
        </a:p>
      </dgm:t>
    </dgm:pt>
    <dgm:pt modelId="{CAA27D22-D9B1-4177-B99F-9C56BF5ABC91}" type="parTrans" cxnId="{6AE3292F-FF69-409B-9760-950B07CDF4DF}">
      <dgm:prSet/>
      <dgm:spPr/>
      <dgm:t>
        <a:bodyPr/>
        <a:lstStyle/>
        <a:p>
          <a:endParaRPr lang="en-NZ"/>
        </a:p>
      </dgm:t>
    </dgm:pt>
    <dgm:pt modelId="{E2DDB982-F07E-460E-B203-E073357CA5A8}" type="sibTrans" cxnId="{6AE3292F-FF69-409B-9760-950B07CDF4DF}">
      <dgm:prSet/>
      <dgm:spPr/>
      <dgm:t>
        <a:bodyPr/>
        <a:lstStyle/>
        <a:p>
          <a:endParaRPr lang="en-NZ"/>
        </a:p>
      </dgm:t>
    </dgm:pt>
    <dgm:pt modelId="{E6E76F58-F473-4463-9304-76AF63335416}">
      <dgm:prSet custT="1"/>
      <dgm:spPr/>
      <dgm:t>
        <a:bodyPr/>
        <a:lstStyle/>
        <a:p>
          <a:r>
            <a:rPr lang="en-NZ" sz="1200"/>
            <a:t>Follow the tasks in the first pass screening and detailed risk assessments, and decide on the methods for qualitative and quantitative assessment.</a:t>
          </a:r>
        </a:p>
      </dgm:t>
    </dgm:pt>
    <dgm:pt modelId="{72B04DEA-AD2C-44C4-95E2-9253AE9886D0}" type="parTrans" cxnId="{3651F282-AE87-4AF7-B820-C344E9F11E80}">
      <dgm:prSet/>
      <dgm:spPr/>
      <dgm:t>
        <a:bodyPr/>
        <a:lstStyle/>
        <a:p>
          <a:endParaRPr lang="en-NZ"/>
        </a:p>
      </dgm:t>
    </dgm:pt>
    <dgm:pt modelId="{B34C6303-A1DC-4636-B07F-273CC86418E9}" type="sibTrans" cxnId="{3651F282-AE87-4AF7-B820-C344E9F11E80}">
      <dgm:prSet/>
      <dgm:spPr/>
      <dgm:t>
        <a:bodyPr/>
        <a:lstStyle/>
        <a:p>
          <a:endParaRPr lang="en-NZ"/>
        </a:p>
      </dgm:t>
    </dgm:pt>
    <dgm:pt modelId="{499BC168-BB3E-4AE9-B6F4-6D9B9879D0B9}">
      <dgm:prSet custT="1"/>
      <dgm:spPr/>
      <dgm:t>
        <a:bodyPr/>
        <a:lstStyle/>
        <a:p>
          <a:pPr>
            <a:buFont typeface="Symbol" panose="05050102010706020507" pitchFamily="18" charset="2"/>
            <a:buChar char=""/>
          </a:pPr>
          <a:r>
            <a:rPr lang="en-NZ" sz="1200"/>
            <a:t>Review the findings and risk priorities, communicate the results, and determine how to use them in subsequent steps of the decision cycle.</a:t>
          </a:r>
          <a:endParaRPr lang="en-NZ" sz="1200">
            <a:latin typeface="+mn-lt"/>
          </a:endParaRPr>
        </a:p>
      </dgm:t>
    </dgm:pt>
    <dgm:pt modelId="{DE805DCE-7C49-402D-9EB3-255619CC833C}" type="parTrans" cxnId="{EF06D56F-AC94-4891-ACB9-7B9606F74726}">
      <dgm:prSet/>
      <dgm:spPr/>
      <dgm:t>
        <a:bodyPr/>
        <a:lstStyle/>
        <a:p>
          <a:endParaRPr lang="en-NZ"/>
        </a:p>
      </dgm:t>
    </dgm:pt>
    <dgm:pt modelId="{ED240CE6-20B6-45C6-B010-F87BD9D7E2D6}" type="sibTrans" cxnId="{EF06D56F-AC94-4891-ACB9-7B9606F74726}">
      <dgm:prSet/>
      <dgm:spPr/>
      <dgm:t>
        <a:bodyPr/>
        <a:lstStyle/>
        <a:p>
          <a:endParaRPr lang="en-NZ"/>
        </a:p>
      </dgm:t>
    </dgm:pt>
    <dgm:pt modelId="{3578B496-4E43-43B2-B3B9-DDC443DF28B5}">
      <dgm:prSet custT="1"/>
      <dgm:spPr/>
      <dgm:t>
        <a:bodyPr/>
        <a:lstStyle/>
        <a:p>
          <a:r>
            <a:rPr lang="en-NZ" sz="1200"/>
            <a:t>Undertake a social, cultural and environmental vulnerability assessment and feed it into the overall risk assessment.</a:t>
          </a:r>
        </a:p>
      </dgm:t>
    </dgm:pt>
    <dgm:pt modelId="{45AAA00A-1464-4C0D-9D40-1EFFF1FB4179}" type="parTrans" cxnId="{01760AC4-4176-4BF1-AB68-1847B697DDC3}">
      <dgm:prSet/>
      <dgm:spPr/>
      <dgm:t>
        <a:bodyPr/>
        <a:lstStyle/>
        <a:p>
          <a:endParaRPr lang="en-NZ"/>
        </a:p>
      </dgm:t>
    </dgm:pt>
    <dgm:pt modelId="{B2D649F7-B07B-43ED-9461-20CC1045DCBB}" type="sibTrans" cxnId="{01760AC4-4176-4BF1-AB68-1847B697DDC3}">
      <dgm:prSet/>
      <dgm:spPr/>
      <dgm:t>
        <a:bodyPr/>
        <a:lstStyle/>
        <a:p>
          <a:endParaRPr lang="en-NZ"/>
        </a:p>
      </dgm:t>
    </dgm:pt>
    <dgm:pt modelId="{E9BD178F-FD65-4CF9-84A0-1268C4763795}" type="pres">
      <dgm:prSet presAssocID="{D34F0F86-DB19-41E7-B6C1-82875BF9AAF4}" presName="vert0" presStyleCnt="0">
        <dgm:presLayoutVars>
          <dgm:dir/>
          <dgm:animOne val="branch"/>
          <dgm:animLvl val="lvl"/>
        </dgm:presLayoutVars>
      </dgm:prSet>
      <dgm:spPr/>
    </dgm:pt>
    <dgm:pt modelId="{5727CFB7-D36E-4B7D-A1A0-BC59B422BE7B}" type="pres">
      <dgm:prSet presAssocID="{956689CB-851D-42A1-A4EE-C49B629F6E82}" presName="thickLine" presStyleLbl="alignNode1" presStyleIdx="0" presStyleCnt="1"/>
      <dgm:spPr/>
    </dgm:pt>
    <dgm:pt modelId="{CE193FB5-4FF9-4A8F-8BF1-2B4314296992}" type="pres">
      <dgm:prSet presAssocID="{956689CB-851D-42A1-A4EE-C49B629F6E82}" presName="horz1" presStyleCnt="0"/>
      <dgm:spPr/>
    </dgm:pt>
    <dgm:pt modelId="{9C3645CB-2DE0-4DFB-AC40-AA3738A1E278}" type="pres">
      <dgm:prSet presAssocID="{956689CB-851D-42A1-A4EE-C49B629F6E82}" presName="tx1" presStyleLbl="revTx" presStyleIdx="0" presStyleCnt="7" custScaleX="200197"/>
      <dgm:spPr/>
    </dgm:pt>
    <dgm:pt modelId="{42ACC580-5E46-44EE-9EC0-BF7EF6EDDE86}" type="pres">
      <dgm:prSet presAssocID="{956689CB-851D-42A1-A4EE-C49B629F6E82}" presName="vert1" presStyleCnt="0"/>
      <dgm:spPr/>
    </dgm:pt>
    <dgm:pt modelId="{89DCD850-0DC8-4D09-A285-303649B6D17D}" type="pres">
      <dgm:prSet presAssocID="{FF2C293D-AEC5-4960-8CD5-4061B1888DB2}" presName="vertSpace2a" presStyleCnt="0"/>
      <dgm:spPr/>
    </dgm:pt>
    <dgm:pt modelId="{B07A1943-D1FD-4882-ABE3-1AAE1F398CC0}" type="pres">
      <dgm:prSet presAssocID="{FF2C293D-AEC5-4960-8CD5-4061B1888DB2}" presName="horz2" presStyleCnt="0"/>
      <dgm:spPr/>
    </dgm:pt>
    <dgm:pt modelId="{D8166E62-D41C-4722-97D7-3FA89BC375EA}" type="pres">
      <dgm:prSet presAssocID="{FF2C293D-AEC5-4960-8CD5-4061B1888DB2}" presName="horzSpace2" presStyleCnt="0"/>
      <dgm:spPr/>
    </dgm:pt>
    <dgm:pt modelId="{0B1B7560-6D6B-4366-87F2-361E64D66644}" type="pres">
      <dgm:prSet presAssocID="{FF2C293D-AEC5-4960-8CD5-4061B1888DB2}" presName="tx2" presStyleLbl="revTx" presStyleIdx="1" presStyleCnt="7" custScaleY="62986"/>
      <dgm:spPr/>
    </dgm:pt>
    <dgm:pt modelId="{57B2711A-6079-4ABF-AC51-AFD17BB9660E}" type="pres">
      <dgm:prSet presAssocID="{FF2C293D-AEC5-4960-8CD5-4061B1888DB2}" presName="vert2" presStyleCnt="0"/>
      <dgm:spPr/>
    </dgm:pt>
    <dgm:pt modelId="{9F44F2A9-5445-432F-9D51-83118698DF45}" type="pres">
      <dgm:prSet presAssocID="{FF2C293D-AEC5-4960-8CD5-4061B1888DB2}" presName="thinLine2b" presStyleLbl="callout" presStyleIdx="0" presStyleCnt="6"/>
      <dgm:spPr/>
    </dgm:pt>
    <dgm:pt modelId="{322E6026-7211-4E0F-B753-D81DBAF6B9D2}" type="pres">
      <dgm:prSet presAssocID="{FF2C293D-AEC5-4960-8CD5-4061B1888DB2}" presName="vertSpace2b" presStyleCnt="0"/>
      <dgm:spPr/>
    </dgm:pt>
    <dgm:pt modelId="{997ADF23-6BDC-48FD-A62C-3B151301F030}" type="pres">
      <dgm:prSet presAssocID="{3F5A34B4-8501-43A2-9F02-B6F43923C31A}" presName="horz2" presStyleCnt="0"/>
      <dgm:spPr/>
    </dgm:pt>
    <dgm:pt modelId="{316902DE-387B-452D-A389-5FB343C5E4D9}" type="pres">
      <dgm:prSet presAssocID="{3F5A34B4-8501-43A2-9F02-B6F43923C31A}" presName="horzSpace2" presStyleCnt="0"/>
      <dgm:spPr/>
    </dgm:pt>
    <dgm:pt modelId="{B0372044-6EFE-4278-AE80-6F807BE7F1B5}" type="pres">
      <dgm:prSet presAssocID="{3F5A34B4-8501-43A2-9F02-B6F43923C31A}" presName="tx2" presStyleLbl="revTx" presStyleIdx="2" presStyleCnt="7" custScaleY="54519" custLinFactNeighborX="23" custLinFactNeighborY="4001"/>
      <dgm:spPr/>
    </dgm:pt>
    <dgm:pt modelId="{BA3B994A-7132-4DEB-8ADD-FB27665E3104}" type="pres">
      <dgm:prSet presAssocID="{3F5A34B4-8501-43A2-9F02-B6F43923C31A}" presName="vert2" presStyleCnt="0"/>
      <dgm:spPr/>
    </dgm:pt>
    <dgm:pt modelId="{FF4796FB-75BC-499F-ADA7-D7228148EE72}" type="pres">
      <dgm:prSet presAssocID="{3F5A34B4-8501-43A2-9F02-B6F43923C31A}" presName="thinLine2b" presStyleLbl="callout" presStyleIdx="1" presStyleCnt="6"/>
      <dgm:spPr/>
    </dgm:pt>
    <dgm:pt modelId="{01B67631-BD1B-4E83-8B5A-BDC2BC5231A0}" type="pres">
      <dgm:prSet presAssocID="{3F5A34B4-8501-43A2-9F02-B6F43923C31A}" presName="vertSpace2b" presStyleCnt="0"/>
      <dgm:spPr/>
    </dgm:pt>
    <dgm:pt modelId="{4E0665FE-F9F8-48E5-A927-4B544C228038}" type="pres">
      <dgm:prSet presAssocID="{CA41E89E-D0AD-4FFF-89AB-FC599C55B6C5}" presName="horz2" presStyleCnt="0"/>
      <dgm:spPr/>
    </dgm:pt>
    <dgm:pt modelId="{48712BD8-46B4-473A-85C3-525042C05219}" type="pres">
      <dgm:prSet presAssocID="{CA41E89E-D0AD-4FFF-89AB-FC599C55B6C5}" presName="horzSpace2" presStyleCnt="0"/>
      <dgm:spPr/>
    </dgm:pt>
    <dgm:pt modelId="{08459E75-70F0-4721-9FBA-876D67B3BC32}" type="pres">
      <dgm:prSet presAssocID="{CA41E89E-D0AD-4FFF-89AB-FC599C55B6C5}" presName="tx2" presStyleLbl="revTx" presStyleIdx="3" presStyleCnt="7" custScaleY="83807" custLinFactNeighborX="19" custLinFactNeighborY="4108"/>
      <dgm:spPr/>
    </dgm:pt>
    <dgm:pt modelId="{DF20A674-2F41-4BEB-87E0-33F05BAE4248}" type="pres">
      <dgm:prSet presAssocID="{CA41E89E-D0AD-4FFF-89AB-FC599C55B6C5}" presName="vert2" presStyleCnt="0"/>
      <dgm:spPr/>
    </dgm:pt>
    <dgm:pt modelId="{DE5AB8E8-91E8-404E-995C-FF9747AEB301}" type="pres">
      <dgm:prSet presAssocID="{CA41E89E-D0AD-4FFF-89AB-FC599C55B6C5}" presName="thinLine2b" presStyleLbl="callout" presStyleIdx="2" presStyleCnt="6"/>
      <dgm:spPr/>
    </dgm:pt>
    <dgm:pt modelId="{3EF69631-605F-40E7-ACEE-1586A5DE358D}" type="pres">
      <dgm:prSet presAssocID="{CA41E89E-D0AD-4FFF-89AB-FC599C55B6C5}" presName="vertSpace2b" presStyleCnt="0"/>
      <dgm:spPr/>
    </dgm:pt>
    <dgm:pt modelId="{E0B846FC-5460-485B-8535-4C347B965235}" type="pres">
      <dgm:prSet presAssocID="{E6E76F58-F473-4463-9304-76AF63335416}" presName="horz2" presStyleCnt="0"/>
      <dgm:spPr/>
    </dgm:pt>
    <dgm:pt modelId="{A91C9201-1694-4B45-8AB1-3899F6E403DF}" type="pres">
      <dgm:prSet presAssocID="{E6E76F58-F473-4463-9304-76AF63335416}" presName="horzSpace2" presStyleCnt="0"/>
      <dgm:spPr/>
    </dgm:pt>
    <dgm:pt modelId="{AFD1B0BF-7C3B-429E-9241-2DE32546767F}" type="pres">
      <dgm:prSet presAssocID="{E6E76F58-F473-4463-9304-76AF63335416}" presName="tx2" presStyleLbl="revTx" presStyleIdx="4" presStyleCnt="7" custScaleY="48748" custLinFactNeighborX="19" custLinFactNeighborY="-590"/>
      <dgm:spPr/>
    </dgm:pt>
    <dgm:pt modelId="{28CA8B23-E765-451C-B572-C3C61BEF7614}" type="pres">
      <dgm:prSet presAssocID="{E6E76F58-F473-4463-9304-76AF63335416}" presName="vert2" presStyleCnt="0"/>
      <dgm:spPr/>
    </dgm:pt>
    <dgm:pt modelId="{DA31E984-C53F-4C62-A641-EA53895B25F5}" type="pres">
      <dgm:prSet presAssocID="{E6E76F58-F473-4463-9304-76AF63335416}" presName="thinLine2b" presStyleLbl="callout" presStyleIdx="3" presStyleCnt="6"/>
      <dgm:spPr/>
    </dgm:pt>
    <dgm:pt modelId="{6A93BD92-5860-4FB2-8E51-76CA34A8F7C9}" type="pres">
      <dgm:prSet presAssocID="{E6E76F58-F473-4463-9304-76AF63335416}" presName="vertSpace2b" presStyleCnt="0"/>
      <dgm:spPr/>
    </dgm:pt>
    <dgm:pt modelId="{25AA55AA-61FC-4835-B612-27E469EF1B6B}" type="pres">
      <dgm:prSet presAssocID="{3578B496-4E43-43B2-B3B9-DDC443DF28B5}" presName="horz2" presStyleCnt="0"/>
      <dgm:spPr/>
    </dgm:pt>
    <dgm:pt modelId="{5CB42404-76EC-4BD9-9EA0-F3C1F55BAE26}" type="pres">
      <dgm:prSet presAssocID="{3578B496-4E43-43B2-B3B9-DDC443DF28B5}" presName="horzSpace2" presStyleCnt="0"/>
      <dgm:spPr/>
    </dgm:pt>
    <dgm:pt modelId="{E1B6EAB7-CBD0-4659-8D65-F0C9C5CA537A}" type="pres">
      <dgm:prSet presAssocID="{3578B496-4E43-43B2-B3B9-DDC443DF28B5}" presName="tx2" presStyleLbl="revTx" presStyleIdx="5" presStyleCnt="7" custScaleY="47279" custLinFactNeighborX="10" custLinFactNeighborY="-35"/>
      <dgm:spPr/>
    </dgm:pt>
    <dgm:pt modelId="{32B55024-7116-4BE7-8E27-96E6559A9730}" type="pres">
      <dgm:prSet presAssocID="{3578B496-4E43-43B2-B3B9-DDC443DF28B5}" presName="vert2" presStyleCnt="0"/>
      <dgm:spPr/>
    </dgm:pt>
    <dgm:pt modelId="{683A123C-2CCD-4351-9F75-4C3A9C066187}" type="pres">
      <dgm:prSet presAssocID="{3578B496-4E43-43B2-B3B9-DDC443DF28B5}" presName="thinLine2b" presStyleLbl="callout" presStyleIdx="4" presStyleCnt="6"/>
      <dgm:spPr/>
    </dgm:pt>
    <dgm:pt modelId="{30E49D46-FCA8-4F7B-A0D8-9D71BB6178C1}" type="pres">
      <dgm:prSet presAssocID="{3578B496-4E43-43B2-B3B9-DDC443DF28B5}" presName="vertSpace2b" presStyleCnt="0"/>
      <dgm:spPr/>
    </dgm:pt>
    <dgm:pt modelId="{5D1E3559-E752-4202-AE6A-02FED7D53676}" type="pres">
      <dgm:prSet presAssocID="{499BC168-BB3E-4AE9-B6F4-6D9B9879D0B9}" presName="horz2" presStyleCnt="0"/>
      <dgm:spPr/>
    </dgm:pt>
    <dgm:pt modelId="{EC05FF13-6F26-431A-A1C9-AA49080A25CA}" type="pres">
      <dgm:prSet presAssocID="{499BC168-BB3E-4AE9-B6F4-6D9B9879D0B9}" presName="horzSpace2" presStyleCnt="0"/>
      <dgm:spPr/>
    </dgm:pt>
    <dgm:pt modelId="{B97354C3-304A-424C-937A-B79790EE25DE}" type="pres">
      <dgm:prSet presAssocID="{499BC168-BB3E-4AE9-B6F4-6D9B9879D0B9}" presName="tx2" presStyleLbl="revTx" presStyleIdx="6" presStyleCnt="7" custScaleY="52882" custLinFactNeighborX="10" custLinFactNeighborY="-379"/>
      <dgm:spPr/>
    </dgm:pt>
    <dgm:pt modelId="{96DEF5B4-045A-4D38-BB43-6A8C9D5BB740}" type="pres">
      <dgm:prSet presAssocID="{499BC168-BB3E-4AE9-B6F4-6D9B9879D0B9}" presName="vert2" presStyleCnt="0"/>
      <dgm:spPr/>
    </dgm:pt>
    <dgm:pt modelId="{5BABCEA8-2C81-4C63-9FD6-FB4B9976A685}" type="pres">
      <dgm:prSet presAssocID="{499BC168-BB3E-4AE9-B6F4-6D9B9879D0B9}" presName="thinLine2b" presStyleLbl="callout" presStyleIdx="5" presStyleCnt="6"/>
      <dgm:spPr/>
    </dgm:pt>
    <dgm:pt modelId="{8256B148-074A-4E27-A2FC-0BB595B20FC4}" type="pres">
      <dgm:prSet presAssocID="{499BC168-BB3E-4AE9-B6F4-6D9B9879D0B9}" presName="vertSpace2b" presStyleCnt="0"/>
      <dgm:spPr/>
    </dgm:pt>
  </dgm:ptLst>
  <dgm:cxnLst>
    <dgm:cxn modelId="{66B86106-A544-4465-A6BD-FCDC2C1DF360}" type="presOf" srcId="{D34F0F86-DB19-41E7-B6C1-82875BF9AAF4}" destId="{E9BD178F-FD65-4CF9-84A0-1268C4763795}" srcOrd="0" destOrd="0" presId="urn:microsoft.com/office/officeart/2008/layout/LinedList"/>
    <dgm:cxn modelId="{823F3308-CB84-4314-BBF2-C8CB4AD6F9BA}" type="presOf" srcId="{E6E76F58-F473-4463-9304-76AF63335416}" destId="{AFD1B0BF-7C3B-429E-9241-2DE32546767F}" srcOrd="0" destOrd="0" presId="urn:microsoft.com/office/officeart/2008/layout/LinedList"/>
    <dgm:cxn modelId="{D8750B11-4113-4D7B-A71E-84E95201ECB3}" srcId="{956689CB-851D-42A1-A4EE-C49B629F6E82}" destId="{3F5A34B4-8501-43A2-9F02-B6F43923C31A}" srcOrd="1" destOrd="0" parTransId="{EEFDD995-AC75-4A91-A4B2-353421E88D3F}" sibTransId="{0F97A74C-E7D8-4A09-BE62-CB9F91DD8615}"/>
    <dgm:cxn modelId="{863D3013-7A40-4A1D-BD6F-F0CDA9C31BB5}" type="presOf" srcId="{499BC168-BB3E-4AE9-B6F4-6D9B9879D0B9}" destId="{B97354C3-304A-424C-937A-B79790EE25DE}" srcOrd="0" destOrd="0" presId="urn:microsoft.com/office/officeart/2008/layout/LinedList"/>
    <dgm:cxn modelId="{6AE3292F-FF69-409B-9760-950B07CDF4DF}" srcId="{956689CB-851D-42A1-A4EE-C49B629F6E82}" destId="{CA41E89E-D0AD-4FFF-89AB-FC599C55B6C5}" srcOrd="2" destOrd="0" parTransId="{CAA27D22-D9B1-4177-B99F-9C56BF5ABC91}" sibTransId="{E2DDB982-F07E-460E-B203-E073357CA5A8}"/>
    <dgm:cxn modelId="{2B068B5E-322A-4B7A-934D-19692B02D86C}" type="presOf" srcId="{FF2C293D-AEC5-4960-8CD5-4061B1888DB2}" destId="{0B1B7560-6D6B-4366-87F2-361E64D66644}" srcOrd="0" destOrd="0" presId="urn:microsoft.com/office/officeart/2008/layout/LinedList"/>
    <dgm:cxn modelId="{8B5C7044-1CEE-4E96-9590-9FC29964BB24}" srcId="{D34F0F86-DB19-41E7-B6C1-82875BF9AAF4}" destId="{956689CB-851D-42A1-A4EE-C49B629F6E82}" srcOrd="0" destOrd="0" parTransId="{75846AEE-E3B2-46B7-B433-C5EFDE3CCD45}" sibTransId="{6C545816-801F-43AF-8139-8E9453FD0309}"/>
    <dgm:cxn modelId="{EF06D56F-AC94-4891-ACB9-7B9606F74726}" srcId="{956689CB-851D-42A1-A4EE-C49B629F6E82}" destId="{499BC168-BB3E-4AE9-B6F4-6D9B9879D0B9}" srcOrd="5" destOrd="0" parTransId="{DE805DCE-7C49-402D-9EB3-255619CC833C}" sibTransId="{ED240CE6-20B6-45C6-B010-F87BD9D7E2D6}"/>
    <dgm:cxn modelId="{8046DC74-641A-4202-9CF1-CE9BB6F8DD89}" type="presOf" srcId="{3578B496-4E43-43B2-B3B9-DDC443DF28B5}" destId="{E1B6EAB7-CBD0-4659-8D65-F0C9C5CA537A}" srcOrd="0" destOrd="0" presId="urn:microsoft.com/office/officeart/2008/layout/LinedList"/>
    <dgm:cxn modelId="{8321B059-4916-4EC1-AA71-4B1F187D1CEF}" type="presOf" srcId="{956689CB-851D-42A1-A4EE-C49B629F6E82}" destId="{9C3645CB-2DE0-4DFB-AC40-AA3738A1E278}" srcOrd="0" destOrd="0" presId="urn:microsoft.com/office/officeart/2008/layout/LinedList"/>
    <dgm:cxn modelId="{3651F282-AE87-4AF7-B820-C344E9F11E80}" srcId="{956689CB-851D-42A1-A4EE-C49B629F6E82}" destId="{E6E76F58-F473-4463-9304-76AF63335416}" srcOrd="3" destOrd="0" parTransId="{72B04DEA-AD2C-44C4-95E2-9253AE9886D0}" sibTransId="{B34C6303-A1DC-4636-B07F-273CC86418E9}"/>
    <dgm:cxn modelId="{E923FC9A-7DDA-4BFF-8926-451E9BDE73BE}" type="presOf" srcId="{CA41E89E-D0AD-4FFF-89AB-FC599C55B6C5}" destId="{08459E75-70F0-4721-9FBA-876D67B3BC32}" srcOrd="0" destOrd="0" presId="urn:microsoft.com/office/officeart/2008/layout/LinedList"/>
    <dgm:cxn modelId="{EDE231AD-62FF-4FB2-BC3D-D551702BB557}" type="presOf" srcId="{3F5A34B4-8501-43A2-9F02-B6F43923C31A}" destId="{B0372044-6EFE-4278-AE80-6F807BE7F1B5}" srcOrd="0" destOrd="0" presId="urn:microsoft.com/office/officeart/2008/layout/LinedList"/>
    <dgm:cxn modelId="{01760AC4-4176-4BF1-AB68-1847B697DDC3}" srcId="{956689CB-851D-42A1-A4EE-C49B629F6E82}" destId="{3578B496-4E43-43B2-B3B9-DDC443DF28B5}" srcOrd="4" destOrd="0" parTransId="{45AAA00A-1464-4C0D-9D40-1EFFF1FB4179}" sibTransId="{B2D649F7-B07B-43ED-9461-20CC1045DCBB}"/>
    <dgm:cxn modelId="{237597C6-2F37-41E7-BF4A-AB18577A83D3}" srcId="{956689CB-851D-42A1-A4EE-C49B629F6E82}" destId="{FF2C293D-AEC5-4960-8CD5-4061B1888DB2}" srcOrd="0" destOrd="0" parTransId="{694AA41B-0BB1-4C83-8BC0-6EC168F7CC62}" sibTransId="{D53169FB-BA21-4583-A4E5-584D5380BEC2}"/>
    <dgm:cxn modelId="{19D08D3D-9DC3-45D9-94FA-9BF025A1DF7F}" type="presParOf" srcId="{E9BD178F-FD65-4CF9-84A0-1268C4763795}" destId="{5727CFB7-D36E-4B7D-A1A0-BC59B422BE7B}" srcOrd="0" destOrd="0" presId="urn:microsoft.com/office/officeart/2008/layout/LinedList"/>
    <dgm:cxn modelId="{E6A29537-88A3-4E78-BAC2-C77E99894228}" type="presParOf" srcId="{E9BD178F-FD65-4CF9-84A0-1268C4763795}" destId="{CE193FB5-4FF9-4A8F-8BF1-2B4314296992}" srcOrd="1" destOrd="0" presId="urn:microsoft.com/office/officeart/2008/layout/LinedList"/>
    <dgm:cxn modelId="{3974CC3A-F0AE-4CC8-A6A4-E64E17C847EE}" type="presParOf" srcId="{CE193FB5-4FF9-4A8F-8BF1-2B4314296992}" destId="{9C3645CB-2DE0-4DFB-AC40-AA3738A1E278}" srcOrd="0" destOrd="0" presId="urn:microsoft.com/office/officeart/2008/layout/LinedList"/>
    <dgm:cxn modelId="{D53A3B54-584C-4749-866C-CC17F82EA376}" type="presParOf" srcId="{CE193FB5-4FF9-4A8F-8BF1-2B4314296992}" destId="{42ACC580-5E46-44EE-9EC0-BF7EF6EDDE86}" srcOrd="1" destOrd="0" presId="urn:microsoft.com/office/officeart/2008/layout/LinedList"/>
    <dgm:cxn modelId="{0C2C5E3D-42DA-45D0-9B04-ED69BC136E86}" type="presParOf" srcId="{42ACC580-5E46-44EE-9EC0-BF7EF6EDDE86}" destId="{89DCD850-0DC8-4D09-A285-303649B6D17D}" srcOrd="0" destOrd="0" presId="urn:microsoft.com/office/officeart/2008/layout/LinedList"/>
    <dgm:cxn modelId="{EA43FB01-1003-45ED-B753-8540EDE19088}" type="presParOf" srcId="{42ACC580-5E46-44EE-9EC0-BF7EF6EDDE86}" destId="{B07A1943-D1FD-4882-ABE3-1AAE1F398CC0}" srcOrd="1" destOrd="0" presId="urn:microsoft.com/office/officeart/2008/layout/LinedList"/>
    <dgm:cxn modelId="{419B21AF-2A2F-479A-9DAC-49B8D13ECDB1}" type="presParOf" srcId="{B07A1943-D1FD-4882-ABE3-1AAE1F398CC0}" destId="{D8166E62-D41C-4722-97D7-3FA89BC375EA}" srcOrd="0" destOrd="0" presId="urn:microsoft.com/office/officeart/2008/layout/LinedList"/>
    <dgm:cxn modelId="{72943A0C-8E2F-4A8C-85EC-6DEBEBC369C0}" type="presParOf" srcId="{B07A1943-D1FD-4882-ABE3-1AAE1F398CC0}" destId="{0B1B7560-6D6B-4366-87F2-361E64D66644}" srcOrd="1" destOrd="0" presId="urn:microsoft.com/office/officeart/2008/layout/LinedList"/>
    <dgm:cxn modelId="{A4920711-5911-4AE4-8896-14562FC19730}" type="presParOf" srcId="{B07A1943-D1FD-4882-ABE3-1AAE1F398CC0}" destId="{57B2711A-6079-4ABF-AC51-AFD17BB9660E}" srcOrd="2" destOrd="0" presId="urn:microsoft.com/office/officeart/2008/layout/LinedList"/>
    <dgm:cxn modelId="{BCD329AD-EA48-4012-B53B-102860EBFDCC}" type="presParOf" srcId="{42ACC580-5E46-44EE-9EC0-BF7EF6EDDE86}" destId="{9F44F2A9-5445-432F-9D51-83118698DF45}" srcOrd="2" destOrd="0" presId="urn:microsoft.com/office/officeart/2008/layout/LinedList"/>
    <dgm:cxn modelId="{C1AEA293-5316-4BFA-9E19-3B567D252E8D}" type="presParOf" srcId="{42ACC580-5E46-44EE-9EC0-BF7EF6EDDE86}" destId="{322E6026-7211-4E0F-B753-D81DBAF6B9D2}" srcOrd="3" destOrd="0" presId="urn:microsoft.com/office/officeart/2008/layout/LinedList"/>
    <dgm:cxn modelId="{C67C089F-EE0E-4B49-A018-07E02858224F}" type="presParOf" srcId="{42ACC580-5E46-44EE-9EC0-BF7EF6EDDE86}" destId="{997ADF23-6BDC-48FD-A62C-3B151301F030}" srcOrd="4" destOrd="0" presId="urn:microsoft.com/office/officeart/2008/layout/LinedList"/>
    <dgm:cxn modelId="{1417684B-B6EB-43BC-ABE8-BE99474999CE}" type="presParOf" srcId="{997ADF23-6BDC-48FD-A62C-3B151301F030}" destId="{316902DE-387B-452D-A389-5FB343C5E4D9}" srcOrd="0" destOrd="0" presId="urn:microsoft.com/office/officeart/2008/layout/LinedList"/>
    <dgm:cxn modelId="{C8A462B7-F39A-48FA-9EA1-B90F69BB86A7}" type="presParOf" srcId="{997ADF23-6BDC-48FD-A62C-3B151301F030}" destId="{B0372044-6EFE-4278-AE80-6F807BE7F1B5}" srcOrd="1" destOrd="0" presId="urn:microsoft.com/office/officeart/2008/layout/LinedList"/>
    <dgm:cxn modelId="{47A3D32D-2978-4A81-A6CB-882F2B2A0DBD}" type="presParOf" srcId="{997ADF23-6BDC-48FD-A62C-3B151301F030}" destId="{BA3B994A-7132-4DEB-8ADD-FB27665E3104}" srcOrd="2" destOrd="0" presId="urn:microsoft.com/office/officeart/2008/layout/LinedList"/>
    <dgm:cxn modelId="{6C7BE3E6-CE82-4574-B292-1CFB33F11286}" type="presParOf" srcId="{42ACC580-5E46-44EE-9EC0-BF7EF6EDDE86}" destId="{FF4796FB-75BC-499F-ADA7-D7228148EE72}" srcOrd="5" destOrd="0" presId="urn:microsoft.com/office/officeart/2008/layout/LinedList"/>
    <dgm:cxn modelId="{E416B009-42F3-4556-A5C7-AB1B23F662D0}" type="presParOf" srcId="{42ACC580-5E46-44EE-9EC0-BF7EF6EDDE86}" destId="{01B67631-BD1B-4E83-8B5A-BDC2BC5231A0}" srcOrd="6" destOrd="0" presId="urn:microsoft.com/office/officeart/2008/layout/LinedList"/>
    <dgm:cxn modelId="{F86DCFE1-D99B-48F8-943A-C7CC8A0C29F1}" type="presParOf" srcId="{42ACC580-5E46-44EE-9EC0-BF7EF6EDDE86}" destId="{4E0665FE-F9F8-48E5-A927-4B544C228038}" srcOrd="7" destOrd="0" presId="urn:microsoft.com/office/officeart/2008/layout/LinedList"/>
    <dgm:cxn modelId="{7F54F5CA-3BE6-44A3-BB17-6BCAA02BD0BC}" type="presParOf" srcId="{4E0665FE-F9F8-48E5-A927-4B544C228038}" destId="{48712BD8-46B4-473A-85C3-525042C05219}" srcOrd="0" destOrd="0" presId="urn:microsoft.com/office/officeart/2008/layout/LinedList"/>
    <dgm:cxn modelId="{8DAAB5BB-96C8-44EA-A538-945CD8DF0787}" type="presParOf" srcId="{4E0665FE-F9F8-48E5-A927-4B544C228038}" destId="{08459E75-70F0-4721-9FBA-876D67B3BC32}" srcOrd="1" destOrd="0" presId="urn:microsoft.com/office/officeart/2008/layout/LinedList"/>
    <dgm:cxn modelId="{E4D4232D-2446-4D35-B347-80FF8FC5DFF8}" type="presParOf" srcId="{4E0665FE-F9F8-48E5-A927-4B544C228038}" destId="{DF20A674-2F41-4BEB-87E0-33F05BAE4248}" srcOrd="2" destOrd="0" presId="urn:microsoft.com/office/officeart/2008/layout/LinedList"/>
    <dgm:cxn modelId="{F533C61D-5F6E-4DDD-AD31-910FB99F2924}" type="presParOf" srcId="{42ACC580-5E46-44EE-9EC0-BF7EF6EDDE86}" destId="{DE5AB8E8-91E8-404E-995C-FF9747AEB301}" srcOrd="8" destOrd="0" presId="urn:microsoft.com/office/officeart/2008/layout/LinedList"/>
    <dgm:cxn modelId="{7E06FF80-CA39-41CF-AA38-6CC889B8B5E3}" type="presParOf" srcId="{42ACC580-5E46-44EE-9EC0-BF7EF6EDDE86}" destId="{3EF69631-605F-40E7-ACEE-1586A5DE358D}" srcOrd="9" destOrd="0" presId="urn:microsoft.com/office/officeart/2008/layout/LinedList"/>
    <dgm:cxn modelId="{C171B79A-BFE1-40C1-A38D-EFC5ED7EAE62}" type="presParOf" srcId="{42ACC580-5E46-44EE-9EC0-BF7EF6EDDE86}" destId="{E0B846FC-5460-485B-8535-4C347B965235}" srcOrd="10" destOrd="0" presId="urn:microsoft.com/office/officeart/2008/layout/LinedList"/>
    <dgm:cxn modelId="{479B2B8D-DDF9-4D22-B5BE-DCF88C613398}" type="presParOf" srcId="{E0B846FC-5460-485B-8535-4C347B965235}" destId="{A91C9201-1694-4B45-8AB1-3899F6E403DF}" srcOrd="0" destOrd="0" presId="urn:microsoft.com/office/officeart/2008/layout/LinedList"/>
    <dgm:cxn modelId="{F6EEC5B8-4048-483B-B0F0-673AB46EECC7}" type="presParOf" srcId="{E0B846FC-5460-485B-8535-4C347B965235}" destId="{AFD1B0BF-7C3B-429E-9241-2DE32546767F}" srcOrd="1" destOrd="0" presId="urn:microsoft.com/office/officeart/2008/layout/LinedList"/>
    <dgm:cxn modelId="{EECD3C0D-F82F-47FD-81BF-0E0AA804370A}" type="presParOf" srcId="{E0B846FC-5460-485B-8535-4C347B965235}" destId="{28CA8B23-E765-451C-B572-C3C61BEF7614}" srcOrd="2" destOrd="0" presId="urn:microsoft.com/office/officeart/2008/layout/LinedList"/>
    <dgm:cxn modelId="{FE157BEA-6428-4678-93C8-D3A19C40088E}" type="presParOf" srcId="{42ACC580-5E46-44EE-9EC0-BF7EF6EDDE86}" destId="{DA31E984-C53F-4C62-A641-EA53895B25F5}" srcOrd="11" destOrd="0" presId="urn:microsoft.com/office/officeart/2008/layout/LinedList"/>
    <dgm:cxn modelId="{32032DFD-E340-4179-A121-9AC94CDB96DD}" type="presParOf" srcId="{42ACC580-5E46-44EE-9EC0-BF7EF6EDDE86}" destId="{6A93BD92-5860-4FB2-8E51-76CA34A8F7C9}" srcOrd="12" destOrd="0" presId="urn:microsoft.com/office/officeart/2008/layout/LinedList"/>
    <dgm:cxn modelId="{EB0007B2-C84D-448E-8BEC-150F792776BF}" type="presParOf" srcId="{42ACC580-5E46-44EE-9EC0-BF7EF6EDDE86}" destId="{25AA55AA-61FC-4835-B612-27E469EF1B6B}" srcOrd="13" destOrd="0" presId="urn:microsoft.com/office/officeart/2008/layout/LinedList"/>
    <dgm:cxn modelId="{8CBA39F3-72A8-4D1B-B2CE-88DFA8610416}" type="presParOf" srcId="{25AA55AA-61FC-4835-B612-27E469EF1B6B}" destId="{5CB42404-76EC-4BD9-9EA0-F3C1F55BAE26}" srcOrd="0" destOrd="0" presId="urn:microsoft.com/office/officeart/2008/layout/LinedList"/>
    <dgm:cxn modelId="{5AD2BBF3-321A-406F-B4DD-94A65A390BC4}" type="presParOf" srcId="{25AA55AA-61FC-4835-B612-27E469EF1B6B}" destId="{E1B6EAB7-CBD0-4659-8D65-F0C9C5CA537A}" srcOrd="1" destOrd="0" presId="urn:microsoft.com/office/officeart/2008/layout/LinedList"/>
    <dgm:cxn modelId="{C6D2023A-EF75-46B8-8D95-0ABA13BC2209}" type="presParOf" srcId="{25AA55AA-61FC-4835-B612-27E469EF1B6B}" destId="{32B55024-7116-4BE7-8E27-96E6559A9730}" srcOrd="2" destOrd="0" presId="urn:microsoft.com/office/officeart/2008/layout/LinedList"/>
    <dgm:cxn modelId="{05CA3BEA-3D67-4DB0-A365-9E0AEA085E16}" type="presParOf" srcId="{42ACC580-5E46-44EE-9EC0-BF7EF6EDDE86}" destId="{683A123C-2CCD-4351-9F75-4C3A9C066187}" srcOrd="14" destOrd="0" presId="urn:microsoft.com/office/officeart/2008/layout/LinedList"/>
    <dgm:cxn modelId="{C39BF77E-3753-4927-BA8D-75C9DDC9986C}" type="presParOf" srcId="{42ACC580-5E46-44EE-9EC0-BF7EF6EDDE86}" destId="{30E49D46-FCA8-4F7B-A0D8-9D71BB6178C1}" srcOrd="15" destOrd="0" presId="urn:microsoft.com/office/officeart/2008/layout/LinedList"/>
    <dgm:cxn modelId="{A2C2C4A9-8687-40B5-B233-F8351022489A}" type="presParOf" srcId="{42ACC580-5E46-44EE-9EC0-BF7EF6EDDE86}" destId="{5D1E3559-E752-4202-AE6A-02FED7D53676}" srcOrd="16" destOrd="0" presId="urn:microsoft.com/office/officeart/2008/layout/LinedList"/>
    <dgm:cxn modelId="{35417037-B2B6-4F68-8089-4C5B7B992793}" type="presParOf" srcId="{5D1E3559-E752-4202-AE6A-02FED7D53676}" destId="{EC05FF13-6F26-431A-A1C9-AA49080A25CA}" srcOrd="0" destOrd="0" presId="urn:microsoft.com/office/officeart/2008/layout/LinedList"/>
    <dgm:cxn modelId="{56FE3114-53D4-41AF-823A-369289CA6D62}" type="presParOf" srcId="{5D1E3559-E752-4202-AE6A-02FED7D53676}" destId="{B97354C3-304A-424C-937A-B79790EE25DE}" srcOrd="1" destOrd="0" presId="urn:microsoft.com/office/officeart/2008/layout/LinedList"/>
    <dgm:cxn modelId="{F50F576B-4AE8-4EE4-83B5-741ECC2F5BAC}" type="presParOf" srcId="{5D1E3559-E752-4202-AE6A-02FED7D53676}" destId="{96DEF5B4-045A-4D38-BB43-6A8C9D5BB740}" srcOrd="2" destOrd="0" presId="urn:microsoft.com/office/officeart/2008/layout/LinedList"/>
    <dgm:cxn modelId="{9A0F767C-BBDC-4730-866D-47B8EDCADD2C}" type="presParOf" srcId="{42ACC580-5E46-44EE-9EC0-BF7EF6EDDE86}" destId="{5BABCEA8-2C81-4C63-9FD6-FB4B9976A685}" srcOrd="17" destOrd="0" presId="urn:microsoft.com/office/officeart/2008/layout/LinedList"/>
    <dgm:cxn modelId="{3557C509-15B7-41F8-93FF-45A881FD34B6}" type="presParOf" srcId="{42ACC580-5E46-44EE-9EC0-BF7EF6EDDE86}" destId="{8256B148-074A-4E27-A2FC-0BB595B20FC4}" srcOrd="18" destOrd="0" presId="urn:microsoft.com/office/officeart/2008/layout/LinedList"/>
  </dgm:cxnLst>
  <dgm:bg/>
  <dgm:whole/>
  <dgm:extLst>
    <a:ext uri="http://schemas.microsoft.com/office/drawing/2008/diagram">
      <dsp:dataModelExt xmlns:dsp="http://schemas.microsoft.com/office/drawing/2008/diagram" relId="rId114" minVer="http://schemas.openxmlformats.org/drawingml/2006/diagram"/>
    </a:ext>
    <a:ext uri="{C62137D5-CB1D-491B-B009-E17868A290BF}">
      <dgm14:recolorImg xmlns:dgm14="http://schemas.microsoft.com/office/drawing/2010/diagram" val="1"/>
    </a:ext>
  </dgm:extLst>
</dgm:dataModel>
</file>

<file path=word/diagrams/data5.xml><?xml version="1.0" encoding="utf-8"?>
<dgm:dataModel xmlns:dgm="http://schemas.openxmlformats.org/drawingml/2006/diagram" xmlns:a="http://schemas.openxmlformats.org/drawingml/2006/main">
  <dgm:ptLst>
    <dgm:pt modelId="{D34F0F86-DB19-41E7-B6C1-82875BF9AAF4}" type="doc">
      <dgm:prSet loTypeId="urn:microsoft.com/office/officeart/2008/layout/LinedList" loCatId="list" qsTypeId="urn:microsoft.com/office/officeart/2005/8/quickstyle/3d2" qsCatId="3D" csTypeId="urn:microsoft.com/office/officeart/2005/8/colors/accent1_2" csCatId="accent1" phldr="1"/>
      <dgm:spPr/>
      <dgm:t>
        <a:bodyPr/>
        <a:lstStyle/>
        <a:p>
          <a:endParaRPr lang="en-NZ"/>
        </a:p>
      </dgm:t>
    </dgm:pt>
    <dgm:pt modelId="{956689CB-851D-42A1-A4EE-C49B629F6E82}">
      <dgm:prSet phldrT="[Text]" custT="1"/>
      <dgm:spPr/>
      <dgm:t>
        <a:bodyPr/>
        <a:lstStyle/>
        <a:p>
          <a:pPr>
            <a:lnSpc>
              <a:spcPts val="1800"/>
            </a:lnSpc>
          </a:pPr>
          <a:r>
            <a:rPr lang="en-NZ" sz="1400" b="1">
              <a:solidFill>
                <a:schemeClr val="accent4"/>
              </a:solidFill>
              <a:latin typeface="Georgia" panose="02040502050405020303" pitchFamily="18" charset="0"/>
            </a:rPr>
            <a:t>Recommended key tasks to complete before moving to Step 6</a:t>
          </a:r>
          <a:endParaRPr lang="en-NZ" sz="1400">
            <a:solidFill>
              <a:schemeClr val="accent4"/>
            </a:solidFill>
            <a:latin typeface="Georgia" panose="02040502050405020303" pitchFamily="18" charset="0"/>
          </a:endParaRPr>
        </a:p>
      </dgm:t>
    </dgm:pt>
    <dgm:pt modelId="{75846AEE-E3B2-46B7-B433-C5EFDE3CCD45}" type="parTrans" cxnId="{8B5C7044-1CEE-4E96-9590-9FC29964BB24}">
      <dgm:prSet/>
      <dgm:spPr/>
      <dgm:t>
        <a:bodyPr/>
        <a:lstStyle/>
        <a:p>
          <a:endParaRPr lang="en-NZ"/>
        </a:p>
      </dgm:t>
    </dgm:pt>
    <dgm:pt modelId="{6C545816-801F-43AF-8139-8E9453FD0309}" type="sibTrans" cxnId="{8B5C7044-1CEE-4E96-9590-9FC29964BB24}">
      <dgm:prSet/>
      <dgm:spPr/>
      <dgm:t>
        <a:bodyPr/>
        <a:lstStyle/>
        <a:p>
          <a:endParaRPr lang="en-NZ"/>
        </a:p>
      </dgm:t>
    </dgm:pt>
    <dgm:pt modelId="{FF2C293D-AEC5-4960-8CD5-4061B1888DB2}">
      <dgm:prSet phldrT="[Text]" custT="1"/>
      <dgm:spPr/>
      <dgm:t>
        <a:bodyPr/>
        <a:lstStyle/>
        <a:p>
          <a:r>
            <a:rPr lang="en-NZ" sz="1200"/>
            <a:t>Identify adaptation thresholds with the community, iwi/hapū, asset managers and other stakeholders.</a:t>
          </a:r>
        </a:p>
      </dgm:t>
    </dgm:pt>
    <dgm:pt modelId="{694AA41B-0BB1-4C83-8BC0-6EC168F7CC62}" type="parTrans" cxnId="{237597C6-2F37-41E7-BF4A-AB18577A83D3}">
      <dgm:prSet/>
      <dgm:spPr/>
      <dgm:t>
        <a:bodyPr/>
        <a:lstStyle/>
        <a:p>
          <a:endParaRPr lang="en-NZ"/>
        </a:p>
      </dgm:t>
    </dgm:pt>
    <dgm:pt modelId="{D53169FB-BA21-4583-A4E5-584D5380BEC2}" type="sibTrans" cxnId="{237597C6-2F37-41E7-BF4A-AB18577A83D3}">
      <dgm:prSet/>
      <dgm:spPr/>
      <dgm:t>
        <a:bodyPr/>
        <a:lstStyle/>
        <a:p>
          <a:endParaRPr lang="en-NZ"/>
        </a:p>
      </dgm:t>
    </dgm:pt>
    <dgm:pt modelId="{3F5A34B4-8501-43A2-9F02-B6F43923C31A}">
      <dgm:prSet phldrT="[Text]" custT="1"/>
      <dgm:spPr/>
      <dgm:t>
        <a:bodyPr/>
        <a:lstStyle/>
        <a:p>
          <a:pPr>
            <a:buFont typeface="Symbol" panose="05050102010706020507" pitchFamily="18" charset="2"/>
            <a:buChar char=""/>
          </a:pPr>
          <a:r>
            <a:rPr lang="en-NZ" sz="1200"/>
            <a:t>Identify adaptation options and actions based on risk screening.</a:t>
          </a:r>
        </a:p>
      </dgm:t>
    </dgm:pt>
    <dgm:pt modelId="{EEFDD995-AC75-4A91-A4B2-353421E88D3F}" type="parTrans" cxnId="{D8750B11-4113-4D7B-A71E-84E95201ECB3}">
      <dgm:prSet/>
      <dgm:spPr/>
      <dgm:t>
        <a:bodyPr/>
        <a:lstStyle/>
        <a:p>
          <a:endParaRPr lang="en-NZ"/>
        </a:p>
      </dgm:t>
    </dgm:pt>
    <dgm:pt modelId="{0F97A74C-E7D8-4A09-BE62-CB9F91DD8615}" type="sibTrans" cxnId="{D8750B11-4113-4D7B-A71E-84E95201ECB3}">
      <dgm:prSet/>
      <dgm:spPr/>
      <dgm:t>
        <a:bodyPr/>
        <a:lstStyle/>
        <a:p>
          <a:endParaRPr lang="en-NZ"/>
        </a:p>
      </dgm:t>
    </dgm:pt>
    <dgm:pt modelId="{CA41E89E-D0AD-4FFF-89AB-FC599C55B6C5}">
      <dgm:prSet phldrT="[Text]" custT="1"/>
      <dgm:spPr/>
      <dgm:t>
        <a:bodyPr/>
        <a:lstStyle/>
        <a:p>
          <a:pPr>
            <a:buFont typeface="Symbol" panose="05050102010706020507" pitchFamily="18" charset="2"/>
            <a:buNone/>
          </a:pPr>
          <a:r>
            <a:rPr lang="en-NZ" sz="1200"/>
            <a:t>Identify pathways using sea-level rise increments and scenarios.</a:t>
          </a:r>
        </a:p>
      </dgm:t>
    </dgm:pt>
    <dgm:pt modelId="{CAA27D22-D9B1-4177-B99F-9C56BF5ABC91}" type="parTrans" cxnId="{6AE3292F-FF69-409B-9760-950B07CDF4DF}">
      <dgm:prSet/>
      <dgm:spPr/>
      <dgm:t>
        <a:bodyPr/>
        <a:lstStyle/>
        <a:p>
          <a:endParaRPr lang="en-NZ"/>
        </a:p>
      </dgm:t>
    </dgm:pt>
    <dgm:pt modelId="{E2DDB982-F07E-460E-B203-E073357CA5A8}" type="sibTrans" cxnId="{6AE3292F-FF69-409B-9760-950B07CDF4DF}">
      <dgm:prSet/>
      <dgm:spPr/>
      <dgm:t>
        <a:bodyPr/>
        <a:lstStyle/>
        <a:p>
          <a:endParaRPr lang="en-NZ"/>
        </a:p>
      </dgm:t>
    </dgm:pt>
    <dgm:pt modelId="{E6E76F58-F473-4463-9304-76AF63335416}">
      <dgm:prSet custT="1"/>
      <dgm:spPr/>
      <dgm:t>
        <a:bodyPr/>
        <a:lstStyle/>
        <a:p>
          <a:r>
            <a:rPr lang="en-NZ" sz="1200"/>
            <a:t>Build options and adaptive pathways into a planning map.</a:t>
          </a:r>
        </a:p>
      </dgm:t>
    </dgm:pt>
    <dgm:pt modelId="{72B04DEA-AD2C-44C4-95E2-9253AE9886D0}" type="parTrans" cxnId="{3651F282-AE87-4AF7-B820-C344E9F11E80}">
      <dgm:prSet/>
      <dgm:spPr/>
      <dgm:t>
        <a:bodyPr/>
        <a:lstStyle/>
        <a:p>
          <a:endParaRPr lang="en-NZ"/>
        </a:p>
      </dgm:t>
    </dgm:pt>
    <dgm:pt modelId="{B34C6303-A1DC-4636-B07F-273CC86418E9}" type="sibTrans" cxnId="{3651F282-AE87-4AF7-B820-C344E9F11E80}">
      <dgm:prSet/>
      <dgm:spPr/>
      <dgm:t>
        <a:bodyPr/>
        <a:lstStyle/>
        <a:p>
          <a:endParaRPr lang="en-NZ"/>
        </a:p>
      </dgm:t>
    </dgm:pt>
    <dgm:pt modelId="{E9BD178F-FD65-4CF9-84A0-1268C4763795}" type="pres">
      <dgm:prSet presAssocID="{D34F0F86-DB19-41E7-B6C1-82875BF9AAF4}" presName="vert0" presStyleCnt="0">
        <dgm:presLayoutVars>
          <dgm:dir/>
          <dgm:animOne val="branch"/>
          <dgm:animLvl val="lvl"/>
        </dgm:presLayoutVars>
      </dgm:prSet>
      <dgm:spPr/>
    </dgm:pt>
    <dgm:pt modelId="{5727CFB7-D36E-4B7D-A1A0-BC59B422BE7B}" type="pres">
      <dgm:prSet presAssocID="{956689CB-851D-42A1-A4EE-C49B629F6E82}" presName="thickLine" presStyleLbl="alignNode1" presStyleIdx="0" presStyleCnt="1"/>
      <dgm:spPr/>
    </dgm:pt>
    <dgm:pt modelId="{CE193FB5-4FF9-4A8F-8BF1-2B4314296992}" type="pres">
      <dgm:prSet presAssocID="{956689CB-851D-42A1-A4EE-C49B629F6E82}" presName="horz1" presStyleCnt="0"/>
      <dgm:spPr/>
    </dgm:pt>
    <dgm:pt modelId="{9C3645CB-2DE0-4DFB-AC40-AA3738A1E278}" type="pres">
      <dgm:prSet presAssocID="{956689CB-851D-42A1-A4EE-C49B629F6E82}" presName="tx1" presStyleLbl="revTx" presStyleIdx="0" presStyleCnt="5" custScaleX="206055"/>
      <dgm:spPr/>
    </dgm:pt>
    <dgm:pt modelId="{42ACC580-5E46-44EE-9EC0-BF7EF6EDDE86}" type="pres">
      <dgm:prSet presAssocID="{956689CB-851D-42A1-A4EE-C49B629F6E82}" presName="vert1" presStyleCnt="0"/>
      <dgm:spPr/>
    </dgm:pt>
    <dgm:pt modelId="{89DCD850-0DC8-4D09-A285-303649B6D17D}" type="pres">
      <dgm:prSet presAssocID="{FF2C293D-AEC5-4960-8CD5-4061B1888DB2}" presName="vertSpace2a" presStyleCnt="0"/>
      <dgm:spPr/>
    </dgm:pt>
    <dgm:pt modelId="{B07A1943-D1FD-4882-ABE3-1AAE1F398CC0}" type="pres">
      <dgm:prSet presAssocID="{FF2C293D-AEC5-4960-8CD5-4061B1888DB2}" presName="horz2" presStyleCnt="0"/>
      <dgm:spPr/>
    </dgm:pt>
    <dgm:pt modelId="{D8166E62-D41C-4722-97D7-3FA89BC375EA}" type="pres">
      <dgm:prSet presAssocID="{FF2C293D-AEC5-4960-8CD5-4061B1888DB2}" presName="horzSpace2" presStyleCnt="0"/>
      <dgm:spPr/>
    </dgm:pt>
    <dgm:pt modelId="{0B1B7560-6D6B-4366-87F2-361E64D66644}" type="pres">
      <dgm:prSet presAssocID="{FF2C293D-AEC5-4960-8CD5-4061B1888DB2}" presName="tx2" presStyleLbl="revTx" presStyleIdx="1" presStyleCnt="5" custScaleY="15901"/>
      <dgm:spPr/>
    </dgm:pt>
    <dgm:pt modelId="{57B2711A-6079-4ABF-AC51-AFD17BB9660E}" type="pres">
      <dgm:prSet presAssocID="{FF2C293D-AEC5-4960-8CD5-4061B1888DB2}" presName="vert2" presStyleCnt="0"/>
      <dgm:spPr/>
    </dgm:pt>
    <dgm:pt modelId="{9F44F2A9-5445-432F-9D51-83118698DF45}" type="pres">
      <dgm:prSet presAssocID="{FF2C293D-AEC5-4960-8CD5-4061B1888DB2}" presName="thinLine2b" presStyleLbl="callout" presStyleIdx="0" presStyleCnt="4"/>
      <dgm:spPr/>
    </dgm:pt>
    <dgm:pt modelId="{322E6026-7211-4E0F-B753-D81DBAF6B9D2}" type="pres">
      <dgm:prSet presAssocID="{FF2C293D-AEC5-4960-8CD5-4061B1888DB2}" presName="vertSpace2b" presStyleCnt="0"/>
      <dgm:spPr/>
    </dgm:pt>
    <dgm:pt modelId="{997ADF23-6BDC-48FD-A62C-3B151301F030}" type="pres">
      <dgm:prSet presAssocID="{3F5A34B4-8501-43A2-9F02-B6F43923C31A}" presName="horz2" presStyleCnt="0"/>
      <dgm:spPr/>
    </dgm:pt>
    <dgm:pt modelId="{316902DE-387B-452D-A389-5FB343C5E4D9}" type="pres">
      <dgm:prSet presAssocID="{3F5A34B4-8501-43A2-9F02-B6F43923C31A}" presName="horzSpace2" presStyleCnt="0"/>
      <dgm:spPr/>
    </dgm:pt>
    <dgm:pt modelId="{B0372044-6EFE-4278-AE80-6F807BE7F1B5}" type="pres">
      <dgm:prSet presAssocID="{3F5A34B4-8501-43A2-9F02-B6F43923C31A}" presName="tx2" presStyleLbl="revTx" presStyleIdx="2" presStyleCnt="5" custScaleY="16937"/>
      <dgm:spPr/>
    </dgm:pt>
    <dgm:pt modelId="{BA3B994A-7132-4DEB-8ADD-FB27665E3104}" type="pres">
      <dgm:prSet presAssocID="{3F5A34B4-8501-43A2-9F02-B6F43923C31A}" presName="vert2" presStyleCnt="0"/>
      <dgm:spPr/>
    </dgm:pt>
    <dgm:pt modelId="{FF4796FB-75BC-499F-ADA7-D7228148EE72}" type="pres">
      <dgm:prSet presAssocID="{3F5A34B4-8501-43A2-9F02-B6F43923C31A}" presName="thinLine2b" presStyleLbl="callout" presStyleIdx="1" presStyleCnt="4"/>
      <dgm:spPr/>
    </dgm:pt>
    <dgm:pt modelId="{01B67631-BD1B-4E83-8B5A-BDC2BC5231A0}" type="pres">
      <dgm:prSet presAssocID="{3F5A34B4-8501-43A2-9F02-B6F43923C31A}" presName="vertSpace2b" presStyleCnt="0"/>
      <dgm:spPr/>
    </dgm:pt>
    <dgm:pt modelId="{4E0665FE-F9F8-48E5-A927-4B544C228038}" type="pres">
      <dgm:prSet presAssocID="{CA41E89E-D0AD-4FFF-89AB-FC599C55B6C5}" presName="horz2" presStyleCnt="0"/>
      <dgm:spPr/>
    </dgm:pt>
    <dgm:pt modelId="{48712BD8-46B4-473A-85C3-525042C05219}" type="pres">
      <dgm:prSet presAssocID="{CA41E89E-D0AD-4FFF-89AB-FC599C55B6C5}" presName="horzSpace2" presStyleCnt="0"/>
      <dgm:spPr/>
    </dgm:pt>
    <dgm:pt modelId="{08459E75-70F0-4721-9FBA-876D67B3BC32}" type="pres">
      <dgm:prSet presAssocID="{CA41E89E-D0AD-4FFF-89AB-FC599C55B6C5}" presName="tx2" presStyleLbl="revTx" presStyleIdx="3" presStyleCnt="5" custScaleY="17585"/>
      <dgm:spPr/>
    </dgm:pt>
    <dgm:pt modelId="{DF20A674-2F41-4BEB-87E0-33F05BAE4248}" type="pres">
      <dgm:prSet presAssocID="{CA41E89E-D0AD-4FFF-89AB-FC599C55B6C5}" presName="vert2" presStyleCnt="0"/>
      <dgm:spPr/>
    </dgm:pt>
    <dgm:pt modelId="{DE5AB8E8-91E8-404E-995C-FF9747AEB301}" type="pres">
      <dgm:prSet presAssocID="{CA41E89E-D0AD-4FFF-89AB-FC599C55B6C5}" presName="thinLine2b" presStyleLbl="callout" presStyleIdx="2" presStyleCnt="4"/>
      <dgm:spPr/>
    </dgm:pt>
    <dgm:pt modelId="{3EF69631-605F-40E7-ACEE-1586A5DE358D}" type="pres">
      <dgm:prSet presAssocID="{CA41E89E-D0AD-4FFF-89AB-FC599C55B6C5}" presName="vertSpace2b" presStyleCnt="0"/>
      <dgm:spPr/>
    </dgm:pt>
    <dgm:pt modelId="{E0B846FC-5460-485B-8535-4C347B965235}" type="pres">
      <dgm:prSet presAssocID="{E6E76F58-F473-4463-9304-76AF63335416}" presName="horz2" presStyleCnt="0"/>
      <dgm:spPr/>
    </dgm:pt>
    <dgm:pt modelId="{A91C9201-1694-4B45-8AB1-3899F6E403DF}" type="pres">
      <dgm:prSet presAssocID="{E6E76F58-F473-4463-9304-76AF63335416}" presName="horzSpace2" presStyleCnt="0"/>
      <dgm:spPr/>
    </dgm:pt>
    <dgm:pt modelId="{AFD1B0BF-7C3B-429E-9241-2DE32546767F}" type="pres">
      <dgm:prSet presAssocID="{E6E76F58-F473-4463-9304-76AF63335416}" presName="tx2" presStyleLbl="revTx" presStyleIdx="4" presStyleCnt="5" custScaleY="16464" custLinFactNeighborX="176" custLinFactNeighborY="-3226"/>
      <dgm:spPr/>
    </dgm:pt>
    <dgm:pt modelId="{28CA8B23-E765-451C-B572-C3C61BEF7614}" type="pres">
      <dgm:prSet presAssocID="{E6E76F58-F473-4463-9304-76AF63335416}" presName="vert2" presStyleCnt="0"/>
      <dgm:spPr/>
    </dgm:pt>
    <dgm:pt modelId="{DA31E984-C53F-4C62-A641-EA53895B25F5}" type="pres">
      <dgm:prSet presAssocID="{E6E76F58-F473-4463-9304-76AF63335416}" presName="thinLine2b" presStyleLbl="callout" presStyleIdx="3" presStyleCnt="4"/>
      <dgm:spPr/>
    </dgm:pt>
    <dgm:pt modelId="{6A93BD92-5860-4FB2-8E51-76CA34A8F7C9}" type="pres">
      <dgm:prSet presAssocID="{E6E76F58-F473-4463-9304-76AF63335416}" presName="vertSpace2b" presStyleCnt="0"/>
      <dgm:spPr/>
    </dgm:pt>
  </dgm:ptLst>
  <dgm:cxnLst>
    <dgm:cxn modelId="{66B86106-A544-4465-A6BD-FCDC2C1DF360}" type="presOf" srcId="{D34F0F86-DB19-41E7-B6C1-82875BF9AAF4}" destId="{E9BD178F-FD65-4CF9-84A0-1268C4763795}" srcOrd="0" destOrd="0" presId="urn:microsoft.com/office/officeart/2008/layout/LinedList"/>
    <dgm:cxn modelId="{823F3308-CB84-4314-BBF2-C8CB4AD6F9BA}" type="presOf" srcId="{E6E76F58-F473-4463-9304-76AF63335416}" destId="{AFD1B0BF-7C3B-429E-9241-2DE32546767F}" srcOrd="0" destOrd="0" presId="urn:microsoft.com/office/officeart/2008/layout/LinedList"/>
    <dgm:cxn modelId="{D8750B11-4113-4D7B-A71E-84E95201ECB3}" srcId="{956689CB-851D-42A1-A4EE-C49B629F6E82}" destId="{3F5A34B4-8501-43A2-9F02-B6F43923C31A}" srcOrd="1" destOrd="0" parTransId="{EEFDD995-AC75-4A91-A4B2-353421E88D3F}" sibTransId="{0F97A74C-E7D8-4A09-BE62-CB9F91DD8615}"/>
    <dgm:cxn modelId="{6AE3292F-FF69-409B-9760-950B07CDF4DF}" srcId="{956689CB-851D-42A1-A4EE-C49B629F6E82}" destId="{CA41E89E-D0AD-4FFF-89AB-FC599C55B6C5}" srcOrd="2" destOrd="0" parTransId="{CAA27D22-D9B1-4177-B99F-9C56BF5ABC91}" sibTransId="{E2DDB982-F07E-460E-B203-E073357CA5A8}"/>
    <dgm:cxn modelId="{2B068B5E-322A-4B7A-934D-19692B02D86C}" type="presOf" srcId="{FF2C293D-AEC5-4960-8CD5-4061B1888DB2}" destId="{0B1B7560-6D6B-4366-87F2-361E64D66644}" srcOrd="0" destOrd="0" presId="urn:microsoft.com/office/officeart/2008/layout/LinedList"/>
    <dgm:cxn modelId="{8B5C7044-1CEE-4E96-9590-9FC29964BB24}" srcId="{D34F0F86-DB19-41E7-B6C1-82875BF9AAF4}" destId="{956689CB-851D-42A1-A4EE-C49B629F6E82}" srcOrd="0" destOrd="0" parTransId="{75846AEE-E3B2-46B7-B433-C5EFDE3CCD45}" sibTransId="{6C545816-801F-43AF-8139-8E9453FD0309}"/>
    <dgm:cxn modelId="{8321B059-4916-4EC1-AA71-4B1F187D1CEF}" type="presOf" srcId="{956689CB-851D-42A1-A4EE-C49B629F6E82}" destId="{9C3645CB-2DE0-4DFB-AC40-AA3738A1E278}" srcOrd="0" destOrd="0" presId="urn:microsoft.com/office/officeart/2008/layout/LinedList"/>
    <dgm:cxn modelId="{3651F282-AE87-4AF7-B820-C344E9F11E80}" srcId="{956689CB-851D-42A1-A4EE-C49B629F6E82}" destId="{E6E76F58-F473-4463-9304-76AF63335416}" srcOrd="3" destOrd="0" parTransId="{72B04DEA-AD2C-44C4-95E2-9253AE9886D0}" sibTransId="{B34C6303-A1DC-4636-B07F-273CC86418E9}"/>
    <dgm:cxn modelId="{E923FC9A-7DDA-4BFF-8926-451E9BDE73BE}" type="presOf" srcId="{CA41E89E-D0AD-4FFF-89AB-FC599C55B6C5}" destId="{08459E75-70F0-4721-9FBA-876D67B3BC32}" srcOrd="0" destOrd="0" presId="urn:microsoft.com/office/officeart/2008/layout/LinedList"/>
    <dgm:cxn modelId="{EDE231AD-62FF-4FB2-BC3D-D551702BB557}" type="presOf" srcId="{3F5A34B4-8501-43A2-9F02-B6F43923C31A}" destId="{B0372044-6EFE-4278-AE80-6F807BE7F1B5}" srcOrd="0" destOrd="0" presId="urn:microsoft.com/office/officeart/2008/layout/LinedList"/>
    <dgm:cxn modelId="{237597C6-2F37-41E7-BF4A-AB18577A83D3}" srcId="{956689CB-851D-42A1-A4EE-C49B629F6E82}" destId="{FF2C293D-AEC5-4960-8CD5-4061B1888DB2}" srcOrd="0" destOrd="0" parTransId="{694AA41B-0BB1-4C83-8BC0-6EC168F7CC62}" sibTransId="{D53169FB-BA21-4583-A4E5-584D5380BEC2}"/>
    <dgm:cxn modelId="{19D08D3D-9DC3-45D9-94FA-9BF025A1DF7F}" type="presParOf" srcId="{E9BD178F-FD65-4CF9-84A0-1268C4763795}" destId="{5727CFB7-D36E-4B7D-A1A0-BC59B422BE7B}" srcOrd="0" destOrd="0" presId="urn:microsoft.com/office/officeart/2008/layout/LinedList"/>
    <dgm:cxn modelId="{E6A29537-88A3-4E78-BAC2-C77E99894228}" type="presParOf" srcId="{E9BD178F-FD65-4CF9-84A0-1268C4763795}" destId="{CE193FB5-4FF9-4A8F-8BF1-2B4314296992}" srcOrd="1" destOrd="0" presId="urn:microsoft.com/office/officeart/2008/layout/LinedList"/>
    <dgm:cxn modelId="{3974CC3A-F0AE-4CC8-A6A4-E64E17C847EE}" type="presParOf" srcId="{CE193FB5-4FF9-4A8F-8BF1-2B4314296992}" destId="{9C3645CB-2DE0-4DFB-AC40-AA3738A1E278}" srcOrd="0" destOrd="0" presId="urn:microsoft.com/office/officeart/2008/layout/LinedList"/>
    <dgm:cxn modelId="{D53A3B54-584C-4749-866C-CC17F82EA376}" type="presParOf" srcId="{CE193FB5-4FF9-4A8F-8BF1-2B4314296992}" destId="{42ACC580-5E46-44EE-9EC0-BF7EF6EDDE86}" srcOrd="1" destOrd="0" presId="urn:microsoft.com/office/officeart/2008/layout/LinedList"/>
    <dgm:cxn modelId="{0C2C5E3D-42DA-45D0-9B04-ED69BC136E86}" type="presParOf" srcId="{42ACC580-5E46-44EE-9EC0-BF7EF6EDDE86}" destId="{89DCD850-0DC8-4D09-A285-303649B6D17D}" srcOrd="0" destOrd="0" presId="urn:microsoft.com/office/officeart/2008/layout/LinedList"/>
    <dgm:cxn modelId="{EA43FB01-1003-45ED-B753-8540EDE19088}" type="presParOf" srcId="{42ACC580-5E46-44EE-9EC0-BF7EF6EDDE86}" destId="{B07A1943-D1FD-4882-ABE3-1AAE1F398CC0}" srcOrd="1" destOrd="0" presId="urn:microsoft.com/office/officeart/2008/layout/LinedList"/>
    <dgm:cxn modelId="{419B21AF-2A2F-479A-9DAC-49B8D13ECDB1}" type="presParOf" srcId="{B07A1943-D1FD-4882-ABE3-1AAE1F398CC0}" destId="{D8166E62-D41C-4722-97D7-3FA89BC375EA}" srcOrd="0" destOrd="0" presId="urn:microsoft.com/office/officeart/2008/layout/LinedList"/>
    <dgm:cxn modelId="{72943A0C-8E2F-4A8C-85EC-6DEBEBC369C0}" type="presParOf" srcId="{B07A1943-D1FD-4882-ABE3-1AAE1F398CC0}" destId="{0B1B7560-6D6B-4366-87F2-361E64D66644}" srcOrd="1" destOrd="0" presId="urn:microsoft.com/office/officeart/2008/layout/LinedList"/>
    <dgm:cxn modelId="{A4920711-5911-4AE4-8896-14562FC19730}" type="presParOf" srcId="{B07A1943-D1FD-4882-ABE3-1AAE1F398CC0}" destId="{57B2711A-6079-4ABF-AC51-AFD17BB9660E}" srcOrd="2" destOrd="0" presId="urn:microsoft.com/office/officeart/2008/layout/LinedList"/>
    <dgm:cxn modelId="{BCD329AD-EA48-4012-B53B-102860EBFDCC}" type="presParOf" srcId="{42ACC580-5E46-44EE-9EC0-BF7EF6EDDE86}" destId="{9F44F2A9-5445-432F-9D51-83118698DF45}" srcOrd="2" destOrd="0" presId="urn:microsoft.com/office/officeart/2008/layout/LinedList"/>
    <dgm:cxn modelId="{C1AEA293-5316-4BFA-9E19-3B567D252E8D}" type="presParOf" srcId="{42ACC580-5E46-44EE-9EC0-BF7EF6EDDE86}" destId="{322E6026-7211-4E0F-B753-D81DBAF6B9D2}" srcOrd="3" destOrd="0" presId="urn:microsoft.com/office/officeart/2008/layout/LinedList"/>
    <dgm:cxn modelId="{C67C089F-EE0E-4B49-A018-07E02858224F}" type="presParOf" srcId="{42ACC580-5E46-44EE-9EC0-BF7EF6EDDE86}" destId="{997ADF23-6BDC-48FD-A62C-3B151301F030}" srcOrd="4" destOrd="0" presId="urn:microsoft.com/office/officeart/2008/layout/LinedList"/>
    <dgm:cxn modelId="{1417684B-B6EB-43BC-ABE8-BE99474999CE}" type="presParOf" srcId="{997ADF23-6BDC-48FD-A62C-3B151301F030}" destId="{316902DE-387B-452D-A389-5FB343C5E4D9}" srcOrd="0" destOrd="0" presId="urn:microsoft.com/office/officeart/2008/layout/LinedList"/>
    <dgm:cxn modelId="{C8A462B7-F39A-48FA-9EA1-B90F69BB86A7}" type="presParOf" srcId="{997ADF23-6BDC-48FD-A62C-3B151301F030}" destId="{B0372044-6EFE-4278-AE80-6F807BE7F1B5}" srcOrd="1" destOrd="0" presId="urn:microsoft.com/office/officeart/2008/layout/LinedList"/>
    <dgm:cxn modelId="{47A3D32D-2978-4A81-A6CB-882F2B2A0DBD}" type="presParOf" srcId="{997ADF23-6BDC-48FD-A62C-3B151301F030}" destId="{BA3B994A-7132-4DEB-8ADD-FB27665E3104}" srcOrd="2" destOrd="0" presId="urn:microsoft.com/office/officeart/2008/layout/LinedList"/>
    <dgm:cxn modelId="{6C7BE3E6-CE82-4574-B292-1CFB33F11286}" type="presParOf" srcId="{42ACC580-5E46-44EE-9EC0-BF7EF6EDDE86}" destId="{FF4796FB-75BC-499F-ADA7-D7228148EE72}" srcOrd="5" destOrd="0" presId="urn:microsoft.com/office/officeart/2008/layout/LinedList"/>
    <dgm:cxn modelId="{E416B009-42F3-4556-A5C7-AB1B23F662D0}" type="presParOf" srcId="{42ACC580-5E46-44EE-9EC0-BF7EF6EDDE86}" destId="{01B67631-BD1B-4E83-8B5A-BDC2BC5231A0}" srcOrd="6" destOrd="0" presId="urn:microsoft.com/office/officeart/2008/layout/LinedList"/>
    <dgm:cxn modelId="{F86DCFE1-D99B-48F8-943A-C7CC8A0C29F1}" type="presParOf" srcId="{42ACC580-5E46-44EE-9EC0-BF7EF6EDDE86}" destId="{4E0665FE-F9F8-48E5-A927-4B544C228038}" srcOrd="7" destOrd="0" presId="urn:microsoft.com/office/officeart/2008/layout/LinedList"/>
    <dgm:cxn modelId="{7F54F5CA-3BE6-44A3-BB17-6BCAA02BD0BC}" type="presParOf" srcId="{4E0665FE-F9F8-48E5-A927-4B544C228038}" destId="{48712BD8-46B4-473A-85C3-525042C05219}" srcOrd="0" destOrd="0" presId="urn:microsoft.com/office/officeart/2008/layout/LinedList"/>
    <dgm:cxn modelId="{8DAAB5BB-96C8-44EA-A538-945CD8DF0787}" type="presParOf" srcId="{4E0665FE-F9F8-48E5-A927-4B544C228038}" destId="{08459E75-70F0-4721-9FBA-876D67B3BC32}" srcOrd="1" destOrd="0" presId="urn:microsoft.com/office/officeart/2008/layout/LinedList"/>
    <dgm:cxn modelId="{E4D4232D-2446-4D35-B347-80FF8FC5DFF8}" type="presParOf" srcId="{4E0665FE-F9F8-48E5-A927-4B544C228038}" destId="{DF20A674-2F41-4BEB-87E0-33F05BAE4248}" srcOrd="2" destOrd="0" presId="urn:microsoft.com/office/officeart/2008/layout/LinedList"/>
    <dgm:cxn modelId="{F533C61D-5F6E-4DDD-AD31-910FB99F2924}" type="presParOf" srcId="{42ACC580-5E46-44EE-9EC0-BF7EF6EDDE86}" destId="{DE5AB8E8-91E8-404E-995C-FF9747AEB301}" srcOrd="8" destOrd="0" presId="urn:microsoft.com/office/officeart/2008/layout/LinedList"/>
    <dgm:cxn modelId="{7E06FF80-CA39-41CF-AA38-6CC889B8B5E3}" type="presParOf" srcId="{42ACC580-5E46-44EE-9EC0-BF7EF6EDDE86}" destId="{3EF69631-605F-40E7-ACEE-1586A5DE358D}" srcOrd="9" destOrd="0" presId="urn:microsoft.com/office/officeart/2008/layout/LinedList"/>
    <dgm:cxn modelId="{C171B79A-BFE1-40C1-A38D-EFC5ED7EAE62}" type="presParOf" srcId="{42ACC580-5E46-44EE-9EC0-BF7EF6EDDE86}" destId="{E0B846FC-5460-485B-8535-4C347B965235}" srcOrd="10" destOrd="0" presId="urn:microsoft.com/office/officeart/2008/layout/LinedList"/>
    <dgm:cxn modelId="{479B2B8D-DDF9-4D22-B5BE-DCF88C613398}" type="presParOf" srcId="{E0B846FC-5460-485B-8535-4C347B965235}" destId="{A91C9201-1694-4B45-8AB1-3899F6E403DF}" srcOrd="0" destOrd="0" presId="urn:microsoft.com/office/officeart/2008/layout/LinedList"/>
    <dgm:cxn modelId="{F6EEC5B8-4048-483B-B0F0-673AB46EECC7}" type="presParOf" srcId="{E0B846FC-5460-485B-8535-4C347B965235}" destId="{AFD1B0BF-7C3B-429E-9241-2DE32546767F}" srcOrd="1" destOrd="0" presId="urn:microsoft.com/office/officeart/2008/layout/LinedList"/>
    <dgm:cxn modelId="{EECD3C0D-F82F-47FD-81BF-0E0AA804370A}" type="presParOf" srcId="{E0B846FC-5460-485B-8535-4C347B965235}" destId="{28CA8B23-E765-451C-B572-C3C61BEF7614}" srcOrd="2" destOrd="0" presId="urn:microsoft.com/office/officeart/2008/layout/LinedList"/>
    <dgm:cxn modelId="{FE157BEA-6428-4678-93C8-D3A19C40088E}" type="presParOf" srcId="{42ACC580-5E46-44EE-9EC0-BF7EF6EDDE86}" destId="{DA31E984-C53F-4C62-A641-EA53895B25F5}" srcOrd="11" destOrd="0" presId="urn:microsoft.com/office/officeart/2008/layout/LinedList"/>
    <dgm:cxn modelId="{32032DFD-E340-4179-A121-9AC94CDB96DD}" type="presParOf" srcId="{42ACC580-5E46-44EE-9EC0-BF7EF6EDDE86}" destId="{6A93BD92-5860-4FB2-8E51-76CA34A8F7C9}" srcOrd="12" destOrd="0" presId="urn:microsoft.com/office/officeart/2008/layout/LinedList"/>
  </dgm:cxnLst>
  <dgm:bg/>
  <dgm:whole/>
  <dgm:extLst>
    <a:ext uri="http://schemas.microsoft.com/office/drawing/2008/diagram">
      <dsp:dataModelExt xmlns:dsp="http://schemas.microsoft.com/office/drawing/2008/diagram" relId="rId125" minVer="http://schemas.openxmlformats.org/drawingml/2006/diagram"/>
    </a:ext>
    <a:ext uri="{C62137D5-CB1D-491B-B009-E17868A290BF}">
      <dgm14:recolorImg xmlns:dgm14="http://schemas.microsoft.com/office/drawing/2010/diagram" val="1"/>
    </a:ext>
  </dgm:extLst>
</dgm:dataModel>
</file>

<file path=word/diagrams/data6.xml><?xml version="1.0" encoding="utf-8"?>
<dgm:dataModel xmlns:dgm="http://schemas.openxmlformats.org/drawingml/2006/diagram" xmlns:a="http://schemas.openxmlformats.org/drawingml/2006/main">
  <dgm:ptLst>
    <dgm:pt modelId="{D34F0F86-DB19-41E7-B6C1-82875BF9AAF4}" type="doc">
      <dgm:prSet loTypeId="urn:microsoft.com/office/officeart/2008/layout/LinedList" loCatId="list" qsTypeId="urn:microsoft.com/office/officeart/2005/8/quickstyle/3d2" qsCatId="3D" csTypeId="urn:microsoft.com/office/officeart/2005/8/colors/accent1_2" csCatId="accent1" phldr="1"/>
      <dgm:spPr/>
      <dgm:t>
        <a:bodyPr/>
        <a:lstStyle/>
        <a:p>
          <a:endParaRPr lang="en-NZ"/>
        </a:p>
      </dgm:t>
    </dgm:pt>
    <dgm:pt modelId="{956689CB-851D-42A1-A4EE-C49B629F6E82}">
      <dgm:prSet phldrT="[Text]" custT="1"/>
      <dgm:spPr/>
      <dgm:t>
        <a:bodyPr/>
        <a:lstStyle/>
        <a:p>
          <a:pPr>
            <a:lnSpc>
              <a:spcPts val="1800"/>
            </a:lnSpc>
          </a:pPr>
          <a:r>
            <a:rPr lang="en-NZ" sz="1400" b="1">
              <a:solidFill>
                <a:schemeClr val="accent4"/>
              </a:solidFill>
              <a:latin typeface="Georgia" panose="02040502050405020303" pitchFamily="18" charset="0"/>
            </a:rPr>
            <a:t>Recommended key tasks to complete before moving to Step 7</a:t>
          </a:r>
          <a:endParaRPr lang="en-NZ" sz="1400">
            <a:solidFill>
              <a:schemeClr val="accent4"/>
            </a:solidFill>
            <a:latin typeface="Georgia" panose="02040502050405020303" pitchFamily="18" charset="0"/>
          </a:endParaRPr>
        </a:p>
      </dgm:t>
    </dgm:pt>
    <dgm:pt modelId="{75846AEE-E3B2-46B7-B433-C5EFDE3CCD45}" type="parTrans" cxnId="{8B5C7044-1CEE-4E96-9590-9FC29964BB24}">
      <dgm:prSet/>
      <dgm:spPr/>
      <dgm:t>
        <a:bodyPr/>
        <a:lstStyle/>
        <a:p>
          <a:endParaRPr lang="en-NZ"/>
        </a:p>
      </dgm:t>
    </dgm:pt>
    <dgm:pt modelId="{6C545816-801F-43AF-8139-8E9453FD0309}" type="sibTrans" cxnId="{8B5C7044-1CEE-4E96-9590-9FC29964BB24}">
      <dgm:prSet/>
      <dgm:spPr/>
      <dgm:t>
        <a:bodyPr/>
        <a:lstStyle/>
        <a:p>
          <a:endParaRPr lang="en-NZ"/>
        </a:p>
      </dgm:t>
    </dgm:pt>
    <dgm:pt modelId="{FF2C293D-AEC5-4960-8CD5-4061B1888DB2}">
      <dgm:prSet phldrT="[Text]" custT="1"/>
      <dgm:spPr/>
      <dgm:t>
        <a:bodyPr/>
        <a:lstStyle/>
        <a:p>
          <a:r>
            <a:rPr lang="en-NZ" sz="1200"/>
            <a:t>Choose the appropriate evaluation tools to assess options and pathways.</a:t>
          </a:r>
        </a:p>
      </dgm:t>
    </dgm:pt>
    <dgm:pt modelId="{694AA41B-0BB1-4C83-8BC0-6EC168F7CC62}" type="parTrans" cxnId="{237597C6-2F37-41E7-BF4A-AB18577A83D3}">
      <dgm:prSet/>
      <dgm:spPr/>
      <dgm:t>
        <a:bodyPr/>
        <a:lstStyle/>
        <a:p>
          <a:endParaRPr lang="en-NZ"/>
        </a:p>
      </dgm:t>
    </dgm:pt>
    <dgm:pt modelId="{D53169FB-BA21-4583-A4E5-584D5380BEC2}" type="sibTrans" cxnId="{237597C6-2F37-41E7-BF4A-AB18577A83D3}">
      <dgm:prSet/>
      <dgm:spPr/>
      <dgm:t>
        <a:bodyPr/>
        <a:lstStyle/>
        <a:p>
          <a:endParaRPr lang="en-NZ"/>
        </a:p>
      </dgm:t>
    </dgm:pt>
    <dgm:pt modelId="{3F5A34B4-8501-43A2-9F02-B6F43923C31A}">
      <dgm:prSet phldrT="[Text]" custT="1"/>
      <dgm:spPr/>
      <dgm:t>
        <a:bodyPr/>
        <a:lstStyle/>
        <a:p>
          <a:pPr>
            <a:buFont typeface="Symbol" panose="05050102010706020507" pitchFamily="18" charset="2"/>
            <a:buChar char=""/>
          </a:pPr>
          <a:r>
            <a:rPr lang="en-NZ" sz="1200"/>
            <a:t>Evaluate adaptation options and pathways.</a:t>
          </a:r>
        </a:p>
      </dgm:t>
    </dgm:pt>
    <dgm:pt modelId="{EEFDD995-AC75-4A91-A4B2-353421E88D3F}" type="parTrans" cxnId="{D8750B11-4113-4D7B-A71E-84E95201ECB3}">
      <dgm:prSet/>
      <dgm:spPr/>
      <dgm:t>
        <a:bodyPr/>
        <a:lstStyle/>
        <a:p>
          <a:endParaRPr lang="en-NZ"/>
        </a:p>
      </dgm:t>
    </dgm:pt>
    <dgm:pt modelId="{0F97A74C-E7D8-4A09-BE62-CB9F91DD8615}" type="sibTrans" cxnId="{D8750B11-4113-4D7B-A71E-84E95201ECB3}">
      <dgm:prSet/>
      <dgm:spPr/>
      <dgm:t>
        <a:bodyPr/>
        <a:lstStyle/>
        <a:p>
          <a:endParaRPr lang="en-NZ"/>
        </a:p>
      </dgm:t>
    </dgm:pt>
    <dgm:pt modelId="{CA41E89E-D0AD-4FFF-89AB-FC599C55B6C5}">
      <dgm:prSet phldrT="[Text]" custT="1"/>
      <dgm:spPr/>
      <dgm:t>
        <a:bodyPr/>
        <a:lstStyle/>
        <a:p>
          <a:pPr>
            <a:buFont typeface="Symbol" panose="05050102010706020507" pitchFamily="18" charset="2"/>
            <a:buNone/>
          </a:pPr>
          <a:r>
            <a:rPr lang="en-NZ" sz="1200"/>
            <a:t>Stress-test the pathways chosen.</a:t>
          </a:r>
        </a:p>
      </dgm:t>
    </dgm:pt>
    <dgm:pt modelId="{CAA27D22-D9B1-4177-B99F-9C56BF5ABC91}" type="parTrans" cxnId="{6AE3292F-FF69-409B-9760-950B07CDF4DF}">
      <dgm:prSet/>
      <dgm:spPr/>
      <dgm:t>
        <a:bodyPr/>
        <a:lstStyle/>
        <a:p>
          <a:endParaRPr lang="en-NZ"/>
        </a:p>
      </dgm:t>
    </dgm:pt>
    <dgm:pt modelId="{E2DDB982-F07E-460E-B203-E073357CA5A8}" type="sibTrans" cxnId="{6AE3292F-FF69-409B-9760-950B07CDF4DF}">
      <dgm:prSet/>
      <dgm:spPr/>
      <dgm:t>
        <a:bodyPr/>
        <a:lstStyle/>
        <a:p>
          <a:endParaRPr lang="en-NZ"/>
        </a:p>
      </dgm:t>
    </dgm:pt>
    <dgm:pt modelId="{E9BD178F-FD65-4CF9-84A0-1268C4763795}" type="pres">
      <dgm:prSet presAssocID="{D34F0F86-DB19-41E7-B6C1-82875BF9AAF4}" presName="vert0" presStyleCnt="0">
        <dgm:presLayoutVars>
          <dgm:dir/>
          <dgm:animOne val="branch"/>
          <dgm:animLvl val="lvl"/>
        </dgm:presLayoutVars>
      </dgm:prSet>
      <dgm:spPr/>
    </dgm:pt>
    <dgm:pt modelId="{5727CFB7-D36E-4B7D-A1A0-BC59B422BE7B}" type="pres">
      <dgm:prSet presAssocID="{956689CB-851D-42A1-A4EE-C49B629F6E82}" presName="thickLine" presStyleLbl="alignNode1" presStyleIdx="0" presStyleCnt="1"/>
      <dgm:spPr/>
    </dgm:pt>
    <dgm:pt modelId="{CE193FB5-4FF9-4A8F-8BF1-2B4314296992}" type="pres">
      <dgm:prSet presAssocID="{956689CB-851D-42A1-A4EE-C49B629F6E82}" presName="horz1" presStyleCnt="0"/>
      <dgm:spPr/>
    </dgm:pt>
    <dgm:pt modelId="{9C3645CB-2DE0-4DFB-AC40-AA3738A1E278}" type="pres">
      <dgm:prSet presAssocID="{956689CB-851D-42A1-A4EE-C49B629F6E82}" presName="tx1" presStyleLbl="revTx" presStyleIdx="0" presStyleCnt="4" custScaleX="192141"/>
      <dgm:spPr/>
    </dgm:pt>
    <dgm:pt modelId="{42ACC580-5E46-44EE-9EC0-BF7EF6EDDE86}" type="pres">
      <dgm:prSet presAssocID="{956689CB-851D-42A1-A4EE-C49B629F6E82}" presName="vert1" presStyleCnt="0"/>
      <dgm:spPr/>
    </dgm:pt>
    <dgm:pt modelId="{89DCD850-0DC8-4D09-A285-303649B6D17D}" type="pres">
      <dgm:prSet presAssocID="{FF2C293D-AEC5-4960-8CD5-4061B1888DB2}" presName="vertSpace2a" presStyleCnt="0"/>
      <dgm:spPr/>
    </dgm:pt>
    <dgm:pt modelId="{B07A1943-D1FD-4882-ABE3-1AAE1F398CC0}" type="pres">
      <dgm:prSet presAssocID="{FF2C293D-AEC5-4960-8CD5-4061B1888DB2}" presName="horz2" presStyleCnt="0"/>
      <dgm:spPr/>
    </dgm:pt>
    <dgm:pt modelId="{D8166E62-D41C-4722-97D7-3FA89BC375EA}" type="pres">
      <dgm:prSet presAssocID="{FF2C293D-AEC5-4960-8CD5-4061B1888DB2}" presName="horzSpace2" presStyleCnt="0"/>
      <dgm:spPr/>
    </dgm:pt>
    <dgm:pt modelId="{0B1B7560-6D6B-4366-87F2-361E64D66644}" type="pres">
      <dgm:prSet presAssocID="{FF2C293D-AEC5-4960-8CD5-4061B1888DB2}" presName="tx2" presStyleLbl="revTx" presStyleIdx="1" presStyleCnt="4" custScaleY="45908"/>
      <dgm:spPr/>
    </dgm:pt>
    <dgm:pt modelId="{57B2711A-6079-4ABF-AC51-AFD17BB9660E}" type="pres">
      <dgm:prSet presAssocID="{FF2C293D-AEC5-4960-8CD5-4061B1888DB2}" presName="vert2" presStyleCnt="0"/>
      <dgm:spPr/>
    </dgm:pt>
    <dgm:pt modelId="{9F44F2A9-5445-432F-9D51-83118698DF45}" type="pres">
      <dgm:prSet presAssocID="{FF2C293D-AEC5-4960-8CD5-4061B1888DB2}" presName="thinLine2b" presStyleLbl="callout" presStyleIdx="0" presStyleCnt="3"/>
      <dgm:spPr/>
    </dgm:pt>
    <dgm:pt modelId="{322E6026-7211-4E0F-B753-D81DBAF6B9D2}" type="pres">
      <dgm:prSet presAssocID="{FF2C293D-AEC5-4960-8CD5-4061B1888DB2}" presName="vertSpace2b" presStyleCnt="0"/>
      <dgm:spPr/>
    </dgm:pt>
    <dgm:pt modelId="{997ADF23-6BDC-48FD-A62C-3B151301F030}" type="pres">
      <dgm:prSet presAssocID="{3F5A34B4-8501-43A2-9F02-B6F43923C31A}" presName="horz2" presStyleCnt="0"/>
      <dgm:spPr/>
    </dgm:pt>
    <dgm:pt modelId="{316902DE-387B-452D-A389-5FB343C5E4D9}" type="pres">
      <dgm:prSet presAssocID="{3F5A34B4-8501-43A2-9F02-B6F43923C31A}" presName="horzSpace2" presStyleCnt="0"/>
      <dgm:spPr/>
    </dgm:pt>
    <dgm:pt modelId="{B0372044-6EFE-4278-AE80-6F807BE7F1B5}" type="pres">
      <dgm:prSet presAssocID="{3F5A34B4-8501-43A2-9F02-B6F43923C31A}" presName="tx2" presStyleLbl="revTx" presStyleIdx="2" presStyleCnt="4" custScaleY="36999"/>
      <dgm:spPr/>
    </dgm:pt>
    <dgm:pt modelId="{BA3B994A-7132-4DEB-8ADD-FB27665E3104}" type="pres">
      <dgm:prSet presAssocID="{3F5A34B4-8501-43A2-9F02-B6F43923C31A}" presName="vert2" presStyleCnt="0"/>
      <dgm:spPr/>
    </dgm:pt>
    <dgm:pt modelId="{FF4796FB-75BC-499F-ADA7-D7228148EE72}" type="pres">
      <dgm:prSet presAssocID="{3F5A34B4-8501-43A2-9F02-B6F43923C31A}" presName="thinLine2b" presStyleLbl="callout" presStyleIdx="1" presStyleCnt="3"/>
      <dgm:spPr/>
    </dgm:pt>
    <dgm:pt modelId="{01B67631-BD1B-4E83-8B5A-BDC2BC5231A0}" type="pres">
      <dgm:prSet presAssocID="{3F5A34B4-8501-43A2-9F02-B6F43923C31A}" presName="vertSpace2b" presStyleCnt="0"/>
      <dgm:spPr/>
    </dgm:pt>
    <dgm:pt modelId="{4E0665FE-F9F8-48E5-A927-4B544C228038}" type="pres">
      <dgm:prSet presAssocID="{CA41E89E-D0AD-4FFF-89AB-FC599C55B6C5}" presName="horz2" presStyleCnt="0"/>
      <dgm:spPr/>
    </dgm:pt>
    <dgm:pt modelId="{48712BD8-46B4-473A-85C3-525042C05219}" type="pres">
      <dgm:prSet presAssocID="{CA41E89E-D0AD-4FFF-89AB-FC599C55B6C5}" presName="horzSpace2" presStyleCnt="0"/>
      <dgm:spPr/>
    </dgm:pt>
    <dgm:pt modelId="{08459E75-70F0-4721-9FBA-876D67B3BC32}" type="pres">
      <dgm:prSet presAssocID="{CA41E89E-D0AD-4FFF-89AB-FC599C55B6C5}" presName="tx2" presStyleLbl="revTx" presStyleIdx="3" presStyleCnt="4" custScaleY="36394"/>
      <dgm:spPr/>
    </dgm:pt>
    <dgm:pt modelId="{DF20A674-2F41-4BEB-87E0-33F05BAE4248}" type="pres">
      <dgm:prSet presAssocID="{CA41E89E-D0AD-4FFF-89AB-FC599C55B6C5}" presName="vert2" presStyleCnt="0"/>
      <dgm:spPr/>
    </dgm:pt>
    <dgm:pt modelId="{DE5AB8E8-91E8-404E-995C-FF9747AEB301}" type="pres">
      <dgm:prSet presAssocID="{CA41E89E-D0AD-4FFF-89AB-FC599C55B6C5}" presName="thinLine2b" presStyleLbl="callout" presStyleIdx="2" presStyleCnt="3"/>
      <dgm:spPr/>
    </dgm:pt>
    <dgm:pt modelId="{3EF69631-605F-40E7-ACEE-1586A5DE358D}" type="pres">
      <dgm:prSet presAssocID="{CA41E89E-D0AD-4FFF-89AB-FC599C55B6C5}" presName="vertSpace2b" presStyleCnt="0"/>
      <dgm:spPr/>
    </dgm:pt>
  </dgm:ptLst>
  <dgm:cxnLst>
    <dgm:cxn modelId="{66B86106-A544-4465-A6BD-FCDC2C1DF360}" type="presOf" srcId="{D34F0F86-DB19-41E7-B6C1-82875BF9AAF4}" destId="{E9BD178F-FD65-4CF9-84A0-1268C4763795}" srcOrd="0" destOrd="0" presId="urn:microsoft.com/office/officeart/2008/layout/LinedList"/>
    <dgm:cxn modelId="{D8750B11-4113-4D7B-A71E-84E95201ECB3}" srcId="{956689CB-851D-42A1-A4EE-C49B629F6E82}" destId="{3F5A34B4-8501-43A2-9F02-B6F43923C31A}" srcOrd="1" destOrd="0" parTransId="{EEFDD995-AC75-4A91-A4B2-353421E88D3F}" sibTransId="{0F97A74C-E7D8-4A09-BE62-CB9F91DD8615}"/>
    <dgm:cxn modelId="{6AE3292F-FF69-409B-9760-950B07CDF4DF}" srcId="{956689CB-851D-42A1-A4EE-C49B629F6E82}" destId="{CA41E89E-D0AD-4FFF-89AB-FC599C55B6C5}" srcOrd="2" destOrd="0" parTransId="{CAA27D22-D9B1-4177-B99F-9C56BF5ABC91}" sibTransId="{E2DDB982-F07E-460E-B203-E073357CA5A8}"/>
    <dgm:cxn modelId="{2B068B5E-322A-4B7A-934D-19692B02D86C}" type="presOf" srcId="{FF2C293D-AEC5-4960-8CD5-4061B1888DB2}" destId="{0B1B7560-6D6B-4366-87F2-361E64D66644}" srcOrd="0" destOrd="0" presId="urn:microsoft.com/office/officeart/2008/layout/LinedList"/>
    <dgm:cxn modelId="{8B5C7044-1CEE-4E96-9590-9FC29964BB24}" srcId="{D34F0F86-DB19-41E7-B6C1-82875BF9AAF4}" destId="{956689CB-851D-42A1-A4EE-C49B629F6E82}" srcOrd="0" destOrd="0" parTransId="{75846AEE-E3B2-46B7-B433-C5EFDE3CCD45}" sibTransId="{6C545816-801F-43AF-8139-8E9453FD0309}"/>
    <dgm:cxn modelId="{8321B059-4916-4EC1-AA71-4B1F187D1CEF}" type="presOf" srcId="{956689CB-851D-42A1-A4EE-C49B629F6E82}" destId="{9C3645CB-2DE0-4DFB-AC40-AA3738A1E278}" srcOrd="0" destOrd="0" presId="urn:microsoft.com/office/officeart/2008/layout/LinedList"/>
    <dgm:cxn modelId="{E923FC9A-7DDA-4BFF-8926-451E9BDE73BE}" type="presOf" srcId="{CA41E89E-D0AD-4FFF-89AB-FC599C55B6C5}" destId="{08459E75-70F0-4721-9FBA-876D67B3BC32}" srcOrd="0" destOrd="0" presId="urn:microsoft.com/office/officeart/2008/layout/LinedList"/>
    <dgm:cxn modelId="{EDE231AD-62FF-4FB2-BC3D-D551702BB557}" type="presOf" srcId="{3F5A34B4-8501-43A2-9F02-B6F43923C31A}" destId="{B0372044-6EFE-4278-AE80-6F807BE7F1B5}" srcOrd="0" destOrd="0" presId="urn:microsoft.com/office/officeart/2008/layout/LinedList"/>
    <dgm:cxn modelId="{237597C6-2F37-41E7-BF4A-AB18577A83D3}" srcId="{956689CB-851D-42A1-A4EE-C49B629F6E82}" destId="{FF2C293D-AEC5-4960-8CD5-4061B1888DB2}" srcOrd="0" destOrd="0" parTransId="{694AA41B-0BB1-4C83-8BC0-6EC168F7CC62}" sibTransId="{D53169FB-BA21-4583-A4E5-584D5380BEC2}"/>
    <dgm:cxn modelId="{19D08D3D-9DC3-45D9-94FA-9BF025A1DF7F}" type="presParOf" srcId="{E9BD178F-FD65-4CF9-84A0-1268C4763795}" destId="{5727CFB7-D36E-4B7D-A1A0-BC59B422BE7B}" srcOrd="0" destOrd="0" presId="urn:microsoft.com/office/officeart/2008/layout/LinedList"/>
    <dgm:cxn modelId="{E6A29537-88A3-4E78-BAC2-C77E99894228}" type="presParOf" srcId="{E9BD178F-FD65-4CF9-84A0-1268C4763795}" destId="{CE193FB5-4FF9-4A8F-8BF1-2B4314296992}" srcOrd="1" destOrd="0" presId="urn:microsoft.com/office/officeart/2008/layout/LinedList"/>
    <dgm:cxn modelId="{3974CC3A-F0AE-4CC8-A6A4-E64E17C847EE}" type="presParOf" srcId="{CE193FB5-4FF9-4A8F-8BF1-2B4314296992}" destId="{9C3645CB-2DE0-4DFB-AC40-AA3738A1E278}" srcOrd="0" destOrd="0" presId="urn:microsoft.com/office/officeart/2008/layout/LinedList"/>
    <dgm:cxn modelId="{D53A3B54-584C-4749-866C-CC17F82EA376}" type="presParOf" srcId="{CE193FB5-4FF9-4A8F-8BF1-2B4314296992}" destId="{42ACC580-5E46-44EE-9EC0-BF7EF6EDDE86}" srcOrd="1" destOrd="0" presId="urn:microsoft.com/office/officeart/2008/layout/LinedList"/>
    <dgm:cxn modelId="{0C2C5E3D-42DA-45D0-9B04-ED69BC136E86}" type="presParOf" srcId="{42ACC580-5E46-44EE-9EC0-BF7EF6EDDE86}" destId="{89DCD850-0DC8-4D09-A285-303649B6D17D}" srcOrd="0" destOrd="0" presId="urn:microsoft.com/office/officeart/2008/layout/LinedList"/>
    <dgm:cxn modelId="{EA43FB01-1003-45ED-B753-8540EDE19088}" type="presParOf" srcId="{42ACC580-5E46-44EE-9EC0-BF7EF6EDDE86}" destId="{B07A1943-D1FD-4882-ABE3-1AAE1F398CC0}" srcOrd="1" destOrd="0" presId="urn:microsoft.com/office/officeart/2008/layout/LinedList"/>
    <dgm:cxn modelId="{419B21AF-2A2F-479A-9DAC-49B8D13ECDB1}" type="presParOf" srcId="{B07A1943-D1FD-4882-ABE3-1AAE1F398CC0}" destId="{D8166E62-D41C-4722-97D7-3FA89BC375EA}" srcOrd="0" destOrd="0" presId="urn:microsoft.com/office/officeart/2008/layout/LinedList"/>
    <dgm:cxn modelId="{72943A0C-8E2F-4A8C-85EC-6DEBEBC369C0}" type="presParOf" srcId="{B07A1943-D1FD-4882-ABE3-1AAE1F398CC0}" destId="{0B1B7560-6D6B-4366-87F2-361E64D66644}" srcOrd="1" destOrd="0" presId="urn:microsoft.com/office/officeart/2008/layout/LinedList"/>
    <dgm:cxn modelId="{A4920711-5911-4AE4-8896-14562FC19730}" type="presParOf" srcId="{B07A1943-D1FD-4882-ABE3-1AAE1F398CC0}" destId="{57B2711A-6079-4ABF-AC51-AFD17BB9660E}" srcOrd="2" destOrd="0" presId="urn:microsoft.com/office/officeart/2008/layout/LinedList"/>
    <dgm:cxn modelId="{BCD329AD-EA48-4012-B53B-102860EBFDCC}" type="presParOf" srcId="{42ACC580-5E46-44EE-9EC0-BF7EF6EDDE86}" destId="{9F44F2A9-5445-432F-9D51-83118698DF45}" srcOrd="2" destOrd="0" presId="urn:microsoft.com/office/officeart/2008/layout/LinedList"/>
    <dgm:cxn modelId="{C1AEA293-5316-4BFA-9E19-3B567D252E8D}" type="presParOf" srcId="{42ACC580-5E46-44EE-9EC0-BF7EF6EDDE86}" destId="{322E6026-7211-4E0F-B753-D81DBAF6B9D2}" srcOrd="3" destOrd="0" presId="urn:microsoft.com/office/officeart/2008/layout/LinedList"/>
    <dgm:cxn modelId="{C67C089F-EE0E-4B49-A018-07E02858224F}" type="presParOf" srcId="{42ACC580-5E46-44EE-9EC0-BF7EF6EDDE86}" destId="{997ADF23-6BDC-48FD-A62C-3B151301F030}" srcOrd="4" destOrd="0" presId="urn:microsoft.com/office/officeart/2008/layout/LinedList"/>
    <dgm:cxn modelId="{1417684B-B6EB-43BC-ABE8-BE99474999CE}" type="presParOf" srcId="{997ADF23-6BDC-48FD-A62C-3B151301F030}" destId="{316902DE-387B-452D-A389-5FB343C5E4D9}" srcOrd="0" destOrd="0" presId="urn:microsoft.com/office/officeart/2008/layout/LinedList"/>
    <dgm:cxn modelId="{C8A462B7-F39A-48FA-9EA1-B90F69BB86A7}" type="presParOf" srcId="{997ADF23-6BDC-48FD-A62C-3B151301F030}" destId="{B0372044-6EFE-4278-AE80-6F807BE7F1B5}" srcOrd="1" destOrd="0" presId="urn:microsoft.com/office/officeart/2008/layout/LinedList"/>
    <dgm:cxn modelId="{47A3D32D-2978-4A81-A6CB-882F2B2A0DBD}" type="presParOf" srcId="{997ADF23-6BDC-48FD-A62C-3B151301F030}" destId="{BA3B994A-7132-4DEB-8ADD-FB27665E3104}" srcOrd="2" destOrd="0" presId="urn:microsoft.com/office/officeart/2008/layout/LinedList"/>
    <dgm:cxn modelId="{6C7BE3E6-CE82-4574-B292-1CFB33F11286}" type="presParOf" srcId="{42ACC580-5E46-44EE-9EC0-BF7EF6EDDE86}" destId="{FF4796FB-75BC-499F-ADA7-D7228148EE72}" srcOrd="5" destOrd="0" presId="urn:microsoft.com/office/officeart/2008/layout/LinedList"/>
    <dgm:cxn modelId="{E416B009-42F3-4556-A5C7-AB1B23F662D0}" type="presParOf" srcId="{42ACC580-5E46-44EE-9EC0-BF7EF6EDDE86}" destId="{01B67631-BD1B-4E83-8B5A-BDC2BC5231A0}" srcOrd="6" destOrd="0" presId="urn:microsoft.com/office/officeart/2008/layout/LinedList"/>
    <dgm:cxn modelId="{F86DCFE1-D99B-48F8-943A-C7CC8A0C29F1}" type="presParOf" srcId="{42ACC580-5E46-44EE-9EC0-BF7EF6EDDE86}" destId="{4E0665FE-F9F8-48E5-A927-4B544C228038}" srcOrd="7" destOrd="0" presId="urn:microsoft.com/office/officeart/2008/layout/LinedList"/>
    <dgm:cxn modelId="{7F54F5CA-3BE6-44A3-BB17-6BCAA02BD0BC}" type="presParOf" srcId="{4E0665FE-F9F8-48E5-A927-4B544C228038}" destId="{48712BD8-46B4-473A-85C3-525042C05219}" srcOrd="0" destOrd="0" presId="urn:microsoft.com/office/officeart/2008/layout/LinedList"/>
    <dgm:cxn modelId="{8DAAB5BB-96C8-44EA-A538-945CD8DF0787}" type="presParOf" srcId="{4E0665FE-F9F8-48E5-A927-4B544C228038}" destId="{08459E75-70F0-4721-9FBA-876D67B3BC32}" srcOrd="1" destOrd="0" presId="urn:microsoft.com/office/officeart/2008/layout/LinedList"/>
    <dgm:cxn modelId="{E4D4232D-2446-4D35-B347-80FF8FC5DFF8}" type="presParOf" srcId="{4E0665FE-F9F8-48E5-A927-4B544C228038}" destId="{DF20A674-2F41-4BEB-87E0-33F05BAE4248}" srcOrd="2" destOrd="0" presId="urn:microsoft.com/office/officeart/2008/layout/LinedList"/>
    <dgm:cxn modelId="{F533C61D-5F6E-4DDD-AD31-910FB99F2924}" type="presParOf" srcId="{42ACC580-5E46-44EE-9EC0-BF7EF6EDDE86}" destId="{DE5AB8E8-91E8-404E-995C-FF9747AEB301}" srcOrd="8" destOrd="0" presId="urn:microsoft.com/office/officeart/2008/layout/LinedList"/>
    <dgm:cxn modelId="{7E06FF80-CA39-41CF-AA38-6CC889B8B5E3}" type="presParOf" srcId="{42ACC580-5E46-44EE-9EC0-BF7EF6EDDE86}" destId="{3EF69631-605F-40E7-ACEE-1586A5DE358D}" srcOrd="9" destOrd="0" presId="urn:microsoft.com/office/officeart/2008/layout/LinedList"/>
  </dgm:cxnLst>
  <dgm:bg/>
  <dgm:whole/>
  <dgm:extLst>
    <a:ext uri="http://schemas.microsoft.com/office/drawing/2008/diagram">
      <dsp:dataModelExt xmlns:dsp="http://schemas.microsoft.com/office/drawing/2008/diagram" relId="rId133" minVer="http://schemas.openxmlformats.org/drawingml/2006/diagram"/>
    </a:ext>
    <a:ext uri="{C62137D5-CB1D-491B-B009-E17868A290BF}">
      <dgm14:recolorImg xmlns:dgm14="http://schemas.microsoft.com/office/drawing/2010/diagram" val="1"/>
    </a:ext>
  </dgm:extLst>
</dgm:dataModel>
</file>

<file path=word/diagrams/data7.xml><?xml version="1.0" encoding="utf-8"?>
<dgm:dataModel xmlns:dgm="http://schemas.openxmlformats.org/drawingml/2006/diagram" xmlns:a="http://schemas.openxmlformats.org/drawingml/2006/main">
  <dgm:ptLst>
    <dgm:pt modelId="{D34F0F86-DB19-41E7-B6C1-82875BF9AAF4}" type="doc">
      <dgm:prSet loTypeId="urn:microsoft.com/office/officeart/2008/layout/LinedList" loCatId="list" qsTypeId="urn:microsoft.com/office/officeart/2005/8/quickstyle/3d2" qsCatId="3D" csTypeId="urn:microsoft.com/office/officeart/2005/8/colors/accent1_2" csCatId="accent1" phldr="1"/>
      <dgm:spPr/>
      <dgm:t>
        <a:bodyPr/>
        <a:lstStyle/>
        <a:p>
          <a:endParaRPr lang="en-NZ"/>
        </a:p>
      </dgm:t>
    </dgm:pt>
    <dgm:pt modelId="{956689CB-851D-42A1-A4EE-C49B629F6E82}">
      <dgm:prSet phldrT="[Text]" custT="1"/>
      <dgm:spPr/>
      <dgm:t>
        <a:bodyPr/>
        <a:lstStyle/>
        <a:p>
          <a:pPr>
            <a:lnSpc>
              <a:spcPts val="1800"/>
            </a:lnSpc>
          </a:pPr>
          <a:r>
            <a:rPr lang="en-NZ" sz="1400" b="1">
              <a:solidFill>
                <a:schemeClr val="accent4"/>
              </a:solidFill>
              <a:latin typeface="Georgia" panose="02040502050405020303" pitchFamily="18" charset="0"/>
            </a:rPr>
            <a:t>Recommended key tasks to complete before moving to Step 8</a:t>
          </a:r>
          <a:endParaRPr lang="en-NZ" sz="1400">
            <a:solidFill>
              <a:schemeClr val="accent4"/>
            </a:solidFill>
            <a:latin typeface="Georgia" panose="02040502050405020303" pitchFamily="18" charset="0"/>
          </a:endParaRPr>
        </a:p>
      </dgm:t>
    </dgm:pt>
    <dgm:pt modelId="{75846AEE-E3B2-46B7-B433-C5EFDE3CCD45}" type="parTrans" cxnId="{8B5C7044-1CEE-4E96-9590-9FC29964BB24}">
      <dgm:prSet/>
      <dgm:spPr/>
      <dgm:t>
        <a:bodyPr/>
        <a:lstStyle/>
        <a:p>
          <a:endParaRPr lang="en-NZ"/>
        </a:p>
      </dgm:t>
    </dgm:pt>
    <dgm:pt modelId="{6C545816-801F-43AF-8139-8E9453FD0309}" type="sibTrans" cxnId="{8B5C7044-1CEE-4E96-9590-9FC29964BB24}">
      <dgm:prSet/>
      <dgm:spPr/>
      <dgm:t>
        <a:bodyPr/>
        <a:lstStyle/>
        <a:p>
          <a:endParaRPr lang="en-NZ"/>
        </a:p>
      </dgm:t>
    </dgm:pt>
    <dgm:pt modelId="{FF2C293D-AEC5-4960-8CD5-4061B1888DB2}">
      <dgm:prSet phldrT="[Text]" custT="1"/>
      <dgm:spPr/>
      <dgm:t>
        <a:bodyPr/>
        <a:lstStyle/>
        <a:p>
          <a:r>
            <a:rPr lang="en-NZ" sz="1200"/>
            <a:t>Design effective signals and triggers (decision points) for adaptation planning.</a:t>
          </a:r>
        </a:p>
      </dgm:t>
    </dgm:pt>
    <dgm:pt modelId="{694AA41B-0BB1-4C83-8BC0-6EC168F7CC62}" type="parTrans" cxnId="{237597C6-2F37-41E7-BF4A-AB18577A83D3}">
      <dgm:prSet/>
      <dgm:spPr/>
      <dgm:t>
        <a:bodyPr/>
        <a:lstStyle/>
        <a:p>
          <a:endParaRPr lang="en-NZ"/>
        </a:p>
      </dgm:t>
    </dgm:pt>
    <dgm:pt modelId="{D53169FB-BA21-4583-A4E5-584D5380BEC2}" type="sibTrans" cxnId="{237597C6-2F37-41E7-BF4A-AB18577A83D3}">
      <dgm:prSet/>
      <dgm:spPr/>
      <dgm:t>
        <a:bodyPr/>
        <a:lstStyle/>
        <a:p>
          <a:endParaRPr lang="en-NZ"/>
        </a:p>
      </dgm:t>
    </dgm:pt>
    <dgm:pt modelId="{3F5A34B4-8501-43A2-9F02-B6F43923C31A}">
      <dgm:prSet phldrT="[Text]" custT="1"/>
      <dgm:spPr/>
      <dgm:t>
        <a:bodyPr/>
        <a:lstStyle/>
        <a:p>
          <a:pPr>
            <a:buFont typeface="Symbol" panose="05050102010706020507" pitchFamily="18" charset="2"/>
            <a:buChar char=""/>
          </a:pPr>
          <a:r>
            <a:rPr lang="en-NZ" sz="1200"/>
            <a:t>Ensure signals and triggers are early enough in the planning process to enable changes to occur (before damage is incurred when possible).</a:t>
          </a:r>
        </a:p>
      </dgm:t>
    </dgm:pt>
    <dgm:pt modelId="{EEFDD995-AC75-4A91-A4B2-353421E88D3F}" type="parTrans" cxnId="{D8750B11-4113-4D7B-A71E-84E95201ECB3}">
      <dgm:prSet/>
      <dgm:spPr/>
      <dgm:t>
        <a:bodyPr/>
        <a:lstStyle/>
        <a:p>
          <a:endParaRPr lang="en-NZ"/>
        </a:p>
      </dgm:t>
    </dgm:pt>
    <dgm:pt modelId="{0F97A74C-E7D8-4A09-BE62-CB9F91DD8615}" type="sibTrans" cxnId="{D8750B11-4113-4D7B-A71E-84E95201ECB3}">
      <dgm:prSet/>
      <dgm:spPr/>
      <dgm:t>
        <a:bodyPr/>
        <a:lstStyle/>
        <a:p>
          <a:endParaRPr lang="en-NZ"/>
        </a:p>
      </dgm:t>
    </dgm:pt>
    <dgm:pt modelId="{E9BD178F-FD65-4CF9-84A0-1268C4763795}" type="pres">
      <dgm:prSet presAssocID="{D34F0F86-DB19-41E7-B6C1-82875BF9AAF4}" presName="vert0" presStyleCnt="0">
        <dgm:presLayoutVars>
          <dgm:dir/>
          <dgm:animOne val="branch"/>
          <dgm:animLvl val="lvl"/>
        </dgm:presLayoutVars>
      </dgm:prSet>
      <dgm:spPr/>
    </dgm:pt>
    <dgm:pt modelId="{5727CFB7-D36E-4B7D-A1A0-BC59B422BE7B}" type="pres">
      <dgm:prSet presAssocID="{956689CB-851D-42A1-A4EE-C49B629F6E82}" presName="thickLine" presStyleLbl="alignNode1" presStyleIdx="0" presStyleCnt="1"/>
      <dgm:spPr/>
    </dgm:pt>
    <dgm:pt modelId="{CE193FB5-4FF9-4A8F-8BF1-2B4314296992}" type="pres">
      <dgm:prSet presAssocID="{956689CB-851D-42A1-A4EE-C49B629F6E82}" presName="horz1" presStyleCnt="0"/>
      <dgm:spPr/>
    </dgm:pt>
    <dgm:pt modelId="{9C3645CB-2DE0-4DFB-AC40-AA3738A1E278}" type="pres">
      <dgm:prSet presAssocID="{956689CB-851D-42A1-A4EE-C49B629F6E82}" presName="tx1" presStyleLbl="revTx" presStyleIdx="0" presStyleCnt="3" custScaleX="200197"/>
      <dgm:spPr/>
    </dgm:pt>
    <dgm:pt modelId="{42ACC580-5E46-44EE-9EC0-BF7EF6EDDE86}" type="pres">
      <dgm:prSet presAssocID="{956689CB-851D-42A1-A4EE-C49B629F6E82}" presName="vert1" presStyleCnt="0"/>
      <dgm:spPr/>
    </dgm:pt>
    <dgm:pt modelId="{89DCD850-0DC8-4D09-A285-303649B6D17D}" type="pres">
      <dgm:prSet presAssocID="{FF2C293D-AEC5-4960-8CD5-4061B1888DB2}" presName="vertSpace2a" presStyleCnt="0"/>
      <dgm:spPr/>
    </dgm:pt>
    <dgm:pt modelId="{B07A1943-D1FD-4882-ABE3-1AAE1F398CC0}" type="pres">
      <dgm:prSet presAssocID="{FF2C293D-AEC5-4960-8CD5-4061B1888DB2}" presName="horz2" presStyleCnt="0"/>
      <dgm:spPr/>
    </dgm:pt>
    <dgm:pt modelId="{D8166E62-D41C-4722-97D7-3FA89BC375EA}" type="pres">
      <dgm:prSet presAssocID="{FF2C293D-AEC5-4960-8CD5-4061B1888DB2}" presName="horzSpace2" presStyleCnt="0"/>
      <dgm:spPr/>
    </dgm:pt>
    <dgm:pt modelId="{0B1B7560-6D6B-4366-87F2-361E64D66644}" type="pres">
      <dgm:prSet presAssocID="{FF2C293D-AEC5-4960-8CD5-4061B1888DB2}" presName="tx2" presStyleLbl="revTx" presStyleIdx="1" presStyleCnt="3" custScaleY="52152"/>
      <dgm:spPr/>
    </dgm:pt>
    <dgm:pt modelId="{57B2711A-6079-4ABF-AC51-AFD17BB9660E}" type="pres">
      <dgm:prSet presAssocID="{FF2C293D-AEC5-4960-8CD5-4061B1888DB2}" presName="vert2" presStyleCnt="0"/>
      <dgm:spPr/>
    </dgm:pt>
    <dgm:pt modelId="{9F44F2A9-5445-432F-9D51-83118698DF45}" type="pres">
      <dgm:prSet presAssocID="{FF2C293D-AEC5-4960-8CD5-4061B1888DB2}" presName="thinLine2b" presStyleLbl="callout" presStyleIdx="0" presStyleCnt="2"/>
      <dgm:spPr/>
    </dgm:pt>
    <dgm:pt modelId="{322E6026-7211-4E0F-B753-D81DBAF6B9D2}" type="pres">
      <dgm:prSet presAssocID="{FF2C293D-AEC5-4960-8CD5-4061B1888DB2}" presName="vertSpace2b" presStyleCnt="0"/>
      <dgm:spPr/>
    </dgm:pt>
    <dgm:pt modelId="{997ADF23-6BDC-48FD-A62C-3B151301F030}" type="pres">
      <dgm:prSet presAssocID="{3F5A34B4-8501-43A2-9F02-B6F43923C31A}" presName="horz2" presStyleCnt="0"/>
      <dgm:spPr/>
    </dgm:pt>
    <dgm:pt modelId="{316902DE-387B-452D-A389-5FB343C5E4D9}" type="pres">
      <dgm:prSet presAssocID="{3F5A34B4-8501-43A2-9F02-B6F43923C31A}" presName="horzSpace2" presStyleCnt="0"/>
      <dgm:spPr/>
    </dgm:pt>
    <dgm:pt modelId="{B0372044-6EFE-4278-AE80-6F807BE7F1B5}" type="pres">
      <dgm:prSet presAssocID="{3F5A34B4-8501-43A2-9F02-B6F43923C31A}" presName="tx2" presStyleLbl="revTx" presStyleIdx="2" presStyleCnt="3" custScaleY="66307"/>
      <dgm:spPr/>
    </dgm:pt>
    <dgm:pt modelId="{BA3B994A-7132-4DEB-8ADD-FB27665E3104}" type="pres">
      <dgm:prSet presAssocID="{3F5A34B4-8501-43A2-9F02-B6F43923C31A}" presName="vert2" presStyleCnt="0"/>
      <dgm:spPr/>
    </dgm:pt>
    <dgm:pt modelId="{FF4796FB-75BC-499F-ADA7-D7228148EE72}" type="pres">
      <dgm:prSet presAssocID="{3F5A34B4-8501-43A2-9F02-B6F43923C31A}" presName="thinLine2b" presStyleLbl="callout" presStyleIdx="1" presStyleCnt="2"/>
      <dgm:spPr/>
    </dgm:pt>
    <dgm:pt modelId="{01B67631-BD1B-4E83-8B5A-BDC2BC5231A0}" type="pres">
      <dgm:prSet presAssocID="{3F5A34B4-8501-43A2-9F02-B6F43923C31A}" presName="vertSpace2b" presStyleCnt="0"/>
      <dgm:spPr/>
    </dgm:pt>
  </dgm:ptLst>
  <dgm:cxnLst>
    <dgm:cxn modelId="{66B86106-A544-4465-A6BD-FCDC2C1DF360}" type="presOf" srcId="{D34F0F86-DB19-41E7-B6C1-82875BF9AAF4}" destId="{E9BD178F-FD65-4CF9-84A0-1268C4763795}" srcOrd="0" destOrd="0" presId="urn:microsoft.com/office/officeart/2008/layout/LinedList"/>
    <dgm:cxn modelId="{D8750B11-4113-4D7B-A71E-84E95201ECB3}" srcId="{956689CB-851D-42A1-A4EE-C49B629F6E82}" destId="{3F5A34B4-8501-43A2-9F02-B6F43923C31A}" srcOrd="1" destOrd="0" parTransId="{EEFDD995-AC75-4A91-A4B2-353421E88D3F}" sibTransId="{0F97A74C-E7D8-4A09-BE62-CB9F91DD8615}"/>
    <dgm:cxn modelId="{2B068B5E-322A-4B7A-934D-19692B02D86C}" type="presOf" srcId="{FF2C293D-AEC5-4960-8CD5-4061B1888DB2}" destId="{0B1B7560-6D6B-4366-87F2-361E64D66644}" srcOrd="0" destOrd="0" presId="urn:microsoft.com/office/officeart/2008/layout/LinedList"/>
    <dgm:cxn modelId="{8B5C7044-1CEE-4E96-9590-9FC29964BB24}" srcId="{D34F0F86-DB19-41E7-B6C1-82875BF9AAF4}" destId="{956689CB-851D-42A1-A4EE-C49B629F6E82}" srcOrd="0" destOrd="0" parTransId="{75846AEE-E3B2-46B7-B433-C5EFDE3CCD45}" sibTransId="{6C545816-801F-43AF-8139-8E9453FD0309}"/>
    <dgm:cxn modelId="{8321B059-4916-4EC1-AA71-4B1F187D1CEF}" type="presOf" srcId="{956689CB-851D-42A1-A4EE-C49B629F6E82}" destId="{9C3645CB-2DE0-4DFB-AC40-AA3738A1E278}" srcOrd="0" destOrd="0" presId="urn:microsoft.com/office/officeart/2008/layout/LinedList"/>
    <dgm:cxn modelId="{EDE231AD-62FF-4FB2-BC3D-D551702BB557}" type="presOf" srcId="{3F5A34B4-8501-43A2-9F02-B6F43923C31A}" destId="{B0372044-6EFE-4278-AE80-6F807BE7F1B5}" srcOrd="0" destOrd="0" presId="urn:microsoft.com/office/officeart/2008/layout/LinedList"/>
    <dgm:cxn modelId="{237597C6-2F37-41E7-BF4A-AB18577A83D3}" srcId="{956689CB-851D-42A1-A4EE-C49B629F6E82}" destId="{FF2C293D-AEC5-4960-8CD5-4061B1888DB2}" srcOrd="0" destOrd="0" parTransId="{694AA41B-0BB1-4C83-8BC0-6EC168F7CC62}" sibTransId="{D53169FB-BA21-4583-A4E5-584D5380BEC2}"/>
    <dgm:cxn modelId="{19D08D3D-9DC3-45D9-94FA-9BF025A1DF7F}" type="presParOf" srcId="{E9BD178F-FD65-4CF9-84A0-1268C4763795}" destId="{5727CFB7-D36E-4B7D-A1A0-BC59B422BE7B}" srcOrd="0" destOrd="0" presId="urn:microsoft.com/office/officeart/2008/layout/LinedList"/>
    <dgm:cxn modelId="{E6A29537-88A3-4E78-BAC2-C77E99894228}" type="presParOf" srcId="{E9BD178F-FD65-4CF9-84A0-1268C4763795}" destId="{CE193FB5-4FF9-4A8F-8BF1-2B4314296992}" srcOrd="1" destOrd="0" presId="urn:microsoft.com/office/officeart/2008/layout/LinedList"/>
    <dgm:cxn modelId="{3974CC3A-F0AE-4CC8-A6A4-E64E17C847EE}" type="presParOf" srcId="{CE193FB5-4FF9-4A8F-8BF1-2B4314296992}" destId="{9C3645CB-2DE0-4DFB-AC40-AA3738A1E278}" srcOrd="0" destOrd="0" presId="urn:microsoft.com/office/officeart/2008/layout/LinedList"/>
    <dgm:cxn modelId="{D53A3B54-584C-4749-866C-CC17F82EA376}" type="presParOf" srcId="{CE193FB5-4FF9-4A8F-8BF1-2B4314296992}" destId="{42ACC580-5E46-44EE-9EC0-BF7EF6EDDE86}" srcOrd="1" destOrd="0" presId="urn:microsoft.com/office/officeart/2008/layout/LinedList"/>
    <dgm:cxn modelId="{0C2C5E3D-42DA-45D0-9B04-ED69BC136E86}" type="presParOf" srcId="{42ACC580-5E46-44EE-9EC0-BF7EF6EDDE86}" destId="{89DCD850-0DC8-4D09-A285-303649B6D17D}" srcOrd="0" destOrd="0" presId="urn:microsoft.com/office/officeart/2008/layout/LinedList"/>
    <dgm:cxn modelId="{EA43FB01-1003-45ED-B753-8540EDE19088}" type="presParOf" srcId="{42ACC580-5E46-44EE-9EC0-BF7EF6EDDE86}" destId="{B07A1943-D1FD-4882-ABE3-1AAE1F398CC0}" srcOrd="1" destOrd="0" presId="urn:microsoft.com/office/officeart/2008/layout/LinedList"/>
    <dgm:cxn modelId="{419B21AF-2A2F-479A-9DAC-49B8D13ECDB1}" type="presParOf" srcId="{B07A1943-D1FD-4882-ABE3-1AAE1F398CC0}" destId="{D8166E62-D41C-4722-97D7-3FA89BC375EA}" srcOrd="0" destOrd="0" presId="urn:microsoft.com/office/officeart/2008/layout/LinedList"/>
    <dgm:cxn modelId="{72943A0C-8E2F-4A8C-85EC-6DEBEBC369C0}" type="presParOf" srcId="{B07A1943-D1FD-4882-ABE3-1AAE1F398CC0}" destId="{0B1B7560-6D6B-4366-87F2-361E64D66644}" srcOrd="1" destOrd="0" presId="urn:microsoft.com/office/officeart/2008/layout/LinedList"/>
    <dgm:cxn modelId="{A4920711-5911-4AE4-8896-14562FC19730}" type="presParOf" srcId="{B07A1943-D1FD-4882-ABE3-1AAE1F398CC0}" destId="{57B2711A-6079-4ABF-AC51-AFD17BB9660E}" srcOrd="2" destOrd="0" presId="urn:microsoft.com/office/officeart/2008/layout/LinedList"/>
    <dgm:cxn modelId="{BCD329AD-EA48-4012-B53B-102860EBFDCC}" type="presParOf" srcId="{42ACC580-5E46-44EE-9EC0-BF7EF6EDDE86}" destId="{9F44F2A9-5445-432F-9D51-83118698DF45}" srcOrd="2" destOrd="0" presId="urn:microsoft.com/office/officeart/2008/layout/LinedList"/>
    <dgm:cxn modelId="{C1AEA293-5316-4BFA-9E19-3B567D252E8D}" type="presParOf" srcId="{42ACC580-5E46-44EE-9EC0-BF7EF6EDDE86}" destId="{322E6026-7211-4E0F-B753-D81DBAF6B9D2}" srcOrd="3" destOrd="0" presId="urn:microsoft.com/office/officeart/2008/layout/LinedList"/>
    <dgm:cxn modelId="{C67C089F-EE0E-4B49-A018-07E02858224F}" type="presParOf" srcId="{42ACC580-5E46-44EE-9EC0-BF7EF6EDDE86}" destId="{997ADF23-6BDC-48FD-A62C-3B151301F030}" srcOrd="4" destOrd="0" presId="urn:microsoft.com/office/officeart/2008/layout/LinedList"/>
    <dgm:cxn modelId="{1417684B-B6EB-43BC-ABE8-BE99474999CE}" type="presParOf" srcId="{997ADF23-6BDC-48FD-A62C-3B151301F030}" destId="{316902DE-387B-452D-A389-5FB343C5E4D9}" srcOrd="0" destOrd="0" presId="urn:microsoft.com/office/officeart/2008/layout/LinedList"/>
    <dgm:cxn modelId="{C8A462B7-F39A-48FA-9EA1-B90F69BB86A7}" type="presParOf" srcId="{997ADF23-6BDC-48FD-A62C-3B151301F030}" destId="{B0372044-6EFE-4278-AE80-6F807BE7F1B5}" srcOrd="1" destOrd="0" presId="urn:microsoft.com/office/officeart/2008/layout/LinedList"/>
    <dgm:cxn modelId="{47A3D32D-2978-4A81-A6CB-882F2B2A0DBD}" type="presParOf" srcId="{997ADF23-6BDC-48FD-A62C-3B151301F030}" destId="{BA3B994A-7132-4DEB-8ADD-FB27665E3104}" srcOrd="2" destOrd="0" presId="urn:microsoft.com/office/officeart/2008/layout/LinedList"/>
    <dgm:cxn modelId="{6C7BE3E6-CE82-4574-B292-1CFB33F11286}" type="presParOf" srcId="{42ACC580-5E46-44EE-9EC0-BF7EF6EDDE86}" destId="{FF4796FB-75BC-499F-ADA7-D7228148EE72}" srcOrd="5" destOrd="0" presId="urn:microsoft.com/office/officeart/2008/layout/LinedList"/>
    <dgm:cxn modelId="{E416B009-42F3-4556-A5C7-AB1B23F662D0}" type="presParOf" srcId="{42ACC580-5E46-44EE-9EC0-BF7EF6EDDE86}" destId="{01B67631-BD1B-4E83-8B5A-BDC2BC5231A0}" srcOrd="6" destOrd="0" presId="urn:microsoft.com/office/officeart/2008/layout/LinedList"/>
  </dgm:cxnLst>
  <dgm:bg/>
  <dgm:whole/>
  <dgm:extLst>
    <a:ext uri="http://schemas.microsoft.com/office/drawing/2008/diagram">
      <dsp:dataModelExt xmlns:dsp="http://schemas.microsoft.com/office/drawing/2008/diagram" relId="rId143" minVer="http://schemas.openxmlformats.org/drawingml/2006/diagram"/>
    </a:ext>
    <a:ext uri="{C62137D5-CB1D-491B-B009-E17868A290BF}">
      <dgm14:recolorImg xmlns:dgm14="http://schemas.microsoft.com/office/drawing/2010/diagram" val="1"/>
    </a:ext>
  </dgm:extLst>
</dgm:dataModel>
</file>

<file path=word/diagrams/data8.xml><?xml version="1.0" encoding="utf-8"?>
<dgm:dataModel xmlns:dgm="http://schemas.openxmlformats.org/drawingml/2006/diagram" xmlns:a="http://schemas.openxmlformats.org/drawingml/2006/main">
  <dgm:ptLst>
    <dgm:pt modelId="{D34F0F86-DB19-41E7-B6C1-82875BF9AAF4}" type="doc">
      <dgm:prSet loTypeId="urn:microsoft.com/office/officeart/2008/layout/LinedList" loCatId="list" qsTypeId="urn:microsoft.com/office/officeart/2005/8/quickstyle/3d2" qsCatId="3D" csTypeId="urn:microsoft.com/office/officeart/2005/8/colors/accent1_2" csCatId="accent1" phldr="1"/>
      <dgm:spPr/>
      <dgm:t>
        <a:bodyPr/>
        <a:lstStyle/>
        <a:p>
          <a:endParaRPr lang="en-NZ"/>
        </a:p>
      </dgm:t>
    </dgm:pt>
    <dgm:pt modelId="{956689CB-851D-42A1-A4EE-C49B629F6E82}">
      <dgm:prSet phldrT="[Text]" custT="1"/>
      <dgm:spPr/>
      <dgm:t>
        <a:bodyPr/>
        <a:lstStyle/>
        <a:p>
          <a:pPr>
            <a:lnSpc>
              <a:spcPts val="1800"/>
            </a:lnSpc>
          </a:pPr>
          <a:r>
            <a:rPr lang="en-NZ" sz="1400" b="1">
              <a:solidFill>
                <a:schemeClr val="accent4"/>
              </a:solidFill>
              <a:latin typeface="Georgia" panose="02040502050405020303" pitchFamily="18" charset="0"/>
            </a:rPr>
            <a:t>Recommended key tasks to complete before moving to Step 9</a:t>
          </a:r>
          <a:endParaRPr lang="en-NZ" sz="1400">
            <a:solidFill>
              <a:schemeClr val="accent4"/>
            </a:solidFill>
            <a:latin typeface="Georgia" panose="02040502050405020303" pitchFamily="18" charset="0"/>
          </a:endParaRPr>
        </a:p>
      </dgm:t>
    </dgm:pt>
    <dgm:pt modelId="{75846AEE-E3B2-46B7-B433-C5EFDE3CCD45}" type="parTrans" cxnId="{8B5C7044-1CEE-4E96-9590-9FC29964BB24}">
      <dgm:prSet/>
      <dgm:spPr/>
      <dgm:t>
        <a:bodyPr/>
        <a:lstStyle/>
        <a:p>
          <a:endParaRPr lang="en-NZ"/>
        </a:p>
      </dgm:t>
    </dgm:pt>
    <dgm:pt modelId="{6C545816-801F-43AF-8139-8E9453FD0309}" type="sibTrans" cxnId="{8B5C7044-1CEE-4E96-9590-9FC29964BB24}">
      <dgm:prSet/>
      <dgm:spPr/>
      <dgm:t>
        <a:bodyPr/>
        <a:lstStyle/>
        <a:p>
          <a:endParaRPr lang="en-NZ"/>
        </a:p>
      </dgm:t>
    </dgm:pt>
    <dgm:pt modelId="{FF2C293D-AEC5-4960-8CD5-4061B1888DB2}">
      <dgm:prSet phldrT="[Text]" custT="1"/>
      <dgm:spPr/>
      <dgm:t>
        <a:bodyPr/>
        <a:lstStyle/>
        <a:p>
          <a:r>
            <a:rPr lang="en-NZ" sz="1200"/>
            <a:t>Develop a long-term implementation plan, including how adaptation will be financed.</a:t>
          </a:r>
        </a:p>
      </dgm:t>
    </dgm:pt>
    <dgm:pt modelId="{694AA41B-0BB1-4C83-8BC0-6EC168F7CC62}" type="parTrans" cxnId="{237597C6-2F37-41E7-BF4A-AB18577A83D3}">
      <dgm:prSet/>
      <dgm:spPr/>
      <dgm:t>
        <a:bodyPr/>
        <a:lstStyle/>
        <a:p>
          <a:endParaRPr lang="en-NZ"/>
        </a:p>
      </dgm:t>
    </dgm:pt>
    <dgm:pt modelId="{D53169FB-BA21-4583-A4E5-584D5380BEC2}" type="sibTrans" cxnId="{237597C6-2F37-41E7-BF4A-AB18577A83D3}">
      <dgm:prSet/>
      <dgm:spPr/>
      <dgm:t>
        <a:bodyPr/>
        <a:lstStyle/>
        <a:p>
          <a:endParaRPr lang="en-NZ"/>
        </a:p>
      </dgm:t>
    </dgm:pt>
    <dgm:pt modelId="{3F5A34B4-8501-43A2-9F02-B6F43923C31A}">
      <dgm:prSet phldrT="[Text]" custT="1"/>
      <dgm:spPr/>
      <dgm:t>
        <a:bodyPr/>
        <a:lstStyle/>
        <a:p>
          <a:pPr>
            <a:buFont typeface="Symbol" panose="05050102010706020507" pitchFamily="18" charset="2"/>
            <a:buChar char=""/>
          </a:pPr>
          <a:r>
            <a:rPr lang="en-NZ" sz="1200"/>
            <a:t>Consider the role of risk transfer mechanisms, such as insurance and risk pooling, for council assets.</a:t>
          </a:r>
        </a:p>
      </dgm:t>
    </dgm:pt>
    <dgm:pt modelId="{EEFDD995-AC75-4A91-A4B2-353421E88D3F}" type="parTrans" cxnId="{D8750B11-4113-4D7B-A71E-84E95201ECB3}">
      <dgm:prSet/>
      <dgm:spPr/>
      <dgm:t>
        <a:bodyPr/>
        <a:lstStyle/>
        <a:p>
          <a:endParaRPr lang="en-NZ"/>
        </a:p>
      </dgm:t>
    </dgm:pt>
    <dgm:pt modelId="{0F97A74C-E7D8-4A09-BE62-CB9F91DD8615}" type="sibTrans" cxnId="{D8750B11-4113-4D7B-A71E-84E95201ECB3}">
      <dgm:prSet/>
      <dgm:spPr/>
      <dgm:t>
        <a:bodyPr/>
        <a:lstStyle/>
        <a:p>
          <a:endParaRPr lang="en-NZ"/>
        </a:p>
      </dgm:t>
    </dgm:pt>
    <dgm:pt modelId="{CA41E89E-D0AD-4FFF-89AB-FC599C55B6C5}">
      <dgm:prSet phldrT="[Text]" custT="1"/>
      <dgm:spPr/>
      <dgm:t>
        <a:bodyPr/>
        <a:lstStyle/>
        <a:p>
          <a:pPr>
            <a:buFont typeface="Symbol" panose="05050102010706020507" pitchFamily="18" charset="2"/>
            <a:buNone/>
          </a:pPr>
          <a:r>
            <a:rPr lang="en-NZ" sz="1200"/>
            <a:t>Collaborate with other agencies in your region to create a combined strategic approach to achieve your objectives.</a:t>
          </a:r>
        </a:p>
      </dgm:t>
    </dgm:pt>
    <dgm:pt modelId="{CAA27D22-D9B1-4177-B99F-9C56BF5ABC91}" type="parTrans" cxnId="{6AE3292F-FF69-409B-9760-950B07CDF4DF}">
      <dgm:prSet/>
      <dgm:spPr/>
      <dgm:t>
        <a:bodyPr/>
        <a:lstStyle/>
        <a:p>
          <a:endParaRPr lang="en-NZ"/>
        </a:p>
      </dgm:t>
    </dgm:pt>
    <dgm:pt modelId="{E2DDB982-F07E-460E-B203-E073357CA5A8}" type="sibTrans" cxnId="{6AE3292F-FF69-409B-9760-950B07CDF4DF}">
      <dgm:prSet/>
      <dgm:spPr/>
      <dgm:t>
        <a:bodyPr/>
        <a:lstStyle/>
        <a:p>
          <a:endParaRPr lang="en-NZ"/>
        </a:p>
      </dgm:t>
    </dgm:pt>
    <dgm:pt modelId="{EFAC078A-2654-4BBA-BD60-2E79140D3E08}">
      <dgm:prSet custT="1"/>
      <dgm:spPr/>
      <dgm:t>
        <a:bodyPr/>
        <a:lstStyle/>
        <a:p>
          <a:r>
            <a:rPr lang="en-NZ" sz="1200"/>
            <a:t>Engage on response methods and techniques with community, iwi/hapū and stakeholders.</a:t>
          </a:r>
        </a:p>
      </dgm:t>
    </dgm:pt>
    <dgm:pt modelId="{E5F475D5-9DCC-48D7-8D70-1AFAF7899525}" type="parTrans" cxnId="{CB09CE75-1C08-4183-B017-65EC15D5E3BB}">
      <dgm:prSet/>
      <dgm:spPr/>
      <dgm:t>
        <a:bodyPr/>
        <a:lstStyle/>
        <a:p>
          <a:endParaRPr lang="en-NZ"/>
        </a:p>
      </dgm:t>
    </dgm:pt>
    <dgm:pt modelId="{60004378-A356-47D3-BEF1-DF205357DBCB}" type="sibTrans" cxnId="{CB09CE75-1C08-4183-B017-65EC15D5E3BB}">
      <dgm:prSet/>
      <dgm:spPr/>
      <dgm:t>
        <a:bodyPr/>
        <a:lstStyle/>
        <a:p>
          <a:endParaRPr lang="en-NZ"/>
        </a:p>
      </dgm:t>
    </dgm:pt>
    <dgm:pt modelId="{4192D0B4-5717-440E-894F-3899F48ABEEA}">
      <dgm:prSet custT="1"/>
      <dgm:spPr/>
      <dgm:t>
        <a:bodyPr/>
        <a:lstStyle/>
        <a:p>
          <a:pPr>
            <a:buFont typeface="Symbol" panose="05050102010706020507" pitchFamily="18" charset="2"/>
            <a:buChar char=""/>
          </a:pPr>
          <a:r>
            <a:rPr lang="en-NZ" sz="1200"/>
            <a:t>Identify areas where new greenfield urban development should not be allowed and implement policy to prevent such development</a:t>
          </a:r>
          <a:r>
            <a:rPr lang="en-NZ" sz="1400"/>
            <a:t>.</a:t>
          </a:r>
        </a:p>
      </dgm:t>
    </dgm:pt>
    <dgm:pt modelId="{C038EF30-2597-4832-8A69-9084481CEAB4}" type="parTrans" cxnId="{053AC859-6AF9-4163-8EB2-56D7C208E32A}">
      <dgm:prSet/>
      <dgm:spPr/>
      <dgm:t>
        <a:bodyPr/>
        <a:lstStyle/>
        <a:p>
          <a:endParaRPr lang="en-NZ"/>
        </a:p>
      </dgm:t>
    </dgm:pt>
    <dgm:pt modelId="{CC8B5788-8172-452A-AD50-B9A3DA0C0A6B}" type="sibTrans" cxnId="{053AC859-6AF9-4163-8EB2-56D7C208E32A}">
      <dgm:prSet/>
      <dgm:spPr/>
      <dgm:t>
        <a:bodyPr/>
        <a:lstStyle/>
        <a:p>
          <a:endParaRPr lang="en-NZ"/>
        </a:p>
      </dgm:t>
    </dgm:pt>
    <dgm:pt modelId="{E9BD178F-FD65-4CF9-84A0-1268C4763795}" type="pres">
      <dgm:prSet presAssocID="{D34F0F86-DB19-41E7-B6C1-82875BF9AAF4}" presName="vert0" presStyleCnt="0">
        <dgm:presLayoutVars>
          <dgm:dir/>
          <dgm:animOne val="branch"/>
          <dgm:animLvl val="lvl"/>
        </dgm:presLayoutVars>
      </dgm:prSet>
      <dgm:spPr/>
    </dgm:pt>
    <dgm:pt modelId="{5727CFB7-D36E-4B7D-A1A0-BC59B422BE7B}" type="pres">
      <dgm:prSet presAssocID="{956689CB-851D-42A1-A4EE-C49B629F6E82}" presName="thickLine" presStyleLbl="alignNode1" presStyleIdx="0" presStyleCnt="1"/>
      <dgm:spPr/>
    </dgm:pt>
    <dgm:pt modelId="{CE193FB5-4FF9-4A8F-8BF1-2B4314296992}" type="pres">
      <dgm:prSet presAssocID="{956689CB-851D-42A1-A4EE-C49B629F6E82}" presName="horz1" presStyleCnt="0"/>
      <dgm:spPr/>
    </dgm:pt>
    <dgm:pt modelId="{9C3645CB-2DE0-4DFB-AC40-AA3738A1E278}" type="pres">
      <dgm:prSet presAssocID="{956689CB-851D-42A1-A4EE-C49B629F6E82}" presName="tx1" presStyleLbl="revTx" presStyleIdx="0" presStyleCnt="6" custScaleX="197213" custLinFactNeighborX="-9232" custLinFactNeighborY="-3531"/>
      <dgm:spPr/>
    </dgm:pt>
    <dgm:pt modelId="{42ACC580-5E46-44EE-9EC0-BF7EF6EDDE86}" type="pres">
      <dgm:prSet presAssocID="{956689CB-851D-42A1-A4EE-C49B629F6E82}" presName="vert1" presStyleCnt="0"/>
      <dgm:spPr/>
    </dgm:pt>
    <dgm:pt modelId="{89DCD850-0DC8-4D09-A285-303649B6D17D}" type="pres">
      <dgm:prSet presAssocID="{FF2C293D-AEC5-4960-8CD5-4061B1888DB2}" presName="vertSpace2a" presStyleCnt="0"/>
      <dgm:spPr/>
    </dgm:pt>
    <dgm:pt modelId="{B07A1943-D1FD-4882-ABE3-1AAE1F398CC0}" type="pres">
      <dgm:prSet presAssocID="{FF2C293D-AEC5-4960-8CD5-4061B1888DB2}" presName="horz2" presStyleCnt="0"/>
      <dgm:spPr/>
    </dgm:pt>
    <dgm:pt modelId="{D8166E62-D41C-4722-97D7-3FA89BC375EA}" type="pres">
      <dgm:prSet presAssocID="{FF2C293D-AEC5-4960-8CD5-4061B1888DB2}" presName="horzSpace2" presStyleCnt="0"/>
      <dgm:spPr/>
    </dgm:pt>
    <dgm:pt modelId="{0B1B7560-6D6B-4366-87F2-361E64D66644}" type="pres">
      <dgm:prSet presAssocID="{FF2C293D-AEC5-4960-8CD5-4061B1888DB2}" presName="tx2" presStyleLbl="revTx" presStyleIdx="1" presStyleCnt="6" custScaleY="75324"/>
      <dgm:spPr/>
    </dgm:pt>
    <dgm:pt modelId="{57B2711A-6079-4ABF-AC51-AFD17BB9660E}" type="pres">
      <dgm:prSet presAssocID="{FF2C293D-AEC5-4960-8CD5-4061B1888DB2}" presName="vert2" presStyleCnt="0"/>
      <dgm:spPr/>
    </dgm:pt>
    <dgm:pt modelId="{9F44F2A9-5445-432F-9D51-83118698DF45}" type="pres">
      <dgm:prSet presAssocID="{FF2C293D-AEC5-4960-8CD5-4061B1888DB2}" presName="thinLine2b" presStyleLbl="callout" presStyleIdx="0" presStyleCnt="5"/>
      <dgm:spPr/>
    </dgm:pt>
    <dgm:pt modelId="{322E6026-7211-4E0F-B753-D81DBAF6B9D2}" type="pres">
      <dgm:prSet presAssocID="{FF2C293D-AEC5-4960-8CD5-4061B1888DB2}" presName="vertSpace2b" presStyleCnt="0"/>
      <dgm:spPr/>
    </dgm:pt>
    <dgm:pt modelId="{997ADF23-6BDC-48FD-A62C-3B151301F030}" type="pres">
      <dgm:prSet presAssocID="{3F5A34B4-8501-43A2-9F02-B6F43923C31A}" presName="horz2" presStyleCnt="0"/>
      <dgm:spPr/>
    </dgm:pt>
    <dgm:pt modelId="{316902DE-387B-452D-A389-5FB343C5E4D9}" type="pres">
      <dgm:prSet presAssocID="{3F5A34B4-8501-43A2-9F02-B6F43923C31A}" presName="horzSpace2" presStyleCnt="0"/>
      <dgm:spPr/>
    </dgm:pt>
    <dgm:pt modelId="{B0372044-6EFE-4278-AE80-6F807BE7F1B5}" type="pres">
      <dgm:prSet presAssocID="{3F5A34B4-8501-43A2-9F02-B6F43923C31A}" presName="tx2" presStyleLbl="revTx" presStyleIdx="2" presStyleCnt="6" custScaleY="68560"/>
      <dgm:spPr/>
    </dgm:pt>
    <dgm:pt modelId="{BA3B994A-7132-4DEB-8ADD-FB27665E3104}" type="pres">
      <dgm:prSet presAssocID="{3F5A34B4-8501-43A2-9F02-B6F43923C31A}" presName="vert2" presStyleCnt="0"/>
      <dgm:spPr/>
    </dgm:pt>
    <dgm:pt modelId="{FF4796FB-75BC-499F-ADA7-D7228148EE72}" type="pres">
      <dgm:prSet presAssocID="{3F5A34B4-8501-43A2-9F02-B6F43923C31A}" presName="thinLine2b" presStyleLbl="callout" presStyleIdx="1" presStyleCnt="5"/>
      <dgm:spPr/>
    </dgm:pt>
    <dgm:pt modelId="{01B67631-BD1B-4E83-8B5A-BDC2BC5231A0}" type="pres">
      <dgm:prSet presAssocID="{3F5A34B4-8501-43A2-9F02-B6F43923C31A}" presName="vertSpace2b" presStyleCnt="0"/>
      <dgm:spPr/>
    </dgm:pt>
    <dgm:pt modelId="{4E0665FE-F9F8-48E5-A927-4B544C228038}" type="pres">
      <dgm:prSet presAssocID="{CA41E89E-D0AD-4FFF-89AB-FC599C55B6C5}" presName="horz2" presStyleCnt="0"/>
      <dgm:spPr/>
    </dgm:pt>
    <dgm:pt modelId="{48712BD8-46B4-473A-85C3-525042C05219}" type="pres">
      <dgm:prSet presAssocID="{CA41E89E-D0AD-4FFF-89AB-FC599C55B6C5}" presName="horzSpace2" presStyleCnt="0"/>
      <dgm:spPr/>
    </dgm:pt>
    <dgm:pt modelId="{08459E75-70F0-4721-9FBA-876D67B3BC32}" type="pres">
      <dgm:prSet presAssocID="{CA41E89E-D0AD-4FFF-89AB-FC599C55B6C5}" presName="tx2" presStyleLbl="revTx" presStyleIdx="3" presStyleCnt="6" custScaleY="84851" custLinFactNeighborX="72" custLinFactNeighborY="-166"/>
      <dgm:spPr/>
    </dgm:pt>
    <dgm:pt modelId="{DF20A674-2F41-4BEB-87E0-33F05BAE4248}" type="pres">
      <dgm:prSet presAssocID="{CA41E89E-D0AD-4FFF-89AB-FC599C55B6C5}" presName="vert2" presStyleCnt="0"/>
      <dgm:spPr/>
    </dgm:pt>
    <dgm:pt modelId="{DE5AB8E8-91E8-404E-995C-FF9747AEB301}" type="pres">
      <dgm:prSet presAssocID="{CA41E89E-D0AD-4FFF-89AB-FC599C55B6C5}" presName="thinLine2b" presStyleLbl="callout" presStyleIdx="2" presStyleCnt="5"/>
      <dgm:spPr/>
    </dgm:pt>
    <dgm:pt modelId="{3EF69631-605F-40E7-ACEE-1586A5DE358D}" type="pres">
      <dgm:prSet presAssocID="{CA41E89E-D0AD-4FFF-89AB-FC599C55B6C5}" presName="vertSpace2b" presStyleCnt="0"/>
      <dgm:spPr/>
    </dgm:pt>
    <dgm:pt modelId="{C48DF50C-C9B6-4E49-BE8D-AE217D2D5A50}" type="pres">
      <dgm:prSet presAssocID="{4192D0B4-5717-440E-894F-3899F48ABEEA}" presName="horz2" presStyleCnt="0"/>
      <dgm:spPr/>
    </dgm:pt>
    <dgm:pt modelId="{32E15ECC-D3E8-4150-ACB3-4949C2DC49F5}" type="pres">
      <dgm:prSet presAssocID="{4192D0B4-5717-440E-894F-3899F48ABEEA}" presName="horzSpace2" presStyleCnt="0"/>
      <dgm:spPr/>
    </dgm:pt>
    <dgm:pt modelId="{F83DCF3E-1F77-4BEE-9548-5F7AB4066F79}" type="pres">
      <dgm:prSet presAssocID="{4192D0B4-5717-440E-894F-3899F48ABEEA}" presName="tx2" presStyleLbl="revTx" presStyleIdx="4" presStyleCnt="6"/>
      <dgm:spPr/>
    </dgm:pt>
    <dgm:pt modelId="{1BD9AFEA-7350-4E9E-AD51-CCF0DC70C4A6}" type="pres">
      <dgm:prSet presAssocID="{4192D0B4-5717-440E-894F-3899F48ABEEA}" presName="vert2" presStyleCnt="0"/>
      <dgm:spPr/>
    </dgm:pt>
    <dgm:pt modelId="{B76035D1-CAB3-45B1-A90D-9BE30D5B7F75}" type="pres">
      <dgm:prSet presAssocID="{4192D0B4-5717-440E-894F-3899F48ABEEA}" presName="thinLine2b" presStyleLbl="callout" presStyleIdx="3" presStyleCnt="5"/>
      <dgm:spPr/>
    </dgm:pt>
    <dgm:pt modelId="{2ABFBB30-9F30-44C9-B093-4AFC662AA940}" type="pres">
      <dgm:prSet presAssocID="{4192D0B4-5717-440E-894F-3899F48ABEEA}" presName="vertSpace2b" presStyleCnt="0"/>
      <dgm:spPr/>
    </dgm:pt>
    <dgm:pt modelId="{D123F379-DFE9-4C80-9521-28E5F7FC7B7D}" type="pres">
      <dgm:prSet presAssocID="{EFAC078A-2654-4BBA-BD60-2E79140D3E08}" presName="horz2" presStyleCnt="0"/>
      <dgm:spPr/>
    </dgm:pt>
    <dgm:pt modelId="{BC7129E3-B150-4F9A-AFA4-E768A50C9912}" type="pres">
      <dgm:prSet presAssocID="{EFAC078A-2654-4BBA-BD60-2E79140D3E08}" presName="horzSpace2" presStyleCnt="0"/>
      <dgm:spPr/>
    </dgm:pt>
    <dgm:pt modelId="{3C11CF22-070F-4E48-A23B-68523A199022}" type="pres">
      <dgm:prSet presAssocID="{EFAC078A-2654-4BBA-BD60-2E79140D3E08}" presName="tx2" presStyleLbl="revTx" presStyleIdx="5" presStyleCnt="6" custScaleY="71616"/>
      <dgm:spPr/>
    </dgm:pt>
    <dgm:pt modelId="{8EEDB2FF-F934-4BB7-8BD1-ADF9D3EC4A42}" type="pres">
      <dgm:prSet presAssocID="{EFAC078A-2654-4BBA-BD60-2E79140D3E08}" presName="vert2" presStyleCnt="0"/>
      <dgm:spPr/>
    </dgm:pt>
    <dgm:pt modelId="{CDB64D04-8999-46B3-91FE-7F8549FC778D}" type="pres">
      <dgm:prSet presAssocID="{EFAC078A-2654-4BBA-BD60-2E79140D3E08}" presName="thinLine2b" presStyleLbl="callout" presStyleIdx="4" presStyleCnt="5"/>
      <dgm:spPr/>
    </dgm:pt>
    <dgm:pt modelId="{F0204830-3E08-40CB-9E8E-1336009773B3}" type="pres">
      <dgm:prSet presAssocID="{EFAC078A-2654-4BBA-BD60-2E79140D3E08}" presName="vertSpace2b" presStyleCnt="0"/>
      <dgm:spPr/>
    </dgm:pt>
  </dgm:ptLst>
  <dgm:cxnLst>
    <dgm:cxn modelId="{66B86106-A544-4465-A6BD-FCDC2C1DF360}" type="presOf" srcId="{D34F0F86-DB19-41E7-B6C1-82875BF9AAF4}" destId="{E9BD178F-FD65-4CF9-84A0-1268C4763795}" srcOrd="0" destOrd="0" presId="urn:microsoft.com/office/officeart/2008/layout/LinedList"/>
    <dgm:cxn modelId="{D8750B11-4113-4D7B-A71E-84E95201ECB3}" srcId="{956689CB-851D-42A1-A4EE-C49B629F6E82}" destId="{3F5A34B4-8501-43A2-9F02-B6F43923C31A}" srcOrd="1" destOrd="0" parTransId="{EEFDD995-AC75-4A91-A4B2-353421E88D3F}" sibTransId="{0F97A74C-E7D8-4A09-BE62-CB9F91DD8615}"/>
    <dgm:cxn modelId="{6AE3292F-FF69-409B-9760-950B07CDF4DF}" srcId="{956689CB-851D-42A1-A4EE-C49B629F6E82}" destId="{CA41E89E-D0AD-4FFF-89AB-FC599C55B6C5}" srcOrd="2" destOrd="0" parTransId="{CAA27D22-D9B1-4177-B99F-9C56BF5ABC91}" sibTransId="{E2DDB982-F07E-460E-B203-E073357CA5A8}"/>
    <dgm:cxn modelId="{2B068B5E-322A-4B7A-934D-19692B02D86C}" type="presOf" srcId="{FF2C293D-AEC5-4960-8CD5-4061B1888DB2}" destId="{0B1B7560-6D6B-4366-87F2-361E64D66644}" srcOrd="0" destOrd="0" presId="urn:microsoft.com/office/officeart/2008/layout/LinedList"/>
    <dgm:cxn modelId="{8B5C7044-1CEE-4E96-9590-9FC29964BB24}" srcId="{D34F0F86-DB19-41E7-B6C1-82875BF9AAF4}" destId="{956689CB-851D-42A1-A4EE-C49B629F6E82}" srcOrd="0" destOrd="0" parTransId="{75846AEE-E3B2-46B7-B433-C5EFDE3CCD45}" sibTransId="{6C545816-801F-43AF-8139-8E9453FD0309}"/>
    <dgm:cxn modelId="{CB09CE75-1C08-4183-B017-65EC15D5E3BB}" srcId="{956689CB-851D-42A1-A4EE-C49B629F6E82}" destId="{EFAC078A-2654-4BBA-BD60-2E79140D3E08}" srcOrd="4" destOrd="0" parTransId="{E5F475D5-9DCC-48D7-8D70-1AFAF7899525}" sibTransId="{60004378-A356-47D3-BEF1-DF205357DBCB}"/>
    <dgm:cxn modelId="{8321B059-4916-4EC1-AA71-4B1F187D1CEF}" type="presOf" srcId="{956689CB-851D-42A1-A4EE-C49B629F6E82}" destId="{9C3645CB-2DE0-4DFB-AC40-AA3738A1E278}" srcOrd="0" destOrd="0" presId="urn:microsoft.com/office/officeart/2008/layout/LinedList"/>
    <dgm:cxn modelId="{053AC859-6AF9-4163-8EB2-56D7C208E32A}" srcId="{956689CB-851D-42A1-A4EE-C49B629F6E82}" destId="{4192D0B4-5717-440E-894F-3899F48ABEEA}" srcOrd="3" destOrd="0" parTransId="{C038EF30-2597-4832-8A69-9084481CEAB4}" sibTransId="{CC8B5788-8172-452A-AD50-B9A3DA0C0A6B}"/>
    <dgm:cxn modelId="{E923FC9A-7DDA-4BFF-8926-451E9BDE73BE}" type="presOf" srcId="{CA41E89E-D0AD-4FFF-89AB-FC599C55B6C5}" destId="{08459E75-70F0-4721-9FBA-876D67B3BC32}" srcOrd="0" destOrd="0" presId="urn:microsoft.com/office/officeart/2008/layout/LinedList"/>
    <dgm:cxn modelId="{EDE231AD-62FF-4FB2-BC3D-D551702BB557}" type="presOf" srcId="{3F5A34B4-8501-43A2-9F02-B6F43923C31A}" destId="{B0372044-6EFE-4278-AE80-6F807BE7F1B5}" srcOrd="0" destOrd="0" presId="urn:microsoft.com/office/officeart/2008/layout/LinedList"/>
    <dgm:cxn modelId="{B494BCB1-4E91-41C5-908C-01DED02931E0}" type="presOf" srcId="{4192D0B4-5717-440E-894F-3899F48ABEEA}" destId="{F83DCF3E-1F77-4BEE-9548-5F7AB4066F79}" srcOrd="0" destOrd="0" presId="urn:microsoft.com/office/officeart/2008/layout/LinedList"/>
    <dgm:cxn modelId="{A2E4DABE-6708-4964-A670-0E193EA86051}" type="presOf" srcId="{EFAC078A-2654-4BBA-BD60-2E79140D3E08}" destId="{3C11CF22-070F-4E48-A23B-68523A199022}" srcOrd="0" destOrd="0" presId="urn:microsoft.com/office/officeart/2008/layout/LinedList"/>
    <dgm:cxn modelId="{237597C6-2F37-41E7-BF4A-AB18577A83D3}" srcId="{956689CB-851D-42A1-A4EE-C49B629F6E82}" destId="{FF2C293D-AEC5-4960-8CD5-4061B1888DB2}" srcOrd="0" destOrd="0" parTransId="{694AA41B-0BB1-4C83-8BC0-6EC168F7CC62}" sibTransId="{D53169FB-BA21-4583-A4E5-584D5380BEC2}"/>
    <dgm:cxn modelId="{19D08D3D-9DC3-45D9-94FA-9BF025A1DF7F}" type="presParOf" srcId="{E9BD178F-FD65-4CF9-84A0-1268C4763795}" destId="{5727CFB7-D36E-4B7D-A1A0-BC59B422BE7B}" srcOrd="0" destOrd="0" presId="urn:microsoft.com/office/officeart/2008/layout/LinedList"/>
    <dgm:cxn modelId="{E6A29537-88A3-4E78-BAC2-C77E99894228}" type="presParOf" srcId="{E9BD178F-FD65-4CF9-84A0-1268C4763795}" destId="{CE193FB5-4FF9-4A8F-8BF1-2B4314296992}" srcOrd="1" destOrd="0" presId="urn:microsoft.com/office/officeart/2008/layout/LinedList"/>
    <dgm:cxn modelId="{3974CC3A-F0AE-4CC8-A6A4-E64E17C847EE}" type="presParOf" srcId="{CE193FB5-4FF9-4A8F-8BF1-2B4314296992}" destId="{9C3645CB-2DE0-4DFB-AC40-AA3738A1E278}" srcOrd="0" destOrd="0" presId="urn:microsoft.com/office/officeart/2008/layout/LinedList"/>
    <dgm:cxn modelId="{D53A3B54-584C-4749-866C-CC17F82EA376}" type="presParOf" srcId="{CE193FB5-4FF9-4A8F-8BF1-2B4314296992}" destId="{42ACC580-5E46-44EE-9EC0-BF7EF6EDDE86}" srcOrd="1" destOrd="0" presId="urn:microsoft.com/office/officeart/2008/layout/LinedList"/>
    <dgm:cxn modelId="{0C2C5E3D-42DA-45D0-9B04-ED69BC136E86}" type="presParOf" srcId="{42ACC580-5E46-44EE-9EC0-BF7EF6EDDE86}" destId="{89DCD850-0DC8-4D09-A285-303649B6D17D}" srcOrd="0" destOrd="0" presId="urn:microsoft.com/office/officeart/2008/layout/LinedList"/>
    <dgm:cxn modelId="{EA43FB01-1003-45ED-B753-8540EDE19088}" type="presParOf" srcId="{42ACC580-5E46-44EE-9EC0-BF7EF6EDDE86}" destId="{B07A1943-D1FD-4882-ABE3-1AAE1F398CC0}" srcOrd="1" destOrd="0" presId="urn:microsoft.com/office/officeart/2008/layout/LinedList"/>
    <dgm:cxn modelId="{419B21AF-2A2F-479A-9DAC-49B8D13ECDB1}" type="presParOf" srcId="{B07A1943-D1FD-4882-ABE3-1AAE1F398CC0}" destId="{D8166E62-D41C-4722-97D7-3FA89BC375EA}" srcOrd="0" destOrd="0" presId="urn:microsoft.com/office/officeart/2008/layout/LinedList"/>
    <dgm:cxn modelId="{72943A0C-8E2F-4A8C-85EC-6DEBEBC369C0}" type="presParOf" srcId="{B07A1943-D1FD-4882-ABE3-1AAE1F398CC0}" destId="{0B1B7560-6D6B-4366-87F2-361E64D66644}" srcOrd="1" destOrd="0" presId="urn:microsoft.com/office/officeart/2008/layout/LinedList"/>
    <dgm:cxn modelId="{A4920711-5911-4AE4-8896-14562FC19730}" type="presParOf" srcId="{B07A1943-D1FD-4882-ABE3-1AAE1F398CC0}" destId="{57B2711A-6079-4ABF-AC51-AFD17BB9660E}" srcOrd="2" destOrd="0" presId="urn:microsoft.com/office/officeart/2008/layout/LinedList"/>
    <dgm:cxn modelId="{BCD329AD-EA48-4012-B53B-102860EBFDCC}" type="presParOf" srcId="{42ACC580-5E46-44EE-9EC0-BF7EF6EDDE86}" destId="{9F44F2A9-5445-432F-9D51-83118698DF45}" srcOrd="2" destOrd="0" presId="urn:microsoft.com/office/officeart/2008/layout/LinedList"/>
    <dgm:cxn modelId="{C1AEA293-5316-4BFA-9E19-3B567D252E8D}" type="presParOf" srcId="{42ACC580-5E46-44EE-9EC0-BF7EF6EDDE86}" destId="{322E6026-7211-4E0F-B753-D81DBAF6B9D2}" srcOrd="3" destOrd="0" presId="urn:microsoft.com/office/officeart/2008/layout/LinedList"/>
    <dgm:cxn modelId="{C67C089F-EE0E-4B49-A018-07E02858224F}" type="presParOf" srcId="{42ACC580-5E46-44EE-9EC0-BF7EF6EDDE86}" destId="{997ADF23-6BDC-48FD-A62C-3B151301F030}" srcOrd="4" destOrd="0" presId="urn:microsoft.com/office/officeart/2008/layout/LinedList"/>
    <dgm:cxn modelId="{1417684B-B6EB-43BC-ABE8-BE99474999CE}" type="presParOf" srcId="{997ADF23-6BDC-48FD-A62C-3B151301F030}" destId="{316902DE-387B-452D-A389-5FB343C5E4D9}" srcOrd="0" destOrd="0" presId="urn:microsoft.com/office/officeart/2008/layout/LinedList"/>
    <dgm:cxn modelId="{C8A462B7-F39A-48FA-9EA1-B90F69BB86A7}" type="presParOf" srcId="{997ADF23-6BDC-48FD-A62C-3B151301F030}" destId="{B0372044-6EFE-4278-AE80-6F807BE7F1B5}" srcOrd="1" destOrd="0" presId="urn:microsoft.com/office/officeart/2008/layout/LinedList"/>
    <dgm:cxn modelId="{47A3D32D-2978-4A81-A6CB-882F2B2A0DBD}" type="presParOf" srcId="{997ADF23-6BDC-48FD-A62C-3B151301F030}" destId="{BA3B994A-7132-4DEB-8ADD-FB27665E3104}" srcOrd="2" destOrd="0" presId="urn:microsoft.com/office/officeart/2008/layout/LinedList"/>
    <dgm:cxn modelId="{6C7BE3E6-CE82-4574-B292-1CFB33F11286}" type="presParOf" srcId="{42ACC580-5E46-44EE-9EC0-BF7EF6EDDE86}" destId="{FF4796FB-75BC-499F-ADA7-D7228148EE72}" srcOrd="5" destOrd="0" presId="urn:microsoft.com/office/officeart/2008/layout/LinedList"/>
    <dgm:cxn modelId="{E416B009-42F3-4556-A5C7-AB1B23F662D0}" type="presParOf" srcId="{42ACC580-5E46-44EE-9EC0-BF7EF6EDDE86}" destId="{01B67631-BD1B-4E83-8B5A-BDC2BC5231A0}" srcOrd="6" destOrd="0" presId="urn:microsoft.com/office/officeart/2008/layout/LinedList"/>
    <dgm:cxn modelId="{F86DCFE1-D99B-48F8-943A-C7CC8A0C29F1}" type="presParOf" srcId="{42ACC580-5E46-44EE-9EC0-BF7EF6EDDE86}" destId="{4E0665FE-F9F8-48E5-A927-4B544C228038}" srcOrd="7" destOrd="0" presId="urn:microsoft.com/office/officeart/2008/layout/LinedList"/>
    <dgm:cxn modelId="{7F54F5CA-3BE6-44A3-BB17-6BCAA02BD0BC}" type="presParOf" srcId="{4E0665FE-F9F8-48E5-A927-4B544C228038}" destId="{48712BD8-46B4-473A-85C3-525042C05219}" srcOrd="0" destOrd="0" presId="urn:microsoft.com/office/officeart/2008/layout/LinedList"/>
    <dgm:cxn modelId="{8DAAB5BB-96C8-44EA-A538-945CD8DF0787}" type="presParOf" srcId="{4E0665FE-F9F8-48E5-A927-4B544C228038}" destId="{08459E75-70F0-4721-9FBA-876D67B3BC32}" srcOrd="1" destOrd="0" presId="urn:microsoft.com/office/officeart/2008/layout/LinedList"/>
    <dgm:cxn modelId="{E4D4232D-2446-4D35-B347-80FF8FC5DFF8}" type="presParOf" srcId="{4E0665FE-F9F8-48E5-A927-4B544C228038}" destId="{DF20A674-2F41-4BEB-87E0-33F05BAE4248}" srcOrd="2" destOrd="0" presId="urn:microsoft.com/office/officeart/2008/layout/LinedList"/>
    <dgm:cxn modelId="{F533C61D-5F6E-4DDD-AD31-910FB99F2924}" type="presParOf" srcId="{42ACC580-5E46-44EE-9EC0-BF7EF6EDDE86}" destId="{DE5AB8E8-91E8-404E-995C-FF9747AEB301}" srcOrd="8" destOrd="0" presId="urn:microsoft.com/office/officeart/2008/layout/LinedList"/>
    <dgm:cxn modelId="{7E06FF80-CA39-41CF-AA38-6CC889B8B5E3}" type="presParOf" srcId="{42ACC580-5E46-44EE-9EC0-BF7EF6EDDE86}" destId="{3EF69631-605F-40E7-ACEE-1586A5DE358D}" srcOrd="9" destOrd="0" presId="urn:microsoft.com/office/officeart/2008/layout/LinedList"/>
    <dgm:cxn modelId="{395BED64-9F34-41E1-939F-40BE423F84A0}" type="presParOf" srcId="{42ACC580-5E46-44EE-9EC0-BF7EF6EDDE86}" destId="{C48DF50C-C9B6-4E49-BE8D-AE217D2D5A50}" srcOrd="10" destOrd="0" presId="urn:microsoft.com/office/officeart/2008/layout/LinedList"/>
    <dgm:cxn modelId="{B7BB6D1C-6707-44EC-B6DB-D99D32582CB8}" type="presParOf" srcId="{C48DF50C-C9B6-4E49-BE8D-AE217D2D5A50}" destId="{32E15ECC-D3E8-4150-ACB3-4949C2DC49F5}" srcOrd="0" destOrd="0" presId="urn:microsoft.com/office/officeart/2008/layout/LinedList"/>
    <dgm:cxn modelId="{48409E4E-247C-43B4-9AA0-174847A93C8C}" type="presParOf" srcId="{C48DF50C-C9B6-4E49-BE8D-AE217D2D5A50}" destId="{F83DCF3E-1F77-4BEE-9548-5F7AB4066F79}" srcOrd="1" destOrd="0" presId="urn:microsoft.com/office/officeart/2008/layout/LinedList"/>
    <dgm:cxn modelId="{345690D4-9912-47FF-82AD-CBD05E41BCEB}" type="presParOf" srcId="{C48DF50C-C9B6-4E49-BE8D-AE217D2D5A50}" destId="{1BD9AFEA-7350-4E9E-AD51-CCF0DC70C4A6}" srcOrd="2" destOrd="0" presId="urn:microsoft.com/office/officeart/2008/layout/LinedList"/>
    <dgm:cxn modelId="{EDB20931-91F8-43D8-BC13-9B7BFD96122A}" type="presParOf" srcId="{42ACC580-5E46-44EE-9EC0-BF7EF6EDDE86}" destId="{B76035D1-CAB3-45B1-A90D-9BE30D5B7F75}" srcOrd="11" destOrd="0" presId="urn:microsoft.com/office/officeart/2008/layout/LinedList"/>
    <dgm:cxn modelId="{0B7441A5-1199-4FBA-9045-335CE3CB34F0}" type="presParOf" srcId="{42ACC580-5E46-44EE-9EC0-BF7EF6EDDE86}" destId="{2ABFBB30-9F30-44C9-B093-4AFC662AA940}" srcOrd="12" destOrd="0" presId="urn:microsoft.com/office/officeart/2008/layout/LinedList"/>
    <dgm:cxn modelId="{5087C766-C17A-4D8D-AB9B-952E231D1139}" type="presParOf" srcId="{42ACC580-5E46-44EE-9EC0-BF7EF6EDDE86}" destId="{D123F379-DFE9-4C80-9521-28E5F7FC7B7D}" srcOrd="13" destOrd="0" presId="urn:microsoft.com/office/officeart/2008/layout/LinedList"/>
    <dgm:cxn modelId="{FC74AD70-83E7-488A-9178-25C4AB572412}" type="presParOf" srcId="{D123F379-DFE9-4C80-9521-28E5F7FC7B7D}" destId="{BC7129E3-B150-4F9A-AFA4-E768A50C9912}" srcOrd="0" destOrd="0" presId="urn:microsoft.com/office/officeart/2008/layout/LinedList"/>
    <dgm:cxn modelId="{945D32C0-0E4A-4016-9B5F-53CD2107B6A2}" type="presParOf" srcId="{D123F379-DFE9-4C80-9521-28E5F7FC7B7D}" destId="{3C11CF22-070F-4E48-A23B-68523A199022}" srcOrd="1" destOrd="0" presId="urn:microsoft.com/office/officeart/2008/layout/LinedList"/>
    <dgm:cxn modelId="{95847905-8AE8-469B-A607-A304EC323368}" type="presParOf" srcId="{D123F379-DFE9-4C80-9521-28E5F7FC7B7D}" destId="{8EEDB2FF-F934-4BB7-8BD1-ADF9D3EC4A42}" srcOrd="2" destOrd="0" presId="urn:microsoft.com/office/officeart/2008/layout/LinedList"/>
    <dgm:cxn modelId="{967762F1-BE2A-4647-87A6-A2FDE6C754EB}" type="presParOf" srcId="{42ACC580-5E46-44EE-9EC0-BF7EF6EDDE86}" destId="{CDB64D04-8999-46B3-91FE-7F8549FC778D}" srcOrd="14" destOrd="0" presId="urn:microsoft.com/office/officeart/2008/layout/LinedList"/>
    <dgm:cxn modelId="{B2C8B021-ECBA-4533-B6A6-193BDE4ADA13}" type="presParOf" srcId="{42ACC580-5E46-44EE-9EC0-BF7EF6EDDE86}" destId="{F0204830-3E08-40CB-9E8E-1336009773B3}" srcOrd="15" destOrd="0" presId="urn:microsoft.com/office/officeart/2008/layout/LinedList"/>
  </dgm:cxnLst>
  <dgm:bg/>
  <dgm:whole/>
  <dgm:extLst>
    <a:ext uri="http://schemas.microsoft.com/office/drawing/2008/diagram">
      <dsp:dataModelExt xmlns:dsp="http://schemas.microsoft.com/office/drawing/2008/diagram" relId="rId151" minVer="http://schemas.openxmlformats.org/drawingml/2006/diagram"/>
    </a:ext>
    <a:ext uri="{C62137D5-CB1D-491B-B009-E17868A290BF}">
      <dgm14:recolorImg xmlns:dgm14="http://schemas.microsoft.com/office/drawing/2010/diagram" val="1"/>
    </a:ext>
  </dgm:extLst>
</dgm:dataModel>
</file>

<file path=word/diagrams/data9.xml><?xml version="1.0" encoding="utf-8"?>
<dgm:dataModel xmlns:dgm="http://schemas.openxmlformats.org/drawingml/2006/diagram" xmlns:a="http://schemas.openxmlformats.org/drawingml/2006/main">
  <dgm:ptLst>
    <dgm:pt modelId="{D34F0F86-DB19-41E7-B6C1-82875BF9AAF4}" type="doc">
      <dgm:prSet loTypeId="urn:microsoft.com/office/officeart/2008/layout/LinedList" loCatId="list" qsTypeId="urn:microsoft.com/office/officeart/2005/8/quickstyle/3d2" qsCatId="3D" csTypeId="urn:microsoft.com/office/officeart/2005/8/colors/accent1_2" csCatId="accent1" phldr="1"/>
      <dgm:spPr/>
      <dgm:t>
        <a:bodyPr/>
        <a:lstStyle/>
        <a:p>
          <a:endParaRPr lang="en-NZ"/>
        </a:p>
      </dgm:t>
    </dgm:pt>
    <dgm:pt modelId="{956689CB-851D-42A1-A4EE-C49B629F6E82}">
      <dgm:prSet phldrT="[Text]" custT="1"/>
      <dgm:spPr/>
      <dgm:t>
        <a:bodyPr/>
        <a:lstStyle/>
        <a:p>
          <a:pPr>
            <a:lnSpc>
              <a:spcPct val="100000"/>
            </a:lnSpc>
          </a:pPr>
          <a:r>
            <a:rPr lang="en-NZ" sz="1400" b="1">
              <a:solidFill>
                <a:schemeClr val="accent4"/>
              </a:solidFill>
              <a:latin typeface="Georgia" panose="02040502050405020303" pitchFamily="18" charset="0"/>
            </a:rPr>
            <a:t>Recommended key tasks to complete before moving to Step 10</a:t>
          </a:r>
          <a:endParaRPr lang="en-NZ" sz="1400">
            <a:solidFill>
              <a:schemeClr val="accent4"/>
            </a:solidFill>
            <a:latin typeface="Georgia" panose="02040502050405020303" pitchFamily="18" charset="0"/>
          </a:endParaRPr>
        </a:p>
      </dgm:t>
    </dgm:pt>
    <dgm:pt modelId="{75846AEE-E3B2-46B7-B433-C5EFDE3CCD45}" type="parTrans" cxnId="{8B5C7044-1CEE-4E96-9590-9FC29964BB24}">
      <dgm:prSet/>
      <dgm:spPr/>
      <dgm:t>
        <a:bodyPr/>
        <a:lstStyle/>
        <a:p>
          <a:endParaRPr lang="en-NZ"/>
        </a:p>
      </dgm:t>
    </dgm:pt>
    <dgm:pt modelId="{6C545816-801F-43AF-8139-8E9453FD0309}" type="sibTrans" cxnId="{8B5C7044-1CEE-4E96-9590-9FC29964BB24}">
      <dgm:prSet/>
      <dgm:spPr/>
      <dgm:t>
        <a:bodyPr/>
        <a:lstStyle/>
        <a:p>
          <a:endParaRPr lang="en-NZ"/>
        </a:p>
      </dgm:t>
    </dgm:pt>
    <dgm:pt modelId="{FF2C293D-AEC5-4960-8CD5-4061B1888DB2}">
      <dgm:prSet phldrT="[Text]" custT="1"/>
      <dgm:spPr/>
      <dgm:t>
        <a:bodyPr/>
        <a:lstStyle/>
        <a:p>
          <a:r>
            <a:rPr lang="en-NZ" sz="1200"/>
            <a:t>Establish the purpose and responsibilities for monitoring, reporting and decision-making.</a:t>
          </a:r>
        </a:p>
      </dgm:t>
    </dgm:pt>
    <dgm:pt modelId="{694AA41B-0BB1-4C83-8BC0-6EC168F7CC62}" type="parTrans" cxnId="{237597C6-2F37-41E7-BF4A-AB18577A83D3}">
      <dgm:prSet/>
      <dgm:spPr/>
      <dgm:t>
        <a:bodyPr/>
        <a:lstStyle/>
        <a:p>
          <a:endParaRPr lang="en-NZ"/>
        </a:p>
      </dgm:t>
    </dgm:pt>
    <dgm:pt modelId="{D53169FB-BA21-4583-A4E5-584D5380BEC2}" type="sibTrans" cxnId="{237597C6-2F37-41E7-BF4A-AB18577A83D3}">
      <dgm:prSet/>
      <dgm:spPr/>
      <dgm:t>
        <a:bodyPr/>
        <a:lstStyle/>
        <a:p>
          <a:endParaRPr lang="en-NZ"/>
        </a:p>
      </dgm:t>
    </dgm:pt>
    <dgm:pt modelId="{3F5A34B4-8501-43A2-9F02-B6F43923C31A}">
      <dgm:prSet phldrT="[Text]" custT="1"/>
      <dgm:spPr/>
      <dgm:t>
        <a:bodyPr/>
        <a:lstStyle/>
        <a:p>
          <a:pPr>
            <a:buFont typeface="Symbol" panose="05050102010706020507" pitchFamily="18" charset="2"/>
            <a:buChar char=""/>
          </a:pPr>
          <a:r>
            <a:rPr lang="en-NZ" sz="1200"/>
            <a:t>Formalise the monitoring regime and integrate it with existing council practices. </a:t>
          </a:r>
        </a:p>
      </dgm:t>
    </dgm:pt>
    <dgm:pt modelId="{EEFDD995-AC75-4A91-A4B2-353421E88D3F}" type="parTrans" cxnId="{D8750B11-4113-4D7B-A71E-84E95201ECB3}">
      <dgm:prSet/>
      <dgm:spPr/>
      <dgm:t>
        <a:bodyPr/>
        <a:lstStyle/>
        <a:p>
          <a:endParaRPr lang="en-NZ"/>
        </a:p>
      </dgm:t>
    </dgm:pt>
    <dgm:pt modelId="{0F97A74C-E7D8-4A09-BE62-CB9F91DD8615}" type="sibTrans" cxnId="{D8750B11-4113-4D7B-A71E-84E95201ECB3}">
      <dgm:prSet/>
      <dgm:spPr/>
      <dgm:t>
        <a:bodyPr/>
        <a:lstStyle/>
        <a:p>
          <a:endParaRPr lang="en-NZ"/>
        </a:p>
      </dgm:t>
    </dgm:pt>
    <dgm:pt modelId="{CA41E89E-D0AD-4FFF-89AB-FC599C55B6C5}">
      <dgm:prSet phldrT="[Text]" custT="1"/>
      <dgm:spPr/>
      <dgm:t>
        <a:bodyPr/>
        <a:lstStyle/>
        <a:p>
          <a:pPr>
            <a:buFont typeface="Symbol" panose="05050102010706020507" pitchFamily="18" charset="2"/>
            <a:buNone/>
          </a:pPr>
          <a:r>
            <a:rPr lang="en-NZ" sz="1200"/>
            <a:t>Determine how to involve communities, iwi/hapū, special interest groups and industry in monitoring.</a:t>
          </a:r>
        </a:p>
      </dgm:t>
    </dgm:pt>
    <dgm:pt modelId="{CAA27D22-D9B1-4177-B99F-9C56BF5ABC91}" type="parTrans" cxnId="{6AE3292F-FF69-409B-9760-950B07CDF4DF}">
      <dgm:prSet/>
      <dgm:spPr/>
      <dgm:t>
        <a:bodyPr/>
        <a:lstStyle/>
        <a:p>
          <a:endParaRPr lang="en-NZ"/>
        </a:p>
      </dgm:t>
    </dgm:pt>
    <dgm:pt modelId="{E2DDB982-F07E-460E-B203-E073357CA5A8}" type="sibTrans" cxnId="{6AE3292F-FF69-409B-9760-950B07CDF4DF}">
      <dgm:prSet/>
      <dgm:spPr/>
      <dgm:t>
        <a:bodyPr/>
        <a:lstStyle/>
        <a:p>
          <a:endParaRPr lang="en-NZ"/>
        </a:p>
      </dgm:t>
    </dgm:pt>
    <dgm:pt modelId="{E9BD178F-FD65-4CF9-84A0-1268C4763795}" type="pres">
      <dgm:prSet presAssocID="{D34F0F86-DB19-41E7-B6C1-82875BF9AAF4}" presName="vert0" presStyleCnt="0">
        <dgm:presLayoutVars>
          <dgm:dir/>
          <dgm:animOne val="branch"/>
          <dgm:animLvl val="lvl"/>
        </dgm:presLayoutVars>
      </dgm:prSet>
      <dgm:spPr/>
    </dgm:pt>
    <dgm:pt modelId="{5727CFB7-D36E-4B7D-A1A0-BC59B422BE7B}" type="pres">
      <dgm:prSet presAssocID="{956689CB-851D-42A1-A4EE-C49B629F6E82}" presName="thickLine" presStyleLbl="alignNode1" presStyleIdx="0" presStyleCnt="1"/>
      <dgm:spPr/>
    </dgm:pt>
    <dgm:pt modelId="{CE193FB5-4FF9-4A8F-8BF1-2B4314296992}" type="pres">
      <dgm:prSet presAssocID="{956689CB-851D-42A1-A4EE-C49B629F6E82}" presName="horz1" presStyleCnt="0"/>
      <dgm:spPr/>
    </dgm:pt>
    <dgm:pt modelId="{9C3645CB-2DE0-4DFB-AC40-AA3738A1E278}" type="pres">
      <dgm:prSet presAssocID="{956689CB-851D-42A1-A4EE-C49B629F6E82}" presName="tx1" presStyleLbl="revTx" presStyleIdx="0" presStyleCnt="4" custScaleX="197785"/>
      <dgm:spPr/>
    </dgm:pt>
    <dgm:pt modelId="{42ACC580-5E46-44EE-9EC0-BF7EF6EDDE86}" type="pres">
      <dgm:prSet presAssocID="{956689CB-851D-42A1-A4EE-C49B629F6E82}" presName="vert1" presStyleCnt="0"/>
      <dgm:spPr/>
    </dgm:pt>
    <dgm:pt modelId="{89DCD850-0DC8-4D09-A285-303649B6D17D}" type="pres">
      <dgm:prSet presAssocID="{FF2C293D-AEC5-4960-8CD5-4061B1888DB2}" presName="vertSpace2a" presStyleCnt="0"/>
      <dgm:spPr/>
    </dgm:pt>
    <dgm:pt modelId="{B07A1943-D1FD-4882-ABE3-1AAE1F398CC0}" type="pres">
      <dgm:prSet presAssocID="{FF2C293D-AEC5-4960-8CD5-4061B1888DB2}" presName="horz2" presStyleCnt="0"/>
      <dgm:spPr/>
    </dgm:pt>
    <dgm:pt modelId="{D8166E62-D41C-4722-97D7-3FA89BC375EA}" type="pres">
      <dgm:prSet presAssocID="{FF2C293D-AEC5-4960-8CD5-4061B1888DB2}" presName="horzSpace2" presStyleCnt="0"/>
      <dgm:spPr/>
    </dgm:pt>
    <dgm:pt modelId="{0B1B7560-6D6B-4366-87F2-361E64D66644}" type="pres">
      <dgm:prSet presAssocID="{FF2C293D-AEC5-4960-8CD5-4061B1888DB2}" presName="tx2" presStyleLbl="revTx" presStyleIdx="1" presStyleCnt="4" custScaleY="32028"/>
      <dgm:spPr/>
    </dgm:pt>
    <dgm:pt modelId="{57B2711A-6079-4ABF-AC51-AFD17BB9660E}" type="pres">
      <dgm:prSet presAssocID="{FF2C293D-AEC5-4960-8CD5-4061B1888DB2}" presName="vert2" presStyleCnt="0"/>
      <dgm:spPr/>
    </dgm:pt>
    <dgm:pt modelId="{9F44F2A9-5445-432F-9D51-83118698DF45}" type="pres">
      <dgm:prSet presAssocID="{FF2C293D-AEC5-4960-8CD5-4061B1888DB2}" presName="thinLine2b" presStyleLbl="callout" presStyleIdx="0" presStyleCnt="3"/>
      <dgm:spPr/>
    </dgm:pt>
    <dgm:pt modelId="{322E6026-7211-4E0F-B753-D81DBAF6B9D2}" type="pres">
      <dgm:prSet presAssocID="{FF2C293D-AEC5-4960-8CD5-4061B1888DB2}" presName="vertSpace2b" presStyleCnt="0"/>
      <dgm:spPr/>
    </dgm:pt>
    <dgm:pt modelId="{997ADF23-6BDC-48FD-A62C-3B151301F030}" type="pres">
      <dgm:prSet presAssocID="{3F5A34B4-8501-43A2-9F02-B6F43923C31A}" presName="horz2" presStyleCnt="0"/>
      <dgm:spPr/>
    </dgm:pt>
    <dgm:pt modelId="{316902DE-387B-452D-A389-5FB343C5E4D9}" type="pres">
      <dgm:prSet presAssocID="{3F5A34B4-8501-43A2-9F02-B6F43923C31A}" presName="horzSpace2" presStyleCnt="0"/>
      <dgm:spPr/>
    </dgm:pt>
    <dgm:pt modelId="{B0372044-6EFE-4278-AE80-6F807BE7F1B5}" type="pres">
      <dgm:prSet presAssocID="{3F5A34B4-8501-43A2-9F02-B6F43923C31A}" presName="tx2" presStyleLbl="revTx" presStyleIdx="2" presStyleCnt="4" custScaleY="30826"/>
      <dgm:spPr/>
    </dgm:pt>
    <dgm:pt modelId="{BA3B994A-7132-4DEB-8ADD-FB27665E3104}" type="pres">
      <dgm:prSet presAssocID="{3F5A34B4-8501-43A2-9F02-B6F43923C31A}" presName="vert2" presStyleCnt="0"/>
      <dgm:spPr/>
    </dgm:pt>
    <dgm:pt modelId="{FF4796FB-75BC-499F-ADA7-D7228148EE72}" type="pres">
      <dgm:prSet presAssocID="{3F5A34B4-8501-43A2-9F02-B6F43923C31A}" presName="thinLine2b" presStyleLbl="callout" presStyleIdx="1" presStyleCnt="3"/>
      <dgm:spPr/>
    </dgm:pt>
    <dgm:pt modelId="{01B67631-BD1B-4E83-8B5A-BDC2BC5231A0}" type="pres">
      <dgm:prSet presAssocID="{3F5A34B4-8501-43A2-9F02-B6F43923C31A}" presName="vertSpace2b" presStyleCnt="0"/>
      <dgm:spPr/>
    </dgm:pt>
    <dgm:pt modelId="{4E0665FE-F9F8-48E5-A927-4B544C228038}" type="pres">
      <dgm:prSet presAssocID="{CA41E89E-D0AD-4FFF-89AB-FC599C55B6C5}" presName="horz2" presStyleCnt="0"/>
      <dgm:spPr/>
    </dgm:pt>
    <dgm:pt modelId="{48712BD8-46B4-473A-85C3-525042C05219}" type="pres">
      <dgm:prSet presAssocID="{CA41E89E-D0AD-4FFF-89AB-FC599C55B6C5}" presName="horzSpace2" presStyleCnt="0"/>
      <dgm:spPr/>
    </dgm:pt>
    <dgm:pt modelId="{08459E75-70F0-4721-9FBA-876D67B3BC32}" type="pres">
      <dgm:prSet presAssocID="{CA41E89E-D0AD-4FFF-89AB-FC599C55B6C5}" presName="tx2" presStyleLbl="revTx" presStyleIdx="3" presStyleCnt="4" custScaleY="28232"/>
      <dgm:spPr/>
    </dgm:pt>
    <dgm:pt modelId="{DF20A674-2F41-4BEB-87E0-33F05BAE4248}" type="pres">
      <dgm:prSet presAssocID="{CA41E89E-D0AD-4FFF-89AB-FC599C55B6C5}" presName="vert2" presStyleCnt="0"/>
      <dgm:spPr/>
    </dgm:pt>
    <dgm:pt modelId="{DE5AB8E8-91E8-404E-995C-FF9747AEB301}" type="pres">
      <dgm:prSet presAssocID="{CA41E89E-D0AD-4FFF-89AB-FC599C55B6C5}" presName="thinLine2b" presStyleLbl="callout" presStyleIdx="2" presStyleCnt="3"/>
      <dgm:spPr/>
    </dgm:pt>
    <dgm:pt modelId="{3EF69631-605F-40E7-ACEE-1586A5DE358D}" type="pres">
      <dgm:prSet presAssocID="{CA41E89E-D0AD-4FFF-89AB-FC599C55B6C5}" presName="vertSpace2b" presStyleCnt="0"/>
      <dgm:spPr/>
    </dgm:pt>
  </dgm:ptLst>
  <dgm:cxnLst>
    <dgm:cxn modelId="{66B86106-A544-4465-A6BD-FCDC2C1DF360}" type="presOf" srcId="{D34F0F86-DB19-41E7-B6C1-82875BF9AAF4}" destId="{E9BD178F-FD65-4CF9-84A0-1268C4763795}" srcOrd="0" destOrd="0" presId="urn:microsoft.com/office/officeart/2008/layout/LinedList"/>
    <dgm:cxn modelId="{D8750B11-4113-4D7B-A71E-84E95201ECB3}" srcId="{956689CB-851D-42A1-A4EE-C49B629F6E82}" destId="{3F5A34B4-8501-43A2-9F02-B6F43923C31A}" srcOrd="1" destOrd="0" parTransId="{EEFDD995-AC75-4A91-A4B2-353421E88D3F}" sibTransId="{0F97A74C-E7D8-4A09-BE62-CB9F91DD8615}"/>
    <dgm:cxn modelId="{6AE3292F-FF69-409B-9760-950B07CDF4DF}" srcId="{956689CB-851D-42A1-A4EE-C49B629F6E82}" destId="{CA41E89E-D0AD-4FFF-89AB-FC599C55B6C5}" srcOrd="2" destOrd="0" parTransId="{CAA27D22-D9B1-4177-B99F-9C56BF5ABC91}" sibTransId="{E2DDB982-F07E-460E-B203-E073357CA5A8}"/>
    <dgm:cxn modelId="{2B068B5E-322A-4B7A-934D-19692B02D86C}" type="presOf" srcId="{FF2C293D-AEC5-4960-8CD5-4061B1888DB2}" destId="{0B1B7560-6D6B-4366-87F2-361E64D66644}" srcOrd="0" destOrd="0" presId="urn:microsoft.com/office/officeart/2008/layout/LinedList"/>
    <dgm:cxn modelId="{8B5C7044-1CEE-4E96-9590-9FC29964BB24}" srcId="{D34F0F86-DB19-41E7-B6C1-82875BF9AAF4}" destId="{956689CB-851D-42A1-A4EE-C49B629F6E82}" srcOrd="0" destOrd="0" parTransId="{75846AEE-E3B2-46B7-B433-C5EFDE3CCD45}" sibTransId="{6C545816-801F-43AF-8139-8E9453FD0309}"/>
    <dgm:cxn modelId="{8321B059-4916-4EC1-AA71-4B1F187D1CEF}" type="presOf" srcId="{956689CB-851D-42A1-A4EE-C49B629F6E82}" destId="{9C3645CB-2DE0-4DFB-AC40-AA3738A1E278}" srcOrd="0" destOrd="0" presId="urn:microsoft.com/office/officeart/2008/layout/LinedList"/>
    <dgm:cxn modelId="{E923FC9A-7DDA-4BFF-8926-451E9BDE73BE}" type="presOf" srcId="{CA41E89E-D0AD-4FFF-89AB-FC599C55B6C5}" destId="{08459E75-70F0-4721-9FBA-876D67B3BC32}" srcOrd="0" destOrd="0" presId="urn:microsoft.com/office/officeart/2008/layout/LinedList"/>
    <dgm:cxn modelId="{EDE231AD-62FF-4FB2-BC3D-D551702BB557}" type="presOf" srcId="{3F5A34B4-8501-43A2-9F02-B6F43923C31A}" destId="{B0372044-6EFE-4278-AE80-6F807BE7F1B5}" srcOrd="0" destOrd="0" presId="urn:microsoft.com/office/officeart/2008/layout/LinedList"/>
    <dgm:cxn modelId="{237597C6-2F37-41E7-BF4A-AB18577A83D3}" srcId="{956689CB-851D-42A1-A4EE-C49B629F6E82}" destId="{FF2C293D-AEC5-4960-8CD5-4061B1888DB2}" srcOrd="0" destOrd="0" parTransId="{694AA41B-0BB1-4C83-8BC0-6EC168F7CC62}" sibTransId="{D53169FB-BA21-4583-A4E5-584D5380BEC2}"/>
    <dgm:cxn modelId="{19D08D3D-9DC3-45D9-94FA-9BF025A1DF7F}" type="presParOf" srcId="{E9BD178F-FD65-4CF9-84A0-1268C4763795}" destId="{5727CFB7-D36E-4B7D-A1A0-BC59B422BE7B}" srcOrd="0" destOrd="0" presId="urn:microsoft.com/office/officeart/2008/layout/LinedList"/>
    <dgm:cxn modelId="{E6A29537-88A3-4E78-BAC2-C77E99894228}" type="presParOf" srcId="{E9BD178F-FD65-4CF9-84A0-1268C4763795}" destId="{CE193FB5-4FF9-4A8F-8BF1-2B4314296992}" srcOrd="1" destOrd="0" presId="urn:microsoft.com/office/officeart/2008/layout/LinedList"/>
    <dgm:cxn modelId="{3974CC3A-F0AE-4CC8-A6A4-E64E17C847EE}" type="presParOf" srcId="{CE193FB5-4FF9-4A8F-8BF1-2B4314296992}" destId="{9C3645CB-2DE0-4DFB-AC40-AA3738A1E278}" srcOrd="0" destOrd="0" presId="urn:microsoft.com/office/officeart/2008/layout/LinedList"/>
    <dgm:cxn modelId="{D53A3B54-584C-4749-866C-CC17F82EA376}" type="presParOf" srcId="{CE193FB5-4FF9-4A8F-8BF1-2B4314296992}" destId="{42ACC580-5E46-44EE-9EC0-BF7EF6EDDE86}" srcOrd="1" destOrd="0" presId="urn:microsoft.com/office/officeart/2008/layout/LinedList"/>
    <dgm:cxn modelId="{0C2C5E3D-42DA-45D0-9B04-ED69BC136E86}" type="presParOf" srcId="{42ACC580-5E46-44EE-9EC0-BF7EF6EDDE86}" destId="{89DCD850-0DC8-4D09-A285-303649B6D17D}" srcOrd="0" destOrd="0" presId="urn:microsoft.com/office/officeart/2008/layout/LinedList"/>
    <dgm:cxn modelId="{EA43FB01-1003-45ED-B753-8540EDE19088}" type="presParOf" srcId="{42ACC580-5E46-44EE-9EC0-BF7EF6EDDE86}" destId="{B07A1943-D1FD-4882-ABE3-1AAE1F398CC0}" srcOrd="1" destOrd="0" presId="urn:microsoft.com/office/officeart/2008/layout/LinedList"/>
    <dgm:cxn modelId="{419B21AF-2A2F-479A-9DAC-49B8D13ECDB1}" type="presParOf" srcId="{B07A1943-D1FD-4882-ABE3-1AAE1F398CC0}" destId="{D8166E62-D41C-4722-97D7-3FA89BC375EA}" srcOrd="0" destOrd="0" presId="urn:microsoft.com/office/officeart/2008/layout/LinedList"/>
    <dgm:cxn modelId="{72943A0C-8E2F-4A8C-85EC-6DEBEBC369C0}" type="presParOf" srcId="{B07A1943-D1FD-4882-ABE3-1AAE1F398CC0}" destId="{0B1B7560-6D6B-4366-87F2-361E64D66644}" srcOrd="1" destOrd="0" presId="urn:microsoft.com/office/officeart/2008/layout/LinedList"/>
    <dgm:cxn modelId="{A4920711-5911-4AE4-8896-14562FC19730}" type="presParOf" srcId="{B07A1943-D1FD-4882-ABE3-1AAE1F398CC0}" destId="{57B2711A-6079-4ABF-AC51-AFD17BB9660E}" srcOrd="2" destOrd="0" presId="urn:microsoft.com/office/officeart/2008/layout/LinedList"/>
    <dgm:cxn modelId="{BCD329AD-EA48-4012-B53B-102860EBFDCC}" type="presParOf" srcId="{42ACC580-5E46-44EE-9EC0-BF7EF6EDDE86}" destId="{9F44F2A9-5445-432F-9D51-83118698DF45}" srcOrd="2" destOrd="0" presId="urn:microsoft.com/office/officeart/2008/layout/LinedList"/>
    <dgm:cxn modelId="{C1AEA293-5316-4BFA-9E19-3B567D252E8D}" type="presParOf" srcId="{42ACC580-5E46-44EE-9EC0-BF7EF6EDDE86}" destId="{322E6026-7211-4E0F-B753-D81DBAF6B9D2}" srcOrd="3" destOrd="0" presId="urn:microsoft.com/office/officeart/2008/layout/LinedList"/>
    <dgm:cxn modelId="{C67C089F-EE0E-4B49-A018-07E02858224F}" type="presParOf" srcId="{42ACC580-5E46-44EE-9EC0-BF7EF6EDDE86}" destId="{997ADF23-6BDC-48FD-A62C-3B151301F030}" srcOrd="4" destOrd="0" presId="urn:microsoft.com/office/officeart/2008/layout/LinedList"/>
    <dgm:cxn modelId="{1417684B-B6EB-43BC-ABE8-BE99474999CE}" type="presParOf" srcId="{997ADF23-6BDC-48FD-A62C-3B151301F030}" destId="{316902DE-387B-452D-A389-5FB343C5E4D9}" srcOrd="0" destOrd="0" presId="urn:microsoft.com/office/officeart/2008/layout/LinedList"/>
    <dgm:cxn modelId="{C8A462B7-F39A-48FA-9EA1-B90F69BB86A7}" type="presParOf" srcId="{997ADF23-6BDC-48FD-A62C-3B151301F030}" destId="{B0372044-6EFE-4278-AE80-6F807BE7F1B5}" srcOrd="1" destOrd="0" presId="urn:microsoft.com/office/officeart/2008/layout/LinedList"/>
    <dgm:cxn modelId="{47A3D32D-2978-4A81-A6CB-882F2B2A0DBD}" type="presParOf" srcId="{997ADF23-6BDC-48FD-A62C-3B151301F030}" destId="{BA3B994A-7132-4DEB-8ADD-FB27665E3104}" srcOrd="2" destOrd="0" presId="urn:microsoft.com/office/officeart/2008/layout/LinedList"/>
    <dgm:cxn modelId="{6C7BE3E6-CE82-4574-B292-1CFB33F11286}" type="presParOf" srcId="{42ACC580-5E46-44EE-9EC0-BF7EF6EDDE86}" destId="{FF4796FB-75BC-499F-ADA7-D7228148EE72}" srcOrd="5" destOrd="0" presId="urn:microsoft.com/office/officeart/2008/layout/LinedList"/>
    <dgm:cxn modelId="{E416B009-42F3-4556-A5C7-AB1B23F662D0}" type="presParOf" srcId="{42ACC580-5E46-44EE-9EC0-BF7EF6EDDE86}" destId="{01B67631-BD1B-4E83-8B5A-BDC2BC5231A0}" srcOrd="6" destOrd="0" presId="urn:microsoft.com/office/officeart/2008/layout/LinedList"/>
    <dgm:cxn modelId="{F86DCFE1-D99B-48F8-943A-C7CC8A0C29F1}" type="presParOf" srcId="{42ACC580-5E46-44EE-9EC0-BF7EF6EDDE86}" destId="{4E0665FE-F9F8-48E5-A927-4B544C228038}" srcOrd="7" destOrd="0" presId="urn:microsoft.com/office/officeart/2008/layout/LinedList"/>
    <dgm:cxn modelId="{7F54F5CA-3BE6-44A3-BB17-6BCAA02BD0BC}" type="presParOf" srcId="{4E0665FE-F9F8-48E5-A927-4B544C228038}" destId="{48712BD8-46B4-473A-85C3-525042C05219}" srcOrd="0" destOrd="0" presId="urn:microsoft.com/office/officeart/2008/layout/LinedList"/>
    <dgm:cxn modelId="{8DAAB5BB-96C8-44EA-A538-945CD8DF0787}" type="presParOf" srcId="{4E0665FE-F9F8-48E5-A927-4B544C228038}" destId="{08459E75-70F0-4721-9FBA-876D67B3BC32}" srcOrd="1" destOrd="0" presId="urn:microsoft.com/office/officeart/2008/layout/LinedList"/>
    <dgm:cxn modelId="{E4D4232D-2446-4D35-B347-80FF8FC5DFF8}" type="presParOf" srcId="{4E0665FE-F9F8-48E5-A927-4B544C228038}" destId="{DF20A674-2F41-4BEB-87E0-33F05BAE4248}" srcOrd="2" destOrd="0" presId="urn:microsoft.com/office/officeart/2008/layout/LinedList"/>
    <dgm:cxn modelId="{F533C61D-5F6E-4DDD-AD31-910FB99F2924}" type="presParOf" srcId="{42ACC580-5E46-44EE-9EC0-BF7EF6EDDE86}" destId="{DE5AB8E8-91E8-404E-995C-FF9747AEB301}" srcOrd="8" destOrd="0" presId="urn:microsoft.com/office/officeart/2008/layout/LinedList"/>
    <dgm:cxn modelId="{7E06FF80-CA39-41CF-AA38-6CC889B8B5E3}" type="presParOf" srcId="{42ACC580-5E46-44EE-9EC0-BF7EF6EDDE86}" destId="{3EF69631-605F-40E7-ACEE-1586A5DE358D}" srcOrd="9" destOrd="0" presId="urn:microsoft.com/office/officeart/2008/layout/LinedList"/>
  </dgm:cxnLst>
  <dgm:bg/>
  <dgm:whole/>
  <dgm:extLst>
    <a:ext uri="http://schemas.microsoft.com/office/drawing/2008/diagram">
      <dsp:dataModelExt xmlns:dsp="http://schemas.microsoft.com/office/drawing/2008/diagram" relId="rId161"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7CFB7-D36E-4B7D-A1A0-BC59B422BE7B}">
      <dsp:nvSpPr>
        <dsp:cNvPr id="0" name=""/>
        <dsp:cNvSpPr/>
      </dsp:nvSpPr>
      <dsp:spPr>
        <a:xfrm>
          <a:off x="0" y="1280"/>
          <a:ext cx="548640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C3645CB-2DE0-4DFB-AC40-AA3738A1E278}">
      <dsp:nvSpPr>
        <dsp:cNvPr id="0" name=""/>
        <dsp:cNvSpPr/>
      </dsp:nvSpPr>
      <dsp:spPr>
        <a:xfrm>
          <a:off x="0" y="1280"/>
          <a:ext cx="1640681" cy="26193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marL="0" lvl="0" indent="0" algn="l" defTabSz="622300">
            <a:lnSpc>
              <a:spcPts val="1800"/>
            </a:lnSpc>
            <a:spcBef>
              <a:spcPct val="0"/>
            </a:spcBef>
            <a:spcAft>
              <a:spcPct val="35000"/>
            </a:spcAft>
            <a:buNone/>
          </a:pPr>
          <a:r>
            <a:rPr lang="en-NZ" sz="1400" b="1" kern="1200">
              <a:solidFill>
                <a:schemeClr val="accent4"/>
              </a:solidFill>
              <a:latin typeface="Georgia" panose="02040502050405020303" pitchFamily="18" charset="0"/>
            </a:rPr>
            <a:t>Recommended key tasks to complete before moving to Step 2</a:t>
          </a:r>
          <a:endParaRPr lang="en-NZ" sz="1400" kern="1200">
            <a:solidFill>
              <a:schemeClr val="accent4"/>
            </a:solidFill>
            <a:latin typeface="Georgia" panose="02040502050405020303" pitchFamily="18" charset="0"/>
          </a:endParaRPr>
        </a:p>
      </dsp:txBody>
      <dsp:txXfrm>
        <a:off x="0" y="1280"/>
        <a:ext cx="1640681" cy="2619354"/>
      </dsp:txXfrm>
    </dsp:sp>
    <dsp:sp modelId="{0B1B7560-6D6B-4366-87F2-361E64D66644}">
      <dsp:nvSpPr>
        <dsp:cNvPr id="0" name=""/>
        <dsp:cNvSpPr/>
      </dsp:nvSpPr>
      <dsp:spPr>
        <a:xfrm>
          <a:off x="1712690" y="61584"/>
          <a:ext cx="3768470" cy="87899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Understand the statutory framework and principles for managing coastal hazards and climate change impacts. </a:t>
          </a:r>
        </a:p>
      </dsp:txBody>
      <dsp:txXfrm>
        <a:off x="1712690" y="61584"/>
        <a:ext cx="3768470" cy="878990"/>
      </dsp:txXfrm>
    </dsp:sp>
    <dsp:sp modelId="{9F44F2A9-5445-432F-9D51-83118698DF45}">
      <dsp:nvSpPr>
        <dsp:cNvPr id="0" name=""/>
        <dsp:cNvSpPr/>
      </dsp:nvSpPr>
      <dsp:spPr>
        <a:xfrm>
          <a:off x="1624782" y="632651"/>
          <a:ext cx="384048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0372044-6EFE-4278-AE80-6F807BE7F1B5}">
      <dsp:nvSpPr>
        <dsp:cNvPr id="0" name=""/>
        <dsp:cNvSpPr/>
      </dsp:nvSpPr>
      <dsp:spPr>
        <a:xfrm>
          <a:off x="1712690" y="634858"/>
          <a:ext cx="3768470" cy="7086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Engage with iwi/hapū Māori and work in partnership with tangata whenua to ensure that climate adaptation responses are informed by te ao Māori and mātauranga Māori.</a:t>
          </a:r>
        </a:p>
      </dsp:txBody>
      <dsp:txXfrm>
        <a:off x="1712690" y="634858"/>
        <a:ext cx="3768470" cy="708680"/>
      </dsp:txXfrm>
    </dsp:sp>
    <dsp:sp modelId="{FF4796FB-75BC-499F-ADA7-D7228148EE72}">
      <dsp:nvSpPr>
        <dsp:cNvPr id="0" name=""/>
        <dsp:cNvSpPr/>
      </dsp:nvSpPr>
      <dsp:spPr>
        <a:xfrm>
          <a:off x="1640681" y="1354118"/>
          <a:ext cx="384048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8459E75-70F0-4721-9FBA-876D67B3BC32}">
      <dsp:nvSpPr>
        <dsp:cNvPr id="0" name=""/>
        <dsp:cNvSpPr/>
      </dsp:nvSpPr>
      <dsp:spPr>
        <a:xfrm>
          <a:off x="1712690" y="1384364"/>
          <a:ext cx="3768470" cy="46247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Become familiar with the preparatory tasks involved in developing a coastal hazards adaptation plan.</a:t>
          </a:r>
        </a:p>
      </dsp:txBody>
      <dsp:txXfrm>
        <a:off x="1712690" y="1384364"/>
        <a:ext cx="3768470" cy="462471"/>
      </dsp:txXfrm>
    </dsp:sp>
    <dsp:sp modelId="{DE5AB8E8-91E8-404E-995C-FF9747AEB301}">
      <dsp:nvSpPr>
        <dsp:cNvPr id="0" name=""/>
        <dsp:cNvSpPr/>
      </dsp:nvSpPr>
      <dsp:spPr>
        <a:xfrm>
          <a:off x="1640681" y="1876894"/>
          <a:ext cx="384048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FD1B0BF-7C3B-429E-9241-2DE32546767F}">
      <dsp:nvSpPr>
        <dsp:cNvPr id="0" name=""/>
        <dsp:cNvSpPr/>
      </dsp:nvSpPr>
      <dsp:spPr>
        <a:xfrm>
          <a:off x="1712690" y="1922094"/>
          <a:ext cx="3768470" cy="2658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Build a multi-disciplinary adaptation team.</a:t>
          </a:r>
        </a:p>
      </dsp:txBody>
      <dsp:txXfrm>
        <a:off x="1712690" y="1922094"/>
        <a:ext cx="3768470" cy="265880"/>
      </dsp:txXfrm>
    </dsp:sp>
    <dsp:sp modelId="{DA31E984-C53F-4C62-A641-EA53895B25F5}">
      <dsp:nvSpPr>
        <dsp:cNvPr id="0" name=""/>
        <dsp:cNvSpPr/>
      </dsp:nvSpPr>
      <dsp:spPr>
        <a:xfrm>
          <a:off x="1640681" y="2256558"/>
          <a:ext cx="384048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7CFB7-D36E-4B7D-A1A0-BC59B422BE7B}">
      <dsp:nvSpPr>
        <dsp:cNvPr id="0" name=""/>
        <dsp:cNvSpPr/>
      </dsp:nvSpPr>
      <dsp:spPr>
        <a:xfrm>
          <a:off x="0" y="0"/>
          <a:ext cx="5486400" cy="0"/>
        </a:xfrm>
        <a:prstGeom prst="lin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C3645CB-2DE0-4DFB-AC40-AA3738A1E278}">
      <dsp:nvSpPr>
        <dsp:cNvPr id="0" name=""/>
        <dsp:cNvSpPr/>
      </dsp:nvSpPr>
      <dsp:spPr>
        <a:xfrm>
          <a:off x="0" y="0"/>
          <a:ext cx="1772493" cy="49583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marL="0" lvl="0" indent="0" algn="l" defTabSz="622300">
            <a:lnSpc>
              <a:spcPct val="100000"/>
            </a:lnSpc>
            <a:spcBef>
              <a:spcPct val="0"/>
            </a:spcBef>
            <a:spcAft>
              <a:spcPct val="35000"/>
            </a:spcAft>
            <a:buNone/>
          </a:pPr>
          <a:r>
            <a:rPr lang="en-NZ" sz="1400" b="1" kern="1200">
              <a:solidFill>
                <a:schemeClr val="accent4"/>
              </a:solidFill>
              <a:latin typeface="Georgia" panose="02040502050405020303" pitchFamily="18" charset="0"/>
            </a:rPr>
            <a:t>Recommended key tasks to complete before moving to Step 3</a:t>
          </a:r>
          <a:endParaRPr lang="en-NZ" sz="1400" kern="1200">
            <a:solidFill>
              <a:schemeClr val="accent4"/>
            </a:solidFill>
            <a:latin typeface="Georgia" panose="02040502050405020303" pitchFamily="18" charset="0"/>
          </a:endParaRPr>
        </a:p>
      </dsp:txBody>
      <dsp:txXfrm>
        <a:off x="0" y="0"/>
        <a:ext cx="1772493" cy="4958366"/>
      </dsp:txXfrm>
    </dsp:sp>
    <dsp:sp modelId="{0B1B7560-6D6B-4366-87F2-361E64D66644}">
      <dsp:nvSpPr>
        <dsp:cNvPr id="0" name=""/>
        <dsp:cNvSpPr/>
      </dsp:nvSpPr>
      <dsp:spPr>
        <a:xfrm>
          <a:off x="1842091" y="82195"/>
          <a:ext cx="3642294" cy="6919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Set up the recommended SSP scenarios and RSLR projections over periods of at least 100 years (2130) or more for your location from the NZ SeaRise platform. </a:t>
          </a:r>
        </a:p>
      </dsp:txBody>
      <dsp:txXfrm>
        <a:off x="1842091" y="82195"/>
        <a:ext cx="3642294" cy="691988"/>
      </dsp:txXfrm>
    </dsp:sp>
    <dsp:sp modelId="{9F44F2A9-5445-432F-9D51-83118698DF45}">
      <dsp:nvSpPr>
        <dsp:cNvPr id="0" name=""/>
        <dsp:cNvSpPr/>
      </dsp:nvSpPr>
      <dsp:spPr>
        <a:xfrm>
          <a:off x="1772493" y="774183"/>
          <a:ext cx="3711892"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B0372044-6EFE-4278-AE80-6F807BE7F1B5}">
      <dsp:nvSpPr>
        <dsp:cNvPr id="0" name=""/>
        <dsp:cNvSpPr/>
      </dsp:nvSpPr>
      <dsp:spPr>
        <a:xfrm>
          <a:off x="1842091" y="856379"/>
          <a:ext cx="3642294" cy="51469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Determine the RSLR increments (0.1–0.2 metre) and range to cover the range of the RSLR projections. </a:t>
          </a:r>
        </a:p>
      </dsp:txBody>
      <dsp:txXfrm>
        <a:off x="1842091" y="856379"/>
        <a:ext cx="3642294" cy="514692"/>
      </dsp:txXfrm>
    </dsp:sp>
    <dsp:sp modelId="{FF4796FB-75BC-499F-ADA7-D7228148EE72}">
      <dsp:nvSpPr>
        <dsp:cNvPr id="0" name=""/>
        <dsp:cNvSpPr/>
      </dsp:nvSpPr>
      <dsp:spPr>
        <a:xfrm>
          <a:off x="1772493" y="1371071"/>
          <a:ext cx="3711892"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08459E75-70F0-4721-9FBA-876D67B3BC32}">
      <dsp:nvSpPr>
        <dsp:cNvPr id="0" name=""/>
        <dsp:cNvSpPr/>
      </dsp:nvSpPr>
      <dsp:spPr>
        <a:xfrm>
          <a:off x="1842091" y="1453266"/>
          <a:ext cx="3642294" cy="8889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Prior to the development of an adaptive planning strategy, adopt the recommended precautionary interim RSLR allowances relevant to land-use activities, plans or policies.</a:t>
          </a:r>
        </a:p>
      </dsp:txBody>
      <dsp:txXfrm>
        <a:off x="1842091" y="1453266"/>
        <a:ext cx="3642294" cy="888912"/>
      </dsp:txXfrm>
    </dsp:sp>
    <dsp:sp modelId="{DE5AB8E8-91E8-404E-995C-FF9747AEB301}">
      <dsp:nvSpPr>
        <dsp:cNvPr id="0" name=""/>
        <dsp:cNvSpPr/>
      </dsp:nvSpPr>
      <dsp:spPr>
        <a:xfrm>
          <a:off x="1772493" y="2342179"/>
          <a:ext cx="3711892"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AFD1B0BF-7C3B-429E-9241-2DE32546767F}">
      <dsp:nvSpPr>
        <dsp:cNvPr id="0" name=""/>
        <dsp:cNvSpPr/>
      </dsp:nvSpPr>
      <dsp:spPr>
        <a:xfrm>
          <a:off x="1842091" y="2424374"/>
          <a:ext cx="3642294" cy="12844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Conduct a regional coastal hazard screening assessment by gathering relevant data and information, assess the area potentially affected primarily by coastal flooding and erosion (and other relevant hazards or progressive changes), using the upper-range RSLR projection to identify areas at high risk of being affected. </a:t>
          </a:r>
        </a:p>
      </dsp:txBody>
      <dsp:txXfrm>
        <a:off x="1842091" y="2424374"/>
        <a:ext cx="3642294" cy="1284404"/>
      </dsp:txXfrm>
    </dsp:sp>
    <dsp:sp modelId="{DA31E984-C53F-4C62-A641-EA53895B25F5}">
      <dsp:nvSpPr>
        <dsp:cNvPr id="0" name=""/>
        <dsp:cNvSpPr/>
      </dsp:nvSpPr>
      <dsp:spPr>
        <a:xfrm>
          <a:off x="1772493" y="3708779"/>
          <a:ext cx="3711892"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B97354C3-304A-424C-937A-B79790EE25DE}">
      <dsp:nvSpPr>
        <dsp:cNvPr id="0" name=""/>
        <dsp:cNvSpPr/>
      </dsp:nvSpPr>
      <dsp:spPr>
        <a:xfrm>
          <a:off x="1842091" y="3790974"/>
          <a:ext cx="3642294" cy="10851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latin typeface="+mn-lt"/>
            </a:rPr>
            <a:t>At regional and/or district levels, conduct a detailed hazard assessment and mapping for both specific and compound coastal hazards, including sensitivity factors to cover uncertainties in storm intensity and other climate and ocean drivers.</a:t>
          </a:r>
        </a:p>
      </dsp:txBody>
      <dsp:txXfrm>
        <a:off x="1842091" y="3790974"/>
        <a:ext cx="3642294" cy="1085113"/>
      </dsp:txXfrm>
    </dsp:sp>
    <dsp:sp modelId="{5BABCEA8-2C81-4C63-9FD6-FB4B9976A685}">
      <dsp:nvSpPr>
        <dsp:cNvPr id="0" name=""/>
        <dsp:cNvSpPr/>
      </dsp:nvSpPr>
      <dsp:spPr>
        <a:xfrm>
          <a:off x="1772493" y="4876087"/>
          <a:ext cx="3711892"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7CFB7-D36E-4B7D-A1A0-BC59B422BE7B}">
      <dsp:nvSpPr>
        <dsp:cNvPr id="0" name=""/>
        <dsp:cNvSpPr/>
      </dsp:nvSpPr>
      <dsp:spPr>
        <a:xfrm>
          <a:off x="0" y="0"/>
          <a:ext cx="5486400" cy="0"/>
        </a:xfrm>
        <a:prstGeom prst="lin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C3645CB-2DE0-4DFB-AC40-AA3738A1E278}">
      <dsp:nvSpPr>
        <dsp:cNvPr id="0" name=""/>
        <dsp:cNvSpPr/>
      </dsp:nvSpPr>
      <dsp:spPr>
        <a:xfrm>
          <a:off x="0" y="0"/>
          <a:ext cx="1779723" cy="293369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marL="0" lvl="0" indent="0" algn="l" defTabSz="622300">
            <a:lnSpc>
              <a:spcPts val="1800"/>
            </a:lnSpc>
            <a:spcBef>
              <a:spcPct val="0"/>
            </a:spcBef>
            <a:spcAft>
              <a:spcPct val="35000"/>
            </a:spcAft>
            <a:buNone/>
          </a:pPr>
          <a:r>
            <a:rPr lang="en-NZ" sz="1400" b="1" kern="1200">
              <a:solidFill>
                <a:schemeClr val="accent4"/>
              </a:solidFill>
              <a:latin typeface="Georgia" panose="02040502050405020303" pitchFamily="18" charset="0"/>
            </a:rPr>
            <a:t>Recommended key tasks to complete before moving to Step 4</a:t>
          </a:r>
          <a:endParaRPr lang="en-NZ" sz="1400" kern="1200">
            <a:solidFill>
              <a:schemeClr val="accent4"/>
            </a:solidFill>
            <a:latin typeface="Georgia" panose="02040502050405020303" pitchFamily="18" charset="0"/>
          </a:endParaRPr>
        </a:p>
      </dsp:txBody>
      <dsp:txXfrm>
        <a:off x="0" y="0"/>
        <a:ext cx="1779723" cy="2933699"/>
      </dsp:txXfrm>
    </dsp:sp>
    <dsp:sp modelId="{0B1B7560-6D6B-4366-87F2-361E64D66644}">
      <dsp:nvSpPr>
        <dsp:cNvPr id="0" name=""/>
        <dsp:cNvSpPr/>
      </dsp:nvSpPr>
      <dsp:spPr>
        <a:xfrm>
          <a:off x="1849160" y="73485"/>
          <a:ext cx="3633882" cy="49157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latin typeface="Calibri" panose="020F0502020204030204" pitchFamily="34" charset="0"/>
              <a:cs typeface="Calibri" panose="020F0502020204030204" pitchFamily="34" charset="0"/>
            </a:rPr>
            <a:t>Identify who should participate in engagement about community values. </a:t>
          </a:r>
        </a:p>
      </dsp:txBody>
      <dsp:txXfrm>
        <a:off x="1849160" y="73485"/>
        <a:ext cx="3633882" cy="491575"/>
      </dsp:txXfrm>
    </dsp:sp>
    <dsp:sp modelId="{9F44F2A9-5445-432F-9D51-83118698DF45}">
      <dsp:nvSpPr>
        <dsp:cNvPr id="0" name=""/>
        <dsp:cNvSpPr/>
      </dsp:nvSpPr>
      <dsp:spPr>
        <a:xfrm>
          <a:off x="1779723" y="565061"/>
          <a:ext cx="37033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B0372044-6EFE-4278-AE80-6F807BE7F1B5}">
      <dsp:nvSpPr>
        <dsp:cNvPr id="0" name=""/>
        <dsp:cNvSpPr/>
      </dsp:nvSpPr>
      <dsp:spPr>
        <a:xfrm>
          <a:off x="1849160" y="638547"/>
          <a:ext cx="3633882" cy="5013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Decide which method to use to determine community values.</a:t>
          </a:r>
        </a:p>
      </dsp:txBody>
      <dsp:txXfrm>
        <a:off x="1849160" y="638547"/>
        <a:ext cx="3633882" cy="501393"/>
      </dsp:txXfrm>
    </dsp:sp>
    <dsp:sp modelId="{FF4796FB-75BC-499F-ADA7-D7228148EE72}">
      <dsp:nvSpPr>
        <dsp:cNvPr id="0" name=""/>
        <dsp:cNvSpPr/>
      </dsp:nvSpPr>
      <dsp:spPr>
        <a:xfrm>
          <a:off x="1779723" y="1139940"/>
          <a:ext cx="37033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08459E75-70F0-4721-9FBA-876D67B3BC32}">
      <dsp:nvSpPr>
        <dsp:cNvPr id="0" name=""/>
        <dsp:cNvSpPr/>
      </dsp:nvSpPr>
      <dsp:spPr>
        <a:xfrm>
          <a:off x="1849160" y="1213426"/>
          <a:ext cx="3633882" cy="5117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Translate the information on community values into themes, then objectives.</a:t>
          </a:r>
        </a:p>
      </dsp:txBody>
      <dsp:txXfrm>
        <a:off x="1849160" y="1213426"/>
        <a:ext cx="3633882" cy="511784"/>
      </dsp:txXfrm>
    </dsp:sp>
    <dsp:sp modelId="{DE5AB8E8-91E8-404E-995C-FF9747AEB301}">
      <dsp:nvSpPr>
        <dsp:cNvPr id="0" name=""/>
        <dsp:cNvSpPr/>
      </dsp:nvSpPr>
      <dsp:spPr>
        <a:xfrm>
          <a:off x="1779723" y="1725210"/>
          <a:ext cx="37033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AFD1B0BF-7C3B-429E-9241-2DE32546767F}">
      <dsp:nvSpPr>
        <dsp:cNvPr id="0" name=""/>
        <dsp:cNvSpPr/>
      </dsp:nvSpPr>
      <dsp:spPr>
        <a:xfrm>
          <a:off x="1849160" y="1798695"/>
          <a:ext cx="3633882" cy="28487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Identify local government objectives.</a:t>
          </a:r>
        </a:p>
      </dsp:txBody>
      <dsp:txXfrm>
        <a:off x="1849160" y="1798695"/>
        <a:ext cx="3633882" cy="284874"/>
      </dsp:txXfrm>
    </dsp:sp>
    <dsp:sp modelId="{DA31E984-C53F-4C62-A641-EA53895B25F5}">
      <dsp:nvSpPr>
        <dsp:cNvPr id="0" name=""/>
        <dsp:cNvSpPr/>
      </dsp:nvSpPr>
      <dsp:spPr>
        <a:xfrm>
          <a:off x="1779723" y="2083570"/>
          <a:ext cx="37033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B97354C3-304A-424C-937A-B79790EE25DE}">
      <dsp:nvSpPr>
        <dsp:cNvPr id="0" name=""/>
        <dsp:cNvSpPr/>
      </dsp:nvSpPr>
      <dsp:spPr>
        <a:xfrm>
          <a:off x="1849160" y="2157056"/>
          <a:ext cx="3633882" cy="70221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Collate and consolidate community and local government objectives to take forward into subsequent steps in the decision cycle.</a:t>
          </a:r>
          <a:endParaRPr lang="en-NZ" sz="1200" kern="1200">
            <a:latin typeface="+mn-lt"/>
          </a:endParaRPr>
        </a:p>
      </dsp:txBody>
      <dsp:txXfrm>
        <a:off x="1849160" y="2157056"/>
        <a:ext cx="3633882" cy="702215"/>
      </dsp:txXfrm>
    </dsp:sp>
    <dsp:sp modelId="{5BABCEA8-2C81-4C63-9FD6-FB4B9976A685}">
      <dsp:nvSpPr>
        <dsp:cNvPr id="0" name=""/>
        <dsp:cNvSpPr/>
      </dsp:nvSpPr>
      <dsp:spPr>
        <a:xfrm>
          <a:off x="1779723" y="2859271"/>
          <a:ext cx="37033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7CFB7-D36E-4B7D-A1A0-BC59B422BE7B}">
      <dsp:nvSpPr>
        <dsp:cNvPr id="0" name=""/>
        <dsp:cNvSpPr/>
      </dsp:nvSpPr>
      <dsp:spPr>
        <a:xfrm>
          <a:off x="0" y="0"/>
          <a:ext cx="5400039" cy="0"/>
        </a:xfrm>
        <a:prstGeom prst="lin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C3645CB-2DE0-4DFB-AC40-AA3738A1E278}">
      <dsp:nvSpPr>
        <dsp:cNvPr id="0" name=""/>
        <dsp:cNvSpPr/>
      </dsp:nvSpPr>
      <dsp:spPr>
        <a:xfrm>
          <a:off x="0" y="0"/>
          <a:ext cx="1801082" cy="52108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marL="0" lvl="0" indent="0" algn="l" defTabSz="622300">
            <a:lnSpc>
              <a:spcPct val="100000"/>
            </a:lnSpc>
            <a:spcBef>
              <a:spcPct val="0"/>
            </a:spcBef>
            <a:spcAft>
              <a:spcPct val="35000"/>
            </a:spcAft>
            <a:buNone/>
          </a:pPr>
          <a:r>
            <a:rPr lang="en-NZ" sz="1400" b="1" kern="1200">
              <a:solidFill>
                <a:schemeClr val="accent4"/>
              </a:solidFill>
              <a:latin typeface="Georgia" panose="02040502050405020303" pitchFamily="18" charset="0"/>
            </a:rPr>
            <a:t>Recommended key tasks to complete before moving to Step 5</a:t>
          </a:r>
          <a:endParaRPr lang="en-NZ" sz="1400" kern="1200">
            <a:solidFill>
              <a:schemeClr val="accent4"/>
            </a:solidFill>
            <a:latin typeface="Georgia" panose="02040502050405020303" pitchFamily="18" charset="0"/>
          </a:endParaRPr>
        </a:p>
      </dsp:txBody>
      <dsp:txXfrm>
        <a:off x="0" y="0"/>
        <a:ext cx="1801082" cy="5210827"/>
      </dsp:txXfrm>
    </dsp:sp>
    <dsp:sp modelId="{0B1B7560-6D6B-4366-87F2-361E64D66644}">
      <dsp:nvSpPr>
        <dsp:cNvPr id="0" name=""/>
        <dsp:cNvSpPr/>
      </dsp:nvSpPr>
      <dsp:spPr>
        <a:xfrm>
          <a:off x="1868556" y="67552"/>
          <a:ext cx="3531146" cy="85097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Establish the purpose and objectives, governance, resourcing and capability, level of engagement, and use of mātauranga and local knowledge for risk assessments.</a:t>
          </a:r>
        </a:p>
      </dsp:txBody>
      <dsp:txXfrm>
        <a:off x="1868556" y="67552"/>
        <a:ext cx="3531146" cy="850971"/>
      </dsp:txXfrm>
    </dsp:sp>
    <dsp:sp modelId="{9F44F2A9-5445-432F-9D51-83118698DF45}">
      <dsp:nvSpPr>
        <dsp:cNvPr id="0" name=""/>
        <dsp:cNvSpPr/>
      </dsp:nvSpPr>
      <dsp:spPr>
        <a:xfrm>
          <a:off x="1801082" y="918524"/>
          <a:ext cx="35986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B0372044-6EFE-4278-AE80-6F807BE7F1B5}">
      <dsp:nvSpPr>
        <dsp:cNvPr id="0" name=""/>
        <dsp:cNvSpPr/>
      </dsp:nvSpPr>
      <dsp:spPr>
        <a:xfrm>
          <a:off x="1868893" y="1040132"/>
          <a:ext cx="3531146" cy="73657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Determine the scope, system boundaries, value domains, scenarios (climate, relative sea-level rise and socio-economic), outputs and outcomes, and budget.</a:t>
          </a:r>
        </a:p>
      </dsp:txBody>
      <dsp:txXfrm>
        <a:off x="1868893" y="1040132"/>
        <a:ext cx="3531146" cy="736578"/>
      </dsp:txXfrm>
    </dsp:sp>
    <dsp:sp modelId="{FF4796FB-75BC-499F-ADA7-D7228148EE72}">
      <dsp:nvSpPr>
        <dsp:cNvPr id="0" name=""/>
        <dsp:cNvSpPr/>
      </dsp:nvSpPr>
      <dsp:spPr>
        <a:xfrm>
          <a:off x="1801082" y="1722655"/>
          <a:ext cx="35986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08459E75-70F0-4721-9FBA-876D67B3BC32}">
      <dsp:nvSpPr>
        <dsp:cNvPr id="0" name=""/>
        <dsp:cNvSpPr/>
      </dsp:nvSpPr>
      <dsp:spPr>
        <a:xfrm>
          <a:off x="1868893" y="1845709"/>
          <a:ext cx="3531146" cy="113227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Identify the types and range of hazards (including progressive changes and compound multi-hazards) to include (from step 2) and what is at risk, data availability, and cascading impacts and interaction (eg, via workshops and hui).</a:t>
          </a:r>
        </a:p>
      </dsp:txBody>
      <dsp:txXfrm>
        <a:off x="1868893" y="1845709"/>
        <a:ext cx="3531146" cy="1132273"/>
      </dsp:txXfrm>
    </dsp:sp>
    <dsp:sp modelId="{DE5AB8E8-91E8-404E-995C-FF9747AEB301}">
      <dsp:nvSpPr>
        <dsp:cNvPr id="0" name=""/>
        <dsp:cNvSpPr/>
      </dsp:nvSpPr>
      <dsp:spPr>
        <a:xfrm>
          <a:off x="1801082" y="2922481"/>
          <a:ext cx="35986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AFD1B0BF-7C3B-429E-9241-2DE32546767F}">
      <dsp:nvSpPr>
        <dsp:cNvPr id="0" name=""/>
        <dsp:cNvSpPr/>
      </dsp:nvSpPr>
      <dsp:spPr>
        <a:xfrm>
          <a:off x="1868893" y="2982063"/>
          <a:ext cx="3531146" cy="65860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Follow the tasks in the first pass screening and detailed risk assessments, and decide on the methods for qualitative and quantitative assessment.</a:t>
          </a:r>
        </a:p>
      </dsp:txBody>
      <dsp:txXfrm>
        <a:off x="1868893" y="2982063"/>
        <a:ext cx="3531146" cy="658609"/>
      </dsp:txXfrm>
    </dsp:sp>
    <dsp:sp modelId="{DA31E984-C53F-4C62-A641-EA53895B25F5}">
      <dsp:nvSpPr>
        <dsp:cNvPr id="0" name=""/>
        <dsp:cNvSpPr/>
      </dsp:nvSpPr>
      <dsp:spPr>
        <a:xfrm>
          <a:off x="1801082" y="3648643"/>
          <a:ext cx="35986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E1B6EAB7-CBD0-4659-8D65-F0C9C5CA537A}">
      <dsp:nvSpPr>
        <dsp:cNvPr id="0" name=""/>
        <dsp:cNvSpPr/>
      </dsp:nvSpPr>
      <dsp:spPr>
        <a:xfrm>
          <a:off x="1868893" y="3715723"/>
          <a:ext cx="3531146" cy="63876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Undertake a social, cultural and environmental vulnerability assessment and feed it into the overall risk assessment.</a:t>
          </a:r>
        </a:p>
      </dsp:txBody>
      <dsp:txXfrm>
        <a:off x="1868893" y="3715723"/>
        <a:ext cx="3531146" cy="638762"/>
      </dsp:txXfrm>
    </dsp:sp>
    <dsp:sp modelId="{683A123C-2CCD-4351-9F75-4C3A9C066187}">
      <dsp:nvSpPr>
        <dsp:cNvPr id="0" name=""/>
        <dsp:cNvSpPr/>
      </dsp:nvSpPr>
      <dsp:spPr>
        <a:xfrm>
          <a:off x="1801082" y="4354959"/>
          <a:ext cx="35986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B97354C3-304A-424C-937A-B79790EE25DE}">
      <dsp:nvSpPr>
        <dsp:cNvPr id="0" name=""/>
        <dsp:cNvSpPr/>
      </dsp:nvSpPr>
      <dsp:spPr>
        <a:xfrm>
          <a:off x="1868893" y="4417391"/>
          <a:ext cx="3531146" cy="71446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Review the findings and risk priorities, communicate the results, and determine how to use them in subsequent steps of the decision cycle.</a:t>
          </a:r>
          <a:endParaRPr lang="en-NZ" sz="1200" kern="1200">
            <a:latin typeface="+mn-lt"/>
          </a:endParaRPr>
        </a:p>
      </dsp:txBody>
      <dsp:txXfrm>
        <a:off x="1868893" y="4417391"/>
        <a:ext cx="3531146" cy="714461"/>
      </dsp:txXfrm>
    </dsp:sp>
    <dsp:sp modelId="{5BABCEA8-2C81-4C63-9FD6-FB4B9976A685}">
      <dsp:nvSpPr>
        <dsp:cNvPr id="0" name=""/>
        <dsp:cNvSpPr/>
      </dsp:nvSpPr>
      <dsp:spPr>
        <a:xfrm>
          <a:off x="1801082" y="5136973"/>
          <a:ext cx="35986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7CFB7-D36E-4B7D-A1A0-BC59B422BE7B}">
      <dsp:nvSpPr>
        <dsp:cNvPr id="0" name=""/>
        <dsp:cNvSpPr/>
      </dsp:nvSpPr>
      <dsp:spPr>
        <a:xfrm>
          <a:off x="0" y="0"/>
          <a:ext cx="5400039" cy="0"/>
        </a:xfrm>
        <a:prstGeom prst="lin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C3645CB-2DE0-4DFB-AC40-AA3738A1E278}">
      <dsp:nvSpPr>
        <dsp:cNvPr id="0" name=""/>
        <dsp:cNvSpPr/>
      </dsp:nvSpPr>
      <dsp:spPr>
        <a:xfrm>
          <a:off x="0" y="0"/>
          <a:ext cx="1834225" cy="279463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marL="0" lvl="0" indent="0" algn="l" defTabSz="622300">
            <a:lnSpc>
              <a:spcPts val="1800"/>
            </a:lnSpc>
            <a:spcBef>
              <a:spcPct val="0"/>
            </a:spcBef>
            <a:spcAft>
              <a:spcPct val="35000"/>
            </a:spcAft>
            <a:buNone/>
          </a:pPr>
          <a:r>
            <a:rPr lang="en-NZ" sz="1400" b="1" kern="1200">
              <a:solidFill>
                <a:schemeClr val="accent4"/>
              </a:solidFill>
              <a:latin typeface="Georgia" panose="02040502050405020303" pitchFamily="18" charset="0"/>
            </a:rPr>
            <a:t>Recommended key tasks to complete before moving to Step 6</a:t>
          </a:r>
          <a:endParaRPr lang="en-NZ" sz="1400" kern="1200">
            <a:solidFill>
              <a:schemeClr val="accent4"/>
            </a:solidFill>
            <a:latin typeface="Georgia" panose="02040502050405020303" pitchFamily="18" charset="0"/>
          </a:endParaRPr>
        </a:p>
      </dsp:txBody>
      <dsp:txXfrm>
        <a:off x="0" y="0"/>
        <a:ext cx="1834225" cy="2794635"/>
      </dsp:txXfrm>
    </dsp:sp>
    <dsp:sp modelId="{0B1B7560-6D6B-4366-87F2-361E64D66644}">
      <dsp:nvSpPr>
        <dsp:cNvPr id="0" name=""/>
        <dsp:cNvSpPr/>
      </dsp:nvSpPr>
      <dsp:spPr>
        <a:xfrm>
          <a:off x="1900987" y="139731"/>
          <a:ext cx="3493889" cy="44437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Identify adaptation thresholds with the community, iwi/hapū, asset managers and other stakeholders.</a:t>
          </a:r>
        </a:p>
      </dsp:txBody>
      <dsp:txXfrm>
        <a:off x="1900987" y="139731"/>
        <a:ext cx="3493889" cy="444374"/>
      </dsp:txXfrm>
    </dsp:sp>
    <dsp:sp modelId="{9F44F2A9-5445-432F-9D51-83118698DF45}">
      <dsp:nvSpPr>
        <dsp:cNvPr id="0" name=""/>
        <dsp:cNvSpPr/>
      </dsp:nvSpPr>
      <dsp:spPr>
        <a:xfrm>
          <a:off x="1834225" y="584106"/>
          <a:ext cx="3560651"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B0372044-6EFE-4278-AE80-6F807BE7F1B5}">
      <dsp:nvSpPr>
        <dsp:cNvPr id="0" name=""/>
        <dsp:cNvSpPr/>
      </dsp:nvSpPr>
      <dsp:spPr>
        <a:xfrm>
          <a:off x="1900987" y="723838"/>
          <a:ext cx="3493889" cy="4733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Identify adaptation options and actions based on risk screening.</a:t>
          </a:r>
        </a:p>
      </dsp:txBody>
      <dsp:txXfrm>
        <a:off x="1900987" y="723838"/>
        <a:ext cx="3493889" cy="473327"/>
      </dsp:txXfrm>
    </dsp:sp>
    <dsp:sp modelId="{FF4796FB-75BC-499F-ADA7-D7228148EE72}">
      <dsp:nvSpPr>
        <dsp:cNvPr id="0" name=""/>
        <dsp:cNvSpPr/>
      </dsp:nvSpPr>
      <dsp:spPr>
        <a:xfrm>
          <a:off x="1834225" y="1197165"/>
          <a:ext cx="3560651"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08459E75-70F0-4721-9FBA-876D67B3BC32}">
      <dsp:nvSpPr>
        <dsp:cNvPr id="0" name=""/>
        <dsp:cNvSpPr/>
      </dsp:nvSpPr>
      <dsp:spPr>
        <a:xfrm>
          <a:off x="1900987" y="1336897"/>
          <a:ext cx="3493889" cy="49143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Identify pathways using sea-level rise increments and scenarios.</a:t>
          </a:r>
        </a:p>
      </dsp:txBody>
      <dsp:txXfrm>
        <a:off x="1900987" y="1336897"/>
        <a:ext cx="3493889" cy="491436"/>
      </dsp:txXfrm>
    </dsp:sp>
    <dsp:sp modelId="{DE5AB8E8-91E8-404E-995C-FF9747AEB301}">
      <dsp:nvSpPr>
        <dsp:cNvPr id="0" name=""/>
        <dsp:cNvSpPr/>
      </dsp:nvSpPr>
      <dsp:spPr>
        <a:xfrm>
          <a:off x="1834225" y="1828334"/>
          <a:ext cx="3560651"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AFD1B0BF-7C3B-429E-9241-2DE32546767F}">
      <dsp:nvSpPr>
        <dsp:cNvPr id="0" name=""/>
        <dsp:cNvSpPr/>
      </dsp:nvSpPr>
      <dsp:spPr>
        <a:xfrm>
          <a:off x="1906150" y="1877910"/>
          <a:ext cx="3493889" cy="46010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Build options and adaptive pathways into a planning map.</a:t>
          </a:r>
        </a:p>
      </dsp:txBody>
      <dsp:txXfrm>
        <a:off x="1906150" y="1877910"/>
        <a:ext cx="3493889" cy="460108"/>
      </dsp:txXfrm>
    </dsp:sp>
    <dsp:sp modelId="{DA31E984-C53F-4C62-A641-EA53895B25F5}">
      <dsp:nvSpPr>
        <dsp:cNvPr id="0" name=""/>
        <dsp:cNvSpPr/>
      </dsp:nvSpPr>
      <dsp:spPr>
        <a:xfrm>
          <a:off x="1834225" y="2428174"/>
          <a:ext cx="3560651"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7CFB7-D36E-4B7D-A1A0-BC59B422BE7B}">
      <dsp:nvSpPr>
        <dsp:cNvPr id="0" name=""/>
        <dsp:cNvSpPr/>
      </dsp:nvSpPr>
      <dsp:spPr>
        <a:xfrm>
          <a:off x="0" y="0"/>
          <a:ext cx="5400039" cy="0"/>
        </a:xfrm>
        <a:prstGeom prst="lin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C3645CB-2DE0-4DFB-AC40-AA3738A1E278}">
      <dsp:nvSpPr>
        <dsp:cNvPr id="0" name=""/>
        <dsp:cNvSpPr/>
      </dsp:nvSpPr>
      <dsp:spPr>
        <a:xfrm>
          <a:off x="0" y="0"/>
          <a:ext cx="1750897" cy="167425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marL="0" lvl="0" indent="0" algn="l" defTabSz="622300">
            <a:lnSpc>
              <a:spcPts val="1800"/>
            </a:lnSpc>
            <a:spcBef>
              <a:spcPct val="0"/>
            </a:spcBef>
            <a:spcAft>
              <a:spcPct val="35000"/>
            </a:spcAft>
            <a:buNone/>
          </a:pPr>
          <a:r>
            <a:rPr lang="en-NZ" sz="1400" b="1" kern="1200">
              <a:solidFill>
                <a:schemeClr val="accent4"/>
              </a:solidFill>
              <a:latin typeface="Georgia" panose="02040502050405020303" pitchFamily="18" charset="0"/>
            </a:rPr>
            <a:t>Recommended key tasks to complete before moving to Step 7</a:t>
          </a:r>
          <a:endParaRPr lang="en-NZ" sz="1400" kern="1200">
            <a:solidFill>
              <a:schemeClr val="accent4"/>
            </a:solidFill>
            <a:latin typeface="Georgia" panose="02040502050405020303" pitchFamily="18" charset="0"/>
          </a:endParaRPr>
        </a:p>
      </dsp:txBody>
      <dsp:txXfrm>
        <a:off x="0" y="0"/>
        <a:ext cx="1750897" cy="1674253"/>
      </dsp:txXfrm>
    </dsp:sp>
    <dsp:sp modelId="{0B1B7560-6D6B-4366-87F2-361E64D66644}">
      <dsp:nvSpPr>
        <dsp:cNvPr id="0" name=""/>
        <dsp:cNvSpPr/>
      </dsp:nvSpPr>
      <dsp:spPr>
        <a:xfrm>
          <a:off x="1819242" y="60086"/>
          <a:ext cx="3576682" cy="55169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Choose the appropriate evaluation tools to assess options and pathways.</a:t>
          </a:r>
        </a:p>
      </dsp:txBody>
      <dsp:txXfrm>
        <a:off x="1819242" y="60086"/>
        <a:ext cx="3576682" cy="551692"/>
      </dsp:txXfrm>
    </dsp:sp>
    <dsp:sp modelId="{9F44F2A9-5445-432F-9D51-83118698DF45}">
      <dsp:nvSpPr>
        <dsp:cNvPr id="0" name=""/>
        <dsp:cNvSpPr/>
      </dsp:nvSpPr>
      <dsp:spPr>
        <a:xfrm>
          <a:off x="1750897" y="611778"/>
          <a:ext cx="3645026"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B0372044-6EFE-4278-AE80-6F807BE7F1B5}">
      <dsp:nvSpPr>
        <dsp:cNvPr id="0" name=""/>
        <dsp:cNvSpPr/>
      </dsp:nvSpPr>
      <dsp:spPr>
        <a:xfrm>
          <a:off x="1819242" y="671865"/>
          <a:ext cx="3576682" cy="4446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Evaluate adaptation options and pathways.</a:t>
          </a:r>
        </a:p>
      </dsp:txBody>
      <dsp:txXfrm>
        <a:off x="1819242" y="671865"/>
        <a:ext cx="3576682" cy="444629"/>
      </dsp:txXfrm>
    </dsp:sp>
    <dsp:sp modelId="{FF4796FB-75BC-499F-ADA7-D7228148EE72}">
      <dsp:nvSpPr>
        <dsp:cNvPr id="0" name=""/>
        <dsp:cNvSpPr/>
      </dsp:nvSpPr>
      <dsp:spPr>
        <a:xfrm>
          <a:off x="1750897" y="1116495"/>
          <a:ext cx="3645026"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08459E75-70F0-4721-9FBA-876D67B3BC32}">
      <dsp:nvSpPr>
        <dsp:cNvPr id="0" name=""/>
        <dsp:cNvSpPr/>
      </dsp:nvSpPr>
      <dsp:spPr>
        <a:xfrm>
          <a:off x="1819242" y="1176582"/>
          <a:ext cx="3576682" cy="4373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Stress-test the pathways chosen.</a:t>
          </a:r>
        </a:p>
      </dsp:txBody>
      <dsp:txXfrm>
        <a:off x="1819242" y="1176582"/>
        <a:ext cx="3576682" cy="437359"/>
      </dsp:txXfrm>
    </dsp:sp>
    <dsp:sp modelId="{DE5AB8E8-91E8-404E-995C-FF9747AEB301}">
      <dsp:nvSpPr>
        <dsp:cNvPr id="0" name=""/>
        <dsp:cNvSpPr/>
      </dsp:nvSpPr>
      <dsp:spPr>
        <a:xfrm>
          <a:off x="1750897" y="1613941"/>
          <a:ext cx="3645026"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7CFB7-D36E-4B7D-A1A0-BC59B422BE7B}">
      <dsp:nvSpPr>
        <dsp:cNvPr id="0" name=""/>
        <dsp:cNvSpPr/>
      </dsp:nvSpPr>
      <dsp:spPr>
        <a:xfrm>
          <a:off x="0" y="0"/>
          <a:ext cx="5400039" cy="0"/>
        </a:xfrm>
        <a:prstGeom prst="lin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C3645CB-2DE0-4DFB-AC40-AA3738A1E278}">
      <dsp:nvSpPr>
        <dsp:cNvPr id="0" name=""/>
        <dsp:cNvSpPr/>
      </dsp:nvSpPr>
      <dsp:spPr>
        <a:xfrm>
          <a:off x="0" y="0"/>
          <a:ext cx="1801082" cy="13442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marL="0" lvl="0" indent="0" algn="l" defTabSz="622300">
            <a:lnSpc>
              <a:spcPts val="1800"/>
            </a:lnSpc>
            <a:spcBef>
              <a:spcPct val="0"/>
            </a:spcBef>
            <a:spcAft>
              <a:spcPct val="35000"/>
            </a:spcAft>
            <a:buNone/>
          </a:pPr>
          <a:r>
            <a:rPr lang="en-NZ" sz="1400" b="1" kern="1200">
              <a:solidFill>
                <a:schemeClr val="accent4"/>
              </a:solidFill>
              <a:latin typeface="Georgia" panose="02040502050405020303" pitchFamily="18" charset="0"/>
            </a:rPr>
            <a:t>Recommended key tasks to complete before moving to Step 8</a:t>
          </a:r>
          <a:endParaRPr lang="en-NZ" sz="1400" kern="1200">
            <a:solidFill>
              <a:schemeClr val="accent4"/>
            </a:solidFill>
            <a:latin typeface="Georgia" panose="02040502050405020303" pitchFamily="18" charset="0"/>
          </a:endParaRPr>
        </a:p>
      </dsp:txBody>
      <dsp:txXfrm>
        <a:off x="0" y="0"/>
        <a:ext cx="1801082" cy="1344295"/>
      </dsp:txXfrm>
    </dsp:sp>
    <dsp:sp modelId="{0B1B7560-6D6B-4366-87F2-361E64D66644}">
      <dsp:nvSpPr>
        <dsp:cNvPr id="0" name=""/>
        <dsp:cNvSpPr/>
      </dsp:nvSpPr>
      <dsp:spPr>
        <a:xfrm>
          <a:off x="1868556" y="50345"/>
          <a:ext cx="3531146" cy="52512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Design effective signals and triggers (decision points) for adaptation planning.</a:t>
          </a:r>
        </a:p>
      </dsp:txBody>
      <dsp:txXfrm>
        <a:off x="1868556" y="50345"/>
        <a:ext cx="3531146" cy="525122"/>
      </dsp:txXfrm>
    </dsp:sp>
    <dsp:sp modelId="{9F44F2A9-5445-432F-9D51-83118698DF45}">
      <dsp:nvSpPr>
        <dsp:cNvPr id="0" name=""/>
        <dsp:cNvSpPr/>
      </dsp:nvSpPr>
      <dsp:spPr>
        <a:xfrm>
          <a:off x="1801082" y="575468"/>
          <a:ext cx="35986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B0372044-6EFE-4278-AE80-6F807BE7F1B5}">
      <dsp:nvSpPr>
        <dsp:cNvPr id="0" name=""/>
        <dsp:cNvSpPr/>
      </dsp:nvSpPr>
      <dsp:spPr>
        <a:xfrm>
          <a:off x="1868556" y="625813"/>
          <a:ext cx="3531146" cy="6676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Ensure signals and triggers are early enough in the planning process to enable changes to occur (before damage is incurred when possible).</a:t>
          </a:r>
        </a:p>
      </dsp:txBody>
      <dsp:txXfrm>
        <a:off x="1868556" y="625813"/>
        <a:ext cx="3531146" cy="667650"/>
      </dsp:txXfrm>
    </dsp:sp>
    <dsp:sp modelId="{FF4796FB-75BC-499F-ADA7-D7228148EE72}">
      <dsp:nvSpPr>
        <dsp:cNvPr id="0" name=""/>
        <dsp:cNvSpPr/>
      </dsp:nvSpPr>
      <dsp:spPr>
        <a:xfrm>
          <a:off x="1801082" y="1293464"/>
          <a:ext cx="359862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7CFB7-D36E-4B7D-A1A0-BC59B422BE7B}">
      <dsp:nvSpPr>
        <dsp:cNvPr id="0" name=""/>
        <dsp:cNvSpPr/>
      </dsp:nvSpPr>
      <dsp:spPr>
        <a:xfrm>
          <a:off x="0" y="0"/>
          <a:ext cx="5400039" cy="0"/>
        </a:xfrm>
        <a:prstGeom prst="lin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C3645CB-2DE0-4DFB-AC40-AA3738A1E278}">
      <dsp:nvSpPr>
        <dsp:cNvPr id="0" name=""/>
        <dsp:cNvSpPr/>
      </dsp:nvSpPr>
      <dsp:spPr>
        <a:xfrm>
          <a:off x="0" y="0"/>
          <a:ext cx="1782556" cy="31315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marL="0" lvl="0" indent="0" algn="l" defTabSz="622300">
            <a:lnSpc>
              <a:spcPts val="1800"/>
            </a:lnSpc>
            <a:spcBef>
              <a:spcPct val="0"/>
            </a:spcBef>
            <a:spcAft>
              <a:spcPct val="35000"/>
            </a:spcAft>
            <a:buNone/>
          </a:pPr>
          <a:r>
            <a:rPr lang="en-NZ" sz="1400" b="1" kern="1200">
              <a:solidFill>
                <a:schemeClr val="accent4"/>
              </a:solidFill>
              <a:latin typeface="Georgia" panose="02040502050405020303" pitchFamily="18" charset="0"/>
            </a:rPr>
            <a:t>Recommended key tasks to complete before moving to Step 9</a:t>
          </a:r>
          <a:endParaRPr lang="en-NZ" sz="1400" kern="1200">
            <a:solidFill>
              <a:schemeClr val="accent4"/>
            </a:solidFill>
            <a:latin typeface="Georgia" panose="02040502050405020303" pitchFamily="18" charset="0"/>
          </a:endParaRPr>
        </a:p>
      </dsp:txBody>
      <dsp:txXfrm>
        <a:off x="0" y="0"/>
        <a:ext cx="1782556" cy="3131507"/>
      </dsp:txXfrm>
    </dsp:sp>
    <dsp:sp modelId="{0B1B7560-6D6B-4366-87F2-361E64D66644}">
      <dsp:nvSpPr>
        <dsp:cNvPr id="0" name=""/>
        <dsp:cNvSpPr/>
      </dsp:nvSpPr>
      <dsp:spPr>
        <a:xfrm>
          <a:off x="1850347" y="36353"/>
          <a:ext cx="3547704" cy="5476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Develop a long-term implementation plan, including how adaptation will be financed.</a:t>
          </a:r>
        </a:p>
      </dsp:txBody>
      <dsp:txXfrm>
        <a:off x="1850347" y="36353"/>
        <a:ext cx="3547704" cy="547655"/>
      </dsp:txXfrm>
    </dsp:sp>
    <dsp:sp modelId="{9F44F2A9-5445-432F-9D51-83118698DF45}">
      <dsp:nvSpPr>
        <dsp:cNvPr id="0" name=""/>
        <dsp:cNvSpPr/>
      </dsp:nvSpPr>
      <dsp:spPr>
        <a:xfrm>
          <a:off x="1782556" y="584008"/>
          <a:ext cx="3615495"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B0372044-6EFE-4278-AE80-6F807BE7F1B5}">
      <dsp:nvSpPr>
        <dsp:cNvPr id="0" name=""/>
        <dsp:cNvSpPr/>
      </dsp:nvSpPr>
      <dsp:spPr>
        <a:xfrm>
          <a:off x="1850347" y="620361"/>
          <a:ext cx="3547704" cy="49847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Consider the role of risk transfer mechanisms, such as insurance and risk pooling, for council assets.</a:t>
          </a:r>
        </a:p>
      </dsp:txBody>
      <dsp:txXfrm>
        <a:off x="1850347" y="620361"/>
        <a:ext cx="3547704" cy="498476"/>
      </dsp:txXfrm>
    </dsp:sp>
    <dsp:sp modelId="{FF4796FB-75BC-499F-ADA7-D7228148EE72}">
      <dsp:nvSpPr>
        <dsp:cNvPr id="0" name=""/>
        <dsp:cNvSpPr/>
      </dsp:nvSpPr>
      <dsp:spPr>
        <a:xfrm>
          <a:off x="1782556" y="1118838"/>
          <a:ext cx="3615495"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08459E75-70F0-4721-9FBA-876D67B3BC32}">
      <dsp:nvSpPr>
        <dsp:cNvPr id="0" name=""/>
        <dsp:cNvSpPr/>
      </dsp:nvSpPr>
      <dsp:spPr>
        <a:xfrm>
          <a:off x="1852335" y="1153984"/>
          <a:ext cx="3547704" cy="61692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Collaborate with other agencies in your region to create a combined strategic approach to achieve your objectives.</a:t>
          </a:r>
        </a:p>
      </dsp:txBody>
      <dsp:txXfrm>
        <a:off x="1852335" y="1153984"/>
        <a:ext cx="3547704" cy="616922"/>
      </dsp:txXfrm>
    </dsp:sp>
    <dsp:sp modelId="{DE5AB8E8-91E8-404E-995C-FF9747AEB301}">
      <dsp:nvSpPr>
        <dsp:cNvPr id="0" name=""/>
        <dsp:cNvSpPr/>
      </dsp:nvSpPr>
      <dsp:spPr>
        <a:xfrm>
          <a:off x="1782556" y="1772114"/>
          <a:ext cx="3615495"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F83DCF3E-1F77-4BEE-9548-5F7AB4066F79}">
      <dsp:nvSpPr>
        <dsp:cNvPr id="0" name=""/>
        <dsp:cNvSpPr/>
      </dsp:nvSpPr>
      <dsp:spPr>
        <a:xfrm>
          <a:off x="1850347" y="1808468"/>
          <a:ext cx="3547704" cy="7270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Identify areas where new greenfield urban development should not be allowed and implement policy to prevent such development</a:t>
          </a:r>
          <a:r>
            <a:rPr lang="en-NZ" sz="1400" kern="1200"/>
            <a:t>.</a:t>
          </a:r>
        </a:p>
      </dsp:txBody>
      <dsp:txXfrm>
        <a:off x="1850347" y="1808468"/>
        <a:ext cx="3547704" cy="727066"/>
      </dsp:txXfrm>
    </dsp:sp>
    <dsp:sp modelId="{B76035D1-CAB3-45B1-A90D-9BE30D5B7F75}">
      <dsp:nvSpPr>
        <dsp:cNvPr id="0" name=""/>
        <dsp:cNvSpPr/>
      </dsp:nvSpPr>
      <dsp:spPr>
        <a:xfrm>
          <a:off x="1782556" y="2535534"/>
          <a:ext cx="3615495"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3C11CF22-070F-4E48-A23B-68523A199022}">
      <dsp:nvSpPr>
        <dsp:cNvPr id="0" name=""/>
        <dsp:cNvSpPr/>
      </dsp:nvSpPr>
      <dsp:spPr>
        <a:xfrm>
          <a:off x="1850347" y="2571887"/>
          <a:ext cx="3547704" cy="5206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Engage on response methods and techniques with community, iwi/hapū and stakeholders.</a:t>
          </a:r>
        </a:p>
      </dsp:txBody>
      <dsp:txXfrm>
        <a:off x="1850347" y="2571887"/>
        <a:ext cx="3547704" cy="520695"/>
      </dsp:txXfrm>
    </dsp:sp>
    <dsp:sp modelId="{CDB64D04-8999-46B3-91FE-7F8549FC778D}">
      <dsp:nvSpPr>
        <dsp:cNvPr id="0" name=""/>
        <dsp:cNvSpPr/>
      </dsp:nvSpPr>
      <dsp:spPr>
        <a:xfrm>
          <a:off x="1782556" y="3092583"/>
          <a:ext cx="3615495"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7CFB7-D36E-4B7D-A1A0-BC59B422BE7B}">
      <dsp:nvSpPr>
        <dsp:cNvPr id="0" name=""/>
        <dsp:cNvSpPr/>
      </dsp:nvSpPr>
      <dsp:spPr>
        <a:xfrm>
          <a:off x="0" y="0"/>
          <a:ext cx="5400039" cy="0"/>
        </a:xfrm>
        <a:prstGeom prst="lin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C3645CB-2DE0-4DFB-AC40-AA3738A1E278}">
      <dsp:nvSpPr>
        <dsp:cNvPr id="0" name=""/>
        <dsp:cNvSpPr/>
      </dsp:nvSpPr>
      <dsp:spPr>
        <a:xfrm>
          <a:off x="0" y="0"/>
          <a:ext cx="1785640" cy="19145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marL="0" lvl="0" indent="0" algn="l" defTabSz="622300">
            <a:lnSpc>
              <a:spcPct val="100000"/>
            </a:lnSpc>
            <a:spcBef>
              <a:spcPct val="0"/>
            </a:spcBef>
            <a:spcAft>
              <a:spcPct val="35000"/>
            </a:spcAft>
            <a:buNone/>
          </a:pPr>
          <a:r>
            <a:rPr lang="en-NZ" sz="1400" b="1" kern="1200">
              <a:solidFill>
                <a:schemeClr val="accent4"/>
              </a:solidFill>
              <a:latin typeface="Georgia" panose="02040502050405020303" pitchFamily="18" charset="0"/>
            </a:rPr>
            <a:t>Recommended key tasks to complete before moving to Step 10</a:t>
          </a:r>
          <a:endParaRPr lang="en-NZ" sz="1400" kern="1200">
            <a:solidFill>
              <a:schemeClr val="accent4"/>
            </a:solidFill>
            <a:latin typeface="Georgia" panose="02040502050405020303" pitchFamily="18" charset="0"/>
          </a:endParaRPr>
        </a:p>
      </dsp:txBody>
      <dsp:txXfrm>
        <a:off x="0" y="0"/>
        <a:ext cx="1785640" cy="1914525"/>
      </dsp:txXfrm>
    </dsp:sp>
    <dsp:sp modelId="{0B1B7560-6D6B-4366-87F2-361E64D66644}">
      <dsp:nvSpPr>
        <dsp:cNvPr id="0" name=""/>
        <dsp:cNvSpPr/>
      </dsp:nvSpPr>
      <dsp:spPr>
        <a:xfrm>
          <a:off x="1853352" y="86097"/>
          <a:ext cx="3543565" cy="55150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Establish the purpose and responsibilities for monitoring, reporting and decision-making.</a:t>
          </a:r>
        </a:p>
      </dsp:txBody>
      <dsp:txXfrm>
        <a:off x="1853352" y="86097"/>
        <a:ext cx="3543565" cy="551506"/>
      </dsp:txXfrm>
    </dsp:sp>
    <dsp:sp modelId="{9F44F2A9-5445-432F-9D51-83118698DF45}">
      <dsp:nvSpPr>
        <dsp:cNvPr id="0" name=""/>
        <dsp:cNvSpPr/>
      </dsp:nvSpPr>
      <dsp:spPr>
        <a:xfrm>
          <a:off x="1785640" y="637603"/>
          <a:ext cx="3611276"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B0372044-6EFE-4278-AE80-6F807BE7F1B5}">
      <dsp:nvSpPr>
        <dsp:cNvPr id="0" name=""/>
        <dsp:cNvSpPr/>
      </dsp:nvSpPr>
      <dsp:spPr>
        <a:xfrm>
          <a:off x="1853352" y="723701"/>
          <a:ext cx="3543565" cy="53080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Formalise the monitoring regime and integrate it with existing council practices. </a:t>
          </a:r>
        </a:p>
      </dsp:txBody>
      <dsp:txXfrm>
        <a:off x="1853352" y="723701"/>
        <a:ext cx="3543565" cy="530808"/>
      </dsp:txXfrm>
    </dsp:sp>
    <dsp:sp modelId="{FF4796FB-75BC-499F-ADA7-D7228148EE72}">
      <dsp:nvSpPr>
        <dsp:cNvPr id="0" name=""/>
        <dsp:cNvSpPr/>
      </dsp:nvSpPr>
      <dsp:spPr>
        <a:xfrm>
          <a:off x="1785640" y="1254509"/>
          <a:ext cx="3611276"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 modelId="{08459E75-70F0-4721-9FBA-876D67B3BC32}">
      <dsp:nvSpPr>
        <dsp:cNvPr id="0" name=""/>
        <dsp:cNvSpPr/>
      </dsp:nvSpPr>
      <dsp:spPr>
        <a:xfrm>
          <a:off x="1853352" y="1340607"/>
          <a:ext cx="3543565" cy="4861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NZ" sz="1200" kern="1200"/>
            <a:t>Determine how to involve communities, iwi/hapū, special interest groups and industry in monitoring.</a:t>
          </a:r>
        </a:p>
      </dsp:txBody>
      <dsp:txXfrm>
        <a:off x="1853352" y="1340607"/>
        <a:ext cx="3543565" cy="486141"/>
      </dsp:txXfrm>
    </dsp:sp>
    <dsp:sp modelId="{DE5AB8E8-91E8-404E-995C-FF9747AEB301}">
      <dsp:nvSpPr>
        <dsp:cNvPr id="0" name=""/>
        <dsp:cNvSpPr/>
      </dsp:nvSpPr>
      <dsp:spPr>
        <a:xfrm>
          <a:off x="1785640" y="1826748"/>
          <a:ext cx="3611276"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a:scene3d>
          <a:camera prst="orthographicFront"/>
          <a:lightRig rig="threePt" dir="t">
            <a:rot lat="0" lon="0" rev="7500000"/>
          </a:lightRig>
        </a:scene3d>
        <a:sp3d z="127000" prstMaterial="matte"/>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3.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4.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5.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6.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7.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8.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9.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5" ma:contentTypeDescription="Create a new document." ma:contentTypeScope="" ma:versionID="d69ac39cd43e1d0c5cfb9234e6fb1c3d">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fa8b803c479febee59a7c559bf882883"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5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5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Email_x0020_Table xmlns="4a94300e-a927-4b92-9d3a-682523035cb6" xsi:nil="true"/>
    <Sender_x0020_Date xmlns="4a94300e-a927-4b92-9d3a-682523035cb6" xsi:nil="true"/>
    <Class xmlns="4a94300e-a927-4b92-9d3a-682523035cb6" xsi:nil="true"/>
    <Carbon_x0020_Copy xmlns="4a94300e-a927-4b92-9d3a-682523035cb6" xsi:nil="true"/>
    <From xmlns="4a94300e-a927-4b92-9d3a-682523035cb6" xsi:nil="true"/>
    <_dlc_DocId xmlns="58a6f171-52cb-4404-b47d-af1c8daf8fd1">ECM-1122293896-113899</_dlc_DocId>
    <Other_x0020_Details_2 xmlns="4a94300e-a927-4b92-9d3a-682523035cb6" xsi:nil="true"/>
    <Receiver xmlns="4a94300e-a927-4b92-9d3a-682523035cb6" xsi:nil="true"/>
    <Legacy_x0020_Version xmlns="4a94300e-a927-4b92-9d3a-682523035cb6" xsi:nil="true"/>
    <Author0 xmlns="4a94300e-a927-4b92-9d3a-682523035cb6" xsi:nil="true"/>
    <IconOverlay xmlns="http://schemas.microsoft.com/sharepoint/v4" xsi:nil="true"/>
    <Sent_x002f_Received xmlns="4a94300e-a927-4b92-9d3a-682523035cb6" xsi:nil="true"/>
    <Other_x0020_Details_3 xmlns="4a94300e-a927-4b92-9d3a-682523035cb6" xsi:nil="true"/>
    <_ip_UnifiedCompliancePolicyUIAction xmlns="http://schemas.microsoft.com/sharepoint/v3" xsi:nil="true"/>
    <Library xmlns="4a94300e-a927-4b92-9d3a-682523035cb6" xsi:nil="true"/>
    <Document_x0020_Type xmlns="4a94300e-a927-4b92-9d3a-682523035cb6" xsi:nil="true"/>
    <Other_x0020_Details xmlns="4a94300e-a927-4b92-9d3a-682523035cb6" xsi:nil="true"/>
    <_dlc_DocIdUrl xmlns="58a6f171-52cb-4404-b47d-af1c8daf8fd1">
      <Url>https://ministryforenvironment.sharepoint.com/sites/ECM-ER-Comms/_layouts/15/DocIdRedir.aspx?ID=ECM-1122293896-113899</Url>
      <Description>ECM-1122293896-113899</Description>
    </_dlc_DocIdUrl>
    <Legacy_x0020_DocID xmlns="4a94300e-a927-4b92-9d3a-682523035cb6" xsi:nil="true"/>
    <_ip_UnifiedCompliancePolicyProperties xmlns="http://schemas.microsoft.com/sharepoint/v3" xsi:nil="true"/>
    <Receiver_x0020_Date xmlns="4a94300e-a927-4b92-9d3a-682523035cb6" xsi:nil="true"/>
    <Year xmlns="4a94300e-a927-4b92-9d3a-682523035cb6" xsi:nil="true"/>
    <SharedWithUsers xmlns="0a5b0190-e301-4766-933d-448c7c363fce">
      <UserInfo>
        <DisplayName>Merran Hamilton</DisplayName>
        <AccountId>31</AccountId>
        <AccountType/>
      </UserInfo>
      <UserInfo>
        <DisplayName>Kirsty Austin</DisplayName>
        <AccountId>34</AccountId>
        <AccountType/>
      </UserInfo>
      <UserInfo>
        <DisplayName>Josh Nachowitz</DisplayName>
        <AccountId>45</AccountId>
        <AccountType/>
      </UserInfo>
    </SharedWithUsers>
    <MTS_x0020_Type xmlns="4a94300e-a927-4b92-9d3a-682523035cb6" xsi:nil="true"/>
    <lcf76f155ced4ddcb4097134ff3c332f xmlns="4a94300e-a927-4b92-9d3a-682523035cb6">
      <Terms xmlns="http://schemas.microsoft.com/office/infopath/2007/PartnerControls"/>
    </lcf76f155ced4ddcb4097134ff3c332f>
    <TaxCatchAll xmlns="58a6f171-52cb-4404-b47d-af1c8daf8fd1" xsi:nil="true"/>
    <Status xmlns="4a94300e-a927-4b92-9d3a-682523035cb6" xsi:nil="true"/>
    <Sender xmlns="4a94300e-a927-4b92-9d3a-682523035cb6" xsi:nil="true"/>
    <To xmlns="4a94300e-a927-4b92-9d3a-682523035cb6" xsi:nil="true"/>
    <MTS_x0020_ID xmlns="4a94300e-a927-4b92-9d3a-682523035cb6" xsi:nil="true"/>
  </documentManagement>
</p:properties>
</file>

<file path=customXml/itemProps1.xml><?xml version="1.0" encoding="utf-8"?>
<ds:datastoreItem xmlns:ds="http://schemas.openxmlformats.org/officeDocument/2006/customXml" ds:itemID="{B3E99AA0-DB58-4705-B171-C3C44EEF6DE9}">
  <ds:schemaRefs>
    <ds:schemaRef ds:uri="http://schemas.openxmlformats.org/officeDocument/2006/bibliography"/>
  </ds:schemaRefs>
</ds:datastoreItem>
</file>

<file path=customXml/itemProps2.xml><?xml version="1.0" encoding="utf-8"?>
<ds:datastoreItem xmlns:ds="http://schemas.openxmlformats.org/officeDocument/2006/customXml" ds:itemID="{7109DEF8-C34B-4D71-AFE0-4622243627FB}"/>
</file>

<file path=customXml/itemProps3.xml><?xml version="1.0" encoding="utf-8"?>
<ds:datastoreItem xmlns:ds="http://schemas.openxmlformats.org/officeDocument/2006/customXml" ds:itemID="{C664E9A9-C17F-4373-8A39-92A569F7438B}"/>
</file>

<file path=customXml/itemProps4.xml><?xml version="1.0" encoding="utf-8"?>
<ds:datastoreItem xmlns:ds="http://schemas.openxmlformats.org/officeDocument/2006/customXml" ds:itemID="{7D930792-F81A-48E2-80EA-303C5DB10619}"/>
</file>

<file path=customXml/itemProps5.xml><?xml version="1.0" encoding="utf-8"?>
<ds:datastoreItem xmlns:ds="http://schemas.openxmlformats.org/officeDocument/2006/customXml" ds:itemID="{F66C991B-84A5-4524-BC86-FCA7A82E90E1}"/>
</file>

<file path=docProps/app.xml><?xml version="1.0" encoding="utf-8"?>
<Properties xmlns="http://schemas.openxmlformats.org/officeDocument/2006/extended-properties" xmlns:vt="http://schemas.openxmlformats.org/officeDocument/2006/docPropsVTypes">
  <Template>Normal</Template>
  <TotalTime>0</TotalTime>
  <Pages>183</Pages>
  <Words>82197</Words>
  <Characters>468523</Characters>
  <Application>Microsoft Office Word</Application>
  <DocSecurity>0</DocSecurity>
  <Lines>3904</Lines>
  <Paragraphs>1099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549621</CharactersWithSpaces>
  <SharedDoc>false</SharedDoc>
  <HLinks>
    <vt:vector size="4188" baseType="variant">
      <vt:variant>
        <vt:i4>1900624</vt:i4>
      </vt:variant>
      <vt:variant>
        <vt:i4>2268</vt:i4>
      </vt:variant>
      <vt:variant>
        <vt:i4>0</vt:i4>
      </vt:variant>
      <vt:variant>
        <vt:i4>5</vt:i4>
      </vt:variant>
      <vt:variant>
        <vt:lpwstr>https://doi.org/10.1108/17568691011040399</vt:lpwstr>
      </vt:variant>
      <vt:variant>
        <vt:lpwstr/>
      </vt:variant>
      <vt:variant>
        <vt:i4>2687101</vt:i4>
      </vt:variant>
      <vt:variant>
        <vt:i4>2265</vt:i4>
      </vt:variant>
      <vt:variant>
        <vt:i4>0</vt:i4>
      </vt:variant>
      <vt:variant>
        <vt:i4>5</vt:i4>
      </vt:variant>
      <vt:variant>
        <vt:lpwstr>https://doi.org/10.1016/j.gloenvcha.2013.12.002</vt:lpwstr>
      </vt:variant>
      <vt:variant>
        <vt:lpwstr/>
      </vt:variant>
      <vt:variant>
        <vt:i4>720913</vt:i4>
      </vt:variant>
      <vt:variant>
        <vt:i4>2262</vt:i4>
      </vt:variant>
      <vt:variant>
        <vt:i4>0</vt:i4>
      </vt:variant>
      <vt:variant>
        <vt:i4>5</vt:i4>
      </vt:variant>
      <vt:variant>
        <vt:lpwstr>https://doi.org/10.5194/esurf-8-595-2020</vt:lpwstr>
      </vt:variant>
      <vt:variant>
        <vt:lpwstr/>
      </vt:variant>
      <vt:variant>
        <vt:i4>5374026</vt:i4>
      </vt:variant>
      <vt:variant>
        <vt:i4>2259</vt:i4>
      </vt:variant>
      <vt:variant>
        <vt:i4>0</vt:i4>
      </vt:variant>
      <vt:variant>
        <vt:i4>5</vt:i4>
      </vt:variant>
      <vt:variant>
        <vt:lpwstr>https://doi.org/10.1016/j.gecadv.2023.100002</vt:lpwstr>
      </vt:variant>
      <vt:variant>
        <vt:lpwstr/>
      </vt:variant>
      <vt:variant>
        <vt:i4>6160408</vt:i4>
      </vt:variant>
      <vt:variant>
        <vt:i4>2256</vt:i4>
      </vt:variant>
      <vt:variant>
        <vt:i4>0</vt:i4>
      </vt:variant>
      <vt:variant>
        <vt:i4>5</vt:i4>
      </vt:variant>
      <vt:variant>
        <vt:lpwstr>https://doi.org/10.1111/j.1745-6584.2008.00535.x</vt:lpwstr>
      </vt:variant>
      <vt:variant>
        <vt:lpwstr/>
      </vt:variant>
      <vt:variant>
        <vt:i4>4915293</vt:i4>
      </vt:variant>
      <vt:variant>
        <vt:i4>2253</vt:i4>
      </vt:variant>
      <vt:variant>
        <vt:i4>0</vt:i4>
      </vt:variant>
      <vt:variant>
        <vt:i4>5</vt:i4>
      </vt:variant>
      <vt:variant>
        <vt:lpwstr>https://www.landcareresearch.co.nz/assets/Publications/Science-series/LRSS_38_The_Christchurch_Story.pdf</vt:lpwstr>
      </vt:variant>
      <vt:variant>
        <vt:lpwstr/>
      </vt:variant>
      <vt:variant>
        <vt:i4>8257572</vt:i4>
      </vt:variant>
      <vt:variant>
        <vt:i4>2250</vt:i4>
      </vt:variant>
      <vt:variant>
        <vt:i4>0</vt:i4>
      </vt:variant>
      <vt:variant>
        <vt:i4>5</vt:i4>
      </vt:variant>
      <vt:variant>
        <vt:lpwstr>http://dx.doi.org/10.1007/s10584-014-1250-9</vt:lpwstr>
      </vt:variant>
      <vt:variant>
        <vt:lpwstr/>
      </vt:variant>
      <vt:variant>
        <vt:i4>4325449</vt:i4>
      </vt:variant>
      <vt:variant>
        <vt:i4>2247</vt:i4>
      </vt:variant>
      <vt:variant>
        <vt:i4>0</vt:i4>
      </vt:variant>
      <vt:variant>
        <vt:i4>5</vt:i4>
      </vt:variant>
      <vt:variant>
        <vt:lpwstr>https://www.waikatoregion.govt.nz/services/regional-hazards-and-emergency-management/coastal-flooding-inundation/coastal-inundation-tool/</vt:lpwstr>
      </vt:variant>
      <vt:variant>
        <vt:lpwstr/>
      </vt:variant>
      <vt:variant>
        <vt:i4>3604513</vt:i4>
      </vt:variant>
      <vt:variant>
        <vt:i4>2244</vt:i4>
      </vt:variant>
      <vt:variant>
        <vt:i4>0</vt:i4>
      </vt:variant>
      <vt:variant>
        <vt:i4>5</vt:i4>
      </vt:variant>
      <vt:variant>
        <vt:lpwstr>http://dx.doi.org/10.1016/j.envsoft.2010.03.007</vt:lpwstr>
      </vt:variant>
      <vt:variant>
        <vt:lpwstr/>
      </vt:variant>
      <vt:variant>
        <vt:i4>2621555</vt:i4>
      </vt:variant>
      <vt:variant>
        <vt:i4>2241</vt:i4>
      </vt:variant>
      <vt:variant>
        <vt:i4>0</vt:i4>
      </vt:variant>
      <vt:variant>
        <vt:i4>5</vt:i4>
      </vt:variant>
      <vt:variant>
        <vt:lpwstr>http://dx.doi.org/10.1016/j.envsci.2014.09.004</vt:lpwstr>
      </vt:variant>
      <vt:variant>
        <vt:lpwstr/>
      </vt:variant>
      <vt:variant>
        <vt:i4>4390913</vt:i4>
      </vt:variant>
      <vt:variant>
        <vt:i4>2238</vt:i4>
      </vt:variant>
      <vt:variant>
        <vt:i4>0</vt:i4>
      </vt:variant>
      <vt:variant>
        <vt:i4>5</vt:i4>
      </vt:variant>
      <vt:variant>
        <vt:lpwstr>https://doi.org/10.1029/2022EF002751</vt:lpwstr>
      </vt:variant>
      <vt:variant>
        <vt:lpwstr/>
      </vt:variant>
      <vt:variant>
        <vt:i4>2949158</vt:i4>
      </vt:variant>
      <vt:variant>
        <vt:i4>2235</vt:i4>
      </vt:variant>
      <vt:variant>
        <vt:i4>0</vt:i4>
      </vt:variant>
      <vt:variant>
        <vt:i4>5</vt:i4>
      </vt:variant>
      <vt:variant>
        <vt:lpwstr>https://www.researchgate.net/publication/243772037_Geographic_Information_Systems_and_Dynamic_Models.</vt:lpwstr>
      </vt:variant>
      <vt:variant>
        <vt:lpwstr/>
      </vt:variant>
      <vt:variant>
        <vt:i4>3342370</vt:i4>
      </vt:variant>
      <vt:variant>
        <vt:i4>2232</vt:i4>
      </vt:variant>
      <vt:variant>
        <vt:i4>0</vt:i4>
      </vt:variant>
      <vt:variant>
        <vt:i4>5</vt:i4>
      </vt:variant>
      <vt:variant>
        <vt:lpwstr>http://dx.doi.org/10.1016/j.envsoft.2015.10.008</vt:lpwstr>
      </vt:variant>
      <vt:variant>
        <vt:lpwstr/>
      </vt:variant>
      <vt:variant>
        <vt:i4>851991</vt:i4>
      </vt:variant>
      <vt:variant>
        <vt:i4>2229</vt:i4>
      </vt:variant>
      <vt:variant>
        <vt:i4>0</vt:i4>
      </vt:variant>
      <vt:variant>
        <vt:i4>5</vt:i4>
      </vt:variant>
      <vt:variant>
        <vt:lpwstr>http://unhabitat.org/books/planning-for-climate-change-a-strategic-values-based-approach-for-urban-planners-cities-and-climate-change-initiative/</vt:lpwstr>
      </vt:variant>
      <vt:variant>
        <vt:lpwstr/>
      </vt:variant>
      <vt:variant>
        <vt:i4>1572959</vt:i4>
      </vt:variant>
      <vt:variant>
        <vt:i4>2226</vt:i4>
      </vt:variant>
      <vt:variant>
        <vt:i4>0</vt:i4>
      </vt:variant>
      <vt:variant>
        <vt:i4>5</vt:i4>
      </vt:variant>
      <vt:variant>
        <vt:lpwstr>https://www.undrr.org/quick/71077</vt:lpwstr>
      </vt:variant>
      <vt:variant>
        <vt:lpwstr/>
      </vt:variant>
      <vt:variant>
        <vt:i4>327694</vt:i4>
      </vt:variant>
      <vt:variant>
        <vt:i4>2223</vt:i4>
      </vt:variant>
      <vt:variant>
        <vt:i4>0</vt:i4>
      </vt:variant>
      <vt:variant>
        <vt:i4>5</vt:i4>
      </vt:variant>
      <vt:variant>
        <vt:lpwstr>https://doi.org/10.1016/S0378-3839(97)00015-X</vt:lpwstr>
      </vt:variant>
      <vt:variant>
        <vt:lpwstr/>
      </vt:variant>
      <vt:variant>
        <vt:i4>6160452</vt:i4>
      </vt:variant>
      <vt:variant>
        <vt:i4>2220</vt:i4>
      </vt:variant>
      <vt:variant>
        <vt:i4>0</vt:i4>
      </vt:variant>
      <vt:variant>
        <vt:i4>5</vt:i4>
      </vt:variant>
      <vt:variant>
        <vt:lpwstr>https://www.jstor.org/stable/26268129</vt:lpwstr>
      </vt:variant>
      <vt:variant>
        <vt:lpwstr/>
      </vt:variant>
      <vt:variant>
        <vt:i4>3407914</vt:i4>
      </vt:variant>
      <vt:variant>
        <vt:i4>2217</vt:i4>
      </vt:variant>
      <vt:variant>
        <vt:i4>0</vt:i4>
      </vt:variant>
      <vt:variant>
        <vt:i4>5</vt:i4>
      </vt:variant>
      <vt:variant>
        <vt:lpwstr>http://www.hbrc.govt.nz/assets/Document-Library/Reports/Coastal-Hazards/2016.SHAF.Risk-Assessment-Report.R5.pdf</vt:lpwstr>
      </vt:variant>
      <vt:variant>
        <vt:lpwstr/>
      </vt:variant>
      <vt:variant>
        <vt:i4>5570590</vt:i4>
      </vt:variant>
      <vt:variant>
        <vt:i4>2214</vt:i4>
      </vt:variant>
      <vt:variant>
        <vt:i4>0</vt:i4>
      </vt:variant>
      <vt:variant>
        <vt:i4>5</vt:i4>
      </vt:variant>
      <vt:variant>
        <vt:lpwstr>http://dx.doi.org/10.1016/j.progress.2006.12.004</vt:lpwstr>
      </vt:variant>
      <vt:variant>
        <vt:lpwstr/>
      </vt:variant>
      <vt:variant>
        <vt:i4>2687092</vt:i4>
      </vt:variant>
      <vt:variant>
        <vt:i4>2211</vt:i4>
      </vt:variant>
      <vt:variant>
        <vt:i4>0</vt:i4>
      </vt:variant>
      <vt:variant>
        <vt:i4>5</vt:i4>
      </vt:variant>
      <vt:variant>
        <vt:lpwstr>https://doi.org/10.1111/risa.14153</vt:lpwstr>
      </vt:variant>
      <vt:variant>
        <vt:lpwstr/>
      </vt:variant>
      <vt:variant>
        <vt:i4>1835101</vt:i4>
      </vt:variant>
      <vt:variant>
        <vt:i4>2208</vt:i4>
      </vt:variant>
      <vt:variant>
        <vt:i4>0</vt:i4>
      </vt:variant>
      <vt:variant>
        <vt:i4>5</vt:i4>
      </vt:variant>
      <vt:variant>
        <vt:lpwstr>https://www.tpk.govt.nz/en/o-matou-mohiotanga/te-taiao/understanding-climate-hazards-for-hapori-maori-ins</vt:lpwstr>
      </vt:variant>
      <vt:variant>
        <vt:lpwstr/>
      </vt:variant>
      <vt:variant>
        <vt:i4>7471212</vt:i4>
      </vt:variant>
      <vt:variant>
        <vt:i4>2205</vt:i4>
      </vt:variant>
      <vt:variant>
        <vt:i4>0</vt:i4>
      </vt:variant>
      <vt:variant>
        <vt:i4>5</vt:i4>
      </vt:variant>
      <vt:variant>
        <vt:lpwstr>https://www.waitangitribunal.govt.nz/assets/Documents/Publications/WT-Principles-of-the-Treaty-of-Waitangi-as-expressed-by-the-Courts-and-the-Waitangi-Tribunal.pdf</vt:lpwstr>
      </vt:variant>
      <vt:variant>
        <vt:lpwstr/>
      </vt:variant>
      <vt:variant>
        <vt:i4>3932261</vt:i4>
      </vt:variant>
      <vt:variant>
        <vt:i4>2202</vt:i4>
      </vt:variant>
      <vt:variant>
        <vt:i4>0</vt:i4>
      </vt:variant>
      <vt:variant>
        <vt:i4>5</vt:i4>
      </vt:variant>
      <vt:variant>
        <vt:lpwstr>https://tasman.govt.nz/my-council/projects/coastal-management-responding-to-climate-change/coastal-risk-assessment/</vt:lpwstr>
      </vt:variant>
      <vt:variant>
        <vt:lpwstr/>
      </vt:variant>
      <vt:variant>
        <vt:i4>2752634</vt:i4>
      </vt:variant>
      <vt:variant>
        <vt:i4>2199</vt:i4>
      </vt:variant>
      <vt:variant>
        <vt:i4>0</vt:i4>
      </vt:variant>
      <vt:variant>
        <vt:i4>5</vt:i4>
      </vt:variant>
      <vt:variant>
        <vt:lpwstr>https://doi.org/10.26686/wgtn.21685091</vt:lpwstr>
      </vt:variant>
      <vt:variant>
        <vt:lpwstr/>
      </vt:variant>
      <vt:variant>
        <vt:i4>8323084</vt:i4>
      </vt:variant>
      <vt:variant>
        <vt:i4>2196</vt:i4>
      </vt:variant>
      <vt:variant>
        <vt:i4>0</vt:i4>
      </vt:variant>
      <vt:variant>
        <vt:i4>5</vt:i4>
      </vt:variant>
      <vt:variant>
        <vt:lpwstr>http://tidesandcurrents.noaa.gov/publications/NOAA_Technical_Report_NOS_COOPS_073.pdf</vt:lpwstr>
      </vt:variant>
      <vt:variant>
        <vt:lpwstr/>
      </vt:variant>
      <vt:variant>
        <vt:i4>2949152</vt:i4>
      </vt:variant>
      <vt:variant>
        <vt:i4>2190</vt:i4>
      </vt:variant>
      <vt:variant>
        <vt:i4>0</vt:i4>
      </vt:variant>
      <vt:variant>
        <vt:i4>5</vt:i4>
      </vt:variant>
      <vt:variant>
        <vt:lpwstr>http://www.ecologyandsociety.org/vol11/iss2/art39/</vt:lpwstr>
      </vt:variant>
      <vt:variant>
        <vt:lpwstr/>
      </vt:variant>
      <vt:variant>
        <vt:i4>5177434</vt:i4>
      </vt:variant>
      <vt:variant>
        <vt:i4>2187</vt:i4>
      </vt:variant>
      <vt:variant>
        <vt:i4>0</vt:i4>
      </vt:variant>
      <vt:variant>
        <vt:i4>5</vt:i4>
      </vt:variant>
      <vt:variant>
        <vt:lpwstr>http://dx.doi.org/10.1073/pnas.1511186112</vt:lpwstr>
      </vt:variant>
      <vt:variant>
        <vt:lpwstr/>
      </vt:variant>
      <vt:variant>
        <vt:i4>7012460</vt:i4>
      </vt:variant>
      <vt:variant>
        <vt:i4>2184</vt:i4>
      </vt:variant>
      <vt:variant>
        <vt:i4>0</vt:i4>
      </vt:variant>
      <vt:variant>
        <vt:i4>5</vt:i4>
      </vt:variant>
      <vt:variant>
        <vt:lpwstr>https://iopscience.iop.org/article/10.1088/1748-9326/aadf96</vt:lpwstr>
      </vt:variant>
      <vt:variant>
        <vt:lpwstr/>
      </vt:variant>
      <vt:variant>
        <vt:i4>4194376</vt:i4>
      </vt:variant>
      <vt:variant>
        <vt:i4>2181</vt:i4>
      </vt:variant>
      <vt:variant>
        <vt:i4>0</vt:i4>
      </vt:variant>
      <vt:variant>
        <vt:i4>5</vt:i4>
      </vt:variant>
      <vt:variant>
        <vt:lpwstr>http://www.mdpi.com/2077-1312/5/3/40</vt:lpwstr>
      </vt:variant>
      <vt:variant>
        <vt:lpwstr/>
      </vt:variant>
      <vt:variant>
        <vt:i4>1835037</vt:i4>
      </vt:variant>
      <vt:variant>
        <vt:i4>2178</vt:i4>
      </vt:variant>
      <vt:variant>
        <vt:i4>0</vt:i4>
      </vt:variant>
      <vt:variant>
        <vt:i4>5</vt:i4>
      </vt:variant>
      <vt:variant>
        <vt:lpwstr>https://doi.org/10.5194/nhess-20-783-2020</vt:lpwstr>
      </vt:variant>
      <vt:variant>
        <vt:lpwstr/>
      </vt:variant>
      <vt:variant>
        <vt:i4>655451</vt:i4>
      </vt:variant>
      <vt:variant>
        <vt:i4>2175</vt:i4>
      </vt:variant>
      <vt:variant>
        <vt:i4>0</vt:i4>
      </vt:variant>
      <vt:variant>
        <vt:i4>5</vt:i4>
      </vt:variant>
      <vt:variant>
        <vt:lpwstr>http://www.pce.parliament.nz/media/1382/the-effect-of-sea-level-rise-on-the-frequency-of-extreme-sea-levels-in-new-zealand-niwa-2015.pdf</vt:lpwstr>
      </vt:variant>
      <vt:variant>
        <vt:lpwstr/>
      </vt:variant>
      <vt:variant>
        <vt:i4>7995425</vt:i4>
      </vt:variant>
      <vt:variant>
        <vt:i4>2172</vt:i4>
      </vt:variant>
      <vt:variant>
        <vt:i4>0</vt:i4>
      </vt:variant>
      <vt:variant>
        <vt:i4>5</vt:i4>
      </vt:variant>
      <vt:variant>
        <vt:lpwstr>http://dx.doi.org/10.1007/s00382-011-1057-6</vt:lpwstr>
      </vt:variant>
      <vt:variant>
        <vt:lpwstr/>
      </vt:variant>
      <vt:variant>
        <vt:i4>6684787</vt:i4>
      </vt:variant>
      <vt:variant>
        <vt:i4>2169</vt:i4>
      </vt:variant>
      <vt:variant>
        <vt:i4>0</vt:i4>
      </vt:variant>
      <vt:variant>
        <vt:i4>5</vt:i4>
      </vt:variant>
      <vt:variant>
        <vt:lpwstr>http://dx.doi.org/10.1038/nclimate2991</vt:lpwstr>
      </vt:variant>
      <vt:variant>
        <vt:lpwstr/>
      </vt:variant>
      <vt:variant>
        <vt:i4>6881314</vt:i4>
      </vt:variant>
      <vt:variant>
        <vt:i4>2163</vt:i4>
      </vt:variant>
      <vt:variant>
        <vt:i4>0</vt:i4>
      </vt:variant>
      <vt:variant>
        <vt:i4>5</vt:i4>
      </vt:variant>
      <vt:variant>
        <vt:lpwstr>https://d1pepq1a2249p5.cloudfront.net/media/documents/Planning-for-Sea-Level-Rise-v7-FINAL.pdf</vt:lpwstr>
      </vt:variant>
      <vt:variant>
        <vt:lpwstr/>
      </vt:variant>
      <vt:variant>
        <vt:i4>5570580</vt:i4>
      </vt:variant>
      <vt:variant>
        <vt:i4>2160</vt:i4>
      </vt:variant>
      <vt:variant>
        <vt:i4>0</vt:i4>
      </vt:variant>
      <vt:variant>
        <vt:i4>5</vt:i4>
      </vt:variant>
      <vt:variant>
        <vt:lpwstr>https://doi.org/10.1016/j.crm.2020.100244</vt:lpwstr>
      </vt:variant>
      <vt:variant>
        <vt:lpwstr/>
      </vt:variant>
      <vt:variant>
        <vt:i4>6422585</vt:i4>
      </vt:variant>
      <vt:variant>
        <vt:i4>2157</vt:i4>
      </vt:variant>
      <vt:variant>
        <vt:i4>0</vt:i4>
      </vt:variant>
      <vt:variant>
        <vt:i4>5</vt:i4>
      </vt:variant>
      <vt:variant>
        <vt:lpwstr>https://mro.massey.ac.nz/items/e5e7c4d6-c88f-413f-be5e-d42cac7db122</vt:lpwstr>
      </vt:variant>
      <vt:variant>
        <vt:lpwstr/>
      </vt:variant>
      <vt:variant>
        <vt:i4>4915307</vt:i4>
      </vt:variant>
      <vt:variant>
        <vt:i4>2154</vt:i4>
      </vt:variant>
      <vt:variant>
        <vt:i4>0</vt:i4>
      </vt:variant>
      <vt:variant>
        <vt:i4>5</vt:i4>
      </vt:variant>
      <vt:variant>
        <vt:lpwstr>https://www.researchgate.net/publication/304404592_Why_the_right_climate_target_was_agreed_in_Paris</vt:lpwstr>
      </vt:variant>
      <vt:variant>
        <vt:lpwstr/>
      </vt:variant>
      <vt:variant>
        <vt:i4>196663</vt:i4>
      </vt:variant>
      <vt:variant>
        <vt:i4>2151</vt:i4>
      </vt:variant>
      <vt:variant>
        <vt:i4>0</vt:i4>
      </vt:variant>
      <vt:variant>
        <vt:i4>5</vt:i4>
      </vt:variant>
      <vt:variant>
        <vt:lpwstr>https://www.unisdr.org/preventionweb/files/57370_roleofiwimanagementplansinnaturalha.pdf</vt:lpwstr>
      </vt:variant>
      <vt:variant>
        <vt:lpwstr/>
      </vt:variant>
      <vt:variant>
        <vt:i4>5177356</vt:i4>
      </vt:variant>
      <vt:variant>
        <vt:i4>2148</vt:i4>
      </vt:variant>
      <vt:variant>
        <vt:i4>0</vt:i4>
      </vt:variant>
      <vt:variant>
        <vt:i4>5</vt:i4>
      </vt:variant>
      <vt:variant>
        <vt:lpwstr>https://sfplanning.org/sea-level-rise-action-plan</vt:lpwstr>
      </vt:variant>
      <vt:variant>
        <vt:lpwstr>info</vt:lpwstr>
      </vt:variant>
      <vt:variant>
        <vt:i4>3735602</vt:i4>
      </vt:variant>
      <vt:variant>
        <vt:i4>2145</vt:i4>
      </vt:variant>
      <vt:variant>
        <vt:i4>0</vt:i4>
      </vt:variant>
      <vt:variant>
        <vt:i4>5</vt:i4>
      </vt:variant>
      <vt:variant>
        <vt:lpwstr>http://dx.doi.org/10.1002/2016GL069563</vt:lpwstr>
      </vt:variant>
      <vt:variant>
        <vt:lpwstr/>
      </vt:variant>
      <vt:variant>
        <vt:i4>5505095</vt:i4>
      </vt:variant>
      <vt:variant>
        <vt:i4>2142</vt:i4>
      </vt:variant>
      <vt:variant>
        <vt:i4>0</vt:i4>
      </vt:variant>
      <vt:variant>
        <vt:i4>5</vt:i4>
      </vt:variant>
      <vt:variant>
        <vt:lpwstr>https://doi.org/10.1016/j.envsci.2021.10.012</vt:lpwstr>
      </vt:variant>
      <vt:variant>
        <vt:lpwstr/>
      </vt:variant>
      <vt:variant>
        <vt:i4>1835134</vt:i4>
      </vt:variant>
      <vt:variant>
        <vt:i4>2139</vt:i4>
      </vt:variant>
      <vt:variant>
        <vt:i4>0</vt:i4>
      </vt:variant>
      <vt:variant>
        <vt:i4>5</vt:i4>
      </vt:variant>
      <vt:variant>
        <vt:lpwstr>https://www.researchgate.net/publication/305660187_Role-play_simulations_for_climate_change_adaptation_education_and_engagement</vt:lpwstr>
      </vt:variant>
      <vt:variant>
        <vt:lpwstr/>
      </vt:variant>
      <vt:variant>
        <vt:i4>4521991</vt:i4>
      </vt:variant>
      <vt:variant>
        <vt:i4>2136</vt:i4>
      </vt:variant>
      <vt:variant>
        <vt:i4>0</vt:i4>
      </vt:variant>
      <vt:variant>
        <vt:i4>5</vt:i4>
      </vt:variant>
      <vt:variant>
        <vt:lpwstr>https://doi.org/10.1002/2017JC013655</vt:lpwstr>
      </vt:variant>
      <vt:variant>
        <vt:lpwstr/>
      </vt:variant>
      <vt:variant>
        <vt:i4>1966174</vt:i4>
      </vt:variant>
      <vt:variant>
        <vt:i4>2133</vt:i4>
      </vt:variant>
      <vt:variant>
        <vt:i4>0</vt:i4>
      </vt:variant>
      <vt:variant>
        <vt:i4>5</vt:i4>
      </vt:variant>
      <vt:variant>
        <vt:lpwstr>http://www.niwa.co.nz/sites/niwa.co.nz/files/making_it_work_final_december2011.pdf</vt:lpwstr>
      </vt:variant>
      <vt:variant>
        <vt:lpwstr/>
      </vt:variant>
      <vt:variant>
        <vt:i4>851976</vt:i4>
      </vt:variant>
      <vt:variant>
        <vt:i4>2130</vt:i4>
      </vt:variant>
      <vt:variant>
        <vt:i4>0</vt:i4>
      </vt:variant>
      <vt:variant>
        <vt:i4>5</vt:i4>
      </vt:variant>
      <vt:variant>
        <vt:lpwstr>https://pubmed.ncbi.nlm.nih.gov/27357792/</vt:lpwstr>
      </vt:variant>
      <vt:variant>
        <vt:lpwstr/>
      </vt:variant>
      <vt:variant>
        <vt:i4>262146</vt:i4>
      </vt:variant>
      <vt:variant>
        <vt:i4>2127</vt:i4>
      </vt:variant>
      <vt:variant>
        <vt:i4>0</vt:i4>
      </vt:variant>
      <vt:variant>
        <vt:i4>5</vt:i4>
      </vt:variant>
      <vt:variant>
        <vt:lpwstr>https://pubmed.ncbi.nlm.nih.gov/26580020/</vt:lpwstr>
      </vt:variant>
      <vt:variant>
        <vt:lpwstr/>
      </vt:variant>
      <vt:variant>
        <vt:i4>3932217</vt:i4>
      </vt:variant>
      <vt:variant>
        <vt:i4>2124</vt:i4>
      </vt:variant>
      <vt:variant>
        <vt:i4>0</vt:i4>
      </vt:variant>
      <vt:variant>
        <vt:i4>5</vt:i4>
      </vt:variant>
      <vt:variant>
        <vt:lpwstr>http://dx.doi.org/10.1002/2014GL060140</vt:lpwstr>
      </vt:variant>
      <vt:variant>
        <vt:lpwstr/>
      </vt:variant>
      <vt:variant>
        <vt:i4>5832708</vt:i4>
      </vt:variant>
      <vt:variant>
        <vt:i4>2121</vt:i4>
      </vt:variant>
      <vt:variant>
        <vt:i4>0</vt:i4>
      </vt:variant>
      <vt:variant>
        <vt:i4>5</vt:i4>
      </vt:variant>
      <vt:variant>
        <vt:lpwstr>https://www.ipcc.ch/event/guidance-note-concept-of-risk-in-the-6ar-cross-wg-discussions/</vt:lpwstr>
      </vt:variant>
      <vt:variant>
        <vt:lpwstr/>
      </vt:variant>
      <vt:variant>
        <vt:i4>3604525</vt:i4>
      </vt:variant>
      <vt:variant>
        <vt:i4>2118</vt:i4>
      </vt:variant>
      <vt:variant>
        <vt:i4>0</vt:i4>
      </vt:variant>
      <vt:variant>
        <vt:i4>5</vt:i4>
      </vt:variant>
      <vt:variant>
        <vt:lpwstr>http://dx.doi.org/10.1016/j.jenvman.2009.01.001</vt:lpwstr>
      </vt:variant>
      <vt:variant>
        <vt:lpwstr/>
      </vt:variant>
      <vt:variant>
        <vt:i4>3014706</vt:i4>
      </vt:variant>
      <vt:variant>
        <vt:i4>2115</vt:i4>
      </vt:variant>
      <vt:variant>
        <vt:i4>0</vt:i4>
      </vt:variant>
      <vt:variant>
        <vt:i4>5</vt:i4>
      </vt:variant>
      <vt:variant>
        <vt:lpwstr>https://doi.org/10.1007/s10584-021-03288-6</vt:lpwstr>
      </vt:variant>
      <vt:variant>
        <vt:lpwstr/>
      </vt:variant>
      <vt:variant>
        <vt:i4>8126516</vt:i4>
      </vt:variant>
      <vt:variant>
        <vt:i4>2112</vt:i4>
      </vt:variant>
      <vt:variant>
        <vt:i4>0</vt:i4>
      </vt:variant>
      <vt:variant>
        <vt:i4>5</vt:i4>
      </vt:variant>
      <vt:variant>
        <vt:lpwstr>http://dx.doi.org/10.1016/S0025-3227(04)00002-7</vt:lpwstr>
      </vt:variant>
      <vt:variant>
        <vt:lpwstr/>
      </vt:variant>
      <vt:variant>
        <vt:i4>1310738</vt:i4>
      </vt:variant>
      <vt:variant>
        <vt:i4>2109</vt:i4>
      </vt:variant>
      <vt:variant>
        <vt:i4>0</vt:i4>
      </vt:variant>
      <vt:variant>
        <vt:i4>5</vt:i4>
      </vt:variant>
      <vt:variant>
        <vt:lpwstr>https://www.coastalsociety.org.nz/assets/Uploads/files/CN-32-2006-06.pdf</vt:lpwstr>
      </vt:variant>
      <vt:variant>
        <vt:lpwstr/>
      </vt:variant>
      <vt:variant>
        <vt:i4>8192034</vt:i4>
      </vt:variant>
      <vt:variant>
        <vt:i4>2106</vt:i4>
      </vt:variant>
      <vt:variant>
        <vt:i4>0</vt:i4>
      </vt:variant>
      <vt:variant>
        <vt:i4>5</vt:i4>
      </vt:variant>
      <vt:variant>
        <vt:lpwstr>http://dx.doi.org/10.1007/s00382-011-1226-7</vt:lpwstr>
      </vt:variant>
      <vt:variant>
        <vt:lpwstr/>
      </vt:variant>
      <vt:variant>
        <vt:i4>1572947</vt:i4>
      </vt:variant>
      <vt:variant>
        <vt:i4>2103</vt:i4>
      </vt:variant>
      <vt:variant>
        <vt:i4>0</vt:i4>
      </vt:variant>
      <vt:variant>
        <vt:i4>5</vt:i4>
      </vt:variant>
      <vt:variant>
        <vt:lpwstr>http://eprints.soton.ac.uk/19157/1/sea-level.pdf</vt:lpwstr>
      </vt:variant>
      <vt:variant>
        <vt:lpwstr/>
      </vt:variant>
      <vt:variant>
        <vt:i4>6029380</vt:i4>
      </vt:variant>
      <vt:variant>
        <vt:i4>2100</vt:i4>
      </vt:variant>
      <vt:variant>
        <vt:i4>0</vt:i4>
      </vt:variant>
      <vt:variant>
        <vt:i4>5</vt:i4>
      </vt:variant>
      <vt:variant>
        <vt:lpwstr>https://dx.doi.org/10.5194/esd-4-11-2013</vt:lpwstr>
      </vt:variant>
      <vt:variant>
        <vt:lpwstr/>
      </vt:variant>
      <vt:variant>
        <vt:i4>2555956</vt:i4>
      </vt:variant>
      <vt:variant>
        <vt:i4>2097</vt:i4>
      </vt:variant>
      <vt:variant>
        <vt:i4>0</vt:i4>
      </vt:variant>
      <vt:variant>
        <vt:i4>5</vt:i4>
      </vt:variant>
      <vt:variant>
        <vt:lpwstr>https://doi.org/10.3389/fenvs.2022.1045743</vt:lpwstr>
      </vt:variant>
      <vt:variant>
        <vt:lpwstr/>
      </vt:variant>
      <vt:variant>
        <vt:i4>3735649</vt:i4>
      </vt:variant>
      <vt:variant>
        <vt:i4>2094</vt:i4>
      </vt:variant>
      <vt:variant>
        <vt:i4>0</vt:i4>
      </vt:variant>
      <vt:variant>
        <vt:i4>5</vt:i4>
      </vt:variant>
      <vt:variant>
        <vt:lpwstr>https://doi.org/10.1016/j.ijdrr.2021.102612</vt:lpwstr>
      </vt:variant>
      <vt:variant>
        <vt:lpwstr/>
      </vt:variant>
      <vt:variant>
        <vt:i4>7143467</vt:i4>
      </vt:variant>
      <vt:variant>
        <vt:i4>2091</vt:i4>
      </vt:variant>
      <vt:variant>
        <vt:i4>0</vt:i4>
      </vt:variant>
      <vt:variant>
        <vt:i4>5</vt:i4>
      </vt:variant>
      <vt:variant>
        <vt:lpwstr>https://doi.org/10.3390/su12041513</vt:lpwstr>
      </vt:variant>
      <vt:variant>
        <vt:lpwstr/>
      </vt:variant>
      <vt:variant>
        <vt:i4>3539043</vt:i4>
      </vt:variant>
      <vt:variant>
        <vt:i4>2088</vt:i4>
      </vt:variant>
      <vt:variant>
        <vt:i4>0</vt:i4>
      </vt:variant>
      <vt:variant>
        <vt:i4>5</vt:i4>
      </vt:variant>
      <vt:variant>
        <vt:lpwstr>https://doi.org/10.1126/science.aaz5487</vt:lpwstr>
      </vt:variant>
      <vt:variant>
        <vt:lpwstr/>
      </vt:variant>
      <vt:variant>
        <vt:i4>2949177</vt:i4>
      </vt:variant>
      <vt:variant>
        <vt:i4>2085</vt:i4>
      </vt:variant>
      <vt:variant>
        <vt:i4>0</vt:i4>
      </vt:variant>
      <vt:variant>
        <vt:i4>5</vt:i4>
      </vt:variant>
      <vt:variant>
        <vt:lpwstr>https://doi.org/10.1016/j.wace.2021.100358</vt:lpwstr>
      </vt:variant>
      <vt:variant>
        <vt:lpwstr/>
      </vt:variant>
      <vt:variant>
        <vt:i4>1769479</vt:i4>
      </vt:variant>
      <vt:variant>
        <vt:i4>2082</vt:i4>
      </vt:variant>
      <vt:variant>
        <vt:i4>0</vt:i4>
      </vt:variant>
      <vt:variant>
        <vt:i4>5</vt:i4>
      </vt:variant>
      <vt:variant>
        <vt:lpwstr>http://www.pce.parliament.nz/publications/preparing-new-zealand-for-rising-seas-certainty-and-uncertainty</vt:lpwstr>
      </vt:variant>
      <vt:variant>
        <vt:lpwstr/>
      </vt:variant>
      <vt:variant>
        <vt:i4>2490491</vt:i4>
      </vt:variant>
      <vt:variant>
        <vt:i4>2079</vt:i4>
      </vt:variant>
      <vt:variant>
        <vt:i4>0</vt:i4>
      </vt:variant>
      <vt:variant>
        <vt:i4>5</vt:i4>
      </vt:variant>
      <vt:variant>
        <vt:lpwstr>https://pce.parliament.nz/publications/changing-climate-and-rising-seas-understanding-the-science/</vt:lpwstr>
      </vt:variant>
      <vt:variant>
        <vt:lpwstr/>
      </vt:variant>
      <vt:variant>
        <vt:i4>65617</vt:i4>
      </vt:variant>
      <vt:variant>
        <vt:i4>2076</vt:i4>
      </vt:variant>
      <vt:variant>
        <vt:i4>0</vt:i4>
      </vt:variant>
      <vt:variant>
        <vt:i4>5</vt:i4>
      </vt:variant>
      <vt:variant>
        <vt:lpwstr>https://doi.org/10.1002/casp.774</vt:lpwstr>
      </vt:variant>
      <vt:variant>
        <vt:lpwstr/>
      </vt:variant>
      <vt:variant>
        <vt:i4>655453</vt:i4>
      </vt:variant>
      <vt:variant>
        <vt:i4>2073</vt:i4>
      </vt:variant>
      <vt:variant>
        <vt:i4>0</vt:i4>
      </vt:variant>
      <vt:variant>
        <vt:i4>5</vt:i4>
      </vt:variant>
      <vt:variant>
        <vt:lpwstr>https://doi.org/10.1017/9781009157964.006</vt:lpwstr>
      </vt:variant>
      <vt:variant>
        <vt:lpwstr/>
      </vt:variant>
      <vt:variant>
        <vt:i4>655451</vt:i4>
      </vt:variant>
      <vt:variant>
        <vt:i4>2070</vt:i4>
      </vt:variant>
      <vt:variant>
        <vt:i4>0</vt:i4>
      </vt:variant>
      <vt:variant>
        <vt:i4>5</vt:i4>
      </vt:variant>
      <vt:variant>
        <vt:lpwstr>https://doi.org/10.1017/9781009325844.025</vt:lpwstr>
      </vt:variant>
      <vt:variant>
        <vt:lpwstr/>
      </vt:variant>
      <vt:variant>
        <vt:i4>3080226</vt:i4>
      </vt:variant>
      <vt:variant>
        <vt:i4>2067</vt:i4>
      </vt:variant>
      <vt:variant>
        <vt:i4>0</vt:i4>
      </vt:variant>
      <vt:variant>
        <vt:i4>5</vt:i4>
      </vt:variant>
      <vt:variant>
        <vt:lpwstr>http://www.ecologyandsociety.org/vol11/iss1/art18/</vt:lpwstr>
      </vt:variant>
      <vt:variant>
        <vt:lpwstr/>
      </vt:variant>
      <vt:variant>
        <vt:i4>73</vt:i4>
      </vt:variant>
      <vt:variant>
        <vt:i4>2064</vt:i4>
      </vt:variant>
      <vt:variant>
        <vt:i4>0</vt:i4>
      </vt:variant>
      <vt:variant>
        <vt:i4>5</vt:i4>
      </vt:variant>
      <vt:variant>
        <vt:lpwstr>https://doi.org/10.1080/17565529.2019.1624495</vt:lpwstr>
      </vt:variant>
      <vt:variant>
        <vt:lpwstr/>
      </vt:variant>
      <vt:variant>
        <vt:i4>917526</vt:i4>
      </vt:variant>
      <vt:variant>
        <vt:i4>2061</vt:i4>
      </vt:variant>
      <vt:variant>
        <vt:i4>0</vt:i4>
      </vt:variant>
      <vt:variant>
        <vt:i4>5</vt:i4>
      </vt:variant>
      <vt:variant>
        <vt:lpwstr>https://www.standards.govt.nz/shop/nzs-44042010/</vt:lpwstr>
      </vt:variant>
      <vt:variant>
        <vt:lpwstr/>
      </vt:variant>
      <vt:variant>
        <vt:i4>2556009</vt:i4>
      </vt:variant>
      <vt:variant>
        <vt:i4>2058</vt:i4>
      </vt:variant>
      <vt:variant>
        <vt:i4>0</vt:i4>
      </vt:variant>
      <vt:variant>
        <vt:i4>5</vt:i4>
      </vt:variant>
      <vt:variant>
        <vt:lpwstr>https://www.building.govt.nz/building-code-compliance/b-stability/b1-structure/module-3-identify-liquefaction-hazards/</vt:lpwstr>
      </vt:variant>
      <vt:variant>
        <vt:lpwstr/>
      </vt:variant>
      <vt:variant>
        <vt:i4>655451</vt:i4>
      </vt:variant>
      <vt:variant>
        <vt:i4>2055</vt:i4>
      </vt:variant>
      <vt:variant>
        <vt:i4>0</vt:i4>
      </vt:variant>
      <vt:variant>
        <vt:i4>5</vt:i4>
      </vt:variant>
      <vt:variant>
        <vt:lpwstr>https://doi.org/10.1017/9781009325844.026</vt:lpwstr>
      </vt:variant>
      <vt:variant>
        <vt:lpwstr/>
      </vt:variant>
      <vt:variant>
        <vt:i4>393225</vt:i4>
      </vt:variant>
      <vt:variant>
        <vt:i4>2052</vt:i4>
      </vt:variant>
      <vt:variant>
        <vt:i4>0</vt:i4>
      </vt:variant>
      <vt:variant>
        <vt:i4>5</vt:i4>
      </vt:variant>
      <vt:variant>
        <vt:lpwstr>https://www.civildefence.govt.nz/cdem-sector/plans-and-strategies/national-disaster-resilience-strategy/</vt:lpwstr>
      </vt:variant>
      <vt:variant>
        <vt:lpwstr/>
      </vt:variant>
      <vt:variant>
        <vt:i4>3932217</vt:i4>
      </vt:variant>
      <vt:variant>
        <vt:i4>2049</vt:i4>
      </vt:variant>
      <vt:variant>
        <vt:i4>0</vt:i4>
      </vt:variant>
      <vt:variant>
        <vt:i4>5</vt:i4>
      </vt:variant>
      <vt:variant>
        <vt:lpwstr>https://nccarf.edu.au/guidance-on-risk-assessment/</vt:lpwstr>
      </vt:variant>
      <vt:variant>
        <vt:lpwstr/>
      </vt:variant>
      <vt:variant>
        <vt:i4>3932271</vt:i4>
      </vt:variant>
      <vt:variant>
        <vt:i4>2046</vt:i4>
      </vt:variant>
      <vt:variant>
        <vt:i4>0</vt:i4>
      </vt:variant>
      <vt:variant>
        <vt:i4>5</vt:i4>
      </vt:variant>
      <vt:variant>
        <vt:lpwstr>https://doi.org/10.1073/pnas.1907461116</vt:lpwstr>
      </vt:variant>
      <vt:variant>
        <vt:lpwstr/>
      </vt:variant>
      <vt:variant>
        <vt:i4>1704011</vt:i4>
      </vt:variant>
      <vt:variant>
        <vt:i4>2043</vt:i4>
      </vt:variant>
      <vt:variant>
        <vt:i4>0</vt:i4>
      </vt:variant>
      <vt:variant>
        <vt:i4>5</vt:i4>
      </vt:variant>
      <vt:variant>
        <vt:lpwstr>https://essopenarchive.org/doi/full/10.1002/essoar.10511878.1</vt:lpwstr>
      </vt:variant>
      <vt:variant>
        <vt:lpwstr/>
      </vt:variant>
      <vt:variant>
        <vt:i4>6619262</vt:i4>
      </vt:variant>
      <vt:variant>
        <vt:i4>2040</vt:i4>
      </vt:variant>
      <vt:variant>
        <vt:i4>0</vt:i4>
      </vt:variant>
      <vt:variant>
        <vt:i4>5</vt:i4>
      </vt:variant>
      <vt:variant>
        <vt:lpwstr>https://www.searise.nz/publications</vt:lpwstr>
      </vt:variant>
      <vt:variant>
        <vt:lpwstr/>
      </vt:variant>
      <vt:variant>
        <vt:i4>6553700</vt:i4>
      </vt:variant>
      <vt:variant>
        <vt:i4>2037</vt:i4>
      </vt:variant>
      <vt:variant>
        <vt:i4>0</vt:i4>
      </vt:variant>
      <vt:variant>
        <vt:i4>5</vt:i4>
      </vt:variant>
      <vt:variant>
        <vt:lpwstr>http://dx.doi.org/10.1080/09640560801977190</vt:lpwstr>
      </vt:variant>
      <vt:variant>
        <vt:lpwstr/>
      </vt:variant>
      <vt:variant>
        <vt:i4>1572963</vt:i4>
      </vt:variant>
      <vt:variant>
        <vt:i4>2034</vt:i4>
      </vt:variant>
      <vt:variant>
        <vt:i4>0</vt:i4>
      </vt:variant>
      <vt:variant>
        <vt:i4>5</vt:i4>
      </vt:variant>
      <vt:variant>
        <vt:lpwstr>https://niwa.co.nz/sites/niwa.co.nz/files/slmacc_extremewinds_slew093_may2011.pdf</vt:lpwstr>
      </vt:variant>
      <vt:variant>
        <vt:lpwstr/>
      </vt:variant>
      <vt:variant>
        <vt:i4>7340066</vt:i4>
      </vt:variant>
      <vt:variant>
        <vt:i4>2031</vt:i4>
      </vt:variant>
      <vt:variant>
        <vt:i4>0</vt:i4>
      </vt:variant>
      <vt:variant>
        <vt:i4>5</vt:i4>
      </vt:variant>
      <vt:variant>
        <vt:lpwstr>https://www.nature.com/articles/nature08823</vt:lpwstr>
      </vt:variant>
      <vt:variant>
        <vt:lpwstr/>
      </vt:variant>
      <vt:variant>
        <vt:i4>7209080</vt:i4>
      </vt:variant>
      <vt:variant>
        <vt:i4>2028</vt:i4>
      </vt:variant>
      <vt:variant>
        <vt:i4>0</vt:i4>
      </vt:variant>
      <vt:variant>
        <vt:i4>5</vt:i4>
      </vt:variant>
      <vt:variant>
        <vt:lpwstr>https://doi.org/10.1002/wcc.403</vt:lpwstr>
      </vt:variant>
      <vt:variant>
        <vt:lpwstr/>
      </vt:variant>
      <vt:variant>
        <vt:i4>589843</vt:i4>
      </vt:variant>
      <vt:variant>
        <vt:i4>2025</vt:i4>
      </vt:variant>
      <vt:variant>
        <vt:i4>0</vt:i4>
      </vt:variant>
      <vt:variant>
        <vt:i4>5</vt:i4>
      </vt:variant>
      <vt:variant>
        <vt:lpwstr>https://doi.org/10.1038/s41558-019-0542-5</vt:lpwstr>
      </vt:variant>
      <vt:variant>
        <vt:lpwstr/>
      </vt:variant>
      <vt:variant>
        <vt:i4>7143486</vt:i4>
      </vt:variant>
      <vt:variant>
        <vt:i4>2022</vt:i4>
      </vt:variant>
      <vt:variant>
        <vt:i4>0</vt:i4>
      </vt:variant>
      <vt:variant>
        <vt:i4>5</vt:i4>
      </vt:variant>
      <vt:variant>
        <vt:lpwstr>https://doi.org/10.1038/s41598-020-59018-y</vt:lpwstr>
      </vt:variant>
      <vt:variant>
        <vt:lpwstr/>
      </vt:variant>
      <vt:variant>
        <vt:i4>5439567</vt:i4>
      </vt:variant>
      <vt:variant>
        <vt:i4>2019</vt:i4>
      </vt:variant>
      <vt:variant>
        <vt:i4>0</vt:i4>
      </vt:variant>
      <vt:variant>
        <vt:i4>5</vt:i4>
      </vt:variant>
      <vt:variant>
        <vt:lpwstr>https://doi.org/10.1002/rog.20015</vt:lpwstr>
      </vt:variant>
      <vt:variant>
        <vt:lpwstr/>
      </vt:variant>
      <vt:variant>
        <vt:i4>3604584</vt:i4>
      </vt:variant>
      <vt:variant>
        <vt:i4>2016</vt:i4>
      </vt:variant>
      <vt:variant>
        <vt:i4>0</vt:i4>
      </vt:variant>
      <vt:variant>
        <vt:i4>5</vt:i4>
      </vt:variant>
      <vt:variant>
        <vt:lpwstr>https://doi.org/10.1016/j.advwatres.2019.04.009</vt:lpwstr>
      </vt:variant>
      <vt:variant>
        <vt:lpwstr/>
      </vt:variant>
      <vt:variant>
        <vt:i4>3997795</vt:i4>
      </vt:variant>
      <vt:variant>
        <vt:i4>2013</vt:i4>
      </vt:variant>
      <vt:variant>
        <vt:i4>0</vt:i4>
      </vt:variant>
      <vt:variant>
        <vt:i4>5</vt:i4>
      </vt:variant>
      <vt:variant>
        <vt:lpwstr>https://doi.org/10.1073/pnas.1620325114</vt:lpwstr>
      </vt:variant>
      <vt:variant>
        <vt:lpwstr/>
      </vt:variant>
      <vt:variant>
        <vt:i4>8126520</vt:i4>
      </vt:variant>
      <vt:variant>
        <vt:i4>2010</vt:i4>
      </vt:variant>
      <vt:variant>
        <vt:i4>0</vt:i4>
      </vt:variant>
      <vt:variant>
        <vt:i4>5</vt:i4>
      </vt:variant>
      <vt:variant>
        <vt:lpwstr>https://www.hbcoast.co.nz/assets/Uploads/Assessment-Panel-Report-FINAL-28.2.18-reduced-size.pdf</vt:lpwstr>
      </vt:variant>
      <vt:variant>
        <vt:lpwstr/>
      </vt:variant>
      <vt:variant>
        <vt:i4>3342449</vt:i4>
      </vt:variant>
      <vt:variant>
        <vt:i4>2007</vt:i4>
      </vt:variant>
      <vt:variant>
        <vt:i4>0</vt:i4>
      </vt:variant>
      <vt:variant>
        <vt:i4>5</vt:i4>
      </vt:variant>
      <vt:variant>
        <vt:lpwstr>https://environment.govt.nz/assets/publications/Environmental-Reporting/Our-atmosphere-and-climate-2023.pdf</vt:lpwstr>
      </vt:variant>
      <vt:variant>
        <vt:lpwstr/>
      </vt:variant>
      <vt:variant>
        <vt:i4>7143534</vt:i4>
      </vt:variant>
      <vt:variant>
        <vt:i4>2004</vt:i4>
      </vt:variant>
      <vt:variant>
        <vt:i4>0</vt:i4>
      </vt:variant>
      <vt:variant>
        <vt:i4>5</vt:i4>
      </vt:variant>
      <vt:variant>
        <vt:lpwstr>https://environment.govt.nz/publications/developing-adapting-and-applying-environmental-models-in-a-regulatory-context-in-new-zealand/</vt:lpwstr>
      </vt:variant>
      <vt:variant>
        <vt:lpwstr/>
      </vt:variant>
      <vt:variant>
        <vt:i4>655454</vt:i4>
      </vt:variant>
      <vt:variant>
        <vt:i4>2001</vt:i4>
      </vt:variant>
      <vt:variant>
        <vt:i4>0</vt:i4>
      </vt:variant>
      <vt:variant>
        <vt:i4>5</vt:i4>
      </vt:variant>
      <vt:variant>
        <vt:lpwstr>https://environment.govt.nz/publications/community-led-retreat-and-adaptation-funding-issues-and-options/</vt:lpwstr>
      </vt:variant>
      <vt:variant>
        <vt:lpwstr/>
      </vt:variant>
      <vt:variant>
        <vt:i4>6881393</vt:i4>
      </vt:variant>
      <vt:variant>
        <vt:i4>1998</vt:i4>
      </vt:variant>
      <vt:variant>
        <vt:i4>0</vt:i4>
      </vt:variant>
      <vt:variant>
        <vt:i4>5</vt:i4>
      </vt:variant>
      <vt:variant>
        <vt:lpwstr>https://environment.govt.nz/publications/national-adaptation-plan-and-emissions-reduction-plan-resource-management-act-1991-guidance-note/</vt:lpwstr>
      </vt:variant>
      <vt:variant>
        <vt:lpwstr/>
      </vt:variant>
      <vt:variant>
        <vt:i4>3735613</vt:i4>
      </vt:variant>
      <vt:variant>
        <vt:i4>1995</vt:i4>
      </vt:variant>
      <vt:variant>
        <vt:i4>0</vt:i4>
      </vt:variant>
      <vt:variant>
        <vt:i4>5</vt:i4>
      </vt:variant>
      <vt:variant>
        <vt:lpwstr>https://environment.govt.nz/publications/aotearoa-new-zealands-first-emissions-reduction-plan/</vt:lpwstr>
      </vt:variant>
      <vt:variant>
        <vt:lpwstr/>
      </vt:variant>
      <vt:variant>
        <vt:i4>5439581</vt:i4>
      </vt:variant>
      <vt:variant>
        <vt:i4>1992</vt:i4>
      </vt:variant>
      <vt:variant>
        <vt:i4>0</vt:i4>
      </vt:variant>
      <vt:variant>
        <vt:i4>5</vt:i4>
      </vt:variant>
      <vt:variant>
        <vt:lpwstr>https://environment.govt.nz/publications/aotearoa-new-zealands-first-national-adaptation-plan/our-first-national-adaptation-plan-2022-28/</vt:lpwstr>
      </vt:variant>
      <vt:variant>
        <vt:lpwstr/>
      </vt:variant>
      <vt:variant>
        <vt:i4>2162798</vt:i4>
      </vt:variant>
      <vt:variant>
        <vt:i4>1989</vt:i4>
      </vt:variant>
      <vt:variant>
        <vt:i4>0</vt:i4>
      </vt:variant>
      <vt:variant>
        <vt:i4>5</vt:i4>
      </vt:variant>
      <vt:variant>
        <vt:lpwstr>https://environment.govt.nz/publications/interim-guidance-on-the-use-of-new-sea-level-rise-projections/</vt:lpwstr>
      </vt:variant>
      <vt:variant>
        <vt:lpwstr/>
      </vt:variant>
      <vt:variant>
        <vt:i4>1507341</vt:i4>
      </vt:variant>
      <vt:variant>
        <vt:i4>1986</vt:i4>
      </vt:variant>
      <vt:variant>
        <vt:i4>0</vt:i4>
      </vt:variant>
      <vt:variant>
        <vt:i4>5</vt:i4>
      </vt:variant>
      <vt:variant>
        <vt:lpwstr>https://environment.govt.nz/assets/publications/climate-risk-assessment-guide.pdf</vt:lpwstr>
      </vt:variant>
      <vt:variant>
        <vt:lpwstr/>
      </vt:variant>
      <vt:variant>
        <vt:i4>8126526</vt:i4>
      </vt:variant>
      <vt:variant>
        <vt:i4>1983</vt:i4>
      </vt:variant>
      <vt:variant>
        <vt:i4>0</vt:i4>
      </vt:variant>
      <vt:variant>
        <vt:i4>5</vt:i4>
      </vt:variant>
      <vt:variant>
        <vt:lpwstr>https://environment.govt.nz/publications/national-climate-change-risk-assessment-for-new-zealand-technical-report/</vt:lpwstr>
      </vt:variant>
      <vt:variant>
        <vt:lpwstr/>
      </vt:variant>
      <vt:variant>
        <vt:i4>7340145</vt:i4>
      </vt:variant>
      <vt:variant>
        <vt:i4>1980</vt:i4>
      </vt:variant>
      <vt:variant>
        <vt:i4>0</vt:i4>
      </vt:variant>
      <vt:variant>
        <vt:i4>5</vt:i4>
      </vt:variant>
      <vt:variant>
        <vt:lpwstr>https://environment.govt.nz/publications/national-climate-change-risk-assessment-for-new-zealand-method-report/</vt:lpwstr>
      </vt:variant>
      <vt:variant>
        <vt:lpwstr/>
      </vt:variant>
      <vt:variant>
        <vt:i4>131095</vt:i4>
      </vt:variant>
      <vt:variant>
        <vt:i4>1977</vt:i4>
      </vt:variant>
      <vt:variant>
        <vt:i4>0</vt:i4>
      </vt:variant>
      <vt:variant>
        <vt:i4>5</vt:i4>
      </vt:variant>
      <vt:variant>
        <vt:lpwstr>https://environment.govt.nz/publications/national-climate-change-risk-assessment-for-new-zealand-main-report/</vt:lpwstr>
      </vt:variant>
      <vt:variant>
        <vt:lpwstr/>
      </vt:variant>
      <vt:variant>
        <vt:i4>6815850</vt:i4>
      </vt:variant>
      <vt:variant>
        <vt:i4>1974</vt:i4>
      </vt:variant>
      <vt:variant>
        <vt:i4>0</vt:i4>
      </vt:variant>
      <vt:variant>
        <vt:i4>5</vt:i4>
      </vt:variant>
      <vt:variant>
        <vt:lpwstr>https://environment.govt.nz/publications/arotakenga-huringa-ahuarangi-a-framework-for-the-national-climate-change-risk-assessment-for-aotearoa-new-zealand/</vt:lpwstr>
      </vt:variant>
      <vt:variant>
        <vt:lpwstr/>
      </vt:variant>
      <vt:variant>
        <vt:i4>4784147</vt:i4>
      </vt:variant>
      <vt:variant>
        <vt:i4>1971</vt:i4>
      </vt:variant>
      <vt:variant>
        <vt:i4>0</vt:i4>
      </vt:variant>
      <vt:variant>
        <vt:i4>5</vt:i4>
      </vt:variant>
      <vt:variant>
        <vt:lpwstr>https://environment.govt.nz/publications/climate-change-projections-for-new-zealand/</vt:lpwstr>
      </vt:variant>
      <vt:variant>
        <vt:lpwstr/>
      </vt:variant>
      <vt:variant>
        <vt:i4>7602301</vt:i4>
      </vt:variant>
      <vt:variant>
        <vt:i4>1968</vt:i4>
      </vt:variant>
      <vt:variant>
        <vt:i4>0</vt:i4>
      </vt:variant>
      <vt:variant>
        <vt:i4>5</vt:i4>
      </vt:variant>
      <vt:variant>
        <vt:lpwstr>https://environment.govt.nz/publications/coastal-hazards-and-climate-change-guidance-for-local-government/</vt:lpwstr>
      </vt:variant>
      <vt:variant>
        <vt:lpwstr/>
      </vt:variant>
      <vt:variant>
        <vt:i4>4784219</vt:i4>
      </vt:variant>
      <vt:variant>
        <vt:i4>1965</vt:i4>
      </vt:variant>
      <vt:variant>
        <vt:i4>0</vt:i4>
      </vt:variant>
      <vt:variant>
        <vt:i4>5</vt:i4>
      </vt:variant>
      <vt:variant>
        <vt:lpwstr>https://environment.govt.nz/assets/Publications/Files/coastal-hazards-climate-change-guidance-manual-2008.pdf</vt:lpwstr>
      </vt:variant>
      <vt:variant>
        <vt:lpwstr/>
      </vt:variant>
      <vt:variant>
        <vt:i4>4653058</vt:i4>
      </vt:variant>
      <vt:variant>
        <vt:i4>1962</vt:i4>
      </vt:variant>
      <vt:variant>
        <vt:i4>0</vt:i4>
      </vt:variant>
      <vt:variant>
        <vt:i4>5</vt:i4>
      </vt:variant>
      <vt:variant>
        <vt:lpwstr>https://www.building.govt.nz/assets/Uploads/projects-and-consents/Planning-a-successful-build/Scope-and-design/natural-hazard-provisions-guidance.pdf</vt:lpwstr>
      </vt:variant>
      <vt:variant>
        <vt:lpwstr/>
      </vt:variant>
      <vt:variant>
        <vt:i4>3735651</vt:i4>
      </vt:variant>
      <vt:variant>
        <vt:i4>1959</vt:i4>
      </vt:variant>
      <vt:variant>
        <vt:i4>0</vt:i4>
      </vt:variant>
      <vt:variant>
        <vt:i4>5</vt:i4>
      </vt:variant>
      <vt:variant>
        <vt:lpwstr>https://doi.org/10.1073/pnas.1500515113</vt:lpwstr>
      </vt:variant>
      <vt:variant>
        <vt:lpwstr/>
      </vt:variant>
      <vt:variant>
        <vt:i4>6684781</vt:i4>
      </vt:variant>
      <vt:variant>
        <vt:i4>1956</vt:i4>
      </vt:variant>
      <vt:variant>
        <vt:i4>0</vt:i4>
      </vt:variant>
      <vt:variant>
        <vt:i4>5</vt:i4>
      </vt:variant>
      <vt:variant>
        <vt:lpwstr>https://doi.org/10.3133/wsp2255</vt:lpwstr>
      </vt:variant>
      <vt:variant>
        <vt:lpwstr/>
      </vt:variant>
      <vt:variant>
        <vt:i4>4456516</vt:i4>
      </vt:variant>
      <vt:variant>
        <vt:i4>1953</vt:i4>
      </vt:variant>
      <vt:variant>
        <vt:i4>0</vt:i4>
      </vt:variant>
      <vt:variant>
        <vt:i4>5</vt:i4>
      </vt:variant>
      <vt:variant>
        <vt:lpwstr>https://doi.org/10.5194/gmd-13-3571-2020</vt:lpwstr>
      </vt:variant>
      <vt:variant>
        <vt:lpwstr/>
      </vt:variant>
      <vt:variant>
        <vt:i4>5242945</vt:i4>
      </vt:variant>
      <vt:variant>
        <vt:i4>1950</vt:i4>
      </vt:variant>
      <vt:variant>
        <vt:i4>0</vt:i4>
      </vt:variant>
      <vt:variant>
        <vt:i4>5</vt:i4>
      </vt:variant>
      <vt:variant>
        <vt:lpwstr>https://doi.org/10.1016/j.envsci.2006.10.004</vt:lpwstr>
      </vt:variant>
      <vt:variant>
        <vt:lpwstr/>
      </vt:variant>
      <vt:variant>
        <vt:i4>1638428</vt:i4>
      </vt:variant>
      <vt:variant>
        <vt:i4>1947</vt:i4>
      </vt:variant>
      <vt:variant>
        <vt:i4>0</vt:i4>
      </vt:variant>
      <vt:variant>
        <vt:i4>5</vt:i4>
      </vt:variant>
      <vt:variant>
        <vt:lpwstr>https://doi.org/10.20417/nzjecol.47.3521</vt:lpwstr>
      </vt:variant>
      <vt:variant>
        <vt:lpwstr/>
      </vt:variant>
      <vt:variant>
        <vt:i4>2621486</vt:i4>
      </vt:variant>
      <vt:variant>
        <vt:i4>1944</vt:i4>
      </vt:variant>
      <vt:variant>
        <vt:i4>0</vt:i4>
      </vt:variant>
      <vt:variant>
        <vt:i4>5</vt:i4>
      </vt:variant>
      <vt:variant>
        <vt:lpwstr>https://doi.org/10.14465/2020.arc08.cgm</vt:lpwstr>
      </vt:variant>
      <vt:variant>
        <vt:lpwstr/>
      </vt:variant>
      <vt:variant>
        <vt:i4>4653145</vt:i4>
      </vt:variant>
      <vt:variant>
        <vt:i4>1941</vt:i4>
      </vt:variant>
      <vt:variant>
        <vt:i4>0</vt:i4>
      </vt:variant>
      <vt:variant>
        <vt:i4>5</vt:i4>
      </vt:variant>
      <vt:variant>
        <vt:lpwstr>https://www.waikatoregion.govt.nz/assets/WRC/TR202008.pdf</vt:lpwstr>
      </vt:variant>
      <vt:variant>
        <vt:lpwstr/>
      </vt:variant>
      <vt:variant>
        <vt:i4>7471151</vt:i4>
      </vt:variant>
      <vt:variant>
        <vt:i4>1938</vt:i4>
      </vt:variant>
      <vt:variant>
        <vt:i4>0</vt:i4>
      </vt:variant>
      <vt:variant>
        <vt:i4>5</vt:i4>
      </vt:variant>
      <vt:variant>
        <vt:lpwstr>http://dx.doi.org/10.1007/s10712-016-9373-3</vt:lpwstr>
      </vt:variant>
      <vt:variant>
        <vt:lpwstr/>
      </vt:variant>
      <vt:variant>
        <vt:i4>5963862</vt:i4>
      </vt:variant>
      <vt:variant>
        <vt:i4>1935</vt:i4>
      </vt:variant>
      <vt:variant>
        <vt:i4>0</vt:i4>
      </vt:variant>
      <vt:variant>
        <vt:i4>5</vt:i4>
      </vt:variant>
      <vt:variant>
        <vt:lpwstr>https://link.springer.com/book/10.1007/978-3-030-05252-2</vt:lpwstr>
      </vt:variant>
      <vt:variant>
        <vt:lpwstr/>
      </vt:variant>
      <vt:variant>
        <vt:i4>6684792</vt:i4>
      </vt:variant>
      <vt:variant>
        <vt:i4>1932</vt:i4>
      </vt:variant>
      <vt:variant>
        <vt:i4>0</vt:i4>
      </vt:variant>
      <vt:variant>
        <vt:i4>5</vt:i4>
      </vt:variant>
      <vt:variant>
        <vt:lpwstr>http://dx.doi.org/10.1038/nclimate3038</vt:lpwstr>
      </vt:variant>
      <vt:variant>
        <vt:lpwstr/>
      </vt:variant>
      <vt:variant>
        <vt:i4>6422591</vt:i4>
      </vt:variant>
      <vt:variant>
        <vt:i4>1929</vt:i4>
      </vt:variant>
      <vt:variant>
        <vt:i4>0</vt:i4>
      </vt:variant>
      <vt:variant>
        <vt:i4>5</vt:i4>
      </vt:variant>
      <vt:variant>
        <vt:lpwstr>https://doi.org/10.1038/s41558-023-01647-y</vt:lpwstr>
      </vt:variant>
      <vt:variant>
        <vt:lpwstr/>
      </vt:variant>
      <vt:variant>
        <vt:i4>3080309</vt:i4>
      </vt:variant>
      <vt:variant>
        <vt:i4>1926</vt:i4>
      </vt:variant>
      <vt:variant>
        <vt:i4>0</vt:i4>
      </vt:variant>
      <vt:variant>
        <vt:i4>5</vt:i4>
      </vt:variant>
      <vt:variant>
        <vt:lpwstr>https://doi.org/10.1111/risa.13733</vt:lpwstr>
      </vt:variant>
      <vt:variant>
        <vt:lpwstr/>
      </vt:variant>
      <vt:variant>
        <vt:i4>2949183</vt:i4>
      </vt:variant>
      <vt:variant>
        <vt:i4>1923</vt:i4>
      </vt:variant>
      <vt:variant>
        <vt:i4>0</vt:i4>
      </vt:variant>
      <vt:variant>
        <vt:i4>5</vt:i4>
      </vt:variant>
      <vt:variant>
        <vt:lpwstr>https://doi.org/10.1038/s41558-023-01642-3</vt:lpwstr>
      </vt:variant>
      <vt:variant>
        <vt:lpwstr/>
      </vt:variant>
      <vt:variant>
        <vt:i4>5963814</vt:i4>
      </vt:variant>
      <vt:variant>
        <vt:i4>1920</vt:i4>
      </vt:variant>
      <vt:variant>
        <vt:i4>0</vt:i4>
      </vt:variant>
      <vt:variant>
        <vt:i4>5</vt:i4>
      </vt:variant>
      <vt:variant>
        <vt:lpwstr>https://ndhadeliver.natlib.govt.nz/delivery/DeliveryManagerServlet?dps_pid=IE27791832</vt:lpwstr>
      </vt:variant>
      <vt:variant>
        <vt:lpwstr/>
      </vt:variant>
      <vt:variant>
        <vt:i4>917570</vt:i4>
      </vt:variant>
      <vt:variant>
        <vt:i4>1917</vt:i4>
      </vt:variant>
      <vt:variant>
        <vt:i4>0</vt:i4>
      </vt:variant>
      <vt:variant>
        <vt:i4>5</vt:i4>
      </vt:variant>
      <vt:variant>
        <vt:lpwstr>https://doi.org/10.1080/03036758.2023.2232743</vt:lpwstr>
      </vt:variant>
      <vt:variant>
        <vt:lpwstr/>
      </vt:variant>
      <vt:variant>
        <vt:i4>1441795</vt:i4>
      </vt:variant>
      <vt:variant>
        <vt:i4>1914</vt:i4>
      </vt:variant>
      <vt:variant>
        <vt:i4>0</vt:i4>
      </vt:variant>
      <vt:variant>
        <vt:i4>5</vt:i4>
      </vt:variant>
      <vt:variant>
        <vt:lpwstr>https://www.coastalsociety.org.nz/media/view/publications/sea-level-rise/</vt:lpwstr>
      </vt:variant>
      <vt:variant>
        <vt:lpwstr/>
      </vt:variant>
      <vt:variant>
        <vt:i4>4718684</vt:i4>
      </vt:variant>
      <vt:variant>
        <vt:i4>1911</vt:i4>
      </vt:variant>
      <vt:variant>
        <vt:i4>0</vt:i4>
      </vt:variant>
      <vt:variant>
        <vt:i4>5</vt:i4>
      </vt:variant>
      <vt:variant>
        <vt:lpwstr>http://dx.doi.org/10.1073/pnas.1219414110</vt:lpwstr>
      </vt:variant>
      <vt:variant>
        <vt:lpwstr/>
      </vt:variant>
      <vt:variant>
        <vt:i4>7602203</vt:i4>
      </vt:variant>
      <vt:variant>
        <vt:i4>1908</vt:i4>
      </vt:variant>
      <vt:variant>
        <vt:i4>0</vt:i4>
      </vt:variant>
      <vt:variant>
        <vt:i4>5</vt:i4>
      </vt:variant>
      <vt:variant>
        <vt:lpwstr>http://www.rand.org/pubs/monograph_reports/MR1626.html</vt:lpwstr>
      </vt:variant>
      <vt:variant>
        <vt:lpwstr/>
      </vt:variant>
      <vt:variant>
        <vt:i4>6291522</vt:i4>
      </vt:variant>
      <vt:variant>
        <vt:i4>1905</vt:i4>
      </vt:variant>
      <vt:variant>
        <vt:i4>0</vt:i4>
      </vt:variant>
      <vt:variant>
        <vt:i4>5</vt:i4>
      </vt:variant>
      <vt:variant>
        <vt:lpwstr>https://link.springer.com/chapter/10.1007/978-3-030-05252-2_2</vt:lpwstr>
      </vt:variant>
      <vt:variant>
        <vt:lpwstr/>
      </vt:variant>
      <vt:variant>
        <vt:i4>6488125</vt:i4>
      </vt:variant>
      <vt:variant>
        <vt:i4>1902</vt:i4>
      </vt:variant>
      <vt:variant>
        <vt:i4>0</vt:i4>
      </vt:variant>
      <vt:variant>
        <vt:i4>5</vt:i4>
      </vt:variant>
      <vt:variant>
        <vt:lpwstr>https://doi.org/10.5751/ES-12211-260129</vt:lpwstr>
      </vt:variant>
      <vt:variant>
        <vt:lpwstr/>
      </vt:variant>
      <vt:variant>
        <vt:i4>4194324</vt:i4>
      </vt:variant>
      <vt:variant>
        <vt:i4>1899</vt:i4>
      </vt:variant>
      <vt:variant>
        <vt:i4>0</vt:i4>
      </vt:variant>
      <vt:variant>
        <vt:i4>5</vt:i4>
      </vt:variant>
      <vt:variant>
        <vt:lpwstr>https://doi.org/10.1016/j.envsoft.2015.07.021</vt:lpwstr>
      </vt:variant>
      <vt:variant>
        <vt:lpwstr/>
      </vt:variant>
      <vt:variant>
        <vt:i4>1900547</vt:i4>
      </vt:variant>
      <vt:variant>
        <vt:i4>1896</vt:i4>
      </vt:variant>
      <vt:variant>
        <vt:i4>0</vt:i4>
      </vt:variant>
      <vt:variant>
        <vt:i4>5</vt:i4>
      </vt:variant>
      <vt:variant>
        <vt:lpwstr>https://doi.org/10.3389/fmars.2021.703902</vt:lpwstr>
      </vt:variant>
      <vt:variant>
        <vt:lpwstr/>
      </vt:variant>
      <vt:variant>
        <vt:i4>6619253</vt:i4>
      </vt:variant>
      <vt:variant>
        <vt:i4>1893</vt:i4>
      </vt:variant>
      <vt:variant>
        <vt:i4>0</vt:i4>
      </vt:variant>
      <vt:variant>
        <vt:i4>5</vt:i4>
      </vt:variant>
      <vt:variant>
        <vt:lpwstr>https://www.ipcc.ch/report/ar6/wg2/chapter/chapter-11/</vt:lpwstr>
      </vt:variant>
      <vt:variant>
        <vt:lpwstr/>
      </vt:variant>
      <vt:variant>
        <vt:i4>262155</vt:i4>
      </vt:variant>
      <vt:variant>
        <vt:i4>1890</vt:i4>
      </vt:variant>
      <vt:variant>
        <vt:i4>0</vt:i4>
      </vt:variant>
      <vt:variant>
        <vt:i4>5</vt:i4>
      </vt:variant>
      <vt:variant>
        <vt:lpwstr>https://deepsouthchallenge.co.nz/resource/climate-change-the-cascade-effect/</vt:lpwstr>
      </vt:variant>
      <vt:variant>
        <vt:lpwstr/>
      </vt:variant>
      <vt:variant>
        <vt:i4>5373972</vt:i4>
      </vt:variant>
      <vt:variant>
        <vt:i4>1887</vt:i4>
      </vt:variant>
      <vt:variant>
        <vt:i4>0</vt:i4>
      </vt:variant>
      <vt:variant>
        <vt:i4>5</vt:i4>
      </vt:variant>
      <vt:variant>
        <vt:lpwstr>https://doi.org/10.1016/j.crm.2020.100234</vt:lpwstr>
      </vt:variant>
      <vt:variant>
        <vt:lpwstr/>
      </vt:variant>
      <vt:variant>
        <vt:i4>7077931</vt:i4>
      </vt:variant>
      <vt:variant>
        <vt:i4>1884</vt:i4>
      </vt:variant>
      <vt:variant>
        <vt:i4>0</vt:i4>
      </vt:variant>
      <vt:variant>
        <vt:i4>5</vt:i4>
      </vt:variant>
      <vt:variant>
        <vt:lpwstr>https://doi.org/10.3390/su11020406</vt:lpwstr>
      </vt:variant>
      <vt:variant>
        <vt:lpwstr/>
      </vt:variant>
      <vt:variant>
        <vt:i4>6488188</vt:i4>
      </vt:variant>
      <vt:variant>
        <vt:i4>1881</vt:i4>
      </vt:variant>
      <vt:variant>
        <vt:i4>0</vt:i4>
      </vt:variant>
      <vt:variant>
        <vt:i4>5</vt:i4>
      </vt:variant>
      <vt:variant>
        <vt:lpwstr>http://www.deepsouthchallenge.co.nz/projects/tools-decision-makers</vt:lpwstr>
      </vt:variant>
      <vt:variant>
        <vt:lpwstr/>
      </vt:variant>
      <vt:variant>
        <vt:i4>851997</vt:i4>
      </vt:variant>
      <vt:variant>
        <vt:i4>1878</vt:i4>
      </vt:variant>
      <vt:variant>
        <vt:i4>0</vt:i4>
      </vt:variant>
      <vt:variant>
        <vt:i4>5</vt:i4>
      </vt:variant>
      <vt:variant>
        <vt:lpwstr>https://doi.org/10.3389/fclim.2021.734726</vt:lpwstr>
      </vt:variant>
      <vt:variant>
        <vt:lpwstr/>
      </vt:variant>
      <vt:variant>
        <vt:i4>720907</vt:i4>
      </vt:variant>
      <vt:variant>
        <vt:i4>1875</vt:i4>
      </vt:variant>
      <vt:variant>
        <vt:i4>0</vt:i4>
      </vt:variant>
      <vt:variant>
        <vt:i4>5</vt:i4>
      </vt:variant>
      <vt:variant>
        <vt:lpwstr>https://resiliencechallenge.nz/outputs/enabling-coastal-adaptation-2/</vt:lpwstr>
      </vt:variant>
      <vt:variant>
        <vt:lpwstr/>
      </vt:variant>
      <vt:variant>
        <vt:i4>3735590</vt:i4>
      </vt:variant>
      <vt:variant>
        <vt:i4>1872</vt:i4>
      </vt:variant>
      <vt:variant>
        <vt:i4>0</vt:i4>
      </vt:variant>
      <vt:variant>
        <vt:i4>5</vt:i4>
      </vt:variant>
      <vt:variant>
        <vt:lpwstr>https://resiliencechallenge.nz/outputs/enabling-coastal-adaptation/</vt:lpwstr>
      </vt:variant>
      <vt:variant>
        <vt:lpwstr/>
      </vt:variant>
      <vt:variant>
        <vt:i4>5505089</vt:i4>
      </vt:variant>
      <vt:variant>
        <vt:i4>1869</vt:i4>
      </vt:variant>
      <vt:variant>
        <vt:i4>0</vt:i4>
      </vt:variant>
      <vt:variant>
        <vt:i4>5</vt:i4>
      </vt:variant>
      <vt:variant>
        <vt:lpwstr>https://doi.org/10.1016/j.envsci.2016.12.003</vt:lpwstr>
      </vt:variant>
      <vt:variant>
        <vt:lpwstr/>
      </vt:variant>
      <vt:variant>
        <vt:i4>6488104</vt:i4>
      </vt:variant>
      <vt:variant>
        <vt:i4>1866</vt:i4>
      </vt:variant>
      <vt:variant>
        <vt:i4>0</vt:i4>
      </vt:variant>
      <vt:variant>
        <vt:i4>5</vt:i4>
      </vt:variant>
      <vt:variant>
        <vt:lpwstr>https://www.coastalsociety.org.nz/media/view/publications/special-publication-5-coastal-adaptation/</vt:lpwstr>
      </vt:variant>
      <vt:variant>
        <vt:lpwstr/>
      </vt:variant>
      <vt:variant>
        <vt:i4>7733375</vt:i4>
      </vt:variant>
      <vt:variant>
        <vt:i4>1863</vt:i4>
      </vt:variant>
      <vt:variant>
        <vt:i4>0</vt:i4>
      </vt:variant>
      <vt:variant>
        <vt:i4>5</vt:i4>
      </vt:variant>
      <vt:variant>
        <vt:lpwstr>https://resiliencechallenge.nz/outputs/a-decade-of-dynamic-adaptive-decision-making-tools-in-new-zealand-practice-applications-lessons-learned-and-next-steps/</vt:lpwstr>
      </vt:variant>
      <vt:variant>
        <vt:lpwstr/>
      </vt:variant>
      <vt:variant>
        <vt:i4>589893</vt:i4>
      </vt:variant>
      <vt:variant>
        <vt:i4>1860</vt:i4>
      </vt:variant>
      <vt:variant>
        <vt:i4>0</vt:i4>
      </vt:variant>
      <vt:variant>
        <vt:i4>5</vt:i4>
      </vt:variant>
      <vt:variant>
        <vt:lpwstr>https://doi.org/10.1080/00288330.2017.1390772</vt:lpwstr>
      </vt:variant>
      <vt:variant>
        <vt:lpwstr/>
      </vt:variant>
      <vt:variant>
        <vt:i4>1179714</vt:i4>
      </vt:variant>
      <vt:variant>
        <vt:i4>1857</vt:i4>
      </vt:variant>
      <vt:variant>
        <vt:i4>0</vt:i4>
      </vt:variant>
      <vt:variant>
        <vt:i4>5</vt:i4>
      </vt:variant>
      <vt:variant>
        <vt:lpwstr>https://doi.org/10.3390/jmse11071420</vt:lpwstr>
      </vt:variant>
      <vt:variant>
        <vt:lpwstr/>
      </vt:variant>
      <vt:variant>
        <vt:i4>3080227</vt:i4>
      </vt:variant>
      <vt:variant>
        <vt:i4>1854</vt:i4>
      </vt:variant>
      <vt:variant>
        <vt:i4>0</vt:i4>
      </vt:variant>
      <vt:variant>
        <vt:i4>5</vt:i4>
      </vt:variant>
      <vt:variant>
        <vt:lpwstr>http://www.ecologyandsociety.org/vol11/iss1/art19/</vt:lpwstr>
      </vt:variant>
      <vt:variant>
        <vt:lpwstr/>
      </vt:variant>
      <vt:variant>
        <vt:i4>26</vt:i4>
      </vt:variant>
      <vt:variant>
        <vt:i4>1851</vt:i4>
      </vt:variant>
      <vt:variant>
        <vt:i4>0</vt:i4>
      </vt:variant>
      <vt:variant>
        <vt:i4>5</vt:i4>
      </vt:variant>
      <vt:variant>
        <vt:lpwstr>http://www.ecologyandsociety.org/vol11/iss1/art19</vt:lpwstr>
      </vt:variant>
      <vt:variant>
        <vt:lpwstr/>
      </vt:variant>
      <vt:variant>
        <vt:i4>5570675</vt:i4>
      </vt:variant>
      <vt:variant>
        <vt:i4>1848</vt:i4>
      </vt:variant>
      <vt:variant>
        <vt:i4>0</vt:i4>
      </vt:variant>
      <vt:variant>
        <vt:i4>5</vt:i4>
      </vt:variant>
      <vt:variant>
        <vt:lpwstr>https://link.springer.com/chapter/10.1007/978-3-030-05252-2_15</vt:lpwstr>
      </vt:variant>
      <vt:variant>
        <vt:lpwstr/>
      </vt:variant>
      <vt:variant>
        <vt:i4>6946938</vt:i4>
      </vt:variant>
      <vt:variant>
        <vt:i4>1845</vt:i4>
      </vt:variant>
      <vt:variant>
        <vt:i4>0</vt:i4>
      </vt:variant>
      <vt:variant>
        <vt:i4>5</vt:i4>
      </vt:variant>
      <vt:variant>
        <vt:lpwstr>https://doi.org/10.1002/wcc.64</vt:lpwstr>
      </vt:variant>
      <vt:variant>
        <vt:lpwstr/>
      </vt:variant>
      <vt:variant>
        <vt:i4>6422569</vt:i4>
      </vt:variant>
      <vt:variant>
        <vt:i4>1842</vt:i4>
      </vt:variant>
      <vt:variant>
        <vt:i4>0</vt:i4>
      </vt:variant>
      <vt:variant>
        <vt:i4>5</vt:i4>
      </vt:variant>
      <vt:variant>
        <vt:lpwstr>http://dx.doi.org/10.1007/s002670010141</vt:lpwstr>
      </vt:variant>
      <vt:variant>
        <vt:lpwstr/>
      </vt:variant>
      <vt:variant>
        <vt:i4>983058</vt:i4>
      </vt:variant>
      <vt:variant>
        <vt:i4>1839</vt:i4>
      </vt:variant>
      <vt:variant>
        <vt:i4>0</vt:i4>
      </vt:variant>
      <vt:variant>
        <vt:i4>5</vt:i4>
      </vt:variant>
      <vt:variant>
        <vt:lpwstr>https://doi.org/10.5194/egusphere-2023-14</vt:lpwstr>
      </vt:variant>
      <vt:variant>
        <vt:lpwstr/>
      </vt:variant>
      <vt:variant>
        <vt:i4>5111889</vt:i4>
      </vt:variant>
      <vt:variant>
        <vt:i4>1836</vt:i4>
      </vt:variant>
      <vt:variant>
        <vt:i4>0</vt:i4>
      </vt:variant>
      <vt:variant>
        <vt:i4>5</vt:i4>
      </vt:variant>
      <vt:variant>
        <vt:lpwstr>http://dx.doi.org/10.1073/pnas.1517056113</vt:lpwstr>
      </vt:variant>
      <vt:variant>
        <vt:lpwstr/>
      </vt:variant>
      <vt:variant>
        <vt:i4>3801148</vt:i4>
      </vt:variant>
      <vt:variant>
        <vt:i4>1833</vt:i4>
      </vt:variant>
      <vt:variant>
        <vt:i4>0</vt:i4>
      </vt:variant>
      <vt:variant>
        <vt:i4>5</vt:i4>
      </vt:variant>
      <vt:variant>
        <vt:lpwstr>http://dx.doi.org/10.1002/2014EF000239</vt:lpwstr>
      </vt:variant>
      <vt:variant>
        <vt:lpwstr/>
      </vt:variant>
      <vt:variant>
        <vt:i4>7340155</vt:i4>
      </vt:variant>
      <vt:variant>
        <vt:i4>1830</vt:i4>
      </vt:variant>
      <vt:variant>
        <vt:i4>0</vt:i4>
      </vt:variant>
      <vt:variant>
        <vt:i4>5</vt:i4>
      </vt:variant>
      <vt:variant>
        <vt:lpwstr>https://doi.org/10.3390/infrastructures5110092</vt:lpwstr>
      </vt:variant>
      <vt:variant>
        <vt:lpwstr/>
      </vt:variant>
      <vt:variant>
        <vt:i4>4587599</vt:i4>
      </vt:variant>
      <vt:variant>
        <vt:i4>1827</vt:i4>
      </vt:variant>
      <vt:variant>
        <vt:i4>0</vt:i4>
      </vt:variant>
      <vt:variant>
        <vt:i4>5</vt:i4>
      </vt:variant>
      <vt:variant>
        <vt:lpwstr>https://doi.org/10.1016/0378-3839(92)90054-X</vt:lpwstr>
      </vt:variant>
      <vt:variant>
        <vt:lpwstr/>
      </vt:variant>
      <vt:variant>
        <vt:i4>16646256</vt:i4>
      </vt:variant>
      <vt:variant>
        <vt:i4>1824</vt:i4>
      </vt:variant>
      <vt:variant>
        <vt:i4>0</vt:i4>
      </vt:variant>
      <vt:variant>
        <vt:i4>5</vt:i4>
      </vt:variant>
      <vt:variant>
        <vt:lpwstr>https://www.jstor.org/stable/30138402 </vt:lpwstr>
      </vt:variant>
      <vt:variant>
        <vt:lpwstr/>
      </vt:variant>
      <vt:variant>
        <vt:i4>4391006</vt:i4>
      </vt:variant>
      <vt:variant>
        <vt:i4>1821</vt:i4>
      </vt:variant>
      <vt:variant>
        <vt:i4>0</vt:i4>
      </vt:variant>
      <vt:variant>
        <vt:i4>5</vt:i4>
      </vt:variant>
      <vt:variant>
        <vt:lpwstr>https://doi.org/10.1016/j.margeo.2023.107199</vt:lpwstr>
      </vt:variant>
      <vt:variant>
        <vt:lpwstr/>
      </vt:variant>
      <vt:variant>
        <vt:i4>4194407</vt:i4>
      </vt:variant>
      <vt:variant>
        <vt:i4>1818</vt:i4>
      </vt:variant>
      <vt:variant>
        <vt:i4>0</vt:i4>
      </vt:variant>
      <vt:variant>
        <vt:i4>5</vt:i4>
      </vt:variant>
      <vt:variant>
        <vt:lpwstr>http://www.niwa.co.nz/sites/niwa.co.nz/files/niwa_report_akl2011-015_0.pdf</vt:lpwstr>
      </vt:variant>
      <vt:variant>
        <vt:lpwstr/>
      </vt:variant>
      <vt:variant>
        <vt:i4>393343</vt:i4>
      </vt:variant>
      <vt:variant>
        <vt:i4>1815</vt:i4>
      </vt:variant>
      <vt:variant>
        <vt:i4>0</vt:i4>
      </vt:variant>
      <vt:variant>
        <vt:i4>5</vt:i4>
      </vt:variant>
      <vt:variant>
        <vt:lpwstr>http://www.niwa.co.nz/sites/niwa.co.nz/files/NIWA Report AKL2013-022_smaller.pdf</vt:lpwstr>
      </vt:variant>
      <vt:variant>
        <vt:lpwstr/>
      </vt:variant>
      <vt:variant>
        <vt:i4>8323131</vt:i4>
      </vt:variant>
      <vt:variant>
        <vt:i4>1812</vt:i4>
      </vt:variant>
      <vt:variant>
        <vt:i4>0</vt:i4>
      </vt:variant>
      <vt:variant>
        <vt:i4>5</vt:i4>
      </vt:variant>
      <vt:variant>
        <vt:lpwstr>http://www.niwa.co.nz/sites/niwa.co.nz/files/niwa_report_akl2012-029.pdf</vt:lpwstr>
      </vt:variant>
      <vt:variant>
        <vt:lpwstr/>
      </vt:variant>
      <vt:variant>
        <vt:i4>1769555</vt:i4>
      </vt:variant>
      <vt:variant>
        <vt:i4>1809</vt:i4>
      </vt:variant>
      <vt:variant>
        <vt:i4>0</vt:i4>
      </vt:variant>
      <vt:variant>
        <vt:i4>5</vt:i4>
      </vt:variant>
      <vt:variant>
        <vt:lpwstr>https://doi.org/10.1177/0013916514551049</vt:lpwstr>
      </vt:variant>
      <vt:variant>
        <vt:lpwstr/>
      </vt:variant>
      <vt:variant>
        <vt:i4>2752571</vt:i4>
      </vt:variant>
      <vt:variant>
        <vt:i4>1806</vt:i4>
      </vt:variant>
      <vt:variant>
        <vt:i4>0</vt:i4>
      </vt:variant>
      <vt:variant>
        <vt:i4>5</vt:i4>
      </vt:variant>
      <vt:variant>
        <vt:lpwstr>https://openaccess.wgtn.ac.nz/articles/thesis/Effective_design_and_implementation_of_a_monitoring_system_to_support_dynamic_adaptive_pathways_planning_DAPP_for_managing_rising_coastal_risk_in_New_Zealand/20304567</vt:lpwstr>
      </vt:variant>
      <vt:variant>
        <vt:lpwstr/>
      </vt:variant>
      <vt:variant>
        <vt:i4>393288</vt:i4>
      </vt:variant>
      <vt:variant>
        <vt:i4>1803</vt:i4>
      </vt:variant>
      <vt:variant>
        <vt:i4>0</vt:i4>
      </vt:variant>
      <vt:variant>
        <vt:i4>5</vt:i4>
      </vt:variant>
      <vt:variant>
        <vt:lpwstr>https://doi.org/10.1080/15564894.2023.2207493</vt:lpwstr>
      </vt:variant>
      <vt:variant>
        <vt:lpwstr/>
      </vt:variant>
      <vt:variant>
        <vt:i4>1769494</vt:i4>
      </vt:variant>
      <vt:variant>
        <vt:i4>1800</vt:i4>
      </vt:variant>
      <vt:variant>
        <vt:i4>0</vt:i4>
      </vt:variant>
      <vt:variant>
        <vt:i4>5</vt:i4>
      </vt:variant>
      <vt:variant>
        <vt:lpwstr>https://doi.org/10.3390/w15193408</vt:lpwstr>
      </vt:variant>
      <vt:variant>
        <vt:lpwstr/>
      </vt:variant>
      <vt:variant>
        <vt:i4>786525</vt:i4>
      </vt:variant>
      <vt:variant>
        <vt:i4>1797</vt:i4>
      </vt:variant>
      <vt:variant>
        <vt:i4>0</vt:i4>
      </vt:variant>
      <vt:variant>
        <vt:i4>5</vt:i4>
      </vt:variant>
      <vt:variant>
        <vt:lpwstr>http://www.coastsandports.org/papers/2021/036_john_finalpaper-converted.pdf</vt:lpwstr>
      </vt:variant>
      <vt:variant>
        <vt:lpwstr/>
      </vt:variant>
      <vt:variant>
        <vt:i4>5767237</vt:i4>
      </vt:variant>
      <vt:variant>
        <vt:i4>1794</vt:i4>
      </vt:variant>
      <vt:variant>
        <vt:i4>0</vt:i4>
      </vt:variant>
      <vt:variant>
        <vt:i4>5</vt:i4>
      </vt:variant>
      <vt:variant>
        <vt:lpwstr>http://dx.doi.org/10.1016/j.gloplacha.2011.09.006</vt:lpwstr>
      </vt:variant>
      <vt:variant>
        <vt:lpwstr/>
      </vt:variant>
      <vt:variant>
        <vt:i4>851974</vt:i4>
      </vt:variant>
      <vt:variant>
        <vt:i4>1791</vt:i4>
      </vt:variant>
      <vt:variant>
        <vt:i4>0</vt:i4>
      </vt:variant>
      <vt:variant>
        <vt:i4>5</vt:i4>
      </vt:variant>
      <vt:variant>
        <vt:lpwstr>https://doi.org/10.1016/S0025-3227(02)00314-6</vt:lpwstr>
      </vt:variant>
      <vt:variant>
        <vt:lpwstr/>
      </vt:variant>
      <vt:variant>
        <vt:i4>3473523</vt:i4>
      </vt:variant>
      <vt:variant>
        <vt:i4>1788</vt:i4>
      </vt:variant>
      <vt:variant>
        <vt:i4>0</vt:i4>
      </vt:variant>
      <vt:variant>
        <vt:i4>5</vt:i4>
      </vt:variant>
      <vt:variant>
        <vt:lpwstr>http://www.sustainableseaschallenge.co.nz/tools-and-resources/hui-te-ana-nui-understanding-kaitiakitanga-in-our-marine-environment/</vt:lpwstr>
      </vt:variant>
      <vt:variant>
        <vt:lpwstr/>
      </vt:variant>
      <vt:variant>
        <vt:i4>6422565</vt:i4>
      </vt:variant>
      <vt:variant>
        <vt:i4>1785</vt:i4>
      </vt:variant>
      <vt:variant>
        <vt:i4>0</vt:i4>
      </vt:variant>
      <vt:variant>
        <vt:i4>5</vt:i4>
      </vt:variant>
      <vt:variant>
        <vt:lpwstr>https://www.iso.org/obp/ui/</vt:lpwstr>
      </vt:variant>
      <vt:variant>
        <vt:lpwstr>iso:std:iso:14091:ed-1:v1:en</vt:lpwstr>
      </vt:variant>
      <vt:variant>
        <vt:i4>4456531</vt:i4>
      </vt:variant>
      <vt:variant>
        <vt:i4>1782</vt:i4>
      </vt:variant>
      <vt:variant>
        <vt:i4>0</vt:i4>
      </vt:variant>
      <vt:variant>
        <vt:i4>5</vt:i4>
      </vt:variant>
      <vt:variant>
        <vt:lpwstr>https://www.iso.org/obp/ui/</vt:lpwstr>
      </vt:variant>
      <vt:variant>
        <vt:lpwstr>iso:std:iso:ts:14092:ed-1:v1:en</vt:lpwstr>
      </vt:variant>
      <vt:variant>
        <vt:i4>6422564</vt:i4>
      </vt:variant>
      <vt:variant>
        <vt:i4>1779</vt:i4>
      </vt:variant>
      <vt:variant>
        <vt:i4>0</vt:i4>
      </vt:variant>
      <vt:variant>
        <vt:i4>5</vt:i4>
      </vt:variant>
      <vt:variant>
        <vt:lpwstr>https://www.iso.org/obp/ui/</vt:lpwstr>
      </vt:variant>
      <vt:variant>
        <vt:lpwstr>iso:std:iso:14090:ed-1:v1:en</vt:lpwstr>
      </vt:variant>
      <vt:variant>
        <vt:i4>8060984</vt:i4>
      </vt:variant>
      <vt:variant>
        <vt:i4>1776</vt:i4>
      </vt:variant>
      <vt:variant>
        <vt:i4>0</vt:i4>
      </vt:variant>
      <vt:variant>
        <vt:i4>5</vt:i4>
      </vt:variant>
      <vt:variant>
        <vt:lpwstr>https://www.standards.govt.nz/shop/asnzs-iso-310002009/</vt:lpwstr>
      </vt:variant>
      <vt:variant>
        <vt:lpwstr/>
      </vt:variant>
      <vt:variant>
        <vt:i4>5308437</vt:i4>
      </vt:variant>
      <vt:variant>
        <vt:i4>1773</vt:i4>
      </vt:variant>
      <vt:variant>
        <vt:i4>0</vt:i4>
      </vt:variant>
      <vt:variant>
        <vt:i4>5</vt:i4>
      </vt:variant>
      <vt:variant>
        <vt:lpwstr>https://www.issmge.org/publications/publication/stability-of-natural-deposits-during-earthquakes</vt:lpwstr>
      </vt:variant>
      <vt:variant>
        <vt:lpwstr/>
      </vt:variant>
      <vt:variant>
        <vt:i4>2687021</vt:i4>
      </vt:variant>
      <vt:variant>
        <vt:i4>1770</vt:i4>
      </vt:variant>
      <vt:variant>
        <vt:i4>0</vt:i4>
      </vt:variant>
      <vt:variant>
        <vt:i4>5</vt:i4>
      </vt:variant>
      <vt:variant>
        <vt:lpwstr>http://dx.doi.org/10.1111/j.1540-6210.2004.00346.x</vt:lpwstr>
      </vt:variant>
      <vt:variant>
        <vt:lpwstr/>
      </vt:variant>
      <vt:variant>
        <vt:i4>4784153</vt:i4>
      </vt:variant>
      <vt:variant>
        <vt:i4>1767</vt:i4>
      </vt:variant>
      <vt:variant>
        <vt:i4>0</vt:i4>
      </vt:variant>
      <vt:variant>
        <vt:i4>5</vt:i4>
      </vt:variant>
      <vt:variant>
        <vt:lpwstr>https://www.ipcc.ch/report/ar6/wg2/chapter/summary-for-policymakers/</vt:lpwstr>
      </vt:variant>
      <vt:variant>
        <vt:lpwstr/>
      </vt:variant>
      <vt:variant>
        <vt:i4>786534</vt:i4>
      </vt:variant>
      <vt:variant>
        <vt:i4>1764</vt:i4>
      </vt:variant>
      <vt:variant>
        <vt:i4>0</vt:i4>
      </vt:variant>
      <vt:variant>
        <vt:i4>5</vt:i4>
      </vt:variant>
      <vt:variant>
        <vt:lpwstr>http://www.ipcc.ch/report/ar6/wg1/downloads/report/IPCC_AR6_WGI_SPM.pdf</vt:lpwstr>
      </vt:variant>
      <vt:variant>
        <vt:lpwstr/>
      </vt:variant>
      <vt:variant>
        <vt:i4>2949177</vt:i4>
      </vt:variant>
      <vt:variant>
        <vt:i4>1761</vt:i4>
      </vt:variant>
      <vt:variant>
        <vt:i4>0</vt:i4>
      </vt:variant>
      <vt:variant>
        <vt:i4>5</vt:i4>
      </vt:variant>
      <vt:variant>
        <vt:lpwstr>http://ipcc.ch/report/ar5/wg2/</vt:lpwstr>
      </vt:variant>
      <vt:variant>
        <vt:lpwstr/>
      </vt:variant>
      <vt:variant>
        <vt:i4>2949219</vt:i4>
      </vt:variant>
      <vt:variant>
        <vt:i4>1758</vt:i4>
      </vt:variant>
      <vt:variant>
        <vt:i4>0</vt:i4>
      </vt:variant>
      <vt:variant>
        <vt:i4>5</vt:i4>
      </vt:variant>
      <vt:variant>
        <vt:lpwstr>http://www.ipcc.ch/report/ar5/wg1/</vt:lpwstr>
      </vt:variant>
      <vt:variant>
        <vt:lpwstr/>
      </vt:variant>
      <vt:variant>
        <vt:i4>3801133</vt:i4>
      </vt:variant>
      <vt:variant>
        <vt:i4>1755</vt:i4>
      </vt:variant>
      <vt:variant>
        <vt:i4>0</vt:i4>
      </vt:variant>
      <vt:variant>
        <vt:i4>5</vt:i4>
      </vt:variant>
      <vt:variant>
        <vt:lpwstr>https://iap2.org.au/resources/spectrum/</vt:lpwstr>
      </vt:variant>
      <vt:variant>
        <vt:lpwstr/>
      </vt:variant>
      <vt:variant>
        <vt:i4>5046319</vt:i4>
      </vt:variant>
      <vt:variant>
        <vt:i4>1752</vt:i4>
      </vt:variant>
      <vt:variant>
        <vt:i4>0</vt:i4>
      </vt:variant>
      <vt:variant>
        <vt:i4>5</vt:i4>
      </vt:variant>
      <vt:variant>
        <vt:lpwstr>https://www.icnz.org.nz/wp-content/uploads/2023/01/ICNZ_submission_on_Natural_Hazards_Insurance_Bill_260522.pdf</vt:lpwstr>
      </vt:variant>
      <vt:variant>
        <vt:lpwstr/>
      </vt:variant>
      <vt:variant>
        <vt:i4>262172</vt:i4>
      </vt:variant>
      <vt:variant>
        <vt:i4>1749</vt:i4>
      </vt:variant>
      <vt:variant>
        <vt:i4>0</vt:i4>
      </vt:variant>
      <vt:variant>
        <vt:i4>5</vt:i4>
      </vt:variant>
      <vt:variant>
        <vt:lpwstr>https://environment.govt.nz/publications/exploring-an-indigenous-worldview-framework-for-the-national-climate-change-adaptation-plan/</vt:lpwstr>
      </vt:variant>
      <vt:variant>
        <vt:lpwstr/>
      </vt:variant>
      <vt:variant>
        <vt:i4>655361</vt:i4>
      </vt:variant>
      <vt:variant>
        <vt:i4>1746</vt:i4>
      </vt:variant>
      <vt:variant>
        <vt:i4>0</vt:i4>
      </vt:variant>
      <vt:variant>
        <vt:i4>5</vt:i4>
      </vt:variant>
      <vt:variant>
        <vt:lpwstr>https://iccinet.org/statecryo23/</vt:lpwstr>
      </vt:variant>
      <vt:variant>
        <vt:lpwstr/>
      </vt:variant>
      <vt:variant>
        <vt:i4>3670058</vt:i4>
      </vt:variant>
      <vt:variant>
        <vt:i4>1743</vt:i4>
      </vt:variant>
      <vt:variant>
        <vt:i4>0</vt:i4>
      </vt:variant>
      <vt:variant>
        <vt:i4>5</vt:i4>
      </vt:variant>
      <vt:variant>
        <vt:lpwstr>https://www.nature.com/articles/s41467-018-03739-2</vt:lpwstr>
      </vt:variant>
      <vt:variant>
        <vt:lpwstr/>
      </vt:variant>
      <vt:variant>
        <vt:i4>2424947</vt:i4>
      </vt:variant>
      <vt:variant>
        <vt:i4>1740</vt:i4>
      </vt:variant>
      <vt:variant>
        <vt:i4>0</vt:i4>
      </vt:variant>
      <vt:variant>
        <vt:i4>5</vt:i4>
      </vt:variant>
      <vt:variant>
        <vt:lpwstr>http://dx.doi.org/10.1016/j.envsci.2015.01.011</vt:lpwstr>
      </vt:variant>
      <vt:variant>
        <vt:lpwstr/>
      </vt:variant>
      <vt:variant>
        <vt:i4>4128880</vt:i4>
      </vt:variant>
      <vt:variant>
        <vt:i4>1737</vt:i4>
      </vt:variant>
      <vt:variant>
        <vt:i4>0</vt:i4>
      </vt:variant>
      <vt:variant>
        <vt:i4>5</vt:i4>
      </vt:variant>
      <vt:variant>
        <vt:lpwstr>https://pce.parliament.nz/publications/preparing-new-zealand-for-rising-seas-certainty-and-uncertainty/</vt:lpwstr>
      </vt:variant>
      <vt:variant>
        <vt:lpwstr/>
      </vt:variant>
      <vt:variant>
        <vt:i4>6946938</vt:i4>
      </vt:variant>
      <vt:variant>
        <vt:i4>1734</vt:i4>
      </vt:variant>
      <vt:variant>
        <vt:i4>0</vt:i4>
      </vt:variant>
      <vt:variant>
        <vt:i4>5</vt:i4>
      </vt:variant>
      <vt:variant>
        <vt:lpwstr>https://doi.org/10.1002/wcc.645</vt:lpwstr>
      </vt:variant>
      <vt:variant>
        <vt:lpwstr/>
      </vt:variant>
      <vt:variant>
        <vt:i4>7929956</vt:i4>
      </vt:variant>
      <vt:variant>
        <vt:i4>1731</vt:i4>
      </vt:variant>
      <vt:variant>
        <vt:i4>0</vt:i4>
      </vt:variant>
      <vt:variant>
        <vt:i4>5</vt:i4>
      </vt:variant>
      <vt:variant>
        <vt:lpwstr>https://doi.org/10.1130/GES02479.1</vt:lpwstr>
      </vt:variant>
      <vt:variant>
        <vt:lpwstr/>
      </vt:variant>
      <vt:variant>
        <vt:i4>3670059</vt:i4>
      </vt:variant>
      <vt:variant>
        <vt:i4>1728</vt:i4>
      </vt:variant>
      <vt:variant>
        <vt:i4>0</vt:i4>
      </vt:variant>
      <vt:variant>
        <vt:i4>5</vt:i4>
      </vt:variant>
      <vt:variant>
        <vt:lpwstr>https://www.nature.com/articles/s41561-021-00721-4</vt:lpwstr>
      </vt:variant>
      <vt:variant>
        <vt:lpwstr/>
      </vt:variant>
      <vt:variant>
        <vt:i4>4915210</vt:i4>
      </vt:variant>
      <vt:variant>
        <vt:i4>1725</vt:i4>
      </vt:variant>
      <vt:variant>
        <vt:i4>0</vt:i4>
      </vt:variant>
      <vt:variant>
        <vt:i4>5</vt:i4>
      </vt:variant>
      <vt:variant>
        <vt:lpwstr>https://doi.org/10.1680/cm.61149.407</vt:lpwstr>
      </vt:variant>
      <vt:variant>
        <vt:lpwstr/>
      </vt:variant>
      <vt:variant>
        <vt:i4>4456540</vt:i4>
      </vt:variant>
      <vt:variant>
        <vt:i4>1722</vt:i4>
      </vt:variant>
      <vt:variant>
        <vt:i4>0</vt:i4>
      </vt:variant>
      <vt:variant>
        <vt:i4>5</vt:i4>
      </vt:variant>
      <vt:variant>
        <vt:lpwstr>http://dx.doi.org/10.1016/j.quascirev.2013.11.002</vt:lpwstr>
      </vt:variant>
      <vt:variant>
        <vt:lpwstr/>
      </vt:variant>
      <vt:variant>
        <vt:i4>65612</vt:i4>
      </vt:variant>
      <vt:variant>
        <vt:i4>1719</vt:i4>
      </vt:variant>
      <vt:variant>
        <vt:i4>0</vt:i4>
      </vt:variant>
      <vt:variant>
        <vt:i4>5</vt:i4>
      </vt:variant>
      <vt:variant>
        <vt:lpwstr>https://doi.org/10.1146/annurev-environ-102017-025826</vt:lpwstr>
      </vt:variant>
      <vt:variant>
        <vt:lpwstr/>
      </vt:variant>
      <vt:variant>
        <vt:i4>1114115</vt:i4>
      </vt:variant>
      <vt:variant>
        <vt:i4>1716</vt:i4>
      </vt:variant>
      <vt:variant>
        <vt:i4>0</vt:i4>
      </vt:variant>
      <vt:variant>
        <vt:i4>5</vt:i4>
      </vt:variant>
      <vt:variant>
        <vt:lpwstr>http://doi.org/10.5194/hess-16-2985-2012</vt:lpwstr>
      </vt:variant>
      <vt:variant>
        <vt:lpwstr/>
      </vt:variant>
      <vt:variant>
        <vt:i4>7667753</vt:i4>
      </vt:variant>
      <vt:variant>
        <vt:i4>1713</vt:i4>
      </vt:variant>
      <vt:variant>
        <vt:i4>0</vt:i4>
      </vt:variant>
      <vt:variant>
        <vt:i4>5</vt:i4>
      </vt:variant>
      <vt:variant>
        <vt:lpwstr>https://www.nature.com/articles/s43247-023-00703-x</vt:lpwstr>
      </vt:variant>
      <vt:variant>
        <vt:lpwstr/>
      </vt:variant>
      <vt:variant>
        <vt:i4>4653070</vt:i4>
      </vt:variant>
      <vt:variant>
        <vt:i4>1710</vt:i4>
      </vt:variant>
      <vt:variant>
        <vt:i4>0</vt:i4>
      </vt:variant>
      <vt:variant>
        <vt:i4>5</vt:i4>
      </vt:variant>
      <vt:variant>
        <vt:lpwstr>http://www.coastalsociety.org.nz/media/view/publications/sea-level-rise/</vt:lpwstr>
      </vt:variant>
      <vt:variant>
        <vt:lpwstr/>
      </vt:variant>
      <vt:variant>
        <vt:i4>5963871</vt:i4>
      </vt:variant>
      <vt:variant>
        <vt:i4>1707</vt:i4>
      </vt:variant>
      <vt:variant>
        <vt:i4>0</vt:i4>
      </vt:variant>
      <vt:variant>
        <vt:i4>5</vt:i4>
      </vt:variant>
      <vt:variant>
        <vt:lpwstr>https://doi.org/10.1111/gcb.13176</vt:lpwstr>
      </vt:variant>
      <vt:variant>
        <vt:lpwstr/>
      </vt:variant>
      <vt:variant>
        <vt:i4>5374017</vt:i4>
      </vt:variant>
      <vt:variant>
        <vt:i4>1704</vt:i4>
      </vt:variant>
      <vt:variant>
        <vt:i4>0</vt:i4>
      </vt:variant>
      <vt:variant>
        <vt:i4>5</vt:i4>
      </vt:variant>
      <vt:variant>
        <vt:lpwstr>https://doi.org/10.1016/j.envsci.2016.12.005</vt:lpwstr>
      </vt:variant>
      <vt:variant>
        <vt:lpwstr/>
      </vt:variant>
      <vt:variant>
        <vt:i4>1966105</vt:i4>
      </vt:variant>
      <vt:variant>
        <vt:i4>1701</vt:i4>
      </vt:variant>
      <vt:variant>
        <vt:i4>0</vt:i4>
      </vt:variant>
      <vt:variant>
        <vt:i4>5</vt:i4>
      </vt:variant>
      <vt:variant>
        <vt:lpwstr>http://dx.doi.org/10.1061/(ASCE)WR.1943-5452.0000509</vt:lpwstr>
      </vt:variant>
      <vt:variant>
        <vt:lpwstr/>
      </vt:variant>
      <vt:variant>
        <vt:i4>196689</vt:i4>
      </vt:variant>
      <vt:variant>
        <vt:i4>1698</vt:i4>
      </vt:variant>
      <vt:variant>
        <vt:i4>0</vt:i4>
      </vt:variant>
      <vt:variant>
        <vt:i4>5</vt:i4>
      </vt:variant>
      <vt:variant>
        <vt:lpwstr>https://www.nature.com/articles/nclimate1791</vt:lpwstr>
      </vt:variant>
      <vt:variant>
        <vt:lpwstr/>
      </vt:variant>
      <vt:variant>
        <vt:i4>2097193</vt:i4>
      </vt:variant>
      <vt:variant>
        <vt:i4>1695</vt:i4>
      </vt:variant>
      <vt:variant>
        <vt:i4>0</vt:i4>
      </vt:variant>
      <vt:variant>
        <vt:i4>5</vt:i4>
      </vt:variant>
      <vt:variant>
        <vt:lpwstr>http://dx.doi.org/10.1111/j.1467-9523.2004.00264.x</vt:lpwstr>
      </vt:variant>
      <vt:variant>
        <vt:lpwstr/>
      </vt:variant>
      <vt:variant>
        <vt:i4>1441882</vt:i4>
      </vt:variant>
      <vt:variant>
        <vt:i4>1692</vt:i4>
      </vt:variant>
      <vt:variant>
        <vt:i4>0</vt:i4>
      </vt:variant>
      <vt:variant>
        <vt:i4>5</vt:i4>
      </vt:variant>
      <vt:variant>
        <vt:lpwstr>https://doi.org/10.1080/00221680209499940</vt:lpwstr>
      </vt:variant>
      <vt:variant>
        <vt:lpwstr/>
      </vt:variant>
      <vt:variant>
        <vt:i4>7602211</vt:i4>
      </vt:variant>
      <vt:variant>
        <vt:i4>1689</vt:i4>
      </vt:variant>
      <vt:variant>
        <vt:i4>0</vt:i4>
      </vt:variant>
      <vt:variant>
        <vt:i4>5</vt:i4>
      </vt:variant>
      <vt:variant>
        <vt:lpwstr>http://dx.doi.org/10.4233/uuid:c3d38ad9-88cb-403c-b69e-ba22b005a26f</vt:lpwstr>
      </vt:variant>
      <vt:variant>
        <vt:lpwstr/>
      </vt:variant>
      <vt:variant>
        <vt:i4>3145788</vt:i4>
      </vt:variant>
      <vt:variant>
        <vt:i4>1686</vt:i4>
      </vt:variant>
      <vt:variant>
        <vt:i4>0</vt:i4>
      </vt:variant>
      <vt:variant>
        <vt:i4>5</vt:i4>
      </vt:variant>
      <vt:variant>
        <vt:lpwstr>https://www.landcareresearch.co.nz/discover-our-research/environment/sustainable-society-and-policy/vmo/planning-and-decision-making/matauranga-maori/</vt:lpwstr>
      </vt:variant>
      <vt:variant>
        <vt:lpwstr/>
      </vt:variant>
      <vt:variant>
        <vt:i4>6357115</vt:i4>
      </vt:variant>
      <vt:variant>
        <vt:i4>1683</vt:i4>
      </vt:variant>
      <vt:variant>
        <vt:i4>0</vt:i4>
      </vt:variant>
      <vt:variant>
        <vt:i4>5</vt:i4>
      </vt:variant>
      <vt:variant>
        <vt:lpwstr>https://www.researchgate.net/publication/260404248_Good_practice_guidelines_for_working_with_tangata_whenua_and_Maori_organisations_Consolidating_our_learning</vt:lpwstr>
      </vt:variant>
      <vt:variant>
        <vt:lpwstr/>
      </vt:variant>
      <vt:variant>
        <vt:i4>3604533</vt:i4>
      </vt:variant>
      <vt:variant>
        <vt:i4>1680</vt:i4>
      </vt:variant>
      <vt:variant>
        <vt:i4>0</vt:i4>
      </vt:variant>
      <vt:variant>
        <vt:i4>5</vt:i4>
      </vt:variant>
      <vt:variant>
        <vt:lpwstr>http://dx.doi.org/10.1029/2011JC007591</vt:lpwstr>
      </vt:variant>
      <vt:variant>
        <vt:lpwstr/>
      </vt:variant>
      <vt:variant>
        <vt:i4>3670072</vt:i4>
      </vt:variant>
      <vt:variant>
        <vt:i4>1677</vt:i4>
      </vt:variant>
      <vt:variant>
        <vt:i4>0</vt:i4>
      </vt:variant>
      <vt:variant>
        <vt:i4>5</vt:i4>
      </vt:variant>
      <vt:variant>
        <vt:lpwstr>http://dx.doi.org/10.1029/2003GL019166</vt:lpwstr>
      </vt:variant>
      <vt:variant>
        <vt:lpwstr/>
      </vt:variant>
      <vt:variant>
        <vt:i4>6357103</vt:i4>
      </vt:variant>
      <vt:variant>
        <vt:i4>1674</vt:i4>
      </vt:variant>
      <vt:variant>
        <vt:i4>0</vt:i4>
      </vt:variant>
      <vt:variant>
        <vt:i4>5</vt:i4>
      </vt:variant>
      <vt:variant>
        <vt:lpwstr>http://dx.doi.org/10.1080/07900620801921439</vt:lpwstr>
      </vt:variant>
      <vt:variant>
        <vt:lpwstr/>
      </vt:variant>
      <vt:variant>
        <vt:i4>4456452</vt:i4>
      </vt:variant>
      <vt:variant>
        <vt:i4>1671</vt:i4>
      </vt:variant>
      <vt:variant>
        <vt:i4>0</vt:i4>
      </vt:variant>
      <vt:variant>
        <vt:i4>5</vt:i4>
      </vt:variant>
      <vt:variant>
        <vt:lpwstr>https://doi.org/10.1029/2021GL096465</vt:lpwstr>
      </vt:variant>
      <vt:variant>
        <vt:lpwstr/>
      </vt:variant>
      <vt:variant>
        <vt:i4>2490464</vt:i4>
      </vt:variant>
      <vt:variant>
        <vt:i4>1668</vt:i4>
      </vt:variant>
      <vt:variant>
        <vt:i4>0</vt:i4>
      </vt:variant>
      <vt:variant>
        <vt:i4>5</vt:i4>
      </vt:variant>
      <vt:variant>
        <vt:lpwstr>https://www.science.org/doi/10.1126/science.aam7194</vt:lpwstr>
      </vt:variant>
      <vt:variant>
        <vt:lpwstr/>
      </vt:variant>
      <vt:variant>
        <vt:i4>7536695</vt:i4>
      </vt:variant>
      <vt:variant>
        <vt:i4>1665</vt:i4>
      </vt:variant>
      <vt:variant>
        <vt:i4>0</vt:i4>
      </vt:variant>
      <vt:variant>
        <vt:i4>5</vt:i4>
      </vt:variant>
      <vt:variant>
        <vt:lpwstr>https://openrepository.aut.ac.nz/items/ecc373f4-2597-4370-b758-46f86d1188bc</vt:lpwstr>
      </vt:variant>
      <vt:variant>
        <vt:lpwstr/>
      </vt:variant>
      <vt:variant>
        <vt:i4>4653069</vt:i4>
      </vt:variant>
      <vt:variant>
        <vt:i4>1662</vt:i4>
      </vt:variant>
      <vt:variant>
        <vt:i4>0</vt:i4>
      </vt:variant>
      <vt:variant>
        <vt:i4>5</vt:i4>
      </vt:variant>
      <vt:variant>
        <vt:lpwstr>https://doi.org/10.1029/2023EF003784</vt:lpwstr>
      </vt:variant>
      <vt:variant>
        <vt:lpwstr/>
      </vt:variant>
      <vt:variant>
        <vt:i4>5636180</vt:i4>
      </vt:variant>
      <vt:variant>
        <vt:i4>1659</vt:i4>
      </vt:variant>
      <vt:variant>
        <vt:i4>0</vt:i4>
      </vt:variant>
      <vt:variant>
        <vt:i4>5</vt:i4>
      </vt:variant>
      <vt:variant>
        <vt:lpwstr>http://dx.doi.org/10.1088/1748-9326/10/10/105008</vt:lpwstr>
      </vt:variant>
      <vt:variant>
        <vt:lpwstr/>
      </vt:variant>
      <vt:variant>
        <vt:i4>720903</vt:i4>
      </vt:variant>
      <vt:variant>
        <vt:i4>1656</vt:i4>
      </vt:variant>
      <vt:variant>
        <vt:i4>0</vt:i4>
      </vt:variant>
      <vt:variant>
        <vt:i4>5</vt:i4>
      </vt:variant>
      <vt:variant>
        <vt:lpwstr>http://dx.doi.org/10.1002/sd.438</vt:lpwstr>
      </vt:variant>
      <vt:variant>
        <vt:lpwstr/>
      </vt:variant>
      <vt:variant>
        <vt:i4>524311</vt:i4>
      </vt:variant>
      <vt:variant>
        <vt:i4>1653</vt:i4>
      </vt:variant>
      <vt:variant>
        <vt:i4>0</vt:i4>
      </vt:variant>
      <vt:variant>
        <vt:i4>5</vt:i4>
      </vt:variant>
      <vt:variant>
        <vt:lpwstr>https://doi.org/10.1007/s10584-012-0444-2</vt:lpwstr>
      </vt:variant>
      <vt:variant>
        <vt:lpwstr/>
      </vt:variant>
      <vt:variant>
        <vt:i4>2359392</vt:i4>
      </vt:variant>
      <vt:variant>
        <vt:i4>1650</vt:i4>
      </vt:variant>
      <vt:variant>
        <vt:i4>0</vt:i4>
      </vt:variant>
      <vt:variant>
        <vt:i4>5</vt:i4>
      </vt:variant>
      <vt:variant>
        <vt:lpwstr>https://www.science.org/doi/10.1126/science.abi6594</vt:lpwstr>
      </vt:variant>
      <vt:variant>
        <vt:lpwstr/>
      </vt:variant>
      <vt:variant>
        <vt:i4>5767244</vt:i4>
      </vt:variant>
      <vt:variant>
        <vt:i4>1647</vt:i4>
      </vt:variant>
      <vt:variant>
        <vt:i4>0</vt:i4>
      </vt:variant>
      <vt:variant>
        <vt:i4>5</vt:i4>
      </vt:variant>
      <vt:variant>
        <vt:lpwstr>http://dx.doi.org/10.1016/j.gloenvcha.2012.12.006</vt:lpwstr>
      </vt:variant>
      <vt:variant>
        <vt:lpwstr/>
      </vt:variant>
      <vt:variant>
        <vt:i4>4849732</vt:i4>
      </vt:variant>
      <vt:variant>
        <vt:i4>1644</vt:i4>
      </vt:variant>
      <vt:variant>
        <vt:i4>0</vt:i4>
      </vt:variant>
      <vt:variant>
        <vt:i4>5</vt:i4>
      </vt:variant>
      <vt:variant>
        <vt:lpwstr>https://www.ipcc.ch/report/ar6/wg1/chapter/chapter-2/</vt:lpwstr>
      </vt:variant>
      <vt:variant>
        <vt:lpwstr/>
      </vt:variant>
      <vt:variant>
        <vt:i4>3866738</vt:i4>
      </vt:variant>
      <vt:variant>
        <vt:i4>1641</vt:i4>
      </vt:variant>
      <vt:variant>
        <vt:i4>0</vt:i4>
      </vt:variant>
      <vt:variant>
        <vt:i4>5</vt:i4>
      </vt:variant>
      <vt:variant>
        <vt:lpwstr>https://www.gw.govt.nz/document/19851/hutt-river-city-centre-upgrade-project-river-corridor-options-report/</vt:lpwstr>
      </vt:variant>
      <vt:variant>
        <vt:lpwstr/>
      </vt:variant>
      <vt:variant>
        <vt:i4>2621474</vt:i4>
      </vt:variant>
      <vt:variant>
        <vt:i4>1638</vt:i4>
      </vt:variant>
      <vt:variant>
        <vt:i4>0</vt:i4>
      </vt:variant>
      <vt:variant>
        <vt:i4>5</vt:i4>
      </vt:variant>
      <vt:variant>
        <vt:lpwstr>https://www.epa.ie/publications/research/climate-change/research-report-164.php</vt:lpwstr>
      </vt:variant>
      <vt:variant>
        <vt:lpwstr/>
      </vt:variant>
      <vt:variant>
        <vt:i4>3997750</vt:i4>
      </vt:variant>
      <vt:variant>
        <vt:i4>1635</vt:i4>
      </vt:variant>
      <vt:variant>
        <vt:i4>0</vt:i4>
      </vt:variant>
      <vt:variant>
        <vt:i4>5</vt:i4>
      </vt:variant>
      <vt:variant>
        <vt:lpwstr>https://www.researchgate.net/publication/282871121_The_multi-millennial_Antarctic_commitment_to_future_sea-level_rise</vt:lpwstr>
      </vt:variant>
      <vt:variant>
        <vt:lpwstr/>
      </vt:variant>
      <vt:variant>
        <vt:i4>7143546</vt:i4>
      </vt:variant>
      <vt:variant>
        <vt:i4>1632</vt:i4>
      </vt:variant>
      <vt:variant>
        <vt:i4>0</vt:i4>
      </vt:variant>
      <vt:variant>
        <vt:i4>5</vt:i4>
      </vt:variant>
      <vt:variant>
        <vt:lpwstr>https://doi.org/10.1002/wcc.634</vt:lpwstr>
      </vt:variant>
      <vt:variant>
        <vt:lpwstr/>
      </vt:variant>
      <vt:variant>
        <vt:i4>4390981</vt:i4>
      </vt:variant>
      <vt:variant>
        <vt:i4>1629</vt:i4>
      </vt:variant>
      <vt:variant>
        <vt:i4>0</vt:i4>
      </vt:variant>
      <vt:variant>
        <vt:i4>5</vt:i4>
      </vt:variant>
      <vt:variant>
        <vt:lpwstr>https://www.ipcc.ch/report/ar6/wg2/chapter/ccp2/</vt:lpwstr>
      </vt:variant>
      <vt:variant>
        <vt:lpwstr/>
      </vt:variant>
      <vt:variant>
        <vt:i4>6881386</vt:i4>
      </vt:variant>
      <vt:variant>
        <vt:i4>1626</vt:i4>
      </vt:variant>
      <vt:variant>
        <vt:i4>0</vt:i4>
      </vt:variant>
      <vt:variant>
        <vt:i4>5</vt:i4>
      </vt:variant>
      <vt:variant>
        <vt:lpwstr>https://unesdoc.unesco.org/ark:/48223/pf0000375768</vt:lpwstr>
      </vt:variant>
      <vt:variant>
        <vt:lpwstr/>
      </vt:variant>
      <vt:variant>
        <vt:i4>2621565</vt:i4>
      </vt:variant>
      <vt:variant>
        <vt:i4>1623</vt:i4>
      </vt:variant>
      <vt:variant>
        <vt:i4>0</vt:i4>
      </vt:variant>
      <vt:variant>
        <vt:i4>5</vt:i4>
      </vt:variant>
      <vt:variant>
        <vt:lpwstr>https://doi.org/10.1016/j.gloplacha.2012.10.020</vt:lpwstr>
      </vt:variant>
      <vt:variant>
        <vt:lpwstr/>
      </vt:variant>
      <vt:variant>
        <vt:i4>3997750</vt:i4>
      </vt:variant>
      <vt:variant>
        <vt:i4>1620</vt:i4>
      </vt:variant>
      <vt:variant>
        <vt:i4>0</vt:i4>
      </vt:variant>
      <vt:variant>
        <vt:i4>5</vt:i4>
      </vt:variant>
      <vt:variant>
        <vt:lpwstr>http://dx.doi.org/10.1029/2007GL032632</vt:lpwstr>
      </vt:variant>
      <vt:variant>
        <vt:lpwstr/>
      </vt:variant>
      <vt:variant>
        <vt:i4>5570581</vt:i4>
      </vt:variant>
      <vt:variant>
        <vt:i4>1617</vt:i4>
      </vt:variant>
      <vt:variant>
        <vt:i4>0</vt:i4>
      </vt:variant>
      <vt:variant>
        <vt:i4>5</vt:i4>
      </vt:variant>
      <vt:variant>
        <vt:lpwstr>https://doi.org/10.1016/j.crm.2021.100357</vt:lpwstr>
      </vt:variant>
      <vt:variant>
        <vt:lpwstr/>
      </vt:variant>
      <vt:variant>
        <vt:i4>2818129</vt:i4>
      </vt:variant>
      <vt:variant>
        <vt:i4>1614</vt:i4>
      </vt:variant>
      <vt:variant>
        <vt:i4>0</vt:i4>
      </vt:variant>
      <vt:variant>
        <vt:i4>5</vt:i4>
      </vt:variant>
      <vt:variant>
        <vt:lpwstr>https://doi.org/10.26050/WDCC/AR6.IPCC-DDC_AR6_Sup_SLPr</vt:lpwstr>
      </vt:variant>
      <vt:variant>
        <vt:lpwstr/>
      </vt:variant>
      <vt:variant>
        <vt:i4>5177345</vt:i4>
      </vt:variant>
      <vt:variant>
        <vt:i4>1611</vt:i4>
      </vt:variant>
      <vt:variant>
        <vt:i4>0</vt:i4>
      </vt:variant>
      <vt:variant>
        <vt:i4>5</vt:i4>
      </vt:variant>
      <vt:variant>
        <vt:lpwstr>https://doi.org/10.5194/tc-7-375-2013</vt:lpwstr>
      </vt:variant>
      <vt:variant>
        <vt:lpwstr/>
      </vt:variant>
      <vt:variant>
        <vt:i4>5308449</vt:i4>
      </vt:variant>
      <vt:variant>
        <vt:i4>1608</vt:i4>
      </vt:variant>
      <vt:variant>
        <vt:i4>0</vt:i4>
      </vt:variant>
      <vt:variant>
        <vt:i4>5</vt:i4>
      </vt:variant>
      <vt:variant>
        <vt:lpwstr>https://www.researchgate.net/publication/343750830_The_causes_of_sea-level_rise_since_1900</vt:lpwstr>
      </vt:variant>
      <vt:variant>
        <vt:lpwstr/>
      </vt:variant>
      <vt:variant>
        <vt:i4>6815796</vt:i4>
      </vt:variant>
      <vt:variant>
        <vt:i4>1605</vt:i4>
      </vt:variant>
      <vt:variant>
        <vt:i4>0</vt:i4>
      </vt:variant>
      <vt:variant>
        <vt:i4>5</vt:i4>
      </vt:variant>
      <vt:variant>
        <vt:lpwstr>https://niwa.co.nz/sites/niwa.co.nz/files/RA5-Synthesis-report.pdf</vt:lpwstr>
      </vt:variant>
      <vt:variant>
        <vt:lpwstr/>
      </vt:variant>
      <vt:variant>
        <vt:i4>4587536</vt:i4>
      </vt:variant>
      <vt:variant>
        <vt:i4>1602</vt:i4>
      </vt:variant>
      <vt:variant>
        <vt:i4>0</vt:i4>
      </vt:variant>
      <vt:variant>
        <vt:i4>5</vt:i4>
      </vt:variant>
      <vt:variant>
        <vt:lpwstr>https://doi.org/10.1016/j.crm.2018.05.001</vt:lpwstr>
      </vt:variant>
      <vt:variant>
        <vt:lpwstr/>
      </vt:variant>
      <vt:variant>
        <vt:i4>7209014</vt:i4>
      </vt:variant>
      <vt:variant>
        <vt:i4>1599</vt:i4>
      </vt:variant>
      <vt:variant>
        <vt:i4>0</vt:i4>
      </vt:variant>
      <vt:variant>
        <vt:i4>5</vt:i4>
      </vt:variant>
      <vt:variant>
        <vt:lpwstr>https://www.ipcc.ch/report/ar6/wg1/downloads/report/IPCC_AR6_WGI_Chapter_09.pdf</vt:lpwstr>
      </vt:variant>
      <vt:variant>
        <vt:lpwstr/>
      </vt:variant>
      <vt:variant>
        <vt:i4>1310735</vt:i4>
      </vt:variant>
      <vt:variant>
        <vt:i4>1596</vt:i4>
      </vt:variant>
      <vt:variant>
        <vt:i4>0</vt:i4>
      </vt:variant>
      <vt:variant>
        <vt:i4>5</vt:i4>
      </vt:variant>
      <vt:variant>
        <vt:lpwstr>https://doi.org/10.3389/fmars.2019.00065</vt:lpwstr>
      </vt:variant>
      <vt:variant>
        <vt:lpwstr/>
      </vt:variant>
      <vt:variant>
        <vt:i4>6881407</vt:i4>
      </vt:variant>
      <vt:variant>
        <vt:i4>1593</vt:i4>
      </vt:variant>
      <vt:variant>
        <vt:i4>0</vt:i4>
      </vt:variant>
      <vt:variant>
        <vt:i4>5</vt:i4>
      </vt:variant>
      <vt:variant>
        <vt:lpwstr>https://doi.org/10.1002/wcc.376</vt:lpwstr>
      </vt:variant>
      <vt:variant>
        <vt:lpwstr/>
      </vt:variant>
      <vt:variant>
        <vt:i4>4325444</vt:i4>
      </vt:variant>
      <vt:variant>
        <vt:i4>1590</vt:i4>
      </vt:variant>
      <vt:variant>
        <vt:i4>0</vt:i4>
      </vt:variant>
      <vt:variant>
        <vt:i4>5</vt:i4>
      </vt:variant>
      <vt:variant>
        <vt:lpwstr>https://doi.org/10.1016/j.margeo.2018.08.002</vt:lpwstr>
      </vt:variant>
      <vt:variant>
        <vt:lpwstr/>
      </vt:variant>
      <vt:variant>
        <vt:i4>327757</vt:i4>
      </vt:variant>
      <vt:variant>
        <vt:i4>1587</vt:i4>
      </vt:variant>
      <vt:variant>
        <vt:i4>0</vt:i4>
      </vt:variant>
      <vt:variant>
        <vt:i4>5</vt:i4>
      </vt:variant>
      <vt:variant>
        <vt:lpwstr>https://doi.org/10.1016/0025-3227(95)00066-8</vt:lpwstr>
      </vt:variant>
      <vt:variant>
        <vt:lpwstr/>
      </vt:variant>
      <vt:variant>
        <vt:i4>1835098</vt:i4>
      </vt:variant>
      <vt:variant>
        <vt:i4>1584</vt:i4>
      </vt:variant>
      <vt:variant>
        <vt:i4>0</vt:i4>
      </vt:variant>
      <vt:variant>
        <vt:i4>5</vt:i4>
      </vt:variant>
      <vt:variant>
        <vt:lpwstr>https://www.fema.gov/sites/default/files/nepa/Guidelines_for_Coastal_Flood_Hazard_Analysis_and_Mapping_for_the_Pacific_Coast_of_the_United_States__Jan_2005__SUPERSEDED.pdf</vt:lpwstr>
      </vt:variant>
      <vt:variant>
        <vt:lpwstr/>
      </vt:variant>
      <vt:variant>
        <vt:i4>5111897</vt:i4>
      </vt:variant>
      <vt:variant>
        <vt:i4>1581</vt:i4>
      </vt:variant>
      <vt:variant>
        <vt:i4>0</vt:i4>
      </vt:variant>
      <vt:variant>
        <vt:i4>5</vt:i4>
      </vt:variant>
      <vt:variant>
        <vt:lpwstr>http://dx.doi.org/10.1073/pnas.1512482112</vt:lpwstr>
      </vt:variant>
      <vt:variant>
        <vt:lpwstr/>
      </vt:variant>
      <vt:variant>
        <vt:i4>3538971</vt:i4>
      </vt:variant>
      <vt:variant>
        <vt:i4>1578</vt:i4>
      </vt:variant>
      <vt:variant>
        <vt:i4>0</vt:i4>
      </vt:variant>
      <vt:variant>
        <vt:i4>5</vt:i4>
      </vt:variant>
      <vt:variant>
        <vt:lpwstr>https://www.researchgate.net/publication/259894290_Considering_local_adaptation_increases_willingness_to_mitigate</vt:lpwstr>
      </vt:variant>
      <vt:variant>
        <vt:lpwstr/>
      </vt:variant>
      <vt:variant>
        <vt:i4>2687036</vt:i4>
      </vt:variant>
      <vt:variant>
        <vt:i4>1575</vt:i4>
      </vt:variant>
      <vt:variant>
        <vt:i4>0</vt:i4>
      </vt:variant>
      <vt:variant>
        <vt:i4>5</vt:i4>
      </vt:variant>
      <vt:variant>
        <vt:lpwstr>https://doi.org/10.1016/j.lcsi.2019.100331</vt:lpwstr>
      </vt:variant>
      <vt:variant>
        <vt:lpwstr/>
      </vt:variant>
      <vt:variant>
        <vt:i4>7209012</vt:i4>
      </vt:variant>
      <vt:variant>
        <vt:i4>1572</vt:i4>
      </vt:variant>
      <vt:variant>
        <vt:i4>0</vt:i4>
      </vt:variant>
      <vt:variant>
        <vt:i4>5</vt:i4>
      </vt:variant>
      <vt:variant>
        <vt:lpwstr>https://doi.org/10.1038/s41586-021-03302-y</vt:lpwstr>
      </vt:variant>
      <vt:variant>
        <vt:lpwstr/>
      </vt:variant>
      <vt:variant>
        <vt:i4>4980749</vt:i4>
      </vt:variant>
      <vt:variant>
        <vt:i4>1569</vt:i4>
      </vt:variant>
      <vt:variant>
        <vt:i4>0</vt:i4>
      </vt:variant>
      <vt:variant>
        <vt:i4>5</vt:i4>
      </vt:variant>
      <vt:variant>
        <vt:lpwstr>https://doi.org/10.1002/2014GL062534</vt:lpwstr>
      </vt:variant>
      <vt:variant>
        <vt:lpwstr/>
      </vt:variant>
      <vt:variant>
        <vt:i4>8323135</vt:i4>
      </vt:variant>
      <vt:variant>
        <vt:i4>1566</vt:i4>
      </vt:variant>
      <vt:variant>
        <vt:i4>0</vt:i4>
      </vt:variant>
      <vt:variant>
        <vt:i4>5</vt:i4>
      </vt:variant>
      <vt:variant>
        <vt:lpwstr>http://dx.doi.org/10.1016/S0074-6142(01)80006-1</vt:lpwstr>
      </vt:variant>
      <vt:variant>
        <vt:lpwstr/>
      </vt:variant>
      <vt:variant>
        <vt:i4>8061040</vt:i4>
      </vt:variant>
      <vt:variant>
        <vt:i4>1563</vt:i4>
      </vt:variant>
      <vt:variant>
        <vt:i4>0</vt:i4>
      </vt:variant>
      <vt:variant>
        <vt:i4>5</vt:i4>
      </vt:variant>
      <vt:variant>
        <vt:lpwstr>https://doi.org/10.3390/biology12010105</vt:lpwstr>
      </vt:variant>
      <vt:variant>
        <vt:lpwstr/>
      </vt:variant>
      <vt:variant>
        <vt:i4>65556</vt:i4>
      </vt:variant>
      <vt:variant>
        <vt:i4>1560</vt:i4>
      </vt:variant>
      <vt:variant>
        <vt:i4>0</vt:i4>
      </vt:variant>
      <vt:variant>
        <vt:i4>5</vt:i4>
      </vt:variant>
      <vt:variant>
        <vt:lpwstr>https://doi.org/10.1007/s10584-006-9200-9</vt:lpwstr>
      </vt:variant>
      <vt:variant>
        <vt:lpwstr/>
      </vt:variant>
      <vt:variant>
        <vt:i4>2818105</vt:i4>
      </vt:variant>
      <vt:variant>
        <vt:i4>1557</vt:i4>
      </vt:variant>
      <vt:variant>
        <vt:i4>0</vt:i4>
      </vt:variant>
      <vt:variant>
        <vt:i4>5</vt:i4>
      </vt:variant>
      <vt:variant>
        <vt:lpwstr>https://doi.org/10.1038/s41467-023-44149-3</vt:lpwstr>
      </vt:variant>
      <vt:variant>
        <vt:lpwstr/>
      </vt:variant>
      <vt:variant>
        <vt:i4>1441795</vt:i4>
      </vt:variant>
      <vt:variant>
        <vt:i4>1554</vt:i4>
      </vt:variant>
      <vt:variant>
        <vt:i4>0</vt:i4>
      </vt:variant>
      <vt:variant>
        <vt:i4>5</vt:i4>
      </vt:variant>
      <vt:variant>
        <vt:lpwstr>https://www.coastalsociety.org.nz/media/view/publications/sea-level-rise/</vt:lpwstr>
      </vt:variant>
      <vt:variant>
        <vt:lpwstr/>
      </vt:variant>
      <vt:variant>
        <vt:i4>6488104</vt:i4>
      </vt:variant>
      <vt:variant>
        <vt:i4>1551</vt:i4>
      </vt:variant>
      <vt:variant>
        <vt:i4>0</vt:i4>
      </vt:variant>
      <vt:variant>
        <vt:i4>5</vt:i4>
      </vt:variant>
      <vt:variant>
        <vt:lpwstr>https://www.coastalsociety.org.nz/media/view/publications/special-publication-5-coastal-adaptation/</vt:lpwstr>
      </vt:variant>
      <vt:variant>
        <vt:lpwstr/>
      </vt:variant>
      <vt:variant>
        <vt:i4>2949177</vt:i4>
      </vt:variant>
      <vt:variant>
        <vt:i4>1548</vt:i4>
      </vt:variant>
      <vt:variant>
        <vt:i4>0</vt:i4>
      </vt:variant>
      <vt:variant>
        <vt:i4>5</vt:i4>
      </vt:variant>
      <vt:variant>
        <vt:lpwstr>http://ipcc.ch/report/ar5/wg2/</vt:lpwstr>
      </vt:variant>
      <vt:variant>
        <vt:lpwstr/>
      </vt:variant>
      <vt:variant>
        <vt:i4>3276918</vt:i4>
      </vt:variant>
      <vt:variant>
        <vt:i4>1545</vt:i4>
      </vt:variant>
      <vt:variant>
        <vt:i4>0</vt:i4>
      </vt:variant>
      <vt:variant>
        <vt:i4>5</vt:i4>
      </vt:variant>
      <vt:variant>
        <vt:lpwstr>https://www.doc.govt.nz/globalassets/documents/conservation/biodiversity/anzbs-2020.pdf</vt:lpwstr>
      </vt:variant>
      <vt:variant>
        <vt:lpwstr/>
      </vt:variant>
      <vt:variant>
        <vt:i4>2949171</vt:i4>
      </vt:variant>
      <vt:variant>
        <vt:i4>1542</vt:i4>
      </vt:variant>
      <vt:variant>
        <vt:i4>0</vt:i4>
      </vt:variant>
      <vt:variant>
        <vt:i4>5</vt:i4>
      </vt:variant>
      <vt:variant>
        <vt:lpwstr>https://www.doc.govt.nz/globalassets/documents/conservation/marine-and-coastal/coastal-management/guidance/policy-24-to-27.pdf</vt:lpwstr>
      </vt:variant>
      <vt:variant>
        <vt:lpwstr/>
      </vt:variant>
      <vt:variant>
        <vt:i4>5111874</vt:i4>
      </vt:variant>
      <vt:variant>
        <vt:i4>1539</vt:i4>
      </vt:variant>
      <vt:variant>
        <vt:i4>0</vt:i4>
      </vt:variant>
      <vt:variant>
        <vt:i4>5</vt:i4>
      </vt:variant>
      <vt:variant>
        <vt:lpwstr>http://www.doc.govt.nz/about-us/science-publications/conservation-publications/marine-and-coastal/new-zealand-coastal-policy-statement/new-zealand-coastal-policy-statement-2010/</vt:lpwstr>
      </vt:variant>
      <vt:variant>
        <vt:lpwstr/>
      </vt:variant>
      <vt:variant>
        <vt:i4>5111815</vt:i4>
      </vt:variant>
      <vt:variant>
        <vt:i4>1536</vt:i4>
      </vt:variant>
      <vt:variant>
        <vt:i4>0</vt:i4>
      </vt:variant>
      <vt:variant>
        <vt:i4>5</vt:i4>
      </vt:variant>
      <vt:variant>
        <vt:lpwstr>https://doi.org/10.1029/2019JB018055</vt:lpwstr>
      </vt:variant>
      <vt:variant>
        <vt:lpwstr/>
      </vt:variant>
      <vt:variant>
        <vt:i4>4063270</vt:i4>
      </vt:variant>
      <vt:variant>
        <vt:i4>1533</vt:i4>
      </vt:variant>
      <vt:variant>
        <vt:i4>0</vt:i4>
      </vt:variant>
      <vt:variant>
        <vt:i4>5</vt:i4>
      </vt:variant>
      <vt:variant>
        <vt:lpwstr>https://www.nature.com/articles/s41586-021-03427-0</vt:lpwstr>
      </vt:variant>
      <vt:variant>
        <vt:lpwstr/>
      </vt:variant>
      <vt:variant>
        <vt:i4>8060939</vt:i4>
      </vt:variant>
      <vt:variant>
        <vt:i4>1530</vt:i4>
      </vt:variant>
      <vt:variant>
        <vt:i4>0</vt:i4>
      </vt:variant>
      <vt:variant>
        <vt:i4>5</vt:i4>
      </vt:variant>
      <vt:variant>
        <vt:lpwstr>https://www.researchgate.net/publication/299499248_Contribution_of_Antarctica_to_past_and_future_sea-level_rise</vt:lpwstr>
      </vt:variant>
      <vt:variant>
        <vt:lpwstr/>
      </vt:variant>
      <vt:variant>
        <vt:i4>1310725</vt:i4>
      </vt:variant>
      <vt:variant>
        <vt:i4>1527</vt:i4>
      </vt:variant>
      <vt:variant>
        <vt:i4>0</vt:i4>
      </vt:variant>
      <vt:variant>
        <vt:i4>5</vt:i4>
      </vt:variant>
      <vt:variant>
        <vt:lpwstr>http://dx.doi.org/10.5751/ES-07581-200237</vt:lpwstr>
      </vt:variant>
      <vt:variant>
        <vt:lpwstr/>
      </vt:variant>
      <vt:variant>
        <vt:i4>4718636</vt:i4>
      </vt:variant>
      <vt:variant>
        <vt:i4>1524</vt:i4>
      </vt:variant>
      <vt:variant>
        <vt:i4>0</vt:i4>
      </vt:variant>
      <vt:variant>
        <vt:i4>5</vt:i4>
      </vt:variant>
      <vt:variant>
        <vt:lpwstr>https://www.researchgate.net/publication/334975572_Persistent_acceleration_in_global_sea-level_rise_since_the_1960s</vt:lpwstr>
      </vt:variant>
      <vt:variant>
        <vt:lpwstr/>
      </vt:variant>
      <vt:variant>
        <vt:i4>655439</vt:i4>
      </vt:variant>
      <vt:variant>
        <vt:i4>1521</vt:i4>
      </vt:variant>
      <vt:variant>
        <vt:i4>0</vt:i4>
      </vt:variant>
      <vt:variant>
        <vt:i4>5</vt:i4>
      </vt:variant>
      <vt:variant>
        <vt:lpwstr>https://doi.org/10.1111/1540-6237.8402002</vt:lpwstr>
      </vt:variant>
      <vt:variant>
        <vt:lpwstr/>
      </vt:variant>
      <vt:variant>
        <vt:i4>196629</vt:i4>
      </vt:variant>
      <vt:variant>
        <vt:i4>1518</vt:i4>
      </vt:variant>
      <vt:variant>
        <vt:i4>0</vt:i4>
      </vt:variant>
      <vt:variant>
        <vt:i4>5</vt:i4>
      </vt:variant>
      <vt:variant>
        <vt:lpwstr>https://doi.org/10.1007/s10584-018-2270-7</vt:lpwstr>
      </vt:variant>
      <vt:variant>
        <vt:lpwstr/>
      </vt:variant>
      <vt:variant>
        <vt:i4>2490419</vt:i4>
      </vt:variant>
      <vt:variant>
        <vt:i4>1515</vt:i4>
      </vt:variant>
      <vt:variant>
        <vt:i4>0</vt:i4>
      </vt:variant>
      <vt:variant>
        <vt:i4>5</vt:i4>
      </vt:variant>
      <vt:variant>
        <vt:lpwstr>https://doi.org/10.1061/(ASCE)0733-950X(1986)112:1(161)</vt:lpwstr>
      </vt:variant>
      <vt:variant>
        <vt:lpwstr/>
      </vt:variant>
      <vt:variant>
        <vt:i4>5898258</vt:i4>
      </vt:variant>
      <vt:variant>
        <vt:i4>1512</vt:i4>
      </vt:variant>
      <vt:variant>
        <vt:i4>0</vt:i4>
      </vt:variant>
      <vt:variant>
        <vt:i4>5</vt:i4>
      </vt:variant>
      <vt:variant>
        <vt:lpwstr>https://doi.org/10.1111/j.1539-6924.2008.01030.x</vt:lpwstr>
      </vt:variant>
      <vt:variant>
        <vt:lpwstr/>
      </vt:variant>
      <vt:variant>
        <vt:i4>5963841</vt:i4>
      </vt:variant>
      <vt:variant>
        <vt:i4>1509</vt:i4>
      </vt:variant>
      <vt:variant>
        <vt:i4>0</vt:i4>
      </vt:variant>
      <vt:variant>
        <vt:i4>5</vt:i4>
      </vt:variant>
      <vt:variant>
        <vt:lpwstr>https://www.jstor.org/stable/4300279</vt:lpwstr>
      </vt:variant>
      <vt:variant>
        <vt:lpwstr/>
      </vt:variant>
      <vt:variant>
        <vt:i4>6553710</vt:i4>
      </vt:variant>
      <vt:variant>
        <vt:i4>1506</vt:i4>
      </vt:variant>
      <vt:variant>
        <vt:i4>0</vt:i4>
      </vt:variant>
      <vt:variant>
        <vt:i4>5</vt:i4>
      </vt:variant>
      <vt:variant>
        <vt:lpwstr>http://dx.doi.org/10.1177/0309132511425708</vt:lpwstr>
      </vt:variant>
      <vt:variant>
        <vt:lpwstr/>
      </vt:variant>
      <vt:variant>
        <vt:i4>3080314</vt:i4>
      </vt:variant>
      <vt:variant>
        <vt:i4>1503</vt:i4>
      </vt:variant>
      <vt:variant>
        <vt:i4>0</vt:i4>
      </vt:variant>
      <vt:variant>
        <vt:i4>5</vt:i4>
      </vt:variant>
      <vt:variant>
        <vt:lpwstr>https://doi.org/10.1016/j.ocecoaman.2023.106490</vt:lpwstr>
      </vt:variant>
      <vt:variant>
        <vt:lpwstr/>
      </vt:variant>
      <vt:variant>
        <vt:i4>2490425</vt:i4>
      </vt:variant>
      <vt:variant>
        <vt:i4>1500</vt:i4>
      </vt:variant>
      <vt:variant>
        <vt:i4>0</vt:i4>
      </vt:variant>
      <vt:variant>
        <vt:i4>5</vt:i4>
      </vt:variant>
      <vt:variant>
        <vt:lpwstr>https://doi.org/10.1038/s41558-020-00934-2</vt:lpwstr>
      </vt:variant>
      <vt:variant>
        <vt:lpwstr/>
      </vt:variant>
      <vt:variant>
        <vt:i4>524379</vt:i4>
      </vt:variant>
      <vt:variant>
        <vt:i4>1497</vt:i4>
      </vt:variant>
      <vt:variant>
        <vt:i4>0</vt:i4>
      </vt:variant>
      <vt:variant>
        <vt:i4>5</vt:i4>
      </vt:variant>
      <vt:variant>
        <vt:lpwstr>https://doi.org/10.1017/9781009325844.005</vt:lpwstr>
      </vt:variant>
      <vt:variant>
        <vt:lpwstr/>
      </vt:variant>
      <vt:variant>
        <vt:i4>3080249</vt:i4>
      </vt:variant>
      <vt:variant>
        <vt:i4>1494</vt:i4>
      </vt:variant>
      <vt:variant>
        <vt:i4>0</vt:i4>
      </vt:variant>
      <vt:variant>
        <vt:i4>5</vt:i4>
      </vt:variant>
      <vt:variant>
        <vt:lpwstr>https://doi.org/10.1007/s12237-020-00891-1</vt:lpwstr>
      </vt:variant>
      <vt:variant>
        <vt:lpwstr/>
      </vt:variant>
      <vt:variant>
        <vt:i4>1441795</vt:i4>
      </vt:variant>
      <vt:variant>
        <vt:i4>1491</vt:i4>
      </vt:variant>
      <vt:variant>
        <vt:i4>0</vt:i4>
      </vt:variant>
      <vt:variant>
        <vt:i4>5</vt:i4>
      </vt:variant>
      <vt:variant>
        <vt:lpwstr>https://www.coastalsociety.org.nz/media/view/publications/sea-level-rise/</vt:lpwstr>
      </vt:variant>
      <vt:variant>
        <vt:lpwstr/>
      </vt:variant>
      <vt:variant>
        <vt:i4>3211365</vt:i4>
      </vt:variant>
      <vt:variant>
        <vt:i4>1488</vt:i4>
      </vt:variant>
      <vt:variant>
        <vt:i4>0</vt:i4>
      </vt:variant>
      <vt:variant>
        <vt:i4>5</vt:i4>
      </vt:variant>
      <vt:variant>
        <vt:lpwstr>https://doi.org/10.1016/j.quascirev.2015.09.025</vt:lpwstr>
      </vt:variant>
      <vt:variant>
        <vt:lpwstr/>
      </vt:variant>
      <vt:variant>
        <vt:i4>5767260</vt:i4>
      </vt:variant>
      <vt:variant>
        <vt:i4>1485</vt:i4>
      </vt:variant>
      <vt:variant>
        <vt:i4>0</vt:i4>
      </vt:variant>
      <vt:variant>
        <vt:i4>5</vt:i4>
      </vt:variant>
      <vt:variant>
        <vt:lpwstr>https://www.researchgate.net/publication/293190702_Consequences_of_Twenty-First-Century_Policy_for_Multi-Millennial_Climate_and_Sea-Level_Change</vt:lpwstr>
      </vt:variant>
      <vt:variant>
        <vt:lpwstr/>
      </vt:variant>
      <vt:variant>
        <vt:i4>7536679</vt:i4>
      </vt:variant>
      <vt:variant>
        <vt:i4>1482</vt:i4>
      </vt:variant>
      <vt:variant>
        <vt:i4>0</vt:i4>
      </vt:variant>
      <vt:variant>
        <vt:i4>5</vt:i4>
      </vt:variant>
      <vt:variant>
        <vt:lpwstr>http://dx.doi.org/10.1007/s10712-011-9119-1</vt:lpwstr>
      </vt:variant>
      <vt:variant>
        <vt:lpwstr/>
      </vt:variant>
      <vt:variant>
        <vt:i4>7209022</vt:i4>
      </vt:variant>
      <vt:variant>
        <vt:i4>1479</vt:i4>
      </vt:variant>
      <vt:variant>
        <vt:i4>0</vt:i4>
      </vt:variant>
      <vt:variant>
        <vt:i4>5</vt:i4>
      </vt:variant>
      <vt:variant>
        <vt:lpwstr>https://www.ipcc.ch/report/ar6/wg1/downloads/report/IPCC_AR6_WGI_Chapter_01.pdf</vt:lpwstr>
      </vt:variant>
      <vt:variant>
        <vt:lpwstr/>
      </vt:variant>
      <vt:variant>
        <vt:i4>5177350</vt:i4>
      </vt:variant>
      <vt:variant>
        <vt:i4>1476</vt:i4>
      </vt:variant>
      <vt:variant>
        <vt:i4>0</vt:i4>
      </vt:variant>
      <vt:variant>
        <vt:i4>5</vt:i4>
      </vt:variant>
      <vt:variant>
        <vt:lpwstr>https://doi.org/10.1002/2013EF000188</vt:lpwstr>
      </vt:variant>
      <vt:variant>
        <vt:lpwstr/>
      </vt:variant>
      <vt:variant>
        <vt:i4>3801191</vt:i4>
      </vt:variant>
      <vt:variant>
        <vt:i4>1473</vt:i4>
      </vt:variant>
      <vt:variant>
        <vt:i4>0</vt:i4>
      </vt:variant>
      <vt:variant>
        <vt:i4>5</vt:i4>
      </vt:variant>
      <vt:variant>
        <vt:lpwstr>https://doi.org/10.1073/pnas.1231332100</vt:lpwstr>
      </vt:variant>
      <vt:variant>
        <vt:lpwstr/>
      </vt:variant>
      <vt:variant>
        <vt:i4>6488104</vt:i4>
      </vt:variant>
      <vt:variant>
        <vt:i4>1470</vt:i4>
      </vt:variant>
      <vt:variant>
        <vt:i4>0</vt:i4>
      </vt:variant>
      <vt:variant>
        <vt:i4>5</vt:i4>
      </vt:variant>
      <vt:variant>
        <vt:lpwstr>https://www.coastalsociety.org.nz/media/view/publications/special-publication-5-coastal-adaptation/</vt:lpwstr>
      </vt:variant>
      <vt:variant>
        <vt:lpwstr/>
      </vt:variant>
      <vt:variant>
        <vt:i4>6291492</vt:i4>
      </vt:variant>
      <vt:variant>
        <vt:i4>1467</vt:i4>
      </vt:variant>
      <vt:variant>
        <vt:i4>0</vt:i4>
      </vt:variant>
      <vt:variant>
        <vt:i4>5</vt:i4>
      </vt:variant>
      <vt:variant>
        <vt:lpwstr>https://www.aucklandcouncil.govt.nz/plans-projects-policies-reports-bylaws/our-plans-strategies/topic-based-plans-strategies/environmental-plans-strategies/Documents/coastal-management-framework-2017.pdf</vt:lpwstr>
      </vt:variant>
      <vt:variant>
        <vt:lpwstr/>
      </vt:variant>
      <vt:variant>
        <vt:i4>4587523</vt:i4>
      </vt:variant>
      <vt:variant>
        <vt:i4>1464</vt:i4>
      </vt:variant>
      <vt:variant>
        <vt:i4>0</vt:i4>
      </vt:variant>
      <vt:variant>
        <vt:i4>5</vt:i4>
      </vt:variant>
      <vt:variant>
        <vt:lpwstr>https://knowledgeauckland.org.nz/publications/auckland-s-exposure-to-coastal-inundation-by-storm-tides-and-waves/</vt:lpwstr>
      </vt:variant>
      <vt:variant>
        <vt:lpwstr/>
      </vt:variant>
      <vt:variant>
        <vt:i4>8060983</vt:i4>
      </vt:variant>
      <vt:variant>
        <vt:i4>1461</vt:i4>
      </vt:variant>
      <vt:variant>
        <vt:i4>0</vt:i4>
      </vt:variant>
      <vt:variant>
        <vt:i4>5</vt:i4>
      </vt:variant>
      <vt:variant>
        <vt:lpwstr>https://www.coastal.ca.gov/climate/slrguidance.html</vt:lpwstr>
      </vt:variant>
      <vt:variant>
        <vt:lpwstr/>
      </vt:variant>
      <vt:variant>
        <vt:i4>5439583</vt:i4>
      </vt:variant>
      <vt:variant>
        <vt:i4>1458</vt:i4>
      </vt:variant>
      <vt:variant>
        <vt:i4>0</vt:i4>
      </vt:variant>
      <vt:variant>
        <vt:i4>5</vt:i4>
      </vt:variant>
      <vt:variant>
        <vt:lpwstr>https://doi.org/10.1002/joc.6283</vt:lpwstr>
      </vt:variant>
      <vt:variant>
        <vt:lpwstr/>
      </vt:variant>
      <vt:variant>
        <vt:i4>4522041</vt:i4>
      </vt:variant>
      <vt:variant>
        <vt:i4>1455</vt:i4>
      </vt:variant>
      <vt:variant>
        <vt:i4>0</vt:i4>
      </vt:variant>
      <vt:variant>
        <vt:i4>5</vt:i4>
      </vt:variant>
      <vt:variant>
        <vt:lpwstr>https://www.ipcc.ch/site/assets/uploads/2018/02/WGIIAR5-Chap1_FINAL.pdf</vt:lpwstr>
      </vt:variant>
      <vt:variant>
        <vt:lpwstr/>
      </vt:variant>
      <vt:variant>
        <vt:i4>5439559</vt:i4>
      </vt:variant>
      <vt:variant>
        <vt:i4>1452</vt:i4>
      </vt:variant>
      <vt:variant>
        <vt:i4>0</vt:i4>
      </vt:variant>
      <vt:variant>
        <vt:i4>5</vt:i4>
      </vt:variant>
      <vt:variant>
        <vt:lpwstr>https://www.jstor.org/stable/23355431</vt:lpwstr>
      </vt:variant>
      <vt:variant>
        <vt:lpwstr/>
      </vt:variant>
      <vt:variant>
        <vt:i4>8060970</vt:i4>
      </vt:variant>
      <vt:variant>
        <vt:i4>1449</vt:i4>
      </vt:variant>
      <vt:variant>
        <vt:i4>0</vt:i4>
      </vt:variant>
      <vt:variant>
        <vt:i4>5</vt:i4>
      </vt:variant>
      <vt:variant>
        <vt:lpwstr>https://doi.org/10.2112/SI65-354.1</vt:lpwstr>
      </vt:variant>
      <vt:variant>
        <vt:lpwstr/>
      </vt:variant>
      <vt:variant>
        <vt:i4>2752568</vt:i4>
      </vt:variant>
      <vt:variant>
        <vt:i4>1446</vt:i4>
      </vt:variant>
      <vt:variant>
        <vt:i4>0</vt:i4>
      </vt:variant>
      <vt:variant>
        <vt:i4>5</vt:i4>
      </vt:variant>
      <vt:variant>
        <vt:lpwstr>https://resiliencechallenge.nz/outputs/the-response-of-sandy-coastal-systems-to-changes-associated-with-sea-level-rise/</vt:lpwstr>
      </vt:variant>
      <vt:variant>
        <vt:lpwstr/>
      </vt:variant>
      <vt:variant>
        <vt:i4>4063269</vt:i4>
      </vt:variant>
      <vt:variant>
        <vt:i4>1443</vt:i4>
      </vt:variant>
      <vt:variant>
        <vt:i4>0</vt:i4>
      </vt:variant>
      <vt:variant>
        <vt:i4>5</vt:i4>
      </vt:variant>
      <vt:variant>
        <vt:lpwstr>http://dx.doi.org/10.1016/j.envsoft.2009.06.004</vt:lpwstr>
      </vt:variant>
      <vt:variant>
        <vt:lpwstr/>
      </vt:variant>
      <vt:variant>
        <vt:i4>7471139</vt:i4>
      </vt:variant>
      <vt:variant>
        <vt:i4>1440</vt:i4>
      </vt:variant>
      <vt:variant>
        <vt:i4>0</vt:i4>
      </vt:variant>
      <vt:variant>
        <vt:i4>5</vt:i4>
      </vt:variant>
      <vt:variant>
        <vt:lpwstr>https://doi.org/10.1061/JWHEAU.0000252</vt:lpwstr>
      </vt:variant>
      <vt:variant>
        <vt:lpwstr/>
      </vt:variant>
      <vt:variant>
        <vt:i4>6619169</vt:i4>
      </vt:variant>
      <vt:variant>
        <vt:i4>1437</vt:i4>
      </vt:variant>
      <vt:variant>
        <vt:i4>0</vt:i4>
      </vt:variant>
      <vt:variant>
        <vt:i4>5</vt:i4>
      </vt:variant>
      <vt:variant>
        <vt:lpwstr>https://www.google.com/url?sa=t&amp;rct=j&amp;q=&amp;esrc=s&amp;source=web&amp;cd=&amp;cad=rja&amp;uact=8&amp;ved=2ahUKEwiWyaHPnuv7AhVhSWwGHdMVDAAQFnoECDAQAQ&amp;url=https%3A%2F%2Fwww.researchgate.net%2Fpublication%2F337670247_Auckland%2527s_Exposure_to_Sea_Level_Rise_Part_2_-Local_Inventory&amp;usg=AOvVaw2Bkl_TG_1rcRDeS6aLVctO</vt:lpwstr>
      </vt:variant>
      <vt:variant>
        <vt:lpwstr/>
      </vt:variant>
      <vt:variant>
        <vt:i4>4390924</vt:i4>
      </vt:variant>
      <vt:variant>
        <vt:i4>1434</vt:i4>
      </vt:variant>
      <vt:variant>
        <vt:i4>0</vt:i4>
      </vt:variant>
      <vt:variant>
        <vt:i4>5</vt:i4>
      </vt:variant>
      <vt:variant>
        <vt:lpwstr>https://doi.org/10.1029/2021EF002580</vt:lpwstr>
      </vt:variant>
      <vt:variant>
        <vt:lpwstr/>
      </vt:variant>
      <vt:variant>
        <vt:i4>5374042</vt:i4>
      </vt:variant>
      <vt:variant>
        <vt:i4>1431</vt:i4>
      </vt:variant>
      <vt:variant>
        <vt:i4>0</vt:i4>
      </vt:variant>
      <vt:variant>
        <vt:i4>5</vt:i4>
      </vt:variant>
      <vt:variant>
        <vt:lpwstr>https://doi.org/10.1016/j.cities.2020.102734</vt:lpwstr>
      </vt:variant>
      <vt:variant>
        <vt:lpwstr/>
      </vt:variant>
      <vt:variant>
        <vt:i4>3211370</vt:i4>
      </vt:variant>
      <vt:variant>
        <vt:i4>1428</vt:i4>
      </vt:variant>
      <vt:variant>
        <vt:i4>0</vt:i4>
      </vt:variant>
      <vt:variant>
        <vt:i4>5</vt:i4>
      </vt:variant>
      <vt:variant>
        <vt:lpwstr>https://ir.canterbury.ac.nz/server/api/core/bitstreams/294aea35-9bc1-4a4f-ba4a-2667e31ef3dc/content</vt:lpwstr>
      </vt:variant>
      <vt:variant>
        <vt:lpwstr/>
      </vt:variant>
      <vt:variant>
        <vt:i4>2621499</vt:i4>
      </vt:variant>
      <vt:variant>
        <vt:i4>1425</vt:i4>
      </vt:variant>
      <vt:variant>
        <vt:i4>0</vt:i4>
      </vt:variant>
      <vt:variant>
        <vt:i4>5</vt:i4>
      </vt:variant>
      <vt:variant>
        <vt:lpwstr>https://doi.org/10.1007/s11625-021-00998-9</vt:lpwstr>
      </vt:variant>
      <vt:variant>
        <vt:lpwstr/>
      </vt:variant>
      <vt:variant>
        <vt:i4>5308506</vt:i4>
      </vt:variant>
      <vt:variant>
        <vt:i4>1422</vt:i4>
      </vt:variant>
      <vt:variant>
        <vt:i4>0</vt:i4>
      </vt:variant>
      <vt:variant>
        <vt:i4>5</vt:i4>
      </vt:variant>
      <vt:variant>
        <vt:lpwstr>https://www.hbcoast.co.nz/assets/Uploads/Design-report-full-final-bookmarked-reduce-size.pdf</vt:lpwstr>
      </vt:variant>
      <vt:variant>
        <vt:lpwstr/>
      </vt:variant>
      <vt:variant>
        <vt:i4>1310820</vt:i4>
      </vt:variant>
      <vt:variant>
        <vt:i4>1419</vt:i4>
      </vt:variant>
      <vt:variant>
        <vt:i4>0</vt:i4>
      </vt:variant>
      <vt:variant>
        <vt:i4>5</vt:i4>
      </vt:variant>
      <vt:variant>
        <vt:lpwstr>https://www.waternz.org.nz/Article?Action=View&amp;Article_id=33</vt:lpwstr>
      </vt:variant>
      <vt:variant>
        <vt:lpwstr/>
      </vt:variant>
      <vt:variant>
        <vt:i4>1245257</vt:i4>
      </vt:variant>
      <vt:variant>
        <vt:i4>1416</vt:i4>
      </vt:variant>
      <vt:variant>
        <vt:i4>0</vt:i4>
      </vt:variant>
      <vt:variant>
        <vt:i4>5</vt:i4>
      </vt:variant>
      <vt:variant>
        <vt:lpwstr>http://www.pce.parliament.nz/media/1384/national-and-regional-risk-exposure-in-low-lying-coastal-areas-niwa-2015.pdf</vt:lpwstr>
      </vt:variant>
      <vt:variant>
        <vt:lpwstr/>
      </vt:variant>
      <vt:variant>
        <vt:i4>2031708</vt:i4>
      </vt:variant>
      <vt:variant>
        <vt:i4>1413</vt:i4>
      </vt:variant>
      <vt:variant>
        <vt:i4>0</vt:i4>
      </vt:variant>
      <vt:variant>
        <vt:i4>5</vt:i4>
      </vt:variant>
      <vt:variant>
        <vt:lpwstr>https://environment.govt.nz/publications/planning-for-climate-change-effects-on-coastal-margins/</vt:lpwstr>
      </vt:variant>
      <vt:variant>
        <vt:lpwstr/>
      </vt:variant>
      <vt:variant>
        <vt:i4>5505098</vt:i4>
      </vt:variant>
      <vt:variant>
        <vt:i4>1410</vt:i4>
      </vt:variant>
      <vt:variant>
        <vt:i4>0</vt:i4>
      </vt:variant>
      <vt:variant>
        <vt:i4>5</vt:i4>
      </vt:variant>
      <vt:variant>
        <vt:lpwstr>https://www.allenandunwin.co.nz/browse/book/Edited-by-Helen-Clark-Climate-Aotearoa-9781988547633</vt:lpwstr>
      </vt:variant>
      <vt:variant>
        <vt:lpwstr/>
      </vt:variant>
      <vt:variant>
        <vt:i4>6029383</vt:i4>
      </vt:variant>
      <vt:variant>
        <vt:i4>1407</vt:i4>
      </vt:variant>
      <vt:variant>
        <vt:i4>0</vt:i4>
      </vt:variant>
      <vt:variant>
        <vt:i4>5</vt:i4>
      </vt:variant>
      <vt:variant>
        <vt:lpwstr>https://www.gns.cri.nz/assets/News-files/N-files/SR-2012-029.pdf</vt:lpwstr>
      </vt:variant>
      <vt:variant>
        <vt:lpwstr/>
      </vt:variant>
      <vt:variant>
        <vt:i4>2031694</vt:i4>
      </vt:variant>
      <vt:variant>
        <vt:i4>1404</vt:i4>
      </vt:variant>
      <vt:variant>
        <vt:i4>0</vt:i4>
      </vt:variant>
      <vt:variant>
        <vt:i4>5</vt:i4>
      </vt:variant>
      <vt:variant>
        <vt:lpwstr>https://doi.org/10.1038/nclimate3140</vt:lpwstr>
      </vt:variant>
      <vt:variant>
        <vt:lpwstr/>
      </vt:variant>
      <vt:variant>
        <vt:i4>2228225</vt:i4>
      </vt:variant>
      <vt:variant>
        <vt:i4>1401</vt:i4>
      </vt:variant>
      <vt:variant>
        <vt:i4>0</vt:i4>
      </vt:variant>
      <vt:variant>
        <vt:i4>5</vt:i4>
      </vt:variant>
      <vt:variant>
        <vt:lpwstr>https://www.researchgate.net/publication/266741093_A_local_coastal_adaptation_pathway</vt:lpwstr>
      </vt:variant>
      <vt:variant>
        <vt:lpwstr/>
      </vt:variant>
      <vt:variant>
        <vt:i4>6094932</vt:i4>
      </vt:variant>
      <vt:variant>
        <vt:i4>1398</vt:i4>
      </vt:variant>
      <vt:variant>
        <vt:i4>0</vt:i4>
      </vt:variant>
      <vt:variant>
        <vt:i4>5</vt:i4>
      </vt:variant>
      <vt:variant>
        <vt:lpwstr>https://sustain.ubc.ca/sites/sustain.ubc.ca/files/GCS/2015 Project Reports/A Public Engagement Toolkit for Sea Level Rise - GC Scholars 2015.pdf</vt:lpwstr>
      </vt:variant>
      <vt:variant>
        <vt:lpwstr/>
      </vt:variant>
      <vt:variant>
        <vt:i4>2293802</vt:i4>
      </vt:variant>
      <vt:variant>
        <vt:i4>1395</vt:i4>
      </vt:variant>
      <vt:variant>
        <vt:i4>0</vt:i4>
      </vt:variant>
      <vt:variant>
        <vt:i4>5</vt:i4>
      </vt:variant>
      <vt:variant>
        <vt:lpwstr>http://dx.doi.org/10.1088/1748-9326/aac2f0</vt:lpwstr>
      </vt:variant>
      <vt:variant>
        <vt:lpwstr/>
      </vt:variant>
      <vt:variant>
        <vt:i4>4194307</vt:i4>
      </vt:variant>
      <vt:variant>
        <vt:i4>1392</vt:i4>
      </vt:variant>
      <vt:variant>
        <vt:i4>0</vt:i4>
      </vt:variant>
      <vt:variant>
        <vt:i4>5</vt:i4>
      </vt:variant>
      <vt:variant>
        <vt:lpwstr>https://doi.org/10.1029/2022EF002772</vt:lpwstr>
      </vt:variant>
      <vt:variant>
        <vt:lpwstr/>
      </vt:variant>
      <vt:variant>
        <vt:i4>4128872</vt:i4>
      </vt:variant>
      <vt:variant>
        <vt:i4>1389</vt:i4>
      </vt:variant>
      <vt:variant>
        <vt:i4>0</vt:i4>
      </vt:variant>
      <vt:variant>
        <vt:i4>5</vt:i4>
      </vt:variant>
      <vt:variant>
        <vt:lpwstr>https://doi.org/10.1073/pnas.1817205116</vt:lpwstr>
      </vt:variant>
      <vt:variant>
        <vt:lpwstr/>
      </vt:variant>
      <vt:variant>
        <vt:i4>3735603</vt:i4>
      </vt:variant>
      <vt:variant>
        <vt:i4>1386</vt:i4>
      </vt:variant>
      <vt:variant>
        <vt:i4>0</vt:i4>
      </vt:variant>
      <vt:variant>
        <vt:i4>5</vt:i4>
      </vt:variant>
      <vt:variant>
        <vt:lpwstr>http://docs.niwa.co.nz/library/public/Baker1991.pdf</vt:lpwstr>
      </vt:variant>
      <vt:variant>
        <vt:lpwstr/>
      </vt:variant>
      <vt:variant>
        <vt:i4>5373972</vt:i4>
      </vt:variant>
      <vt:variant>
        <vt:i4>1383</vt:i4>
      </vt:variant>
      <vt:variant>
        <vt:i4>0</vt:i4>
      </vt:variant>
      <vt:variant>
        <vt:i4>5</vt:i4>
      </vt:variant>
      <vt:variant>
        <vt:lpwstr>https://researchcommons.waikato.ac.nz/handle/10289/14567</vt:lpwstr>
      </vt:variant>
      <vt:variant>
        <vt:lpwstr/>
      </vt:variant>
      <vt:variant>
        <vt:i4>327774</vt:i4>
      </vt:variant>
      <vt:variant>
        <vt:i4>1380</vt:i4>
      </vt:variant>
      <vt:variant>
        <vt:i4>0</vt:i4>
      </vt:variant>
      <vt:variant>
        <vt:i4>5</vt:i4>
      </vt:variant>
      <vt:variant>
        <vt:lpwstr>https://doi.org/10.1017/9781009157896.002</vt:lpwstr>
      </vt:variant>
      <vt:variant>
        <vt:lpwstr/>
      </vt:variant>
      <vt:variant>
        <vt:i4>2687084</vt:i4>
      </vt:variant>
      <vt:variant>
        <vt:i4>1377</vt:i4>
      </vt:variant>
      <vt:variant>
        <vt:i4>0</vt:i4>
      </vt:variant>
      <vt:variant>
        <vt:i4>5</vt:i4>
      </vt:variant>
      <vt:variant>
        <vt:lpwstr>https://hdl.handle.net/10289/15744</vt:lpwstr>
      </vt:variant>
      <vt:variant>
        <vt:lpwstr/>
      </vt:variant>
      <vt:variant>
        <vt:i4>4718718</vt:i4>
      </vt:variant>
      <vt:variant>
        <vt:i4>1374</vt:i4>
      </vt:variant>
      <vt:variant>
        <vt:i4>0</vt:i4>
      </vt:variant>
      <vt:variant>
        <vt:i4>5</vt:i4>
      </vt:variant>
      <vt:variant>
        <vt:lpwstr>http://www.ipcc.ch/report/ar6/wg2/downloads/report/IPCC_AR6_ WGII_Chapter01.pdf</vt:lpwstr>
      </vt:variant>
      <vt:variant>
        <vt:lpwstr/>
      </vt:variant>
      <vt:variant>
        <vt:i4>1245253</vt:i4>
      </vt:variant>
      <vt:variant>
        <vt:i4>1371</vt:i4>
      </vt:variant>
      <vt:variant>
        <vt:i4>0</vt:i4>
      </vt:variant>
      <vt:variant>
        <vt:i4>5</vt:i4>
      </vt:variant>
      <vt:variant>
        <vt:lpwstr>https://doi.org/10.3390/jmse11020343</vt:lpwstr>
      </vt:variant>
      <vt:variant>
        <vt:lpwstr/>
      </vt:variant>
      <vt:variant>
        <vt:i4>4456461</vt:i4>
      </vt:variant>
      <vt:variant>
        <vt:i4>1368</vt:i4>
      </vt:variant>
      <vt:variant>
        <vt:i4>0</vt:i4>
      </vt:variant>
      <vt:variant>
        <vt:i4>5</vt:i4>
      </vt:variant>
      <vt:variant>
        <vt:lpwstr>https://wellington.govt.nz/-/media/your-council/plans-policies-and-bylaws/plans-and-policies/a-to-z/spatial-plan/coastal-hazards-report---august-2021.pdf?la=en&amp;hash=E70B002B5D515679482B867E649FD90D3D74FB5C</vt:lpwstr>
      </vt:variant>
      <vt:variant>
        <vt:lpwstr/>
      </vt:variant>
      <vt:variant>
        <vt:i4>3932213</vt:i4>
      </vt:variant>
      <vt:variant>
        <vt:i4>1365</vt:i4>
      </vt:variant>
      <vt:variant>
        <vt:i4>0</vt:i4>
      </vt:variant>
      <vt:variant>
        <vt:i4>5</vt:i4>
      </vt:variant>
      <vt:variant>
        <vt:lpwstr>https://www.coastsandports.org/papers/2021/094_allis_finalpaper.pdf</vt:lpwstr>
      </vt:variant>
      <vt:variant>
        <vt:lpwstr/>
      </vt:variant>
      <vt:variant>
        <vt:i4>2293884</vt:i4>
      </vt:variant>
      <vt:variant>
        <vt:i4>1362</vt:i4>
      </vt:variant>
      <vt:variant>
        <vt:i4>0</vt:i4>
      </vt:variant>
      <vt:variant>
        <vt:i4>5</vt:i4>
      </vt:variant>
      <vt:variant>
        <vt:lpwstr>https://doi.org/10.26686/pq.v19i1.8105</vt:lpwstr>
      </vt:variant>
      <vt:variant>
        <vt:lpwstr/>
      </vt:variant>
      <vt:variant>
        <vt:i4>4915212</vt:i4>
      </vt:variant>
      <vt:variant>
        <vt:i4>1359</vt:i4>
      </vt:variant>
      <vt:variant>
        <vt:i4>0</vt:i4>
      </vt:variant>
      <vt:variant>
        <vt:i4>5</vt:i4>
      </vt:variant>
      <vt:variant>
        <vt:lpwstr>https://doi.org/10.1029/2018JC014828</vt:lpwstr>
      </vt:variant>
      <vt:variant>
        <vt:lpwstr/>
      </vt:variant>
      <vt:variant>
        <vt:i4>2949244</vt:i4>
      </vt:variant>
      <vt:variant>
        <vt:i4>1356</vt:i4>
      </vt:variant>
      <vt:variant>
        <vt:i4>0</vt:i4>
      </vt:variant>
      <vt:variant>
        <vt:i4>5</vt:i4>
      </vt:variant>
      <vt:variant>
        <vt:lpwstr>https://doi.org/10.1016/j.gloenvcha.2006.02.006</vt:lpwstr>
      </vt:variant>
      <vt:variant>
        <vt:lpwstr/>
      </vt:variant>
      <vt:variant>
        <vt:i4>1245271</vt:i4>
      </vt:variant>
      <vt:variant>
        <vt:i4>1353</vt:i4>
      </vt:variant>
      <vt:variant>
        <vt:i4>0</vt:i4>
      </vt:variant>
      <vt:variant>
        <vt:i4>5</vt:i4>
      </vt:variant>
      <vt:variant>
        <vt:lpwstr>https://doi.org/10.2307/26169734</vt:lpwstr>
      </vt:variant>
      <vt:variant>
        <vt:lpwstr/>
      </vt:variant>
      <vt:variant>
        <vt:i4>7143524</vt:i4>
      </vt:variant>
      <vt:variant>
        <vt:i4>1350</vt:i4>
      </vt:variant>
      <vt:variant>
        <vt:i4>0</vt:i4>
      </vt:variant>
      <vt:variant>
        <vt:i4>5</vt:i4>
      </vt:variant>
      <vt:variant>
        <vt:lpwstr>http://www.linz.govt.nz/data/geodetic-services/coordinate-conversion/online-conversions/instructions-for-carrying-out-online-height-conversions</vt:lpwstr>
      </vt:variant>
      <vt:variant>
        <vt:lpwstr/>
      </vt:variant>
      <vt:variant>
        <vt:i4>4325442</vt:i4>
      </vt:variant>
      <vt:variant>
        <vt:i4>1347</vt:i4>
      </vt:variant>
      <vt:variant>
        <vt:i4>0</vt:i4>
      </vt:variant>
      <vt:variant>
        <vt:i4>5</vt:i4>
      </vt:variant>
      <vt:variant>
        <vt:lpwstr>http://www.linz.govt.nz/guidance/marine-information/tide-prediction-guidance/standard-port-datum-descriptions</vt:lpwstr>
      </vt:variant>
      <vt:variant>
        <vt:lpwstr/>
      </vt:variant>
      <vt:variant>
        <vt:i4>2818156</vt:i4>
      </vt:variant>
      <vt:variant>
        <vt:i4>1344</vt:i4>
      </vt:variant>
      <vt:variant>
        <vt:i4>0</vt:i4>
      </vt:variant>
      <vt:variant>
        <vt:i4>5</vt:i4>
      </vt:variant>
      <vt:variant>
        <vt:lpwstr>http://www.geodesy.linz.govt.nz/gdb/?mode=gmap</vt:lpwstr>
      </vt:variant>
      <vt:variant>
        <vt:lpwstr/>
      </vt:variant>
      <vt:variant>
        <vt:i4>524296</vt:i4>
      </vt:variant>
      <vt:variant>
        <vt:i4>1341</vt:i4>
      </vt:variant>
      <vt:variant>
        <vt:i4>0</vt:i4>
      </vt:variant>
      <vt:variant>
        <vt:i4>5</vt:i4>
      </vt:variant>
      <vt:variant>
        <vt:lpwstr>http://www.linz.govt.nz/sea/tides/tide-predictions/standard-port-periods-observation</vt:lpwstr>
      </vt:variant>
      <vt:variant>
        <vt:lpwstr/>
      </vt:variant>
      <vt:variant>
        <vt:i4>1310722</vt:i4>
      </vt:variant>
      <vt:variant>
        <vt:i4>1338</vt:i4>
      </vt:variant>
      <vt:variant>
        <vt:i4>0</vt:i4>
      </vt:variant>
      <vt:variant>
        <vt:i4>5</vt:i4>
      </vt:variant>
      <vt:variant>
        <vt:lpwstr>http://www.linz.govt.nz/sea/tides/tide-predictions/standard-port-tidal-levels</vt:lpwstr>
      </vt:variant>
      <vt:variant>
        <vt:lpwstr/>
      </vt:variant>
      <vt:variant>
        <vt:i4>2031662</vt:i4>
      </vt:variant>
      <vt:variant>
        <vt:i4>1335</vt:i4>
      </vt:variant>
      <vt:variant>
        <vt:i4>0</vt:i4>
      </vt:variant>
      <vt:variant>
        <vt:i4>5</vt:i4>
      </vt:variant>
      <vt:variant>
        <vt:lpwstr/>
      </vt:variant>
      <vt:variant>
        <vt:lpwstr>_Supplements</vt:lpwstr>
      </vt:variant>
      <vt:variant>
        <vt:i4>1179680</vt:i4>
      </vt:variant>
      <vt:variant>
        <vt:i4>1332</vt:i4>
      </vt:variant>
      <vt:variant>
        <vt:i4>0</vt:i4>
      </vt:variant>
      <vt:variant>
        <vt:i4>5</vt:i4>
      </vt:variant>
      <vt:variant>
        <vt:lpwstr/>
      </vt:variant>
      <vt:variant>
        <vt:lpwstr>_Step_2:_Assess</vt:lpwstr>
      </vt:variant>
      <vt:variant>
        <vt:i4>2031662</vt:i4>
      </vt:variant>
      <vt:variant>
        <vt:i4>1329</vt:i4>
      </vt:variant>
      <vt:variant>
        <vt:i4>0</vt:i4>
      </vt:variant>
      <vt:variant>
        <vt:i4>5</vt:i4>
      </vt:variant>
      <vt:variant>
        <vt:lpwstr/>
      </vt:variant>
      <vt:variant>
        <vt:lpwstr>_Supplements</vt:lpwstr>
      </vt:variant>
      <vt:variant>
        <vt:i4>1179680</vt:i4>
      </vt:variant>
      <vt:variant>
        <vt:i4>1326</vt:i4>
      </vt:variant>
      <vt:variant>
        <vt:i4>0</vt:i4>
      </vt:variant>
      <vt:variant>
        <vt:i4>5</vt:i4>
      </vt:variant>
      <vt:variant>
        <vt:lpwstr/>
      </vt:variant>
      <vt:variant>
        <vt:lpwstr>_Step_2:_Assess</vt:lpwstr>
      </vt:variant>
      <vt:variant>
        <vt:i4>2031662</vt:i4>
      </vt:variant>
      <vt:variant>
        <vt:i4>1323</vt:i4>
      </vt:variant>
      <vt:variant>
        <vt:i4>0</vt:i4>
      </vt:variant>
      <vt:variant>
        <vt:i4>5</vt:i4>
      </vt:variant>
      <vt:variant>
        <vt:lpwstr/>
      </vt:variant>
      <vt:variant>
        <vt:lpwstr>_Supplements</vt:lpwstr>
      </vt:variant>
      <vt:variant>
        <vt:i4>6881301</vt:i4>
      </vt:variant>
      <vt:variant>
        <vt:i4>1320</vt:i4>
      </vt:variant>
      <vt:variant>
        <vt:i4>0</vt:i4>
      </vt:variant>
      <vt:variant>
        <vt:i4>5</vt:i4>
      </vt:variant>
      <vt:variant>
        <vt:lpwstr/>
      </vt:variant>
      <vt:variant>
        <vt:lpwstr>_Appendix_A:_Coastal</vt:lpwstr>
      </vt:variant>
      <vt:variant>
        <vt:i4>7733321</vt:i4>
      </vt:variant>
      <vt:variant>
        <vt:i4>1317</vt:i4>
      </vt:variant>
      <vt:variant>
        <vt:i4>0</vt:i4>
      </vt:variant>
      <vt:variant>
        <vt:i4>5</vt:i4>
      </vt:variant>
      <vt:variant>
        <vt:lpwstr/>
      </vt:variant>
      <vt:variant>
        <vt:lpwstr>_Step_6:_Evaluate</vt:lpwstr>
      </vt:variant>
      <vt:variant>
        <vt:i4>2031662</vt:i4>
      </vt:variant>
      <vt:variant>
        <vt:i4>1314</vt:i4>
      </vt:variant>
      <vt:variant>
        <vt:i4>0</vt:i4>
      </vt:variant>
      <vt:variant>
        <vt:i4>5</vt:i4>
      </vt:variant>
      <vt:variant>
        <vt:lpwstr/>
      </vt:variant>
      <vt:variant>
        <vt:lpwstr>_Supplements</vt:lpwstr>
      </vt:variant>
      <vt:variant>
        <vt:i4>2031662</vt:i4>
      </vt:variant>
      <vt:variant>
        <vt:i4>1311</vt:i4>
      </vt:variant>
      <vt:variant>
        <vt:i4>0</vt:i4>
      </vt:variant>
      <vt:variant>
        <vt:i4>5</vt:i4>
      </vt:variant>
      <vt:variant>
        <vt:lpwstr/>
      </vt:variant>
      <vt:variant>
        <vt:lpwstr>_Supplements</vt:lpwstr>
      </vt:variant>
      <vt:variant>
        <vt:i4>7733321</vt:i4>
      </vt:variant>
      <vt:variant>
        <vt:i4>1308</vt:i4>
      </vt:variant>
      <vt:variant>
        <vt:i4>0</vt:i4>
      </vt:variant>
      <vt:variant>
        <vt:i4>5</vt:i4>
      </vt:variant>
      <vt:variant>
        <vt:lpwstr/>
      </vt:variant>
      <vt:variant>
        <vt:lpwstr>_Step_6:_Evaluate</vt:lpwstr>
      </vt:variant>
      <vt:variant>
        <vt:i4>1179680</vt:i4>
      </vt:variant>
      <vt:variant>
        <vt:i4>1305</vt:i4>
      </vt:variant>
      <vt:variant>
        <vt:i4>0</vt:i4>
      </vt:variant>
      <vt:variant>
        <vt:i4>5</vt:i4>
      </vt:variant>
      <vt:variant>
        <vt:lpwstr/>
      </vt:variant>
      <vt:variant>
        <vt:lpwstr>_Step_2:_Assess</vt:lpwstr>
      </vt:variant>
      <vt:variant>
        <vt:i4>7733356</vt:i4>
      </vt:variant>
      <vt:variant>
        <vt:i4>1302</vt:i4>
      </vt:variant>
      <vt:variant>
        <vt:i4>0</vt:i4>
      </vt:variant>
      <vt:variant>
        <vt:i4>5</vt:i4>
      </vt:variant>
      <vt:variant>
        <vt:lpwstr>https://niwa.co.nz/natural-hazards/hazards/planning-for-coastal-adaptation</vt:lpwstr>
      </vt:variant>
      <vt:variant>
        <vt:lpwstr/>
      </vt:variant>
      <vt:variant>
        <vt:i4>3604534</vt:i4>
      </vt:variant>
      <vt:variant>
        <vt:i4>1299</vt:i4>
      </vt:variant>
      <vt:variant>
        <vt:i4>0</vt:i4>
      </vt:variant>
      <vt:variant>
        <vt:i4>5</vt:i4>
      </vt:variant>
      <vt:variant>
        <vt:lpwstr>https://www.youtube.com/watch?v=rlIOSOuIdMo</vt:lpwstr>
      </vt:variant>
      <vt:variant>
        <vt:lpwstr/>
      </vt:variant>
      <vt:variant>
        <vt:i4>655361</vt:i4>
      </vt:variant>
      <vt:variant>
        <vt:i4>1296</vt:i4>
      </vt:variant>
      <vt:variant>
        <vt:i4>0</vt:i4>
      </vt:variant>
      <vt:variant>
        <vt:i4>5</vt:i4>
      </vt:variant>
      <vt:variant>
        <vt:lpwstr>https://www.hastingsdc.govt.nz/land-categorisation-hb/</vt:lpwstr>
      </vt:variant>
      <vt:variant>
        <vt:lpwstr>initiallandcategorisations</vt:lpwstr>
      </vt:variant>
      <vt:variant>
        <vt:i4>2949222</vt:i4>
      </vt:variant>
      <vt:variant>
        <vt:i4>1293</vt:i4>
      </vt:variant>
      <vt:variant>
        <vt:i4>0</vt:i4>
      </vt:variant>
      <vt:variant>
        <vt:i4>5</vt:i4>
      </vt:variant>
      <vt:variant>
        <vt:lpwstr>https://tangoio.maori.nz/recovery/</vt:lpwstr>
      </vt:variant>
      <vt:variant>
        <vt:lpwstr/>
      </vt:variant>
      <vt:variant>
        <vt:i4>7995518</vt:i4>
      </vt:variant>
      <vt:variant>
        <vt:i4>1290</vt:i4>
      </vt:variant>
      <vt:variant>
        <vt:i4>0</vt:i4>
      </vt:variant>
      <vt:variant>
        <vt:i4>5</vt:i4>
      </vt:variant>
      <vt:variant>
        <vt:lpwstr>https://tangoio.maori.nz/wp-content/uploads/2023/05/MTT_Locality_Plan_version-1.2_compressed.pdf</vt:lpwstr>
      </vt:variant>
      <vt:variant>
        <vt:lpwstr/>
      </vt:variant>
      <vt:variant>
        <vt:i4>1179686</vt:i4>
      </vt:variant>
      <vt:variant>
        <vt:i4>1287</vt:i4>
      </vt:variant>
      <vt:variant>
        <vt:i4>0</vt:i4>
      </vt:variant>
      <vt:variant>
        <vt:i4>5</vt:i4>
      </vt:variant>
      <vt:variant>
        <vt:lpwstr/>
      </vt:variant>
      <vt:variant>
        <vt:lpwstr>_Step_4:_Assess</vt:lpwstr>
      </vt:variant>
      <vt:variant>
        <vt:i4>7667722</vt:i4>
      </vt:variant>
      <vt:variant>
        <vt:i4>1284</vt:i4>
      </vt:variant>
      <vt:variant>
        <vt:i4>0</vt:i4>
      </vt:variant>
      <vt:variant>
        <vt:i4>5</vt:i4>
      </vt:variant>
      <vt:variant>
        <vt:lpwstr/>
      </vt:variant>
      <vt:variant>
        <vt:lpwstr>_Appendix_B:_Relevant</vt:lpwstr>
      </vt:variant>
      <vt:variant>
        <vt:i4>5308427</vt:i4>
      </vt:variant>
      <vt:variant>
        <vt:i4>1281</vt:i4>
      </vt:variant>
      <vt:variant>
        <vt:i4>0</vt:i4>
      </vt:variant>
      <vt:variant>
        <vt:i4>5</vt:i4>
      </vt:variant>
      <vt:variant>
        <vt:lpwstr>https://coastalinundation.waikatoregion.govt.nz/</vt:lpwstr>
      </vt:variant>
      <vt:variant>
        <vt:lpwstr/>
      </vt:variant>
      <vt:variant>
        <vt:i4>1179686</vt:i4>
      </vt:variant>
      <vt:variant>
        <vt:i4>1278</vt:i4>
      </vt:variant>
      <vt:variant>
        <vt:i4>0</vt:i4>
      </vt:variant>
      <vt:variant>
        <vt:i4>5</vt:i4>
      </vt:variant>
      <vt:variant>
        <vt:lpwstr/>
      </vt:variant>
      <vt:variant>
        <vt:lpwstr>_Step_4:_Assess</vt:lpwstr>
      </vt:variant>
      <vt:variant>
        <vt:i4>2097188</vt:i4>
      </vt:variant>
      <vt:variant>
        <vt:i4>1275</vt:i4>
      </vt:variant>
      <vt:variant>
        <vt:i4>0</vt:i4>
      </vt:variant>
      <vt:variant>
        <vt:i4>5</vt:i4>
      </vt:variant>
      <vt:variant>
        <vt:lpwstr>http://www.nams.org.nz/</vt:lpwstr>
      </vt:variant>
      <vt:variant>
        <vt:lpwstr/>
      </vt:variant>
      <vt:variant>
        <vt:i4>2687098</vt:i4>
      </vt:variant>
      <vt:variant>
        <vt:i4>1272</vt:i4>
      </vt:variant>
      <vt:variant>
        <vt:i4>0</vt:i4>
      </vt:variant>
      <vt:variant>
        <vt:i4>5</vt:i4>
      </vt:variant>
      <vt:variant>
        <vt:lpwstr>http://www.lgnz.co.nz/</vt:lpwstr>
      </vt:variant>
      <vt:variant>
        <vt:lpwstr/>
      </vt:variant>
      <vt:variant>
        <vt:i4>2031662</vt:i4>
      </vt:variant>
      <vt:variant>
        <vt:i4>1269</vt:i4>
      </vt:variant>
      <vt:variant>
        <vt:i4>0</vt:i4>
      </vt:variant>
      <vt:variant>
        <vt:i4>5</vt:i4>
      </vt:variant>
      <vt:variant>
        <vt:lpwstr/>
      </vt:variant>
      <vt:variant>
        <vt:lpwstr>_Supplements</vt:lpwstr>
      </vt:variant>
      <vt:variant>
        <vt:i4>7143506</vt:i4>
      </vt:variant>
      <vt:variant>
        <vt:i4>1266</vt:i4>
      </vt:variant>
      <vt:variant>
        <vt:i4>0</vt:i4>
      </vt:variant>
      <vt:variant>
        <vt:i4>5</vt:i4>
      </vt:variant>
      <vt:variant>
        <vt:lpwstr/>
      </vt:variant>
      <vt:variant>
        <vt:lpwstr>_Step_5:_Identify</vt:lpwstr>
      </vt:variant>
      <vt:variant>
        <vt:i4>65594</vt:i4>
      </vt:variant>
      <vt:variant>
        <vt:i4>1263</vt:i4>
      </vt:variant>
      <vt:variant>
        <vt:i4>0</vt:i4>
      </vt:variant>
      <vt:variant>
        <vt:i4>5</vt:i4>
      </vt:variant>
      <vt:variant>
        <vt:lpwstr/>
      </vt:variant>
      <vt:variant>
        <vt:lpwstr>_Step_3:_Establish</vt:lpwstr>
      </vt:variant>
      <vt:variant>
        <vt:i4>2031662</vt:i4>
      </vt:variant>
      <vt:variant>
        <vt:i4>1260</vt:i4>
      </vt:variant>
      <vt:variant>
        <vt:i4>0</vt:i4>
      </vt:variant>
      <vt:variant>
        <vt:i4>5</vt:i4>
      </vt:variant>
      <vt:variant>
        <vt:lpwstr/>
      </vt:variant>
      <vt:variant>
        <vt:lpwstr>_Supplements</vt:lpwstr>
      </vt:variant>
      <vt:variant>
        <vt:i4>65619</vt:i4>
      </vt:variant>
      <vt:variant>
        <vt:i4>1257</vt:i4>
      </vt:variant>
      <vt:variant>
        <vt:i4>0</vt:i4>
      </vt:variant>
      <vt:variant>
        <vt:i4>5</vt:i4>
      </vt:variant>
      <vt:variant>
        <vt:lpwstr>https://www.lawa.org.nz/</vt:lpwstr>
      </vt:variant>
      <vt:variant>
        <vt:lpwstr/>
      </vt:variant>
      <vt:variant>
        <vt:i4>1966142</vt:i4>
      </vt:variant>
      <vt:variant>
        <vt:i4>1254</vt:i4>
      </vt:variant>
      <vt:variant>
        <vt:i4>0</vt:i4>
      </vt:variant>
      <vt:variant>
        <vt:i4>5</vt:i4>
      </vt:variant>
      <vt:variant>
        <vt:lpwstr/>
      </vt:variant>
      <vt:variant>
        <vt:lpwstr>_Step_8:_Implement</vt:lpwstr>
      </vt:variant>
      <vt:variant>
        <vt:i4>6750297</vt:i4>
      </vt:variant>
      <vt:variant>
        <vt:i4>1251</vt:i4>
      </vt:variant>
      <vt:variant>
        <vt:i4>0</vt:i4>
      </vt:variant>
      <vt:variant>
        <vt:i4>5</vt:i4>
      </vt:variant>
      <vt:variant>
        <vt:lpwstr/>
      </vt:variant>
      <vt:variant>
        <vt:lpwstr>_10_Adaptive_planning</vt:lpwstr>
      </vt:variant>
      <vt:variant>
        <vt:i4>4718657</vt:i4>
      </vt:variant>
      <vt:variant>
        <vt:i4>1248</vt:i4>
      </vt:variant>
      <vt:variant>
        <vt:i4>0</vt:i4>
      </vt:variant>
      <vt:variant>
        <vt:i4>5</vt:i4>
      </vt:variant>
      <vt:variant>
        <vt:lpwstr/>
      </vt:variant>
      <vt:variant>
        <vt:lpwstr>figure21</vt:lpwstr>
      </vt:variant>
      <vt:variant>
        <vt:i4>3932275</vt:i4>
      </vt:variant>
      <vt:variant>
        <vt:i4>1245</vt:i4>
      </vt:variant>
      <vt:variant>
        <vt:i4>0</vt:i4>
      </vt:variant>
      <vt:variant>
        <vt:i4>5</vt:i4>
      </vt:variant>
      <vt:variant>
        <vt:lpwstr/>
      </vt:variant>
      <vt:variant>
        <vt:lpwstr>Table16</vt:lpwstr>
      </vt:variant>
      <vt:variant>
        <vt:i4>6881301</vt:i4>
      </vt:variant>
      <vt:variant>
        <vt:i4>1242</vt:i4>
      </vt:variant>
      <vt:variant>
        <vt:i4>0</vt:i4>
      </vt:variant>
      <vt:variant>
        <vt:i4>5</vt:i4>
      </vt:variant>
      <vt:variant>
        <vt:lpwstr/>
      </vt:variant>
      <vt:variant>
        <vt:lpwstr>_Appendix_A:_Coastal</vt:lpwstr>
      </vt:variant>
      <vt:variant>
        <vt:i4>1966142</vt:i4>
      </vt:variant>
      <vt:variant>
        <vt:i4>1239</vt:i4>
      </vt:variant>
      <vt:variant>
        <vt:i4>0</vt:i4>
      </vt:variant>
      <vt:variant>
        <vt:i4>5</vt:i4>
      </vt:variant>
      <vt:variant>
        <vt:lpwstr/>
      </vt:variant>
      <vt:variant>
        <vt:lpwstr>_Step_8:_Implement</vt:lpwstr>
      </vt:variant>
      <vt:variant>
        <vt:i4>6750297</vt:i4>
      </vt:variant>
      <vt:variant>
        <vt:i4>1236</vt:i4>
      </vt:variant>
      <vt:variant>
        <vt:i4>0</vt:i4>
      </vt:variant>
      <vt:variant>
        <vt:i4>5</vt:i4>
      </vt:variant>
      <vt:variant>
        <vt:lpwstr/>
      </vt:variant>
      <vt:variant>
        <vt:lpwstr>_10_Adaptive_planning</vt:lpwstr>
      </vt:variant>
      <vt:variant>
        <vt:i4>7667722</vt:i4>
      </vt:variant>
      <vt:variant>
        <vt:i4>1233</vt:i4>
      </vt:variant>
      <vt:variant>
        <vt:i4>0</vt:i4>
      </vt:variant>
      <vt:variant>
        <vt:i4>5</vt:i4>
      </vt:variant>
      <vt:variant>
        <vt:lpwstr/>
      </vt:variant>
      <vt:variant>
        <vt:lpwstr>_Appendix_B:_Relevant</vt:lpwstr>
      </vt:variant>
      <vt:variant>
        <vt:i4>2031662</vt:i4>
      </vt:variant>
      <vt:variant>
        <vt:i4>1230</vt:i4>
      </vt:variant>
      <vt:variant>
        <vt:i4>0</vt:i4>
      </vt:variant>
      <vt:variant>
        <vt:i4>5</vt:i4>
      </vt:variant>
      <vt:variant>
        <vt:lpwstr/>
      </vt:variant>
      <vt:variant>
        <vt:lpwstr>_Supplements</vt:lpwstr>
      </vt:variant>
      <vt:variant>
        <vt:i4>6881301</vt:i4>
      </vt:variant>
      <vt:variant>
        <vt:i4>1227</vt:i4>
      </vt:variant>
      <vt:variant>
        <vt:i4>0</vt:i4>
      </vt:variant>
      <vt:variant>
        <vt:i4>5</vt:i4>
      </vt:variant>
      <vt:variant>
        <vt:lpwstr/>
      </vt:variant>
      <vt:variant>
        <vt:lpwstr>_Appendix_A:_Coastal</vt:lpwstr>
      </vt:variant>
      <vt:variant>
        <vt:i4>6160410</vt:i4>
      </vt:variant>
      <vt:variant>
        <vt:i4>1224</vt:i4>
      </vt:variant>
      <vt:variant>
        <vt:i4>0</vt:i4>
      </vt:variant>
      <vt:variant>
        <vt:i4>5</vt:i4>
      </vt:variant>
      <vt:variant>
        <vt:lpwstr/>
      </vt:variant>
      <vt:variant>
        <vt:lpwstr>box11</vt:lpwstr>
      </vt:variant>
      <vt:variant>
        <vt:i4>7143506</vt:i4>
      </vt:variant>
      <vt:variant>
        <vt:i4>1221</vt:i4>
      </vt:variant>
      <vt:variant>
        <vt:i4>0</vt:i4>
      </vt:variant>
      <vt:variant>
        <vt:i4>5</vt:i4>
      </vt:variant>
      <vt:variant>
        <vt:lpwstr/>
      </vt:variant>
      <vt:variant>
        <vt:lpwstr>_Step_5:_Identify</vt:lpwstr>
      </vt:variant>
      <vt:variant>
        <vt:i4>7929971</vt:i4>
      </vt:variant>
      <vt:variant>
        <vt:i4>1218</vt:i4>
      </vt:variant>
      <vt:variant>
        <vt:i4>0</vt:i4>
      </vt:variant>
      <vt:variant>
        <vt:i4>5</vt:i4>
      </vt:variant>
      <vt:variant>
        <vt:lpwstr/>
      </vt:variant>
      <vt:variant>
        <vt:lpwstr>figure5</vt:lpwstr>
      </vt:variant>
      <vt:variant>
        <vt:i4>4718657</vt:i4>
      </vt:variant>
      <vt:variant>
        <vt:i4>1215</vt:i4>
      </vt:variant>
      <vt:variant>
        <vt:i4>0</vt:i4>
      </vt:variant>
      <vt:variant>
        <vt:i4>5</vt:i4>
      </vt:variant>
      <vt:variant>
        <vt:lpwstr/>
      </vt:variant>
      <vt:variant>
        <vt:lpwstr>figure21</vt:lpwstr>
      </vt:variant>
      <vt:variant>
        <vt:i4>65594</vt:i4>
      </vt:variant>
      <vt:variant>
        <vt:i4>1212</vt:i4>
      </vt:variant>
      <vt:variant>
        <vt:i4>0</vt:i4>
      </vt:variant>
      <vt:variant>
        <vt:i4>5</vt:i4>
      </vt:variant>
      <vt:variant>
        <vt:lpwstr/>
      </vt:variant>
      <vt:variant>
        <vt:lpwstr>_Step_3:_Establish</vt:lpwstr>
      </vt:variant>
      <vt:variant>
        <vt:i4>7733332</vt:i4>
      </vt:variant>
      <vt:variant>
        <vt:i4>1209</vt:i4>
      </vt:variant>
      <vt:variant>
        <vt:i4>0</vt:i4>
      </vt:variant>
      <vt:variant>
        <vt:i4>5</vt:i4>
      </vt:variant>
      <vt:variant>
        <vt:lpwstr/>
      </vt:variant>
      <vt:variant>
        <vt:lpwstr>_Step_9:_Monitor</vt:lpwstr>
      </vt:variant>
      <vt:variant>
        <vt:i4>1966142</vt:i4>
      </vt:variant>
      <vt:variant>
        <vt:i4>1206</vt:i4>
      </vt:variant>
      <vt:variant>
        <vt:i4>0</vt:i4>
      </vt:variant>
      <vt:variant>
        <vt:i4>5</vt:i4>
      </vt:variant>
      <vt:variant>
        <vt:lpwstr/>
      </vt:variant>
      <vt:variant>
        <vt:lpwstr>_Step_8:_Implement</vt:lpwstr>
      </vt:variant>
      <vt:variant>
        <vt:i4>7733321</vt:i4>
      </vt:variant>
      <vt:variant>
        <vt:i4>1203</vt:i4>
      </vt:variant>
      <vt:variant>
        <vt:i4>0</vt:i4>
      </vt:variant>
      <vt:variant>
        <vt:i4>5</vt:i4>
      </vt:variant>
      <vt:variant>
        <vt:lpwstr/>
      </vt:variant>
      <vt:variant>
        <vt:lpwstr>_Step_6:_Evaluate</vt:lpwstr>
      </vt:variant>
      <vt:variant>
        <vt:i4>5177410</vt:i4>
      </vt:variant>
      <vt:variant>
        <vt:i4>1200</vt:i4>
      </vt:variant>
      <vt:variant>
        <vt:i4>0</vt:i4>
      </vt:variant>
      <vt:variant>
        <vt:i4>5</vt:i4>
      </vt:variant>
      <vt:variant>
        <vt:lpwstr/>
      </vt:variant>
      <vt:variant>
        <vt:lpwstr>figure16</vt:lpwstr>
      </vt:variant>
      <vt:variant>
        <vt:i4>1179686</vt:i4>
      </vt:variant>
      <vt:variant>
        <vt:i4>1197</vt:i4>
      </vt:variant>
      <vt:variant>
        <vt:i4>0</vt:i4>
      </vt:variant>
      <vt:variant>
        <vt:i4>5</vt:i4>
      </vt:variant>
      <vt:variant>
        <vt:lpwstr/>
      </vt:variant>
      <vt:variant>
        <vt:lpwstr>_Step_4:_Assess</vt:lpwstr>
      </vt:variant>
      <vt:variant>
        <vt:i4>7536745</vt:i4>
      </vt:variant>
      <vt:variant>
        <vt:i4>1194</vt:i4>
      </vt:variant>
      <vt:variant>
        <vt:i4>0</vt:i4>
      </vt:variant>
      <vt:variant>
        <vt:i4>5</vt:i4>
      </vt:variant>
      <vt:variant>
        <vt:lpwstr/>
      </vt:variant>
      <vt:variant>
        <vt:lpwstr>_Step_2:_</vt:lpwstr>
      </vt:variant>
      <vt:variant>
        <vt:i4>7143506</vt:i4>
      </vt:variant>
      <vt:variant>
        <vt:i4>1191</vt:i4>
      </vt:variant>
      <vt:variant>
        <vt:i4>0</vt:i4>
      </vt:variant>
      <vt:variant>
        <vt:i4>5</vt:i4>
      </vt:variant>
      <vt:variant>
        <vt:lpwstr/>
      </vt:variant>
      <vt:variant>
        <vt:lpwstr>_Step_5:_Identify</vt:lpwstr>
      </vt:variant>
      <vt:variant>
        <vt:i4>3407883</vt:i4>
      </vt:variant>
      <vt:variant>
        <vt:i4>1188</vt:i4>
      </vt:variant>
      <vt:variant>
        <vt:i4>0</vt:i4>
      </vt:variant>
      <vt:variant>
        <vt:i4>5</vt:i4>
      </vt:variant>
      <vt:variant>
        <vt:lpwstr/>
      </vt:variant>
      <vt:variant>
        <vt:lpwstr>_Choose_evaluation_tools</vt:lpwstr>
      </vt:variant>
      <vt:variant>
        <vt:i4>3866739</vt:i4>
      </vt:variant>
      <vt:variant>
        <vt:i4>1185</vt:i4>
      </vt:variant>
      <vt:variant>
        <vt:i4>0</vt:i4>
      </vt:variant>
      <vt:variant>
        <vt:i4>5</vt:i4>
      </vt:variant>
      <vt:variant>
        <vt:lpwstr/>
      </vt:variant>
      <vt:variant>
        <vt:lpwstr>table6</vt:lpwstr>
      </vt:variant>
      <vt:variant>
        <vt:i4>6750297</vt:i4>
      </vt:variant>
      <vt:variant>
        <vt:i4>1182</vt:i4>
      </vt:variant>
      <vt:variant>
        <vt:i4>0</vt:i4>
      </vt:variant>
      <vt:variant>
        <vt:i4>5</vt:i4>
      </vt:variant>
      <vt:variant>
        <vt:lpwstr/>
      </vt:variant>
      <vt:variant>
        <vt:lpwstr>_10_Adaptive_planning</vt:lpwstr>
      </vt:variant>
      <vt:variant>
        <vt:i4>1179680</vt:i4>
      </vt:variant>
      <vt:variant>
        <vt:i4>1179</vt:i4>
      </vt:variant>
      <vt:variant>
        <vt:i4>0</vt:i4>
      </vt:variant>
      <vt:variant>
        <vt:i4>5</vt:i4>
      </vt:variant>
      <vt:variant>
        <vt:lpwstr/>
      </vt:variant>
      <vt:variant>
        <vt:lpwstr>_Step_2:_Assess</vt:lpwstr>
      </vt:variant>
      <vt:variant>
        <vt:i4>2031662</vt:i4>
      </vt:variant>
      <vt:variant>
        <vt:i4>1176</vt:i4>
      </vt:variant>
      <vt:variant>
        <vt:i4>0</vt:i4>
      </vt:variant>
      <vt:variant>
        <vt:i4>5</vt:i4>
      </vt:variant>
      <vt:variant>
        <vt:lpwstr/>
      </vt:variant>
      <vt:variant>
        <vt:lpwstr>_Supplements</vt:lpwstr>
      </vt:variant>
      <vt:variant>
        <vt:i4>7733332</vt:i4>
      </vt:variant>
      <vt:variant>
        <vt:i4>1173</vt:i4>
      </vt:variant>
      <vt:variant>
        <vt:i4>0</vt:i4>
      </vt:variant>
      <vt:variant>
        <vt:i4>5</vt:i4>
      </vt:variant>
      <vt:variant>
        <vt:lpwstr/>
      </vt:variant>
      <vt:variant>
        <vt:lpwstr>_Step_9:_Monitor</vt:lpwstr>
      </vt:variant>
      <vt:variant>
        <vt:i4>65594</vt:i4>
      </vt:variant>
      <vt:variant>
        <vt:i4>1170</vt:i4>
      </vt:variant>
      <vt:variant>
        <vt:i4>0</vt:i4>
      </vt:variant>
      <vt:variant>
        <vt:i4>5</vt:i4>
      </vt:variant>
      <vt:variant>
        <vt:lpwstr/>
      </vt:variant>
      <vt:variant>
        <vt:lpwstr>_Step_3:_Establish</vt:lpwstr>
      </vt:variant>
      <vt:variant>
        <vt:i4>2031662</vt:i4>
      </vt:variant>
      <vt:variant>
        <vt:i4>1167</vt:i4>
      </vt:variant>
      <vt:variant>
        <vt:i4>0</vt:i4>
      </vt:variant>
      <vt:variant>
        <vt:i4>5</vt:i4>
      </vt:variant>
      <vt:variant>
        <vt:lpwstr/>
      </vt:variant>
      <vt:variant>
        <vt:lpwstr>_Supplements</vt:lpwstr>
      </vt:variant>
      <vt:variant>
        <vt:i4>6160410</vt:i4>
      </vt:variant>
      <vt:variant>
        <vt:i4>1164</vt:i4>
      </vt:variant>
      <vt:variant>
        <vt:i4>0</vt:i4>
      </vt:variant>
      <vt:variant>
        <vt:i4>5</vt:i4>
      </vt:variant>
      <vt:variant>
        <vt:lpwstr/>
      </vt:variant>
      <vt:variant>
        <vt:lpwstr>box12</vt:lpwstr>
      </vt:variant>
      <vt:variant>
        <vt:i4>7929971</vt:i4>
      </vt:variant>
      <vt:variant>
        <vt:i4>1161</vt:i4>
      </vt:variant>
      <vt:variant>
        <vt:i4>0</vt:i4>
      </vt:variant>
      <vt:variant>
        <vt:i4>5</vt:i4>
      </vt:variant>
      <vt:variant>
        <vt:lpwstr/>
      </vt:variant>
      <vt:variant>
        <vt:lpwstr>figure5</vt:lpwstr>
      </vt:variant>
      <vt:variant>
        <vt:i4>7733321</vt:i4>
      </vt:variant>
      <vt:variant>
        <vt:i4>1158</vt:i4>
      </vt:variant>
      <vt:variant>
        <vt:i4>0</vt:i4>
      </vt:variant>
      <vt:variant>
        <vt:i4>5</vt:i4>
      </vt:variant>
      <vt:variant>
        <vt:lpwstr/>
      </vt:variant>
      <vt:variant>
        <vt:lpwstr>_Step_6:_Evaluate</vt:lpwstr>
      </vt:variant>
      <vt:variant>
        <vt:i4>7733332</vt:i4>
      </vt:variant>
      <vt:variant>
        <vt:i4>1155</vt:i4>
      </vt:variant>
      <vt:variant>
        <vt:i4>0</vt:i4>
      </vt:variant>
      <vt:variant>
        <vt:i4>5</vt:i4>
      </vt:variant>
      <vt:variant>
        <vt:lpwstr/>
      </vt:variant>
      <vt:variant>
        <vt:lpwstr>_Step_9:_Monitor</vt:lpwstr>
      </vt:variant>
      <vt:variant>
        <vt:i4>6750297</vt:i4>
      </vt:variant>
      <vt:variant>
        <vt:i4>1152</vt:i4>
      </vt:variant>
      <vt:variant>
        <vt:i4>0</vt:i4>
      </vt:variant>
      <vt:variant>
        <vt:i4>5</vt:i4>
      </vt:variant>
      <vt:variant>
        <vt:lpwstr/>
      </vt:variant>
      <vt:variant>
        <vt:lpwstr>_10_Adaptive_planning</vt:lpwstr>
      </vt:variant>
      <vt:variant>
        <vt:i4>7733321</vt:i4>
      </vt:variant>
      <vt:variant>
        <vt:i4>1149</vt:i4>
      </vt:variant>
      <vt:variant>
        <vt:i4>0</vt:i4>
      </vt:variant>
      <vt:variant>
        <vt:i4>5</vt:i4>
      </vt:variant>
      <vt:variant>
        <vt:lpwstr/>
      </vt:variant>
      <vt:variant>
        <vt:lpwstr>_Step_6:_Evaluate</vt:lpwstr>
      </vt:variant>
      <vt:variant>
        <vt:i4>7143506</vt:i4>
      </vt:variant>
      <vt:variant>
        <vt:i4>1146</vt:i4>
      </vt:variant>
      <vt:variant>
        <vt:i4>0</vt:i4>
      </vt:variant>
      <vt:variant>
        <vt:i4>5</vt:i4>
      </vt:variant>
      <vt:variant>
        <vt:lpwstr/>
      </vt:variant>
      <vt:variant>
        <vt:lpwstr>_Step_5:_Identify</vt:lpwstr>
      </vt:variant>
      <vt:variant>
        <vt:i4>1179686</vt:i4>
      </vt:variant>
      <vt:variant>
        <vt:i4>1143</vt:i4>
      </vt:variant>
      <vt:variant>
        <vt:i4>0</vt:i4>
      </vt:variant>
      <vt:variant>
        <vt:i4>5</vt:i4>
      </vt:variant>
      <vt:variant>
        <vt:lpwstr/>
      </vt:variant>
      <vt:variant>
        <vt:lpwstr>_Step_4:_Assess</vt:lpwstr>
      </vt:variant>
      <vt:variant>
        <vt:i4>7929971</vt:i4>
      </vt:variant>
      <vt:variant>
        <vt:i4>1140</vt:i4>
      </vt:variant>
      <vt:variant>
        <vt:i4>0</vt:i4>
      </vt:variant>
      <vt:variant>
        <vt:i4>5</vt:i4>
      </vt:variant>
      <vt:variant>
        <vt:lpwstr/>
      </vt:variant>
      <vt:variant>
        <vt:lpwstr>figure3</vt:lpwstr>
      </vt:variant>
      <vt:variant>
        <vt:i4>5963802</vt:i4>
      </vt:variant>
      <vt:variant>
        <vt:i4>1137</vt:i4>
      </vt:variant>
      <vt:variant>
        <vt:i4>0</vt:i4>
      </vt:variant>
      <vt:variant>
        <vt:i4>5</vt:i4>
      </vt:variant>
      <vt:variant>
        <vt:lpwstr/>
      </vt:variant>
      <vt:variant>
        <vt:lpwstr>box4</vt:lpwstr>
      </vt:variant>
      <vt:variant>
        <vt:i4>1310844</vt:i4>
      </vt:variant>
      <vt:variant>
        <vt:i4>1134</vt:i4>
      </vt:variant>
      <vt:variant>
        <vt:i4>0</vt:i4>
      </vt:variant>
      <vt:variant>
        <vt:i4>5</vt:i4>
      </vt:variant>
      <vt:variant>
        <vt:lpwstr/>
      </vt:variant>
      <vt:variant>
        <vt:lpwstr>_Assess_social,_cultural</vt:lpwstr>
      </vt:variant>
      <vt:variant>
        <vt:i4>3866739</vt:i4>
      </vt:variant>
      <vt:variant>
        <vt:i4>1131</vt:i4>
      </vt:variant>
      <vt:variant>
        <vt:i4>0</vt:i4>
      </vt:variant>
      <vt:variant>
        <vt:i4>5</vt:i4>
      </vt:variant>
      <vt:variant>
        <vt:lpwstr/>
      </vt:variant>
      <vt:variant>
        <vt:lpwstr>table6</vt:lpwstr>
      </vt:variant>
      <vt:variant>
        <vt:i4>5177410</vt:i4>
      </vt:variant>
      <vt:variant>
        <vt:i4>1128</vt:i4>
      </vt:variant>
      <vt:variant>
        <vt:i4>0</vt:i4>
      </vt:variant>
      <vt:variant>
        <vt:i4>5</vt:i4>
      </vt:variant>
      <vt:variant>
        <vt:lpwstr/>
      </vt:variant>
      <vt:variant>
        <vt:lpwstr>figure16</vt:lpwstr>
      </vt:variant>
      <vt:variant>
        <vt:i4>4980802</vt:i4>
      </vt:variant>
      <vt:variant>
        <vt:i4>1125</vt:i4>
      </vt:variant>
      <vt:variant>
        <vt:i4>0</vt:i4>
      </vt:variant>
      <vt:variant>
        <vt:i4>5</vt:i4>
      </vt:variant>
      <vt:variant>
        <vt:lpwstr/>
      </vt:variant>
      <vt:variant>
        <vt:lpwstr>figure15</vt:lpwstr>
      </vt:variant>
      <vt:variant>
        <vt:i4>5177410</vt:i4>
      </vt:variant>
      <vt:variant>
        <vt:i4>1122</vt:i4>
      </vt:variant>
      <vt:variant>
        <vt:i4>0</vt:i4>
      </vt:variant>
      <vt:variant>
        <vt:i4>5</vt:i4>
      </vt:variant>
      <vt:variant>
        <vt:lpwstr/>
      </vt:variant>
      <vt:variant>
        <vt:lpwstr>figure16</vt:lpwstr>
      </vt:variant>
      <vt:variant>
        <vt:i4>1179680</vt:i4>
      </vt:variant>
      <vt:variant>
        <vt:i4>1119</vt:i4>
      </vt:variant>
      <vt:variant>
        <vt:i4>0</vt:i4>
      </vt:variant>
      <vt:variant>
        <vt:i4>5</vt:i4>
      </vt:variant>
      <vt:variant>
        <vt:lpwstr/>
      </vt:variant>
      <vt:variant>
        <vt:lpwstr>_Step_2:_Assess</vt:lpwstr>
      </vt:variant>
      <vt:variant>
        <vt:i4>5963802</vt:i4>
      </vt:variant>
      <vt:variant>
        <vt:i4>1116</vt:i4>
      </vt:variant>
      <vt:variant>
        <vt:i4>0</vt:i4>
      </vt:variant>
      <vt:variant>
        <vt:i4>5</vt:i4>
      </vt:variant>
      <vt:variant>
        <vt:lpwstr/>
      </vt:variant>
      <vt:variant>
        <vt:lpwstr>box4</vt:lpwstr>
      </vt:variant>
      <vt:variant>
        <vt:i4>5963802</vt:i4>
      </vt:variant>
      <vt:variant>
        <vt:i4>1113</vt:i4>
      </vt:variant>
      <vt:variant>
        <vt:i4>0</vt:i4>
      </vt:variant>
      <vt:variant>
        <vt:i4>5</vt:i4>
      </vt:variant>
      <vt:variant>
        <vt:lpwstr/>
      </vt:variant>
      <vt:variant>
        <vt:lpwstr>box4</vt:lpwstr>
      </vt:variant>
      <vt:variant>
        <vt:i4>5177410</vt:i4>
      </vt:variant>
      <vt:variant>
        <vt:i4>1110</vt:i4>
      </vt:variant>
      <vt:variant>
        <vt:i4>0</vt:i4>
      </vt:variant>
      <vt:variant>
        <vt:i4>5</vt:i4>
      </vt:variant>
      <vt:variant>
        <vt:lpwstr/>
      </vt:variant>
      <vt:variant>
        <vt:lpwstr>figure16</vt:lpwstr>
      </vt:variant>
      <vt:variant>
        <vt:i4>2031662</vt:i4>
      </vt:variant>
      <vt:variant>
        <vt:i4>1107</vt:i4>
      </vt:variant>
      <vt:variant>
        <vt:i4>0</vt:i4>
      </vt:variant>
      <vt:variant>
        <vt:i4>5</vt:i4>
      </vt:variant>
      <vt:variant>
        <vt:lpwstr/>
      </vt:variant>
      <vt:variant>
        <vt:lpwstr>_Supplements</vt:lpwstr>
      </vt:variant>
      <vt:variant>
        <vt:i4>5177410</vt:i4>
      </vt:variant>
      <vt:variant>
        <vt:i4>1104</vt:i4>
      </vt:variant>
      <vt:variant>
        <vt:i4>0</vt:i4>
      </vt:variant>
      <vt:variant>
        <vt:i4>5</vt:i4>
      </vt:variant>
      <vt:variant>
        <vt:lpwstr/>
      </vt:variant>
      <vt:variant>
        <vt:lpwstr>figure16</vt:lpwstr>
      </vt:variant>
      <vt:variant>
        <vt:i4>1310844</vt:i4>
      </vt:variant>
      <vt:variant>
        <vt:i4>1101</vt:i4>
      </vt:variant>
      <vt:variant>
        <vt:i4>0</vt:i4>
      </vt:variant>
      <vt:variant>
        <vt:i4>5</vt:i4>
      </vt:variant>
      <vt:variant>
        <vt:lpwstr/>
      </vt:variant>
      <vt:variant>
        <vt:lpwstr>_Assess_social,_cultural</vt:lpwstr>
      </vt:variant>
      <vt:variant>
        <vt:i4>5177410</vt:i4>
      </vt:variant>
      <vt:variant>
        <vt:i4>1098</vt:i4>
      </vt:variant>
      <vt:variant>
        <vt:i4>0</vt:i4>
      </vt:variant>
      <vt:variant>
        <vt:i4>5</vt:i4>
      </vt:variant>
      <vt:variant>
        <vt:lpwstr/>
      </vt:variant>
      <vt:variant>
        <vt:lpwstr>figure16</vt:lpwstr>
      </vt:variant>
      <vt:variant>
        <vt:i4>5111874</vt:i4>
      </vt:variant>
      <vt:variant>
        <vt:i4>1095</vt:i4>
      </vt:variant>
      <vt:variant>
        <vt:i4>0</vt:i4>
      </vt:variant>
      <vt:variant>
        <vt:i4>5</vt:i4>
      </vt:variant>
      <vt:variant>
        <vt:lpwstr/>
      </vt:variant>
      <vt:variant>
        <vt:lpwstr>figure17</vt:lpwstr>
      </vt:variant>
      <vt:variant>
        <vt:i4>3866739</vt:i4>
      </vt:variant>
      <vt:variant>
        <vt:i4>1092</vt:i4>
      </vt:variant>
      <vt:variant>
        <vt:i4>0</vt:i4>
      </vt:variant>
      <vt:variant>
        <vt:i4>5</vt:i4>
      </vt:variant>
      <vt:variant>
        <vt:lpwstr/>
      </vt:variant>
      <vt:variant>
        <vt:lpwstr>table6</vt:lpwstr>
      </vt:variant>
      <vt:variant>
        <vt:i4>1179680</vt:i4>
      </vt:variant>
      <vt:variant>
        <vt:i4>1089</vt:i4>
      </vt:variant>
      <vt:variant>
        <vt:i4>0</vt:i4>
      </vt:variant>
      <vt:variant>
        <vt:i4>5</vt:i4>
      </vt:variant>
      <vt:variant>
        <vt:lpwstr/>
      </vt:variant>
      <vt:variant>
        <vt:lpwstr>_Step_2:_Assess</vt:lpwstr>
      </vt:variant>
      <vt:variant>
        <vt:i4>5177410</vt:i4>
      </vt:variant>
      <vt:variant>
        <vt:i4>1086</vt:i4>
      </vt:variant>
      <vt:variant>
        <vt:i4>0</vt:i4>
      </vt:variant>
      <vt:variant>
        <vt:i4>5</vt:i4>
      </vt:variant>
      <vt:variant>
        <vt:lpwstr/>
      </vt:variant>
      <vt:variant>
        <vt:lpwstr>figure16</vt:lpwstr>
      </vt:variant>
      <vt:variant>
        <vt:i4>5308539</vt:i4>
      </vt:variant>
      <vt:variant>
        <vt:i4>1083</vt:i4>
      </vt:variant>
      <vt:variant>
        <vt:i4>0</vt:i4>
      </vt:variant>
      <vt:variant>
        <vt:i4>5</vt:i4>
      </vt:variant>
      <vt:variant>
        <vt:lpwstr/>
      </vt:variant>
      <vt:variant>
        <vt:lpwstr>_Coastal_hazard_assessment</vt:lpwstr>
      </vt:variant>
      <vt:variant>
        <vt:i4>4980802</vt:i4>
      </vt:variant>
      <vt:variant>
        <vt:i4>1080</vt:i4>
      </vt:variant>
      <vt:variant>
        <vt:i4>0</vt:i4>
      </vt:variant>
      <vt:variant>
        <vt:i4>5</vt:i4>
      </vt:variant>
      <vt:variant>
        <vt:lpwstr/>
      </vt:variant>
      <vt:variant>
        <vt:lpwstr>figure15</vt:lpwstr>
      </vt:variant>
      <vt:variant>
        <vt:i4>65594</vt:i4>
      </vt:variant>
      <vt:variant>
        <vt:i4>1077</vt:i4>
      </vt:variant>
      <vt:variant>
        <vt:i4>0</vt:i4>
      </vt:variant>
      <vt:variant>
        <vt:i4>5</vt:i4>
      </vt:variant>
      <vt:variant>
        <vt:lpwstr/>
      </vt:variant>
      <vt:variant>
        <vt:lpwstr>_Step_3:_Establish</vt:lpwstr>
      </vt:variant>
      <vt:variant>
        <vt:i4>7143506</vt:i4>
      </vt:variant>
      <vt:variant>
        <vt:i4>1074</vt:i4>
      </vt:variant>
      <vt:variant>
        <vt:i4>0</vt:i4>
      </vt:variant>
      <vt:variant>
        <vt:i4>5</vt:i4>
      </vt:variant>
      <vt:variant>
        <vt:lpwstr/>
      </vt:variant>
      <vt:variant>
        <vt:lpwstr>_Step_5:_Identify</vt:lpwstr>
      </vt:variant>
      <vt:variant>
        <vt:i4>65594</vt:i4>
      </vt:variant>
      <vt:variant>
        <vt:i4>1071</vt:i4>
      </vt:variant>
      <vt:variant>
        <vt:i4>0</vt:i4>
      </vt:variant>
      <vt:variant>
        <vt:i4>5</vt:i4>
      </vt:variant>
      <vt:variant>
        <vt:lpwstr/>
      </vt:variant>
      <vt:variant>
        <vt:lpwstr>_Step_3:_Establish</vt:lpwstr>
      </vt:variant>
      <vt:variant>
        <vt:i4>1179680</vt:i4>
      </vt:variant>
      <vt:variant>
        <vt:i4>1068</vt:i4>
      </vt:variant>
      <vt:variant>
        <vt:i4>0</vt:i4>
      </vt:variant>
      <vt:variant>
        <vt:i4>5</vt:i4>
      </vt:variant>
      <vt:variant>
        <vt:lpwstr/>
      </vt:variant>
      <vt:variant>
        <vt:lpwstr>_Step_2:_Assess</vt:lpwstr>
      </vt:variant>
      <vt:variant>
        <vt:i4>7733332</vt:i4>
      </vt:variant>
      <vt:variant>
        <vt:i4>1065</vt:i4>
      </vt:variant>
      <vt:variant>
        <vt:i4>0</vt:i4>
      </vt:variant>
      <vt:variant>
        <vt:i4>5</vt:i4>
      </vt:variant>
      <vt:variant>
        <vt:lpwstr/>
      </vt:variant>
      <vt:variant>
        <vt:lpwstr>_Step_9:_Monitor</vt:lpwstr>
      </vt:variant>
      <vt:variant>
        <vt:i4>2031662</vt:i4>
      </vt:variant>
      <vt:variant>
        <vt:i4>1062</vt:i4>
      </vt:variant>
      <vt:variant>
        <vt:i4>0</vt:i4>
      </vt:variant>
      <vt:variant>
        <vt:i4>5</vt:i4>
      </vt:variant>
      <vt:variant>
        <vt:lpwstr/>
      </vt:variant>
      <vt:variant>
        <vt:lpwstr>_Supplements</vt:lpwstr>
      </vt:variant>
      <vt:variant>
        <vt:i4>2031662</vt:i4>
      </vt:variant>
      <vt:variant>
        <vt:i4>1059</vt:i4>
      </vt:variant>
      <vt:variant>
        <vt:i4>0</vt:i4>
      </vt:variant>
      <vt:variant>
        <vt:i4>5</vt:i4>
      </vt:variant>
      <vt:variant>
        <vt:lpwstr/>
      </vt:variant>
      <vt:variant>
        <vt:lpwstr>_Supplements</vt:lpwstr>
      </vt:variant>
      <vt:variant>
        <vt:i4>2031662</vt:i4>
      </vt:variant>
      <vt:variant>
        <vt:i4>1056</vt:i4>
      </vt:variant>
      <vt:variant>
        <vt:i4>0</vt:i4>
      </vt:variant>
      <vt:variant>
        <vt:i4>5</vt:i4>
      </vt:variant>
      <vt:variant>
        <vt:lpwstr/>
      </vt:variant>
      <vt:variant>
        <vt:lpwstr>_Supplements</vt:lpwstr>
      </vt:variant>
      <vt:variant>
        <vt:i4>3801203</vt:i4>
      </vt:variant>
      <vt:variant>
        <vt:i4>1053</vt:i4>
      </vt:variant>
      <vt:variant>
        <vt:i4>0</vt:i4>
      </vt:variant>
      <vt:variant>
        <vt:i4>5</vt:i4>
      </vt:variant>
      <vt:variant>
        <vt:lpwstr/>
      </vt:variant>
      <vt:variant>
        <vt:lpwstr>table7</vt:lpwstr>
      </vt:variant>
      <vt:variant>
        <vt:i4>7733321</vt:i4>
      </vt:variant>
      <vt:variant>
        <vt:i4>1050</vt:i4>
      </vt:variant>
      <vt:variant>
        <vt:i4>0</vt:i4>
      </vt:variant>
      <vt:variant>
        <vt:i4>5</vt:i4>
      </vt:variant>
      <vt:variant>
        <vt:lpwstr/>
      </vt:variant>
      <vt:variant>
        <vt:lpwstr>_Step_6:_Evaluate</vt:lpwstr>
      </vt:variant>
      <vt:variant>
        <vt:i4>5046338</vt:i4>
      </vt:variant>
      <vt:variant>
        <vt:i4>1047</vt:i4>
      </vt:variant>
      <vt:variant>
        <vt:i4>0</vt:i4>
      </vt:variant>
      <vt:variant>
        <vt:i4>5</vt:i4>
      </vt:variant>
      <vt:variant>
        <vt:lpwstr/>
      </vt:variant>
      <vt:variant>
        <vt:lpwstr>figure14</vt:lpwstr>
      </vt:variant>
      <vt:variant>
        <vt:i4>4849730</vt:i4>
      </vt:variant>
      <vt:variant>
        <vt:i4>1044</vt:i4>
      </vt:variant>
      <vt:variant>
        <vt:i4>0</vt:i4>
      </vt:variant>
      <vt:variant>
        <vt:i4>5</vt:i4>
      </vt:variant>
      <vt:variant>
        <vt:lpwstr/>
      </vt:variant>
      <vt:variant>
        <vt:lpwstr>figure13</vt:lpwstr>
      </vt:variant>
      <vt:variant>
        <vt:i4>4915266</vt:i4>
      </vt:variant>
      <vt:variant>
        <vt:i4>1041</vt:i4>
      </vt:variant>
      <vt:variant>
        <vt:i4>0</vt:i4>
      </vt:variant>
      <vt:variant>
        <vt:i4>5</vt:i4>
      </vt:variant>
      <vt:variant>
        <vt:lpwstr/>
      </vt:variant>
      <vt:variant>
        <vt:lpwstr>figure12</vt:lpwstr>
      </vt:variant>
      <vt:variant>
        <vt:i4>1507379</vt:i4>
      </vt:variant>
      <vt:variant>
        <vt:i4>1038</vt:i4>
      </vt:variant>
      <vt:variant>
        <vt:i4>0</vt:i4>
      </vt:variant>
      <vt:variant>
        <vt:i4>5</vt:i4>
      </vt:variant>
      <vt:variant>
        <vt:lpwstr/>
      </vt:variant>
      <vt:variant>
        <vt:lpwstr>_Step_7:_D</vt:lpwstr>
      </vt:variant>
      <vt:variant>
        <vt:i4>5046338</vt:i4>
      </vt:variant>
      <vt:variant>
        <vt:i4>1035</vt:i4>
      </vt:variant>
      <vt:variant>
        <vt:i4>0</vt:i4>
      </vt:variant>
      <vt:variant>
        <vt:i4>5</vt:i4>
      </vt:variant>
      <vt:variant>
        <vt:lpwstr/>
      </vt:variant>
      <vt:variant>
        <vt:lpwstr>figure14</vt:lpwstr>
      </vt:variant>
      <vt:variant>
        <vt:i4>4849730</vt:i4>
      </vt:variant>
      <vt:variant>
        <vt:i4>1032</vt:i4>
      </vt:variant>
      <vt:variant>
        <vt:i4>0</vt:i4>
      </vt:variant>
      <vt:variant>
        <vt:i4>5</vt:i4>
      </vt:variant>
      <vt:variant>
        <vt:lpwstr/>
      </vt:variant>
      <vt:variant>
        <vt:lpwstr>figure13</vt:lpwstr>
      </vt:variant>
      <vt:variant>
        <vt:i4>4915266</vt:i4>
      </vt:variant>
      <vt:variant>
        <vt:i4>1029</vt:i4>
      </vt:variant>
      <vt:variant>
        <vt:i4>0</vt:i4>
      </vt:variant>
      <vt:variant>
        <vt:i4>5</vt:i4>
      </vt:variant>
      <vt:variant>
        <vt:lpwstr/>
      </vt:variant>
      <vt:variant>
        <vt:lpwstr>figure12</vt:lpwstr>
      </vt:variant>
      <vt:variant>
        <vt:i4>1179673</vt:i4>
      </vt:variant>
      <vt:variant>
        <vt:i4>1026</vt:i4>
      </vt:variant>
      <vt:variant>
        <vt:i4>0</vt:i4>
      </vt:variant>
      <vt:variant>
        <vt:i4>5</vt:i4>
      </vt:variant>
      <vt:variant>
        <vt:lpwstr/>
      </vt:variant>
      <vt:variant>
        <vt:lpwstr>_Statistical_uncertainty</vt:lpwstr>
      </vt:variant>
      <vt:variant>
        <vt:i4>6881301</vt:i4>
      </vt:variant>
      <vt:variant>
        <vt:i4>1023</vt:i4>
      </vt:variant>
      <vt:variant>
        <vt:i4>0</vt:i4>
      </vt:variant>
      <vt:variant>
        <vt:i4>5</vt:i4>
      </vt:variant>
      <vt:variant>
        <vt:lpwstr/>
      </vt:variant>
      <vt:variant>
        <vt:lpwstr>_Appendix_A:_Coastal</vt:lpwstr>
      </vt:variant>
      <vt:variant>
        <vt:i4>3473523</vt:i4>
      </vt:variant>
      <vt:variant>
        <vt:i4>1020</vt:i4>
      </vt:variant>
      <vt:variant>
        <vt:i4>0</vt:i4>
      </vt:variant>
      <vt:variant>
        <vt:i4>5</vt:i4>
      </vt:variant>
      <vt:variant>
        <vt:lpwstr/>
      </vt:variant>
      <vt:variant>
        <vt:lpwstr>table8</vt:lpwstr>
      </vt:variant>
      <vt:variant>
        <vt:i4>2031662</vt:i4>
      </vt:variant>
      <vt:variant>
        <vt:i4>1017</vt:i4>
      </vt:variant>
      <vt:variant>
        <vt:i4>0</vt:i4>
      </vt:variant>
      <vt:variant>
        <vt:i4>5</vt:i4>
      </vt:variant>
      <vt:variant>
        <vt:lpwstr/>
      </vt:variant>
      <vt:variant>
        <vt:lpwstr>_Supplements</vt:lpwstr>
      </vt:variant>
      <vt:variant>
        <vt:i4>3801203</vt:i4>
      </vt:variant>
      <vt:variant>
        <vt:i4>1014</vt:i4>
      </vt:variant>
      <vt:variant>
        <vt:i4>0</vt:i4>
      </vt:variant>
      <vt:variant>
        <vt:i4>5</vt:i4>
      </vt:variant>
      <vt:variant>
        <vt:lpwstr/>
      </vt:variant>
      <vt:variant>
        <vt:lpwstr>table7</vt:lpwstr>
      </vt:variant>
      <vt:variant>
        <vt:i4>3866739</vt:i4>
      </vt:variant>
      <vt:variant>
        <vt:i4>1011</vt:i4>
      </vt:variant>
      <vt:variant>
        <vt:i4>0</vt:i4>
      </vt:variant>
      <vt:variant>
        <vt:i4>5</vt:i4>
      </vt:variant>
      <vt:variant>
        <vt:lpwstr/>
      </vt:variant>
      <vt:variant>
        <vt:lpwstr>table6</vt:lpwstr>
      </vt:variant>
      <vt:variant>
        <vt:i4>2031662</vt:i4>
      </vt:variant>
      <vt:variant>
        <vt:i4>1008</vt:i4>
      </vt:variant>
      <vt:variant>
        <vt:i4>0</vt:i4>
      </vt:variant>
      <vt:variant>
        <vt:i4>5</vt:i4>
      </vt:variant>
      <vt:variant>
        <vt:lpwstr/>
      </vt:variant>
      <vt:variant>
        <vt:lpwstr>_Supplements</vt:lpwstr>
      </vt:variant>
      <vt:variant>
        <vt:i4>2031662</vt:i4>
      </vt:variant>
      <vt:variant>
        <vt:i4>1005</vt:i4>
      </vt:variant>
      <vt:variant>
        <vt:i4>0</vt:i4>
      </vt:variant>
      <vt:variant>
        <vt:i4>5</vt:i4>
      </vt:variant>
      <vt:variant>
        <vt:lpwstr/>
      </vt:variant>
      <vt:variant>
        <vt:lpwstr>_Supplements</vt:lpwstr>
      </vt:variant>
      <vt:variant>
        <vt:i4>4915266</vt:i4>
      </vt:variant>
      <vt:variant>
        <vt:i4>1002</vt:i4>
      </vt:variant>
      <vt:variant>
        <vt:i4>0</vt:i4>
      </vt:variant>
      <vt:variant>
        <vt:i4>5</vt:i4>
      </vt:variant>
      <vt:variant>
        <vt:lpwstr/>
      </vt:variant>
      <vt:variant>
        <vt:lpwstr>figure12</vt:lpwstr>
      </vt:variant>
      <vt:variant>
        <vt:i4>3801203</vt:i4>
      </vt:variant>
      <vt:variant>
        <vt:i4>999</vt:i4>
      </vt:variant>
      <vt:variant>
        <vt:i4>0</vt:i4>
      </vt:variant>
      <vt:variant>
        <vt:i4>5</vt:i4>
      </vt:variant>
      <vt:variant>
        <vt:lpwstr/>
      </vt:variant>
      <vt:variant>
        <vt:lpwstr>table7</vt:lpwstr>
      </vt:variant>
      <vt:variant>
        <vt:i4>3801203</vt:i4>
      </vt:variant>
      <vt:variant>
        <vt:i4>996</vt:i4>
      </vt:variant>
      <vt:variant>
        <vt:i4>0</vt:i4>
      </vt:variant>
      <vt:variant>
        <vt:i4>5</vt:i4>
      </vt:variant>
      <vt:variant>
        <vt:lpwstr/>
      </vt:variant>
      <vt:variant>
        <vt:lpwstr>table7</vt:lpwstr>
      </vt:variant>
      <vt:variant>
        <vt:i4>4718658</vt:i4>
      </vt:variant>
      <vt:variant>
        <vt:i4>993</vt:i4>
      </vt:variant>
      <vt:variant>
        <vt:i4>0</vt:i4>
      </vt:variant>
      <vt:variant>
        <vt:i4>5</vt:i4>
      </vt:variant>
      <vt:variant>
        <vt:lpwstr/>
      </vt:variant>
      <vt:variant>
        <vt:lpwstr>figure11</vt:lpwstr>
      </vt:variant>
      <vt:variant>
        <vt:i4>4718658</vt:i4>
      </vt:variant>
      <vt:variant>
        <vt:i4>990</vt:i4>
      </vt:variant>
      <vt:variant>
        <vt:i4>0</vt:i4>
      </vt:variant>
      <vt:variant>
        <vt:i4>5</vt:i4>
      </vt:variant>
      <vt:variant>
        <vt:lpwstr/>
      </vt:variant>
      <vt:variant>
        <vt:lpwstr>figure11</vt:lpwstr>
      </vt:variant>
      <vt:variant>
        <vt:i4>3473523</vt:i4>
      </vt:variant>
      <vt:variant>
        <vt:i4>987</vt:i4>
      </vt:variant>
      <vt:variant>
        <vt:i4>0</vt:i4>
      </vt:variant>
      <vt:variant>
        <vt:i4>5</vt:i4>
      </vt:variant>
      <vt:variant>
        <vt:lpwstr/>
      </vt:variant>
      <vt:variant>
        <vt:lpwstr>table8</vt:lpwstr>
      </vt:variant>
      <vt:variant>
        <vt:i4>4718658</vt:i4>
      </vt:variant>
      <vt:variant>
        <vt:i4>984</vt:i4>
      </vt:variant>
      <vt:variant>
        <vt:i4>0</vt:i4>
      </vt:variant>
      <vt:variant>
        <vt:i4>5</vt:i4>
      </vt:variant>
      <vt:variant>
        <vt:lpwstr/>
      </vt:variant>
      <vt:variant>
        <vt:lpwstr>figure11</vt:lpwstr>
      </vt:variant>
      <vt:variant>
        <vt:i4>7929971</vt:i4>
      </vt:variant>
      <vt:variant>
        <vt:i4>981</vt:i4>
      </vt:variant>
      <vt:variant>
        <vt:i4>0</vt:i4>
      </vt:variant>
      <vt:variant>
        <vt:i4>5</vt:i4>
      </vt:variant>
      <vt:variant>
        <vt:lpwstr/>
      </vt:variant>
      <vt:variant>
        <vt:lpwstr>figure3</vt:lpwstr>
      </vt:variant>
      <vt:variant>
        <vt:i4>4915266</vt:i4>
      </vt:variant>
      <vt:variant>
        <vt:i4>978</vt:i4>
      </vt:variant>
      <vt:variant>
        <vt:i4>0</vt:i4>
      </vt:variant>
      <vt:variant>
        <vt:i4>5</vt:i4>
      </vt:variant>
      <vt:variant>
        <vt:lpwstr/>
      </vt:variant>
      <vt:variant>
        <vt:lpwstr>figure12</vt:lpwstr>
      </vt:variant>
      <vt:variant>
        <vt:i4>1179686</vt:i4>
      </vt:variant>
      <vt:variant>
        <vt:i4>975</vt:i4>
      </vt:variant>
      <vt:variant>
        <vt:i4>0</vt:i4>
      </vt:variant>
      <vt:variant>
        <vt:i4>5</vt:i4>
      </vt:variant>
      <vt:variant>
        <vt:lpwstr/>
      </vt:variant>
      <vt:variant>
        <vt:lpwstr>_Step_4:_Assess</vt:lpwstr>
      </vt:variant>
      <vt:variant>
        <vt:i4>4915266</vt:i4>
      </vt:variant>
      <vt:variant>
        <vt:i4>972</vt:i4>
      </vt:variant>
      <vt:variant>
        <vt:i4>0</vt:i4>
      </vt:variant>
      <vt:variant>
        <vt:i4>5</vt:i4>
      </vt:variant>
      <vt:variant>
        <vt:lpwstr/>
      </vt:variant>
      <vt:variant>
        <vt:lpwstr>figure12</vt:lpwstr>
      </vt:variant>
      <vt:variant>
        <vt:i4>2687026</vt:i4>
      </vt:variant>
      <vt:variant>
        <vt:i4>969</vt:i4>
      </vt:variant>
      <vt:variant>
        <vt:i4>0</vt:i4>
      </vt:variant>
      <vt:variant>
        <vt:i4>5</vt:i4>
      </vt:variant>
      <vt:variant>
        <vt:lpwstr>https://data.coastalchange.nz/</vt:lpwstr>
      </vt:variant>
      <vt:variant>
        <vt:lpwstr/>
      </vt:variant>
      <vt:variant>
        <vt:i4>3801203</vt:i4>
      </vt:variant>
      <vt:variant>
        <vt:i4>966</vt:i4>
      </vt:variant>
      <vt:variant>
        <vt:i4>0</vt:i4>
      </vt:variant>
      <vt:variant>
        <vt:i4>5</vt:i4>
      </vt:variant>
      <vt:variant>
        <vt:lpwstr/>
      </vt:variant>
      <vt:variant>
        <vt:lpwstr>table7</vt:lpwstr>
      </vt:variant>
      <vt:variant>
        <vt:i4>3866739</vt:i4>
      </vt:variant>
      <vt:variant>
        <vt:i4>963</vt:i4>
      </vt:variant>
      <vt:variant>
        <vt:i4>0</vt:i4>
      </vt:variant>
      <vt:variant>
        <vt:i4>5</vt:i4>
      </vt:variant>
      <vt:variant>
        <vt:lpwstr/>
      </vt:variant>
      <vt:variant>
        <vt:lpwstr>table6</vt:lpwstr>
      </vt:variant>
      <vt:variant>
        <vt:i4>3801203</vt:i4>
      </vt:variant>
      <vt:variant>
        <vt:i4>960</vt:i4>
      </vt:variant>
      <vt:variant>
        <vt:i4>0</vt:i4>
      </vt:variant>
      <vt:variant>
        <vt:i4>5</vt:i4>
      </vt:variant>
      <vt:variant>
        <vt:lpwstr/>
      </vt:variant>
      <vt:variant>
        <vt:lpwstr>table7</vt:lpwstr>
      </vt:variant>
      <vt:variant>
        <vt:i4>3801203</vt:i4>
      </vt:variant>
      <vt:variant>
        <vt:i4>957</vt:i4>
      </vt:variant>
      <vt:variant>
        <vt:i4>0</vt:i4>
      </vt:variant>
      <vt:variant>
        <vt:i4>5</vt:i4>
      </vt:variant>
      <vt:variant>
        <vt:lpwstr/>
      </vt:variant>
      <vt:variant>
        <vt:lpwstr>table7</vt:lpwstr>
      </vt:variant>
      <vt:variant>
        <vt:i4>3801203</vt:i4>
      </vt:variant>
      <vt:variant>
        <vt:i4>954</vt:i4>
      </vt:variant>
      <vt:variant>
        <vt:i4>0</vt:i4>
      </vt:variant>
      <vt:variant>
        <vt:i4>5</vt:i4>
      </vt:variant>
      <vt:variant>
        <vt:lpwstr/>
      </vt:variant>
      <vt:variant>
        <vt:lpwstr>table7</vt:lpwstr>
      </vt:variant>
      <vt:variant>
        <vt:i4>1966142</vt:i4>
      </vt:variant>
      <vt:variant>
        <vt:i4>951</vt:i4>
      </vt:variant>
      <vt:variant>
        <vt:i4>0</vt:i4>
      </vt:variant>
      <vt:variant>
        <vt:i4>5</vt:i4>
      </vt:variant>
      <vt:variant>
        <vt:lpwstr/>
      </vt:variant>
      <vt:variant>
        <vt:lpwstr>_Step_8:_Implement</vt:lpwstr>
      </vt:variant>
      <vt:variant>
        <vt:i4>6750297</vt:i4>
      </vt:variant>
      <vt:variant>
        <vt:i4>948</vt:i4>
      </vt:variant>
      <vt:variant>
        <vt:i4>0</vt:i4>
      </vt:variant>
      <vt:variant>
        <vt:i4>5</vt:i4>
      </vt:variant>
      <vt:variant>
        <vt:lpwstr/>
      </vt:variant>
      <vt:variant>
        <vt:lpwstr>_10_Adaptive_planning</vt:lpwstr>
      </vt:variant>
      <vt:variant>
        <vt:i4>7733321</vt:i4>
      </vt:variant>
      <vt:variant>
        <vt:i4>945</vt:i4>
      </vt:variant>
      <vt:variant>
        <vt:i4>0</vt:i4>
      </vt:variant>
      <vt:variant>
        <vt:i4>5</vt:i4>
      </vt:variant>
      <vt:variant>
        <vt:lpwstr/>
      </vt:variant>
      <vt:variant>
        <vt:lpwstr>_Step_6:_Evaluate</vt:lpwstr>
      </vt:variant>
      <vt:variant>
        <vt:i4>1179686</vt:i4>
      </vt:variant>
      <vt:variant>
        <vt:i4>942</vt:i4>
      </vt:variant>
      <vt:variant>
        <vt:i4>0</vt:i4>
      </vt:variant>
      <vt:variant>
        <vt:i4>5</vt:i4>
      </vt:variant>
      <vt:variant>
        <vt:lpwstr/>
      </vt:variant>
      <vt:variant>
        <vt:lpwstr>_Step_4:_Assess</vt:lpwstr>
      </vt:variant>
      <vt:variant>
        <vt:i4>65594</vt:i4>
      </vt:variant>
      <vt:variant>
        <vt:i4>939</vt:i4>
      </vt:variant>
      <vt:variant>
        <vt:i4>0</vt:i4>
      </vt:variant>
      <vt:variant>
        <vt:i4>5</vt:i4>
      </vt:variant>
      <vt:variant>
        <vt:lpwstr/>
      </vt:variant>
      <vt:variant>
        <vt:lpwstr>_Step_3:_Establish</vt:lpwstr>
      </vt:variant>
      <vt:variant>
        <vt:i4>6750297</vt:i4>
      </vt:variant>
      <vt:variant>
        <vt:i4>936</vt:i4>
      </vt:variant>
      <vt:variant>
        <vt:i4>0</vt:i4>
      </vt:variant>
      <vt:variant>
        <vt:i4>5</vt:i4>
      </vt:variant>
      <vt:variant>
        <vt:lpwstr/>
      </vt:variant>
      <vt:variant>
        <vt:lpwstr>_10_Adaptive_planning</vt:lpwstr>
      </vt:variant>
      <vt:variant>
        <vt:i4>7733321</vt:i4>
      </vt:variant>
      <vt:variant>
        <vt:i4>933</vt:i4>
      </vt:variant>
      <vt:variant>
        <vt:i4>0</vt:i4>
      </vt:variant>
      <vt:variant>
        <vt:i4>5</vt:i4>
      </vt:variant>
      <vt:variant>
        <vt:lpwstr/>
      </vt:variant>
      <vt:variant>
        <vt:lpwstr>_Step_6:_Evaluate</vt:lpwstr>
      </vt:variant>
      <vt:variant>
        <vt:i4>3866739</vt:i4>
      </vt:variant>
      <vt:variant>
        <vt:i4>930</vt:i4>
      </vt:variant>
      <vt:variant>
        <vt:i4>0</vt:i4>
      </vt:variant>
      <vt:variant>
        <vt:i4>5</vt:i4>
      </vt:variant>
      <vt:variant>
        <vt:lpwstr/>
      </vt:variant>
      <vt:variant>
        <vt:lpwstr>table6</vt:lpwstr>
      </vt:variant>
      <vt:variant>
        <vt:i4>3801203</vt:i4>
      </vt:variant>
      <vt:variant>
        <vt:i4>927</vt:i4>
      </vt:variant>
      <vt:variant>
        <vt:i4>0</vt:i4>
      </vt:variant>
      <vt:variant>
        <vt:i4>5</vt:i4>
      </vt:variant>
      <vt:variant>
        <vt:lpwstr/>
      </vt:variant>
      <vt:variant>
        <vt:lpwstr>table7</vt:lpwstr>
      </vt:variant>
      <vt:variant>
        <vt:i4>2031662</vt:i4>
      </vt:variant>
      <vt:variant>
        <vt:i4>924</vt:i4>
      </vt:variant>
      <vt:variant>
        <vt:i4>0</vt:i4>
      </vt:variant>
      <vt:variant>
        <vt:i4>5</vt:i4>
      </vt:variant>
      <vt:variant>
        <vt:lpwstr/>
      </vt:variant>
      <vt:variant>
        <vt:lpwstr>_Supplements</vt:lpwstr>
      </vt:variant>
      <vt:variant>
        <vt:i4>2031662</vt:i4>
      </vt:variant>
      <vt:variant>
        <vt:i4>921</vt:i4>
      </vt:variant>
      <vt:variant>
        <vt:i4>0</vt:i4>
      </vt:variant>
      <vt:variant>
        <vt:i4>5</vt:i4>
      </vt:variant>
      <vt:variant>
        <vt:lpwstr/>
      </vt:variant>
      <vt:variant>
        <vt:lpwstr>_Supplements</vt:lpwstr>
      </vt:variant>
      <vt:variant>
        <vt:i4>852013</vt:i4>
      </vt:variant>
      <vt:variant>
        <vt:i4>918</vt:i4>
      </vt:variant>
      <vt:variant>
        <vt:i4>0</vt:i4>
      </vt:variant>
      <vt:variant>
        <vt:i4>5</vt:i4>
      </vt:variant>
      <vt:variant>
        <vt:lpwstr/>
      </vt:variant>
      <vt:variant>
        <vt:lpwstr>_RSLR_and_coastal</vt:lpwstr>
      </vt:variant>
      <vt:variant>
        <vt:i4>2031662</vt:i4>
      </vt:variant>
      <vt:variant>
        <vt:i4>915</vt:i4>
      </vt:variant>
      <vt:variant>
        <vt:i4>0</vt:i4>
      </vt:variant>
      <vt:variant>
        <vt:i4>5</vt:i4>
      </vt:variant>
      <vt:variant>
        <vt:lpwstr/>
      </vt:variant>
      <vt:variant>
        <vt:lpwstr>_Supplements</vt:lpwstr>
      </vt:variant>
      <vt:variant>
        <vt:i4>7929971</vt:i4>
      </vt:variant>
      <vt:variant>
        <vt:i4>912</vt:i4>
      </vt:variant>
      <vt:variant>
        <vt:i4>0</vt:i4>
      </vt:variant>
      <vt:variant>
        <vt:i4>5</vt:i4>
      </vt:variant>
      <vt:variant>
        <vt:lpwstr/>
      </vt:variant>
      <vt:variant>
        <vt:lpwstr>figure3</vt:lpwstr>
      </vt:variant>
      <vt:variant>
        <vt:i4>4718605</vt:i4>
      </vt:variant>
      <vt:variant>
        <vt:i4>909</vt:i4>
      </vt:variant>
      <vt:variant>
        <vt:i4>0</vt:i4>
      </vt:variant>
      <vt:variant>
        <vt:i4>5</vt:i4>
      </vt:variant>
      <vt:variant>
        <vt:lpwstr>https://www.searise.nz/maps-2</vt:lpwstr>
      </vt:variant>
      <vt:variant>
        <vt:lpwstr/>
      </vt:variant>
      <vt:variant>
        <vt:i4>7733321</vt:i4>
      </vt:variant>
      <vt:variant>
        <vt:i4>906</vt:i4>
      </vt:variant>
      <vt:variant>
        <vt:i4>0</vt:i4>
      </vt:variant>
      <vt:variant>
        <vt:i4>5</vt:i4>
      </vt:variant>
      <vt:variant>
        <vt:lpwstr/>
      </vt:variant>
      <vt:variant>
        <vt:lpwstr>_Step_6:_Evaluate</vt:lpwstr>
      </vt:variant>
      <vt:variant>
        <vt:i4>7536710</vt:i4>
      </vt:variant>
      <vt:variant>
        <vt:i4>903</vt:i4>
      </vt:variant>
      <vt:variant>
        <vt:i4>0</vt:i4>
      </vt:variant>
      <vt:variant>
        <vt:i4>5</vt:i4>
      </vt:variant>
      <vt:variant>
        <vt:lpwstr/>
      </vt:variant>
      <vt:variant>
        <vt:lpwstr>_Using_the_recommended</vt:lpwstr>
      </vt:variant>
      <vt:variant>
        <vt:i4>1179686</vt:i4>
      </vt:variant>
      <vt:variant>
        <vt:i4>900</vt:i4>
      </vt:variant>
      <vt:variant>
        <vt:i4>0</vt:i4>
      </vt:variant>
      <vt:variant>
        <vt:i4>5</vt:i4>
      </vt:variant>
      <vt:variant>
        <vt:lpwstr/>
      </vt:variant>
      <vt:variant>
        <vt:lpwstr>_Step_4:_Assess</vt:lpwstr>
      </vt:variant>
      <vt:variant>
        <vt:i4>1179680</vt:i4>
      </vt:variant>
      <vt:variant>
        <vt:i4>897</vt:i4>
      </vt:variant>
      <vt:variant>
        <vt:i4>0</vt:i4>
      </vt:variant>
      <vt:variant>
        <vt:i4>5</vt:i4>
      </vt:variant>
      <vt:variant>
        <vt:lpwstr/>
      </vt:variant>
      <vt:variant>
        <vt:lpwstr>_Step_2:_Assess</vt:lpwstr>
      </vt:variant>
      <vt:variant>
        <vt:i4>4718605</vt:i4>
      </vt:variant>
      <vt:variant>
        <vt:i4>894</vt:i4>
      </vt:variant>
      <vt:variant>
        <vt:i4>0</vt:i4>
      </vt:variant>
      <vt:variant>
        <vt:i4>5</vt:i4>
      </vt:variant>
      <vt:variant>
        <vt:lpwstr>https://www.searise.nz/maps-2</vt:lpwstr>
      </vt:variant>
      <vt:variant>
        <vt:lpwstr/>
      </vt:variant>
      <vt:variant>
        <vt:i4>1507379</vt:i4>
      </vt:variant>
      <vt:variant>
        <vt:i4>891</vt:i4>
      </vt:variant>
      <vt:variant>
        <vt:i4>0</vt:i4>
      </vt:variant>
      <vt:variant>
        <vt:i4>5</vt:i4>
      </vt:variant>
      <vt:variant>
        <vt:lpwstr/>
      </vt:variant>
      <vt:variant>
        <vt:lpwstr>_Step_7:_D</vt:lpwstr>
      </vt:variant>
      <vt:variant>
        <vt:i4>7733321</vt:i4>
      </vt:variant>
      <vt:variant>
        <vt:i4>888</vt:i4>
      </vt:variant>
      <vt:variant>
        <vt:i4>0</vt:i4>
      </vt:variant>
      <vt:variant>
        <vt:i4>5</vt:i4>
      </vt:variant>
      <vt:variant>
        <vt:lpwstr/>
      </vt:variant>
      <vt:variant>
        <vt:lpwstr>_Step_6:_Evaluate</vt:lpwstr>
      </vt:variant>
      <vt:variant>
        <vt:i4>1179686</vt:i4>
      </vt:variant>
      <vt:variant>
        <vt:i4>885</vt:i4>
      </vt:variant>
      <vt:variant>
        <vt:i4>0</vt:i4>
      </vt:variant>
      <vt:variant>
        <vt:i4>5</vt:i4>
      </vt:variant>
      <vt:variant>
        <vt:lpwstr/>
      </vt:variant>
      <vt:variant>
        <vt:lpwstr>_Step_4:_Assess</vt:lpwstr>
      </vt:variant>
      <vt:variant>
        <vt:i4>7929971</vt:i4>
      </vt:variant>
      <vt:variant>
        <vt:i4>882</vt:i4>
      </vt:variant>
      <vt:variant>
        <vt:i4>0</vt:i4>
      </vt:variant>
      <vt:variant>
        <vt:i4>5</vt:i4>
      </vt:variant>
      <vt:variant>
        <vt:lpwstr/>
      </vt:variant>
      <vt:variant>
        <vt:lpwstr>figure9</vt:lpwstr>
      </vt:variant>
      <vt:variant>
        <vt:i4>3801203</vt:i4>
      </vt:variant>
      <vt:variant>
        <vt:i4>879</vt:i4>
      </vt:variant>
      <vt:variant>
        <vt:i4>0</vt:i4>
      </vt:variant>
      <vt:variant>
        <vt:i4>5</vt:i4>
      </vt:variant>
      <vt:variant>
        <vt:lpwstr/>
      </vt:variant>
      <vt:variant>
        <vt:lpwstr>table7</vt:lpwstr>
      </vt:variant>
      <vt:variant>
        <vt:i4>6029338</vt:i4>
      </vt:variant>
      <vt:variant>
        <vt:i4>876</vt:i4>
      </vt:variant>
      <vt:variant>
        <vt:i4>0</vt:i4>
      </vt:variant>
      <vt:variant>
        <vt:i4>5</vt:i4>
      </vt:variant>
      <vt:variant>
        <vt:lpwstr/>
      </vt:variant>
      <vt:variant>
        <vt:lpwstr>box3</vt:lpwstr>
      </vt:variant>
      <vt:variant>
        <vt:i4>7929971</vt:i4>
      </vt:variant>
      <vt:variant>
        <vt:i4>873</vt:i4>
      </vt:variant>
      <vt:variant>
        <vt:i4>0</vt:i4>
      </vt:variant>
      <vt:variant>
        <vt:i4>5</vt:i4>
      </vt:variant>
      <vt:variant>
        <vt:lpwstr/>
      </vt:variant>
      <vt:variant>
        <vt:lpwstr>figure9</vt:lpwstr>
      </vt:variant>
      <vt:variant>
        <vt:i4>3801203</vt:i4>
      </vt:variant>
      <vt:variant>
        <vt:i4>870</vt:i4>
      </vt:variant>
      <vt:variant>
        <vt:i4>0</vt:i4>
      </vt:variant>
      <vt:variant>
        <vt:i4>5</vt:i4>
      </vt:variant>
      <vt:variant>
        <vt:lpwstr/>
      </vt:variant>
      <vt:variant>
        <vt:lpwstr>table7</vt:lpwstr>
      </vt:variant>
      <vt:variant>
        <vt:i4>3866739</vt:i4>
      </vt:variant>
      <vt:variant>
        <vt:i4>867</vt:i4>
      </vt:variant>
      <vt:variant>
        <vt:i4>0</vt:i4>
      </vt:variant>
      <vt:variant>
        <vt:i4>5</vt:i4>
      </vt:variant>
      <vt:variant>
        <vt:lpwstr/>
      </vt:variant>
      <vt:variant>
        <vt:lpwstr>table6</vt:lpwstr>
      </vt:variant>
      <vt:variant>
        <vt:i4>3670131</vt:i4>
      </vt:variant>
      <vt:variant>
        <vt:i4>864</vt:i4>
      </vt:variant>
      <vt:variant>
        <vt:i4>0</vt:i4>
      </vt:variant>
      <vt:variant>
        <vt:i4>5</vt:i4>
      </vt:variant>
      <vt:variant>
        <vt:lpwstr/>
      </vt:variant>
      <vt:variant>
        <vt:lpwstr>table5</vt:lpwstr>
      </vt:variant>
      <vt:variant>
        <vt:i4>6094897</vt:i4>
      </vt:variant>
      <vt:variant>
        <vt:i4>861</vt:i4>
      </vt:variant>
      <vt:variant>
        <vt:i4>0</vt:i4>
      </vt:variant>
      <vt:variant>
        <vt:i4>5</vt:i4>
      </vt:variant>
      <vt:variant>
        <vt:lpwstr/>
      </vt:variant>
      <vt:variant>
        <vt:lpwstr>_Step_10:_Review</vt:lpwstr>
      </vt:variant>
      <vt:variant>
        <vt:i4>786484</vt:i4>
      </vt:variant>
      <vt:variant>
        <vt:i4>858</vt:i4>
      </vt:variant>
      <vt:variant>
        <vt:i4>0</vt:i4>
      </vt:variant>
      <vt:variant>
        <vt:i4>5</vt:i4>
      </vt:variant>
      <vt:variant>
        <vt:lpwstr/>
      </vt:variant>
      <vt:variant>
        <vt:lpwstr>_11_Monitoring_and</vt:lpwstr>
      </vt:variant>
      <vt:variant>
        <vt:i4>3866739</vt:i4>
      </vt:variant>
      <vt:variant>
        <vt:i4>855</vt:i4>
      </vt:variant>
      <vt:variant>
        <vt:i4>0</vt:i4>
      </vt:variant>
      <vt:variant>
        <vt:i4>5</vt:i4>
      </vt:variant>
      <vt:variant>
        <vt:lpwstr/>
      </vt:variant>
      <vt:variant>
        <vt:lpwstr>table6</vt:lpwstr>
      </vt:variant>
      <vt:variant>
        <vt:i4>4784194</vt:i4>
      </vt:variant>
      <vt:variant>
        <vt:i4>852</vt:i4>
      </vt:variant>
      <vt:variant>
        <vt:i4>0</vt:i4>
      </vt:variant>
      <vt:variant>
        <vt:i4>5</vt:i4>
      </vt:variant>
      <vt:variant>
        <vt:lpwstr/>
      </vt:variant>
      <vt:variant>
        <vt:lpwstr>figure10</vt:lpwstr>
      </vt:variant>
      <vt:variant>
        <vt:i4>3801203</vt:i4>
      </vt:variant>
      <vt:variant>
        <vt:i4>849</vt:i4>
      </vt:variant>
      <vt:variant>
        <vt:i4>0</vt:i4>
      </vt:variant>
      <vt:variant>
        <vt:i4>5</vt:i4>
      </vt:variant>
      <vt:variant>
        <vt:lpwstr/>
      </vt:variant>
      <vt:variant>
        <vt:lpwstr>table7</vt:lpwstr>
      </vt:variant>
      <vt:variant>
        <vt:i4>3866739</vt:i4>
      </vt:variant>
      <vt:variant>
        <vt:i4>846</vt:i4>
      </vt:variant>
      <vt:variant>
        <vt:i4>0</vt:i4>
      </vt:variant>
      <vt:variant>
        <vt:i4>5</vt:i4>
      </vt:variant>
      <vt:variant>
        <vt:lpwstr/>
      </vt:variant>
      <vt:variant>
        <vt:lpwstr>table6</vt:lpwstr>
      </vt:variant>
      <vt:variant>
        <vt:i4>4718658</vt:i4>
      </vt:variant>
      <vt:variant>
        <vt:i4>843</vt:i4>
      </vt:variant>
      <vt:variant>
        <vt:i4>0</vt:i4>
      </vt:variant>
      <vt:variant>
        <vt:i4>5</vt:i4>
      </vt:variant>
      <vt:variant>
        <vt:lpwstr/>
      </vt:variant>
      <vt:variant>
        <vt:lpwstr>figure11</vt:lpwstr>
      </vt:variant>
      <vt:variant>
        <vt:i4>7405601</vt:i4>
      </vt:variant>
      <vt:variant>
        <vt:i4>840</vt:i4>
      </vt:variant>
      <vt:variant>
        <vt:i4>0</vt:i4>
      </vt:variant>
      <vt:variant>
        <vt:i4>5</vt:i4>
      </vt:variant>
      <vt:variant>
        <vt:lpwstr>http://www.stats.govt.nz/indicators/coastal-sea-level-rise</vt:lpwstr>
      </vt:variant>
      <vt:variant>
        <vt:lpwstr/>
      </vt:variant>
      <vt:variant>
        <vt:i4>2031662</vt:i4>
      </vt:variant>
      <vt:variant>
        <vt:i4>837</vt:i4>
      </vt:variant>
      <vt:variant>
        <vt:i4>0</vt:i4>
      </vt:variant>
      <vt:variant>
        <vt:i4>5</vt:i4>
      </vt:variant>
      <vt:variant>
        <vt:lpwstr/>
      </vt:variant>
      <vt:variant>
        <vt:lpwstr>_Supplements</vt:lpwstr>
      </vt:variant>
      <vt:variant>
        <vt:i4>1245294</vt:i4>
      </vt:variant>
      <vt:variant>
        <vt:i4>834</vt:i4>
      </vt:variant>
      <vt:variant>
        <vt:i4>0</vt:i4>
      </vt:variant>
      <vt:variant>
        <vt:i4>5</vt:i4>
      </vt:variant>
      <vt:variant>
        <vt:lpwstr/>
      </vt:variant>
      <vt:variant>
        <vt:lpwstr>_9_Adapting_to</vt:lpwstr>
      </vt:variant>
      <vt:variant>
        <vt:i4>4784194</vt:i4>
      </vt:variant>
      <vt:variant>
        <vt:i4>831</vt:i4>
      </vt:variant>
      <vt:variant>
        <vt:i4>0</vt:i4>
      </vt:variant>
      <vt:variant>
        <vt:i4>5</vt:i4>
      </vt:variant>
      <vt:variant>
        <vt:lpwstr/>
      </vt:variant>
      <vt:variant>
        <vt:lpwstr>figure10</vt:lpwstr>
      </vt:variant>
      <vt:variant>
        <vt:i4>4915266</vt:i4>
      </vt:variant>
      <vt:variant>
        <vt:i4>828</vt:i4>
      </vt:variant>
      <vt:variant>
        <vt:i4>0</vt:i4>
      </vt:variant>
      <vt:variant>
        <vt:i4>5</vt:i4>
      </vt:variant>
      <vt:variant>
        <vt:lpwstr/>
      </vt:variant>
      <vt:variant>
        <vt:lpwstr>figure12</vt:lpwstr>
      </vt:variant>
      <vt:variant>
        <vt:i4>655407</vt:i4>
      </vt:variant>
      <vt:variant>
        <vt:i4>825</vt:i4>
      </vt:variant>
      <vt:variant>
        <vt:i4>0</vt:i4>
      </vt:variant>
      <vt:variant>
        <vt:i4>5</vt:i4>
      </vt:variant>
      <vt:variant>
        <vt:lpwstr/>
      </vt:variant>
      <vt:variant>
        <vt:lpwstr>_Approaches_for_using</vt:lpwstr>
      </vt:variant>
      <vt:variant>
        <vt:i4>6094897</vt:i4>
      </vt:variant>
      <vt:variant>
        <vt:i4>822</vt:i4>
      </vt:variant>
      <vt:variant>
        <vt:i4>0</vt:i4>
      </vt:variant>
      <vt:variant>
        <vt:i4>5</vt:i4>
      </vt:variant>
      <vt:variant>
        <vt:lpwstr/>
      </vt:variant>
      <vt:variant>
        <vt:lpwstr>_Step_10:_Review</vt:lpwstr>
      </vt:variant>
      <vt:variant>
        <vt:i4>786484</vt:i4>
      </vt:variant>
      <vt:variant>
        <vt:i4>819</vt:i4>
      </vt:variant>
      <vt:variant>
        <vt:i4>0</vt:i4>
      </vt:variant>
      <vt:variant>
        <vt:i4>5</vt:i4>
      </vt:variant>
      <vt:variant>
        <vt:lpwstr/>
      </vt:variant>
      <vt:variant>
        <vt:lpwstr>_11_Monitoring_and</vt:lpwstr>
      </vt:variant>
      <vt:variant>
        <vt:i4>5505104</vt:i4>
      </vt:variant>
      <vt:variant>
        <vt:i4>816</vt:i4>
      </vt:variant>
      <vt:variant>
        <vt:i4>0</vt:i4>
      </vt:variant>
      <vt:variant>
        <vt:i4>5</vt:i4>
      </vt:variant>
      <vt:variant>
        <vt:lpwstr>http://www.searise.nz/maps-2</vt:lpwstr>
      </vt:variant>
      <vt:variant>
        <vt:lpwstr/>
      </vt:variant>
      <vt:variant>
        <vt:i4>7929971</vt:i4>
      </vt:variant>
      <vt:variant>
        <vt:i4>813</vt:i4>
      </vt:variant>
      <vt:variant>
        <vt:i4>0</vt:i4>
      </vt:variant>
      <vt:variant>
        <vt:i4>5</vt:i4>
      </vt:variant>
      <vt:variant>
        <vt:lpwstr/>
      </vt:variant>
      <vt:variant>
        <vt:lpwstr>figure9</vt:lpwstr>
      </vt:variant>
      <vt:variant>
        <vt:i4>7929971</vt:i4>
      </vt:variant>
      <vt:variant>
        <vt:i4>810</vt:i4>
      </vt:variant>
      <vt:variant>
        <vt:i4>0</vt:i4>
      </vt:variant>
      <vt:variant>
        <vt:i4>5</vt:i4>
      </vt:variant>
      <vt:variant>
        <vt:lpwstr/>
      </vt:variant>
      <vt:variant>
        <vt:lpwstr>figure9</vt:lpwstr>
      </vt:variant>
      <vt:variant>
        <vt:i4>7929971</vt:i4>
      </vt:variant>
      <vt:variant>
        <vt:i4>807</vt:i4>
      </vt:variant>
      <vt:variant>
        <vt:i4>0</vt:i4>
      </vt:variant>
      <vt:variant>
        <vt:i4>5</vt:i4>
      </vt:variant>
      <vt:variant>
        <vt:lpwstr/>
      </vt:variant>
      <vt:variant>
        <vt:lpwstr>figure9</vt:lpwstr>
      </vt:variant>
      <vt:variant>
        <vt:i4>6291456</vt:i4>
      </vt:variant>
      <vt:variant>
        <vt:i4>804</vt:i4>
      </vt:variant>
      <vt:variant>
        <vt:i4>0</vt:i4>
      </vt:variant>
      <vt:variant>
        <vt:i4>5</vt:i4>
      </vt:variant>
      <vt:variant>
        <vt:lpwstr/>
      </vt:variant>
      <vt:variant>
        <vt:lpwstr>_Appendix_D:_Baseline</vt:lpwstr>
      </vt:variant>
      <vt:variant>
        <vt:i4>4391030</vt:i4>
      </vt:variant>
      <vt:variant>
        <vt:i4>801</vt:i4>
      </vt:variant>
      <vt:variant>
        <vt:i4>0</vt:i4>
      </vt:variant>
      <vt:variant>
        <vt:i4>5</vt:i4>
      </vt:variant>
      <vt:variant>
        <vt:lpwstr/>
      </vt:variant>
      <vt:variant>
        <vt:lpwstr>_Interim_allowances_for</vt:lpwstr>
      </vt:variant>
      <vt:variant>
        <vt:i4>7733321</vt:i4>
      </vt:variant>
      <vt:variant>
        <vt:i4>798</vt:i4>
      </vt:variant>
      <vt:variant>
        <vt:i4>0</vt:i4>
      </vt:variant>
      <vt:variant>
        <vt:i4>5</vt:i4>
      </vt:variant>
      <vt:variant>
        <vt:lpwstr/>
      </vt:variant>
      <vt:variant>
        <vt:lpwstr>_Step_6:_Evaluate</vt:lpwstr>
      </vt:variant>
      <vt:variant>
        <vt:i4>7143506</vt:i4>
      </vt:variant>
      <vt:variant>
        <vt:i4>795</vt:i4>
      </vt:variant>
      <vt:variant>
        <vt:i4>0</vt:i4>
      </vt:variant>
      <vt:variant>
        <vt:i4>5</vt:i4>
      </vt:variant>
      <vt:variant>
        <vt:lpwstr/>
      </vt:variant>
      <vt:variant>
        <vt:lpwstr>_Step_5:_Identify</vt:lpwstr>
      </vt:variant>
      <vt:variant>
        <vt:i4>3670131</vt:i4>
      </vt:variant>
      <vt:variant>
        <vt:i4>792</vt:i4>
      </vt:variant>
      <vt:variant>
        <vt:i4>0</vt:i4>
      </vt:variant>
      <vt:variant>
        <vt:i4>5</vt:i4>
      </vt:variant>
      <vt:variant>
        <vt:lpwstr/>
      </vt:variant>
      <vt:variant>
        <vt:lpwstr>table5</vt:lpwstr>
      </vt:variant>
      <vt:variant>
        <vt:i4>1179686</vt:i4>
      </vt:variant>
      <vt:variant>
        <vt:i4>789</vt:i4>
      </vt:variant>
      <vt:variant>
        <vt:i4>0</vt:i4>
      </vt:variant>
      <vt:variant>
        <vt:i4>5</vt:i4>
      </vt:variant>
      <vt:variant>
        <vt:lpwstr/>
      </vt:variant>
      <vt:variant>
        <vt:lpwstr>_Step_4:_Assess</vt:lpwstr>
      </vt:variant>
      <vt:variant>
        <vt:i4>1179680</vt:i4>
      </vt:variant>
      <vt:variant>
        <vt:i4>786</vt:i4>
      </vt:variant>
      <vt:variant>
        <vt:i4>0</vt:i4>
      </vt:variant>
      <vt:variant>
        <vt:i4>5</vt:i4>
      </vt:variant>
      <vt:variant>
        <vt:lpwstr/>
      </vt:variant>
      <vt:variant>
        <vt:lpwstr>_Step_2:_Assess</vt:lpwstr>
      </vt:variant>
      <vt:variant>
        <vt:i4>6160410</vt:i4>
      </vt:variant>
      <vt:variant>
        <vt:i4>783</vt:i4>
      </vt:variant>
      <vt:variant>
        <vt:i4>0</vt:i4>
      </vt:variant>
      <vt:variant>
        <vt:i4>5</vt:i4>
      </vt:variant>
      <vt:variant>
        <vt:lpwstr/>
      </vt:variant>
      <vt:variant>
        <vt:lpwstr>box1</vt:lpwstr>
      </vt:variant>
      <vt:variant>
        <vt:i4>7733321</vt:i4>
      </vt:variant>
      <vt:variant>
        <vt:i4>780</vt:i4>
      </vt:variant>
      <vt:variant>
        <vt:i4>0</vt:i4>
      </vt:variant>
      <vt:variant>
        <vt:i4>5</vt:i4>
      </vt:variant>
      <vt:variant>
        <vt:lpwstr/>
      </vt:variant>
      <vt:variant>
        <vt:lpwstr>_Step_6:_Evaluate</vt:lpwstr>
      </vt:variant>
      <vt:variant>
        <vt:i4>2031662</vt:i4>
      </vt:variant>
      <vt:variant>
        <vt:i4>777</vt:i4>
      </vt:variant>
      <vt:variant>
        <vt:i4>0</vt:i4>
      </vt:variant>
      <vt:variant>
        <vt:i4>5</vt:i4>
      </vt:variant>
      <vt:variant>
        <vt:lpwstr/>
      </vt:variant>
      <vt:variant>
        <vt:lpwstr>_Supplements</vt:lpwstr>
      </vt:variant>
      <vt:variant>
        <vt:i4>3866739</vt:i4>
      </vt:variant>
      <vt:variant>
        <vt:i4>774</vt:i4>
      </vt:variant>
      <vt:variant>
        <vt:i4>0</vt:i4>
      </vt:variant>
      <vt:variant>
        <vt:i4>5</vt:i4>
      </vt:variant>
      <vt:variant>
        <vt:lpwstr/>
      </vt:variant>
      <vt:variant>
        <vt:lpwstr>table6</vt:lpwstr>
      </vt:variant>
      <vt:variant>
        <vt:i4>2031662</vt:i4>
      </vt:variant>
      <vt:variant>
        <vt:i4>771</vt:i4>
      </vt:variant>
      <vt:variant>
        <vt:i4>0</vt:i4>
      </vt:variant>
      <vt:variant>
        <vt:i4>5</vt:i4>
      </vt:variant>
      <vt:variant>
        <vt:lpwstr/>
      </vt:variant>
      <vt:variant>
        <vt:lpwstr>_Supplements</vt:lpwstr>
      </vt:variant>
      <vt:variant>
        <vt:i4>7864416</vt:i4>
      </vt:variant>
      <vt:variant>
        <vt:i4>768</vt:i4>
      </vt:variant>
      <vt:variant>
        <vt:i4>0</vt:i4>
      </vt:variant>
      <vt:variant>
        <vt:i4>5</vt:i4>
      </vt:variant>
      <vt:variant>
        <vt:lpwstr>http://www.farmersweekly.co.nz/news/sea-threat-arrives</vt:lpwstr>
      </vt:variant>
      <vt:variant>
        <vt:lpwstr/>
      </vt:variant>
      <vt:variant>
        <vt:i4>2031662</vt:i4>
      </vt:variant>
      <vt:variant>
        <vt:i4>756</vt:i4>
      </vt:variant>
      <vt:variant>
        <vt:i4>0</vt:i4>
      </vt:variant>
      <vt:variant>
        <vt:i4>5</vt:i4>
      </vt:variant>
      <vt:variant>
        <vt:lpwstr/>
      </vt:variant>
      <vt:variant>
        <vt:lpwstr>_Supplements</vt:lpwstr>
      </vt:variant>
      <vt:variant>
        <vt:i4>5505104</vt:i4>
      </vt:variant>
      <vt:variant>
        <vt:i4>753</vt:i4>
      </vt:variant>
      <vt:variant>
        <vt:i4>0</vt:i4>
      </vt:variant>
      <vt:variant>
        <vt:i4>5</vt:i4>
      </vt:variant>
      <vt:variant>
        <vt:lpwstr>http://www.searise.nz/maps-2</vt:lpwstr>
      </vt:variant>
      <vt:variant>
        <vt:lpwstr/>
      </vt:variant>
      <vt:variant>
        <vt:i4>7405601</vt:i4>
      </vt:variant>
      <vt:variant>
        <vt:i4>744</vt:i4>
      </vt:variant>
      <vt:variant>
        <vt:i4>0</vt:i4>
      </vt:variant>
      <vt:variant>
        <vt:i4>5</vt:i4>
      </vt:variant>
      <vt:variant>
        <vt:lpwstr>http://www.stats.govt.nz/indicators/coastal-sea-level-rise</vt:lpwstr>
      </vt:variant>
      <vt:variant>
        <vt:lpwstr/>
      </vt:variant>
      <vt:variant>
        <vt:i4>2031662</vt:i4>
      </vt:variant>
      <vt:variant>
        <vt:i4>741</vt:i4>
      </vt:variant>
      <vt:variant>
        <vt:i4>0</vt:i4>
      </vt:variant>
      <vt:variant>
        <vt:i4>5</vt:i4>
      </vt:variant>
      <vt:variant>
        <vt:lpwstr/>
      </vt:variant>
      <vt:variant>
        <vt:lpwstr>_Supplements</vt:lpwstr>
      </vt:variant>
      <vt:variant>
        <vt:i4>7733321</vt:i4>
      </vt:variant>
      <vt:variant>
        <vt:i4>738</vt:i4>
      </vt:variant>
      <vt:variant>
        <vt:i4>0</vt:i4>
      </vt:variant>
      <vt:variant>
        <vt:i4>5</vt:i4>
      </vt:variant>
      <vt:variant>
        <vt:lpwstr/>
      </vt:variant>
      <vt:variant>
        <vt:lpwstr>_Step_6:_Evaluate</vt:lpwstr>
      </vt:variant>
      <vt:variant>
        <vt:i4>7143506</vt:i4>
      </vt:variant>
      <vt:variant>
        <vt:i4>735</vt:i4>
      </vt:variant>
      <vt:variant>
        <vt:i4>0</vt:i4>
      </vt:variant>
      <vt:variant>
        <vt:i4>5</vt:i4>
      </vt:variant>
      <vt:variant>
        <vt:lpwstr/>
      </vt:variant>
      <vt:variant>
        <vt:lpwstr>_Step_5:_Identify</vt:lpwstr>
      </vt:variant>
      <vt:variant>
        <vt:i4>1179686</vt:i4>
      </vt:variant>
      <vt:variant>
        <vt:i4>732</vt:i4>
      </vt:variant>
      <vt:variant>
        <vt:i4>0</vt:i4>
      </vt:variant>
      <vt:variant>
        <vt:i4>5</vt:i4>
      </vt:variant>
      <vt:variant>
        <vt:lpwstr/>
      </vt:variant>
      <vt:variant>
        <vt:lpwstr>_Step_4:_Assess</vt:lpwstr>
      </vt:variant>
      <vt:variant>
        <vt:i4>4718605</vt:i4>
      </vt:variant>
      <vt:variant>
        <vt:i4>729</vt:i4>
      </vt:variant>
      <vt:variant>
        <vt:i4>0</vt:i4>
      </vt:variant>
      <vt:variant>
        <vt:i4>5</vt:i4>
      </vt:variant>
      <vt:variant>
        <vt:lpwstr>https://www.searise.nz/maps-2</vt:lpwstr>
      </vt:variant>
      <vt:variant>
        <vt:lpwstr/>
      </vt:variant>
      <vt:variant>
        <vt:i4>655454</vt:i4>
      </vt:variant>
      <vt:variant>
        <vt:i4>726</vt:i4>
      </vt:variant>
      <vt:variant>
        <vt:i4>0</vt:i4>
      </vt:variant>
      <vt:variant>
        <vt:i4>5</vt:i4>
      </vt:variant>
      <vt:variant>
        <vt:lpwstr>https://environment.govt.nz/publications/community-led-retreat-and-adaptation-funding-issues-and-options/</vt:lpwstr>
      </vt:variant>
      <vt:variant>
        <vt:lpwstr/>
      </vt:variant>
      <vt:variant>
        <vt:i4>3735667</vt:i4>
      </vt:variant>
      <vt:variant>
        <vt:i4>723</vt:i4>
      </vt:variant>
      <vt:variant>
        <vt:i4>0</vt:i4>
      </vt:variant>
      <vt:variant>
        <vt:i4>5</vt:i4>
      </vt:variant>
      <vt:variant>
        <vt:lpwstr/>
      </vt:variant>
      <vt:variant>
        <vt:lpwstr>table4</vt:lpwstr>
      </vt:variant>
      <vt:variant>
        <vt:i4>7798812</vt:i4>
      </vt:variant>
      <vt:variant>
        <vt:i4>720</vt:i4>
      </vt:variant>
      <vt:variant>
        <vt:i4>0</vt:i4>
      </vt:variant>
      <vt:variant>
        <vt:i4>5</vt:i4>
      </vt:variant>
      <vt:variant>
        <vt:lpwstr/>
      </vt:variant>
      <vt:variant>
        <vt:lpwstr>_Appendix_D:_Dynamic</vt:lpwstr>
      </vt:variant>
      <vt:variant>
        <vt:i4>2555915</vt:i4>
      </vt:variant>
      <vt:variant>
        <vt:i4>717</vt:i4>
      </vt:variant>
      <vt:variant>
        <vt:i4>0</vt:i4>
      </vt:variant>
      <vt:variant>
        <vt:i4>5</vt:i4>
      </vt:variant>
      <vt:variant>
        <vt:lpwstr/>
      </vt:variant>
      <vt:variant>
        <vt:lpwstr>_Application__of</vt:lpwstr>
      </vt:variant>
      <vt:variant>
        <vt:i4>1572915</vt:i4>
      </vt:variant>
      <vt:variant>
        <vt:i4>714</vt:i4>
      </vt:variant>
      <vt:variant>
        <vt:i4>0</vt:i4>
      </vt:variant>
      <vt:variant>
        <vt:i4>5</vt:i4>
      </vt:variant>
      <vt:variant>
        <vt:lpwstr/>
      </vt:variant>
      <vt:variant>
        <vt:lpwstr>_Consider_options_and</vt:lpwstr>
      </vt:variant>
      <vt:variant>
        <vt:i4>3407874</vt:i4>
      </vt:variant>
      <vt:variant>
        <vt:i4>711</vt:i4>
      </vt:variant>
      <vt:variant>
        <vt:i4>0</vt:i4>
      </vt:variant>
      <vt:variant>
        <vt:i4>5</vt:i4>
      </vt:variant>
      <vt:variant>
        <vt:lpwstr/>
      </vt:variant>
      <vt:variant>
        <vt:lpwstr>_Identify_adaptation_options</vt:lpwstr>
      </vt:variant>
      <vt:variant>
        <vt:i4>7929971</vt:i4>
      </vt:variant>
      <vt:variant>
        <vt:i4>708</vt:i4>
      </vt:variant>
      <vt:variant>
        <vt:i4>0</vt:i4>
      </vt:variant>
      <vt:variant>
        <vt:i4>5</vt:i4>
      </vt:variant>
      <vt:variant>
        <vt:lpwstr/>
      </vt:variant>
      <vt:variant>
        <vt:lpwstr>figure6</vt:lpwstr>
      </vt:variant>
      <vt:variant>
        <vt:i4>7929971</vt:i4>
      </vt:variant>
      <vt:variant>
        <vt:i4>705</vt:i4>
      </vt:variant>
      <vt:variant>
        <vt:i4>0</vt:i4>
      </vt:variant>
      <vt:variant>
        <vt:i4>5</vt:i4>
      </vt:variant>
      <vt:variant>
        <vt:lpwstr/>
      </vt:variant>
      <vt:variant>
        <vt:lpwstr>figure6</vt:lpwstr>
      </vt:variant>
      <vt:variant>
        <vt:i4>6160410</vt:i4>
      </vt:variant>
      <vt:variant>
        <vt:i4>702</vt:i4>
      </vt:variant>
      <vt:variant>
        <vt:i4>0</vt:i4>
      </vt:variant>
      <vt:variant>
        <vt:i4>5</vt:i4>
      </vt:variant>
      <vt:variant>
        <vt:lpwstr/>
      </vt:variant>
      <vt:variant>
        <vt:lpwstr>box12</vt:lpwstr>
      </vt:variant>
      <vt:variant>
        <vt:i4>6422565</vt:i4>
      </vt:variant>
      <vt:variant>
        <vt:i4>699</vt:i4>
      </vt:variant>
      <vt:variant>
        <vt:i4>0</vt:i4>
      </vt:variant>
      <vt:variant>
        <vt:i4>5</vt:i4>
      </vt:variant>
      <vt:variant>
        <vt:lpwstr>https://www.iso.org/obp/ui/</vt:lpwstr>
      </vt:variant>
      <vt:variant>
        <vt:lpwstr>iso:std:iso:14091:ed-1:v1:en</vt:lpwstr>
      </vt:variant>
      <vt:variant>
        <vt:i4>4456531</vt:i4>
      </vt:variant>
      <vt:variant>
        <vt:i4>696</vt:i4>
      </vt:variant>
      <vt:variant>
        <vt:i4>0</vt:i4>
      </vt:variant>
      <vt:variant>
        <vt:i4>5</vt:i4>
      </vt:variant>
      <vt:variant>
        <vt:lpwstr>https://www.iso.org/obp/ui/</vt:lpwstr>
      </vt:variant>
      <vt:variant>
        <vt:lpwstr>iso:std:iso:ts:14092:ed-1:v1:en</vt:lpwstr>
      </vt:variant>
      <vt:variant>
        <vt:i4>6422564</vt:i4>
      </vt:variant>
      <vt:variant>
        <vt:i4>693</vt:i4>
      </vt:variant>
      <vt:variant>
        <vt:i4>0</vt:i4>
      </vt:variant>
      <vt:variant>
        <vt:i4>5</vt:i4>
      </vt:variant>
      <vt:variant>
        <vt:lpwstr>https://www.iso.org/obp/ui/</vt:lpwstr>
      </vt:variant>
      <vt:variant>
        <vt:lpwstr>iso:std:iso:14090:ed-1:v1:en</vt:lpwstr>
      </vt:variant>
      <vt:variant>
        <vt:i4>1179686</vt:i4>
      </vt:variant>
      <vt:variant>
        <vt:i4>690</vt:i4>
      </vt:variant>
      <vt:variant>
        <vt:i4>0</vt:i4>
      </vt:variant>
      <vt:variant>
        <vt:i4>5</vt:i4>
      </vt:variant>
      <vt:variant>
        <vt:lpwstr/>
      </vt:variant>
      <vt:variant>
        <vt:lpwstr>_Step_4:_Assess</vt:lpwstr>
      </vt:variant>
      <vt:variant>
        <vt:i4>5177410</vt:i4>
      </vt:variant>
      <vt:variant>
        <vt:i4>687</vt:i4>
      </vt:variant>
      <vt:variant>
        <vt:i4>0</vt:i4>
      </vt:variant>
      <vt:variant>
        <vt:i4>5</vt:i4>
      </vt:variant>
      <vt:variant>
        <vt:lpwstr/>
      </vt:variant>
      <vt:variant>
        <vt:lpwstr>figure16</vt:lpwstr>
      </vt:variant>
      <vt:variant>
        <vt:i4>6357118</vt:i4>
      </vt:variant>
      <vt:variant>
        <vt:i4>684</vt:i4>
      </vt:variant>
      <vt:variant>
        <vt:i4>0</vt:i4>
      </vt:variant>
      <vt:variant>
        <vt:i4>5</vt:i4>
      </vt:variant>
      <vt:variant>
        <vt:lpwstr>bookmark://figure3/</vt:lpwstr>
      </vt:variant>
      <vt:variant>
        <vt:lpwstr/>
      </vt:variant>
      <vt:variant>
        <vt:i4>2031662</vt:i4>
      </vt:variant>
      <vt:variant>
        <vt:i4>681</vt:i4>
      </vt:variant>
      <vt:variant>
        <vt:i4>0</vt:i4>
      </vt:variant>
      <vt:variant>
        <vt:i4>5</vt:i4>
      </vt:variant>
      <vt:variant>
        <vt:lpwstr/>
      </vt:variant>
      <vt:variant>
        <vt:lpwstr>_Supplements</vt:lpwstr>
      </vt:variant>
      <vt:variant>
        <vt:i4>7667722</vt:i4>
      </vt:variant>
      <vt:variant>
        <vt:i4>678</vt:i4>
      </vt:variant>
      <vt:variant>
        <vt:i4>0</vt:i4>
      </vt:variant>
      <vt:variant>
        <vt:i4>5</vt:i4>
      </vt:variant>
      <vt:variant>
        <vt:lpwstr/>
      </vt:variant>
      <vt:variant>
        <vt:lpwstr>_Appendix_B:_Relevant</vt:lpwstr>
      </vt:variant>
      <vt:variant>
        <vt:i4>7667722</vt:i4>
      </vt:variant>
      <vt:variant>
        <vt:i4>675</vt:i4>
      </vt:variant>
      <vt:variant>
        <vt:i4>0</vt:i4>
      </vt:variant>
      <vt:variant>
        <vt:i4>5</vt:i4>
      </vt:variant>
      <vt:variant>
        <vt:lpwstr/>
      </vt:variant>
      <vt:variant>
        <vt:lpwstr>_Appendix_B:_Relevant</vt:lpwstr>
      </vt:variant>
      <vt:variant>
        <vt:i4>4587593</vt:i4>
      </vt:variant>
      <vt:variant>
        <vt:i4>672</vt:i4>
      </vt:variant>
      <vt:variant>
        <vt:i4>0</vt:i4>
      </vt:variant>
      <vt:variant>
        <vt:i4>5</vt:i4>
      </vt:variant>
      <vt:variant>
        <vt:lpwstr>https://www.legislation.govt.nz/act/public/2019/0019/latest/LMS16679.html</vt:lpwstr>
      </vt:variant>
      <vt:variant>
        <vt:lpwstr/>
      </vt:variant>
      <vt:variant>
        <vt:i4>7405669</vt:i4>
      </vt:variant>
      <vt:variant>
        <vt:i4>669</vt:i4>
      </vt:variant>
      <vt:variant>
        <vt:i4>0</vt:i4>
      </vt:variant>
      <vt:variant>
        <vt:i4>5</vt:i4>
      </vt:variant>
      <vt:variant>
        <vt:lpwstr>https://www.legislation.govt.nz/act/public/2011/0003/latest/DLM3213131.html</vt:lpwstr>
      </vt:variant>
      <vt:variant>
        <vt:lpwstr/>
      </vt:variant>
      <vt:variant>
        <vt:i4>2752625</vt:i4>
      </vt:variant>
      <vt:variant>
        <vt:i4>666</vt:i4>
      </vt:variant>
      <vt:variant>
        <vt:i4>0</vt:i4>
      </vt:variant>
      <vt:variant>
        <vt:i4>5</vt:i4>
      </vt:variant>
      <vt:variant>
        <vt:lpwstr>https://www.legislation.govt.nz/act/public/2019/0051/latest/whole.html</vt:lpwstr>
      </vt:variant>
      <vt:variant>
        <vt:lpwstr/>
      </vt:variant>
      <vt:variant>
        <vt:i4>917526</vt:i4>
      </vt:variant>
      <vt:variant>
        <vt:i4>663</vt:i4>
      </vt:variant>
      <vt:variant>
        <vt:i4>0</vt:i4>
      </vt:variant>
      <vt:variant>
        <vt:i4>5</vt:i4>
      </vt:variant>
      <vt:variant>
        <vt:lpwstr>https://www.standards.govt.nz/shop/nzs-44042010/</vt:lpwstr>
      </vt:variant>
      <vt:variant>
        <vt:lpwstr/>
      </vt:variant>
      <vt:variant>
        <vt:i4>852044</vt:i4>
      </vt:variant>
      <vt:variant>
        <vt:i4>660</vt:i4>
      </vt:variant>
      <vt:variant>
        <vt:i4>0</vt:i4>
      </vt:variant>
      <vt:variant>
        <vt:i4>5</vt:i4>
      </vt:variant>
      <vt:variant>
        <vt:lpwstr>https://www.legislation.govt.nz/regulation/public/1992/0150/latest/DLM162576.html</vt:lpwstr>
      </vt:variant>
      <vt:variant>
        <vt:lpwstr/>
      </vt:variant>
      <vt:variant>
        <vt:i4>7733308</vt:i4>
      </vt:variant>
      <vt:variant>
        <vt:i4>657</vt:i4>
      </vt:variant>
      <vt:variant>
        <vt:i4>0</vt:i4>
      </vt:variant>
      <vt:variant>
        <vt:i4>5</vt:i4>
      </vt:variant>
      <vt:variant>
        <vt:lpwstr>https://www.legislation.govt.nz/act/public/2004/0072/latest/DLM306036.html</vt:lpwstr>
      </vt:variant>
      <vt:variant>
        <vt:lpwstr/>
      </vt:variant>
      <vt:variant>
        <vt:i4>3866733</vt:i4>
      </vt:variant>
      <vt:variant>
        <vt:i4>654</vt:i4>
      </vt:variant>
      <vt:variant>
        <vt:i4>0</vt:i4>
      </vt:variant>
      <vt:variant>
        <vt:i4>5</vt:i4>
      </vt:variant>
      <vt:variant>
        <vt:lpwstr>https://environment.govt.nz/publications/national-policy-statement-on-urban-development-2020-updated-may-2022/</vt:lpwstr>
      </vt:variant>
      <vt:variant>
        <vt:lpwstr/>
      </vt:variant>
      <vt:variant>
        <vt:i4>3014775</vt:i4>
      </vt:variant>
      <vt:variant>
        <vt:i4>651</vt:i4>
      </vt:variant>
      <vt:variant>
        <vt:i4>0</vt:i4>
      </vt:variant>
      <vt:variant>
        <vt:i4>5</vt:i4>
      </vt:variant>
      <vt:variant>
        <vt:lpwstr>https://www.legislation.govt.nz/act/public/2002/0084/latest/whole.html</vt:lpwstr>
      </vt:variant>
      <vt:variant>
        <vt:lpwstr/>
      </vt:variant>
      <vt:variant>
        <vt:i4>4718608</vt:i4>
      </vt:variant>
      <vt:variant>
        <vt:i4>648</vt:i4>
      </vt:variant>
      <vt:variant>
        <vt:i4>0</vt:i4>
      </vt:variant>
      <vt:variant>
        <vt:i4>5</vt:i4>
      </vt:variant>
      <vt:variant>
        <vt:lpwstr>https://environment.govt.nz/acts-and-regulations/national-planning-standards/</vt:lpwstr>
      </vt:variant>
      <vt:variant>
        <vt:lpwstr/>
      </vt:variant>
      <vt:variant>
        <vt:i4>7536699</vt:i4>
      </vt:variant>
      <vt:variant>
        <vt:i4>645</vt:i4>
      </vt:variant>
      <vt:variant>
        <vt:i4>0</vt:i4>
      </vt:variant>
      <vt:variant>
        <vt:i4>5</vt:i4>
      </vt:variant>
      <vt:variant>
        <vt:lpwstr>https://www.legislation.govt.nz/act/public/2002/0040/latest/DLM158584.html</vt:lpwstr>
      </vt:variant>
      <vt:variant>
        <vt:lpwstr/>
      </vt:variant>
      <vt:variant>
        <vt:i4>7667749</vt:i4>
      </vt:variant>
      <vt:variant>
        <vt:i4>642</vt:i4>
      </vt:variant>
      <vt:variant>
        <vt:i4>0</vt:i4>
      </vt:variant>
      <vt:variant>
        <vt:i4>5</vt:i4>
      </vt:variant>
      <vt:variant>
        <vt:lpwstr>https://www.doc.govt.nz/about-us/science-publications/conservation-publications/marine-and-coastal/new-zealand-coastal-policy-statement/new-zealand-coastal-policy-statement-2010/</vt:lpwstr>
      </vt:variant>
      <vt:variant>
        <vt:lpwstr/>
      </vt:variant>
      <vt:variant>
        <vt:i4>7667763</vt:i4>
      </vt:variant>
      <vt:variant>
        <vt:i4>639</vt:i4>
      </vt:variant>
      <vt:variant>
        <vt:i4>0</vt:i4>
      </vt:variant>
      <vt:variant>
        <vt:i4>5</vt:i4>
      </vt:variant>
      <vt:variant>
        <vt:lpwstr>https://www.legislation.govt.nz/act/public/1991/0069/latest/DLM230265.html</vt:lpwstr>
      </vt:variant>
      <vt:variant>
        <vt:lpwstr/>
      </vt:variant>
      <vt:variant>
        <vt:i4>7929971</vt:i4>
      </vt:variant>
      <vt:variant>
        <vt:i4>636</vt:i4>
      </vt:variant>
      <vt:variant>
        <vt:i4>0</vt:i4>
      </vt:variant>
      <vt:variant>
        <vt:i4>5</vt:i4>
      </vt:variant>
      <vt:variant>
        <vt:lpwstr/>
      </vt:variant>
      <vt:variant>
        <vt:lpwstr>figure2</vt:lpwstr>
      </vt:variant>
      <vt:variant>
        <vt:i4>6881301</vt:i4>
      </vt:variant>
      <vt:variant>
        <vt:i4>633</vt:i4>
      </vt:variant>
      <vt:variant>
        <vt:i4>0</vt:i4>
      </vt:variant>
      <vt:variant>
        <vt:i4>5</vt:i4>
      </vt:variant>
      <vt:variant>
        <vt:lpwstr/>
      </vt:variant>
      <vt:variant>
        <vt:lpwstr>_Appendix_A:_Coastal</vt:lpwstr>
      </vt:variant>
      <vt:variant>
        <vt:i4>6291456</vt:i4>
      </vt:variant>
      <vt:variant>
        <vt:i4>630</vt:i4>
      </vt:variant>
      <vt:variant>
        <vt:i4>0</vt:i4>
      </vt:variant>
      <vt:variant>
        <vt:i4>5</vt:i4>
      </vt:variant>
      <vt:variant>
        <vt:lpwstr/>
      </vt:variant>
      <vt:variant>
        <vt:lpwstr>_Appendix_D:_Baseline</vt:lpwstr>
      </vt:variant>
      <vt:variant>
        <vt:i4>7798811</vt:i4>
      </vt:variant>
      <vt:variant>
        <vt:i4>627</vt:i4>
      </vt:variant>
      <vt:variant>
        <vt:i4>0</vt:i4>
      </vt:variant>
      <vt:variant>
        <vt:i4>5</vt:i4>
      </vt:variant>
      <vt:variant>
        <vt:lpwstr/>
      </vt:variant>
      <vt:variant>
        <vt:lpwstr>_Appendix_C:_Dynamic</vt:lpwstr>
      </vt:variant>
      <vt:variant>
        <vt:i4>7667722</vt:i4>
      </vt:variant>
      <vt:variant>
        <vt:i4>624</vt:i4>
      </vt:variant>
      <vt:variant>
        <vt:i4>0</vt:i4>
      </vt:variant>
      <vt:variant>
        <vt:i4>5</vt:i4>
      </vt:variant>
      <vt:variant>
        <vt:lpwstr/>
      </vt:variant>
      <vt:variant>
        <vt:lpwstr>_Appendix_B:_Relevant</vt:lpwstr>
      </vt:variant>
      <vt:variant>
        <vt:i4>2359381</vt:i4>
      </vt:variant>
      <vt:variant>
        <vt:i4>621</vt:i4>
      </vt:variant>
      <vt:variant>
        <vt:i4>0</vt:i4>
      </vt:variant>
      <vt:variant>
        <vt:i4>5</vt:i4>
      </vt:variant>
      <vt:variant>
        <vt:lpwstr/>
      </vt:variant>
      <vt:variant>
        <vt:lpwstr>_Appendix_A:_Coastal-hazard-manageme</vt:lpwstr>
      </vt:variant>
      <vt:variant>
        <vt:i4>5701736</vt:i4>
      </vt:variant>
      <vt:variant>
        <vt:i4>618</vt:i4>
      </vt:variant>
      <vt:variant>
        <vt:i4>0</vt:i4>
      </vt:variant>
      <vt:variant>
        <vt:i4>5</vt:i4>
      </vt:variant>
      <vt:variant>
        <vt:lpwstr/>
      </vt:variant>
      <vt:variant>
        <vt:lpwstr>_Glossary_of_abbreviations</vt:lpwstr>
      </vt:variant>
      <vt:variant>
        <vt:i4>1310779</vt:i4>
      </vt:variant>
      <vt:variant>
        <vt:i4>611</vt:i4>
      </vt:variant>
      <vt:variant>
        <vt:i4>0</vt:i4>
      </vt:variant>
      <vt:variant>
        <vt:i4>5</vt:i4>
      </vt:variant>
      <vt:variant>
        <vt:lpwstr/>
      </vt:variant>
      <vt:variant>
        <vt:lpwstr>_Toc160096332</vt:lpwstr>
      </vt:variant>
      <vt:variant>
        <vt:i4>1310779</vt:i4>
      </vt:variant>
      <vt:variant>
        <vt:i4>605</vt:i4>
      </vt:variant>
      <vt:variant>
        <vt:i4>0</vt:i4>
      </vt:variant>
      <vt:variant>
        <vt:i4>5</vt:i4>
      </vt:variant>
      <vt:variant>
        <vt:lpwstr/>
      </vt:variant>
      <vt:variant>
        <vt:lpwstr>_Toc160096331</vt:lpwstr>
      </vt:variant>
      <vt:variant>
        <vt:i4>1310779</vt:i4>
      </vt:variant>
      <vt:variant>
        <vt:i4>599</vt:i4>
      </vt:variant>
      <vt:variant>
        <vt:i4>0</vt:i4>
      </vt:variant>
      <vt:variant>
        <vt:i4>5</vt:i4>
      </vt:variant>
      <vt:variant>
        <vt:lpwstr/>
      </vt:variant>
      <vt:variant>
        <vt:lpwstr>_Toc160096330</vt:lpwstr>
      </vt:variant>
      <vt:variant>
        <vt:i4>1376315</vt:i4>
      </vt:variant>
      <vt:variant>
        <vt:i4>593</vt:i4>
      </vt:variant>
      <vt:variant>
        <vt:i4>0</vt:i4>
      </vt:variant>
      <vt:variant>
        <vt:i4>5</vt:i4>
      </vt:variant>
      <vt:variant>
        <vt:lpwstr/>
      </vt:variant>
      <vt:variant>
        <vt:lpwstr>_Toc160096329</vt:lpwstr>
      </vt:variant>
      <vt:variant>
        <vt:i4>1376315</vt:i4>
      </vt:variant>
      <vt:variant>
        <vt:i4>587</vt:i4>
      </vt:variant>
      <vt:variant>
        <vt:i4>0</vt:i4>
      </vt:variant>
      <vt:variant>
        <vt:i4>5</vt:i4>
      </vt:variant>
      <vt:variant>
        <vt:lpwstr/>
      </vt:variant>
      <vt:variant>
        <vt:lpwstr>_Toc160096328</vt:lpwstr>
      </vt:variant>
      <vt:variant>
        <vt:i4>1376315</vt:i4>
      </vt:variant>
      <vt:variant>
        <vt:i4>581</vt:i4>
      </vt:variant>
      <vt:variant>
        <vt:i4>0</vt:i4>
      </vt:variant>
      <vt:variant>
        <vt:i4>5</vt:i4>
      </vt:variant>
      <vt:variant>
        <vt:lpwstr/>
      </vt:variant>
      <vt:variant>
        <vt:lpwstr>_Toc160096327</vt:lpwstr>
      </vt:variant>
      <vt:variant>
        <vt:i4>1376315</vt:i4>
      </vt:variant>
      <vt:variant>
        <vt:i4>575</vt:i4>
      </vt:variant>
      <vt:variant>
        <vt:i4>0</vt:i4>
      </vt:variant>
      <vt:variant>
        <vt:i4>5</vt:i4>
      </vt:variant>
      <vt:variant>
        <vt:lpwstr/>
      </vt:variant>
      <vt:variant>
        <vt:lpwstr>_Toc160096326</vt:lpwstr>
      </vt:variant>
      <vt:variant>
        <vt:i4>1376315</vt:i4>
      </vt:variant>
      <vt:variant>
        <vt:i4>569</vt:i4>
      </vt:variant>
      <vt:variant>
        <vt:i4>0</vt:i4>
      </vt:variant>
      <vt:variant>
        <vt:i4>5</vt:i4>
      </vt:variant>
      <vt:variant>
        <vt:lpwstr/>
      </vt:variant>
      <vt:variant>
        <vt:lpwstr>_Toc160096325</vt:lpwstr>
      </vt:variant>
      <vt:variant>
        <vt:i4>1376315</vt:i4>
      </vt:variant>
      <vt:variant>
        <vt:i4>563</vt:i4>
      </vt:variant>
      <vt:variant>
        <vt:i4>0</vt:i4>
      </vt:variant>
      <vt:variant>
        <vt:i4>5</vt:i4>
      </vt:variant>
      <vt:variant>
        <vt:lpwstr/>
      </vt:variant>
      <vt:variant>
        <vt:lpwstr>_Toc160096324</vt:lpwstr>
      </vt:variant>
      <vt:variant>
        <vt:i4>1376315</vt:i4>
      </vt:variant>
      <vt:variant>
        <vt:i4>557</vt:i4>
      </vt:variant>
      <vt:variant>
        <vt:i4>0</vt:i4>
      </vt:variant>
      <vt:variant>
        <vt:i4>5</vt:i4>
      </vt:variant>
      <vt:variant>
        <vt:lpwstr/>
      </vt:variant>
      <vt:variant>
        <vt:lpwstr>_Toc160096323</vt:lpwstr>
      </vt:variant>
      <vt:variant>
        <vt:i4>1376315</vt:i4>
      </vt:variant>
      <vt:variant>
        <vt:i4>551</vt:i4>
      </vt:variant>
      <vt:variant>
        <vt:i4>0</vt:i4>
      </vt:variant>
      <vt:variant>
        <vt:i4>5</vt:i4>
      </vt:variant>
      <vt:variant>
        <vt:lpwstr/>
      </vt:variant>
      <vt:variant>
        <vt:lpwstr>_Toc160096322</vt:lpwstr>
      </vt:variant>
      <vt:variant>
        <vt:i4>1376315</vt:i4>
      </vt:variant>
      <vt:variant>
        <vt:i4>545</vt:i4>
      </vt:variant>
      <vt:variant>
        <vt:i4>0</vt:i4>
      </vt:variant>
      <vt:variant>
        <vt:i4>5</vt:i4>
      </vt:variant>
      <vt:variant>
        <vt:lpwstr/>
      </vt:variant>
      <vt:variant>
        <vt:lpwstr>_Toc160096321</vt:lpwstr>
      </vt:variant>
      <vt:variant>
        <vt:i4>1376315</vt:i4>
      </vt:variant>
      <vt:variant>
        <vt:i4>539</vt:i4>
      </vt:variant>
      <vt:variant>
        <vt:i4>0</vt:i4>
      </vt:variant>
      <vt:variant>
        <vt:i4>5</vt:i4>
      </vt:variant>
      <vt:variant>
        <vt:lpwstr/>
      </vt:variant>
      <vt:variant>
        <vt:lpwstr>_Toc160096320</vt:lpwstr>
      </vt:variant>
      <vt:variant>
        <vt:i4>1441851</vt:i4>
      </vt:variant>
      <vt:variant>
        <vt:i4>533</vt:i4>
      </vt:variant>
      <vt:variant>
        <vt:i4>0</vt:i4>
      </vt:variant>
      <vt:variant>
        <vt:i4>5</vt:i4>
      </vt:variant>
      <vt:variant>
        <vt:lpwstr/>
      </vt:variant>
      <vt:variant>
        <vt:lpwstr>_Toc160096319</vt:lpwstr>
      </vt:variant>
      <vt:variant>
        <vt:i4>1441851</vt:i4>
      </vt:variant>
      <vt:variant>
        <vt:i4>527</vt:i4>
      </vt:variant>
      <vt:variant>
        <vt:i4>0</vt:i4>
      </vt:variant>
      <vt:variant>
        <vt:i4>5</vt:i4>
      </vt:variant>
      <vt:variant>
        <vt:lpwstr/>
      </vt:variant>
      <vt:variant>
        <vt:lpwstr>_Toc160096318</vt:lpwstr>
      </vt:variant>
      <vt:variant>
        <vt:i4>1441851</vt:i4>
      </vt:variant>
      <vt:variant>
        <vt:i4>521</vt:i4>
      </vt:variant>
      <vt:variant>
        <vt:i4>0</vt:i4>
      </vt:variant>
      <vt:variant>
        <vt:i4>5</vt:i4>
      </vt:variant>
      <vt:variant>
        <vt:lpwstr/>
      </vt:variant>
      <vt:variant>
        <vt:lpwstr>_Toc160096317</vt:lpwstr>
      </vt:variant>
      <vt:variant>
        <vt:i4>1441851</vt:i4>
      </vt:variant>
      <vt:variant>
        <vt:i4>515</vt:i4>
      </vt:variant>
      <vt:variant>
        <vt:i4>0</vt:i4>
      </vt:variant>
      <vt:variant>
        <vt:i4>5</vt:i4>
      </vt:variant>
      <vt:variant>
        <vt:lpwstr/>
      </vt:variant>
      <vt:variant>
        <vt:lpwstr>_Toc160096316</vt:lpwstr>
      </vt:variant>
      <vt:variant>
        <vt:i4>1441851</vt:i4>
      </vt:variant>
      <vt:variant>
        <vt:i4>509</vt:i4>
      </vt:variant>
      <vt:variant>
        <vt:i4>0</vt:i4>
      </vt:variant>
      <vt:variant>
        <vt:i4>5</vt:i4>
      </vt:variant>
      <vt:variant>
        <vt:lpwstr/>
      </vt:variant>
      <vt:variant>
        <vt:lpwstr>_Toc160096315</vt:lpwstr>
      </vt:variant>
      <vt:variant>
        <vt:i4>1441851</vt:i4>
      </vt:variant>
      <vt:variant>
        <vt:i4>503</vt:i4>
      </vt:variant>
      <vt:variant>
        <vt:i4>0</vt:i4>
      </vt:variant>
      <vt:variant>
        <vt:i4>5</vt:i4>
      </vt:variant>
      <vt:variant>
        <vt:lpwstr/>
      </vt:variant>
      <vt:variant>
        <vt:lpwstr>_Toc160096314</vt:lpwstr>
      </vt:variant>
      <vt:variant>
        <vt:i4>1441851</vt:i4>
      </vt:variant>
      <vt:variant>
        <vt:i4>497</vt:i4>
      </vt:variant>
      <vt:variant>
        <vt:i4>0</vt:i4>
      </vt:variant>
      <vt:variant>
        <vt:i4>5</vt:i4>
      </vt:variant>
      <vt:variant>
        <vt:lpwstr/>
      </vt:variant>
      <vt:variant>
        <vt:lpwstr>_Toc160096313</vt:lpwstr>
      </vt:variant>
      <vt:variant>
        <vt:i4>1441851</vt:i4>
      </vt:variant>
      <vt:variant>
        <vt:i4>491</vt:i4>
      </vt:variant>
      <vt:variant>
        <vt:i4>0</vt:i4>
      </vt:variant>
      <vt:variant>
        <vt:i4>5</vt:i4>
      </vt:variant>
      <vt:variant>
        <vt:lpwstr/>
      </vt:variant>
      <vt:variant>
        <vt:lpwstr>_Toc160096312</vt:lpwstr>
      </vt:variant>
      <vt:variant>
        <vt:i4>1441851</vt:i4>
      </vt:variant>
      <vt:variant>
        <vt:i4>485</vt:i4>
      </vt:variant>
      <vt:variant>
        <vt:i4>0</vt:i4>
      </vt:variant>
      <vt:variant>
        <vt:i4>5</vt:i4>
      </vt:variant>
      <vt:variant>
        <vt:lpwstr/>
      </vt:variant>
      <vt:variant>
        <vt:lpwstr>_Toc160096311</vt:lpwstr>
      </vt:variant>
      <vt:variant>
        <vt:i4>1441851</vt:i4>
      </vt:variant>
      <vt:variant>
        <vt:i4>479</vt:i4>
      </vt:variant>
      <vt:variant>
        <vt:i4>0</vt:i4>
      </vt:variant>
      <vt:variant>
        <vt:i4>5</vt:i4>
      </vt:variant>
      <vt:variant>
        <vt:lpwstr/>
      </vt:variant>
      <vt:variant>
        <vt:lpwstr>_Toc160096310</vt:lpwstr>
      </vt:variant>
      <vt:variant>
        <vt:i4>1507387</vt:i4>
      </vt:variant>
      <vt:variant>
        <vt:i4>473</vt:i4>
      </vt:variant>
      <vt:variant>
        <vt:i4>0</vt:i4>
      </vt:variant>
      <vt:variant>
        <vt:i4>5</vt:i4>
      </vt:variant>
      <vt:variant>
        <vt:lpwstr/>
      </vt:variant>
      <vt:variant>
        <vt:lpwstr>_Toc160096309</vt:lpwstr>
      </vt:variant>
      <vt:variant>
        <vt:i4>1507387</vt:i4>
      </vt:variant>
      <vt:variant>
        <vt:i4>467</vt:i4>
      </vt:variant>
      <vt:variant>
        <vt:i4>0</vt:i4>
      </vt:variant>
      <vt:variant>
        <vt:i4>5</vt:i4>
      </vt:variant>
      <vt:variant>
        <vt:lpwstr/>
      </vt:variant>
      <vt:variant>
        <vt:lpwstr>_Toc160096308</vt:lpwstr>
      </vt:variant>
      <vt:variant>
        <vt:i4>1507387</vt:i4>
      </vt:variant>
      <vt:variant>
        <vt:i4>461</vt:i4>
      </vt:variant>
      <vt:variant>
        <vt:i4>0</vt:i4>
      </vt:variant>
      <vt:variant>
        <vt:i4>5</vt:i4>
      </vt:variant>
      <vt:variant>
        <vt:lpwstr/>
      </vt:variant>
      <vt:variant>
        <vt:lpwstr>_Toc160096307</vt:lpwstr>
      </vt:variant>
      <vt:variant>
        <vt:i4>1507387</vt:i4>
      </vt:variant>
      <vt:variant>
        <vt:i4>455</vt:i4>
      </vt:variant>
      <vt:variant>
        <vt:i4>0</vt:i4>
      </vt:variant>
      <vt:variant>
        <vt:i4>5</vt:i4>
      </vt:variant>
      <vt:variant>
        <vt:lpwstr/>
      </vt:variant>
      <vt:variant>
        <vt:lpwstr>_Toc160096306</vt:lpwstr>
      </vt:variant>
      <vt:variant>
        <vt:i4>1507387</vt:i4>
      </vt:variant>
      <vt:variant>
        <vt:i4>449</vt:i4>
      </vt:variant>
      <vt:variant>
        <vt:i4>0</vt:i4>
      </vt:variant>
      <vt:variant>
        <vt:i4>5</vt:i4>
      </vt:variant>
      <vt:variant>
        <vt:lpwstr/>
      </vt:variant>
      <vt:variant>
        <vt:lpwstr>_Toc160096305</vt:lpwstr>
      </vt:variant>
      <vt:variant>
        <vt:i4>1507387</vt:i4>
      </vt:variant>
      <vt:variant>
        <vt:i4>443</vt:i4>
      </vt:variant>
      <vt:variant>
        <vt:i4>0</vt:i4>
      </vt:variant>
      <vt:variant>
        <vt:i4>5</vt:i4>
      </vt:variant>
      <vt:variant>
        <vt:lpwstr/>
      </vt:variant>
      <vt:variant>
        <vt:lpwstr>_Toc160096304</vt:lpwstr>
      </vt:variant>
      <vt:variant>
        <vt:i4>1507387</vt:i4>
      </vt:variant>
      <vt:variant>
        <vt:i4>437</vt:i4>
      </vt:variant>
      <vt:variant>
        <vt:i4>0</vt:i4>
      </vt:variant>
      <vt:variant>
        <vt:i4>5</vt:i4>
      </vt:variant>
      <vt:variant>
        <vt:lpwstr/>
      </vt:variant>
      <vt:variant>
        <vt:lpwstr>_Toc160096303</vt:lpwstr>
      </vt:variant>
      <vt:variant>
        <vt:i4>1507387</vt:i4>
      </vt:variant>
      <vt:variant>
        <vt:i4>431</vt:i4>
      </vt:variant>
      <vt:variant>
        <vt:i4>0</vt:i4>
      </vt:variant>
      <vt:variant>
        <vt:i4>5</vt:i4>
      </vt:variant>
      <vt:variant>
        <vt:lpwstr/>
      </vt:variant>
      <vt:variant>
        <vt:lpwstr>_Toc160096302</vt:lpwstr>
      </vt:variant>
      <vt:variant>
        <vt:i4>1507387</vt:i4>
      </vt:variant>
      <vt:variant>
        <vt:i4>425</vt:i4>
      </vt:variant>
      <vt:variant>
        <vt:i4>0</vt:i4>
      </vt:variant>
      <vt:variant>
        <vt:i4>5</vt:i4>
      </vt:variant>
      <vt:variant>
        <vt:lpwstr/>
      </vt:variant>
      <vt:variant>
        <vt:lpwstr>_Toc160096301</vt:lpwstr>
      </vt:variant>
      <vt:variant>
        <vt:i4>1507387</vt:i4>
      </vt:variant>
      <vt:variant>
        <vt:i4>419</vt:i4>
      </vt:variant>
      <vt:variant>
        <vt:i4>0</vt:i4>
      </vt:variant>
      <vt:variant>
        <vt:i4>5</vt:i4>
      </vt:variant>
      <vt:variant>
        <vt:lpwstr/>
      </vt:variant>
      <vt:variant>
        <vt:lpwstr>_Toc160096300</vt:lpwstr>
      </vt:variant>
      <vt:variant>
        <vt:i4>1966138</vt:i4>
      </vt:variant>
      <vt:variant>
        <vt:i4>413</vt:i4>
      </vt:variant>
      <vt:variant>
        <vt:i4>0</vt:i4>
      </vt:variant>
      <vt:variant>
        <vt:i4>5</vt:i4>
      </vt:variant>
      <vt:variant>
        <vt:lpwstr/>
      </vt:variant>
      <vt:variant>
        <vt:lpwstr>_Toc160096299</vt:lpwstr>
      </vt:variant>
      <vt:variant>
        <vt:i4>1966138</vt:i4>
      </vt:variant>
      <vt:variant>
        <vt:i4>407</vt:i4>
      </vt:variant>
      <vt:variant>
        <vt:i4>0</vt:i4>
      </vt:variant>
      <vt:variant>
        <vt:i4>5</vt:i4>
      </vt:variant>
      <vt:variant>
        <vt:lpwstr/>
      </vt:variant>
      <vt:variant>
        <vt:lpwstr>_Toc160096298</vt:lpwstr>
      </vt:variant>
      <vt:variant>
        <vt:i4>1966138</vt:i4>
      </vt:variant>
      <vt:variant>
        <vt:i4>398</vt:i4>
      </vt:variant>
      <vt:variant>
        <vt:i4>0</vt:i4>
      </vt:variant>
      <vt:variant>
        <vt:i4>5</vt:i4>
      </vt:variant>
      <vt:variant>
        <vt:lpwstr/>
      </vt:variant>
      <vt:variant>
        <vt:lpwstr>_Toc160096297</vt:lpwstr>
      </vt:variant>
      <vt:variant>
        <vt:i4>1966138</vt:i4>
      </vt:variant>
      <vt:variant>
        <vt:i4>392</vt:i4>
      </vt:variant>
      <vt:variant>
        <vt:i4>0</vt:i4>
      </vt:variant>
      <vt:variant>
        <vt:i4>5</vt:i4>
      </vt:variant>
      <vt:variant>
        <vt:lpwstr/>
      </vt:variant>
      <vt:variant>
        <vt:lpwstr>_Toc160096296</vt:lpwstr>
      </vt:variant>
      <vt:variant>
        <vt:i4>1966138</vt:i4>
      </vt:variant>
      <vt:variant>
        <vt:i4>386</vt:i4>
      </vt:variant>
      <vt:variant>
        <vt:i4>0</vt:i4>
      </vt:variant>
      <vt:variant>
        <vt:i4>5</vt:i4>
      </vt:variant>
      <vt:variant>
        <vt:lpwstr/>
      </vt:variant>
      <vt:variant>
        <vt:lpwstr>_Toc160096295</vt:lpwstr>
      </vt:variant>
      <vt:variant>
        <vt:i4>1966138</vt:i4>
      </vt:variant>
      <vt:variant>
        <vt:i4>380</vt:i4>
      </vt:variant>
      <vt:variant>
        <vt:i4>0</vt:i4>
      </vt:variant>
      <vt:variant>
        <vt:i4>5</vt:i4>
      </vt:variant>
      <vt:variant>
        <vt:lpwstr/>
      </vt:variant>
      <vt:variant>
        <vt:lpwstr>_Toc160096294</vt:lpwstr>
      </vt:variant>
      <vt:variant>
        <vt:i4>1966138</vt:i4>
      </vt:variant>
      <vt:variant>
        <vt:i4>374</vt:i4>
      </vt:variant>
      <vt:variant>
        <vt:i4>0</vt:i4>
      </vt:variant>
      <vt:variant>
        <vt:i4>5</vt:i4>
      </vt:variant>
      <vt:variant>
        <vt:lpwstr/>
      </vt:variant>
      <vt:variant>
        <vt:lpwstr>_Toc160096293</vt:lpwstr>
      </vt:variant>
      <vt:variant>
        <vt:i4>1966138</vt:i4>
      </vt:variant>
      <vt:variant>
        <vt:i4>368</vt:i4>
      </vt:variant>
      <vt:variant>
        <vt:i4>0</vt:i4>
      </vt:variant>
      <vt:variant>
        <vt:i4>5</vt:i4>
      </vt:variant>
      <vt:variant>
        <vt:lpwstr/>
      </vt:variant>
      <vt:variant>
        <vt:lpwstr>_Toc160096292</vt:lpwstr>
      </vt:variant>
      <vt:variant>
        <vt:i4>1966138</vt:i4>
      </vt:variant>
      <vt:variant>
        <vt:i4>362</vt:i4>
      </vt:variant>
      <vt:variant>
        <vt:i4>0</vt:i4>
      </vt:variant>
      <vt:variant>
        <vt:i4>5</vt:i4>
      </vt:variant>
      <vt:variant>
        <vt:lpwstr/>
      </vt:variant>
      <vt:variant>
        <vt:lpwstr>_Toc160096291</vt:lpwstr>
      </vt:variant>
      <vt:variant>
        <vt:i4>1966138</vt:i4>
      </vt:variant>
      <vt:variant>
        <vt:i4>356</vt:i4>
      </vt:variant>
      <vt:variant>
        <vt:i4>0</vt:i4>
      </vt:variant>
      <vt:variant>
        <vt:i4>5</vt:i4>
      </vt:variant>
      <vt:variant>
        <vt:lpwstr/>
      </vt:variant>
      <vt:variant>
        <vt:lpwstr>_Toc160096290</vt:lpwstr>
      </vt:variant>
      <vt:variant>
        <vt:i4>2031674</vt:i4>
      </vt:variant>
      <vt:variant>
        <vt:i4>350</vt:i4>
      </vt:variant>
      <vt:variant>
        <vt:i4>0</vt:i4>
      </vt:variant>
      <vt:variant>
        <vt:i4>5</vt:i4>
      </vt:variant>
      <vt:variant>
        <vt:lpwstr/>
      </vt:variant>
      <vt:variant>
        <vt:lpwstr>_Toc160096289</vt:lpwstr>
      </vt:variant>
      <vt:variant>
        <vt:i4>2031674</vt:i4>
      </vt:variant>
      <vt:variant>
        <vt:i4>344</vt:i4>
      </vt:variant>
      <vt:variant>
        <vt:i4>0</vt:i4>
      </vt:variant>
      <vt:variant>
        <vt:i4>5</vt:i4>
      </vt:variant>
      <vt:variant>
        <vt:lpwstr/>
      </vt:variant>
      <vt:variant>
        <vt:lpwstr>_Toc160096288</vt:lpwstr>
      </vt:variant>
      <vt:variant>
        <vt:i4>2031674</vt:i4>
      </vt:variant>
      <vt:variant>
        <vt:i4>338</vt:i4>
      </vt:variant>
      <vt:variant>
        <vt:i4>0</vt:i4>
      </vt:variant>
      <vt:variant>
        <vt:i4>5</vt:i4>
      </vt:variant>
      <vt:variant>
        <vt:lpwstr/>
      </vt:variant>
      <vt:variant>
        <vt:lpwstr>_Toc160096287</vt:lpwstr>
      </vt:variant>
      <vt:variant>
        <vt:i4>2031674</vt:i4>
      </vt:variant>
      <vt:variant>
        <vt:i4>332</vt:i4>
      </vt:variant>
      <vt:variant>
        <vt:i4>0</vt:i4>
      </vt:variant>
      <vt:variant>
        <vt:i4>5</vt:i4>
      </vt:variant>
      <vt:variant>
        <vt:lpwstr/>
      </vt:variant>
      <vt:variant>
        <vt:lpwstr>_Toc160096286</vt:lpwstr>
      </vt:variant>
      <vt:variant>
        <vt:i4>2031674</vt:i4>
      </vt:variant>
      <vt:variant>
        <vt:i4>326</vt:i4>
      </vt:variant>
      <vt:variant>
        <vt:i4>0</vt:i4>
      </vt:variant>
      <vt:variant>
        <vt:i4>5</vt:i4>
      </vt:variant>
      <vt:variant>
        <vt:lpwstr/>
      </vt:variant>
      <vt:variant>
        <vt:lpwstr>_Toc160096285</vt:lpwstr>
      </vt:variant>
      <vt:variant>
        <vt:i4>2031674</vt:i4>
      </vt:variant>
      <vt:variant>
        <vt:i4>320</vt:i4>
      </vt:variant>
      <vt:variant>
        <vt:i4>0</vt:i4>
      </vt:variant>
      <vt:variant>
        <vt:i4>5</vt:i4>
      </vt:variant>
      <vt:variant>
        <vt:lpwstr/>
      </vt:variant>
      <vt:variant>
        <vt:lpwstr>_Toc160096284</vt:lpwstr>
      </vt:variant>
      <vt:variant>
        <vt:i4>2031674</vt:i4>
      </vt:variant>
      <vt:variant>
        <vt:i4>314</vt:i4>
      </vt:variant>
      <vt:variant>
        <vt:i4>0</vt:i4>
      </vt:variant>
      <vt:variant>
        <vt:i4>5</vt:i4>
      </vt:variant>
      <vt:variant>
        <vt:lpwstr/>
      </vt:variant>
      <vt:variant>
        <vt:lpwstr>_Toc160096283</vt:lpwstr>
      </vt:variant>
      <vt:variant>
        <vt:i4>2031674</vt:i4>
      </vt:variant>
      <vt:variant>
        <vt:i4>308</vt:i4>
      </vt:variant>
      <vt:variant>
        <vt:i4>0</vt:i4>
      </vt:variant>
      <vt:variant>
        <vt:i4>5</vt:i4>
      </vt:variant>
      <vt:variant>
        <vt:lpwstr/>
      </vt:variant>
      <vt:variant>
        <vt:lpwstr>_Toc160096282</vt:lpwstr>
      </vt:variant>
      <vt:variant>
        <vt:i4>2031674</vt:i4>
      </vt:variant>
      <vt:variant>
        <vt:i4>302</vt:i4>
      </vt:variant>
      <vt:variant>
        <vt:i4>0</vt:i4>
      </vt:variant>
      <vt:variant>
        <vt:i4>5</vt:i4>
      </vt:variant>
      <vt:variant>
        <vt:lpwstr/>
      </vt:variant>
      <vt:variant>
        <vt:lpwstr>_Toc160096281</vt:lpwstr>
      </vt:variant>
      <vt:variant>
        <vt:i4>2031674</vt:i4>
      </vt:variant>
      <vt:variant>
        <vt:i4>296</vt:i4>
      </vt:variant>
      <vt:variant>
        <vt:i4>0</vt:i4>
      </vt:variant>
      <vt:variant>
        <vt:i4>5</vt:i4>
      </vt:variant>
      <vt:variant>
        <vt:lpwstr/>
      </vt:variant>
      <vt:variant>
        <vt:lpwstr>_Toc160096280</vt:lpwstr>
      </vt:variant>
      <vt:variant>
        <vt:i4>1048634</vt:i4>
      </vt:variant>
      <vt:variant>
        <vt:i4>290</vt:i4>
      </vt:variant>
      <vt:variant>
        <vt:i4>0</vt:i4>
      </vt:variant>
      <vt:variant>
        <vt:i4>5</vt:i4>
      </vt:variant>
      <vt:variant>
        <vt:lpwstr/>
      </vt:variant>
      <vt:variant>
        <vt:lpwstr>_Toc160096279</vt:lpwstr>
      </vt:variant>
      <vt:variant>
        <vt:i4>1048634</vt:i4>
      </vt:variant>
      <vt:variant>
        <vt:i4>284</vt:i4>
      </vt:variant>
      <vt:variant>
        <vt:i4>0</vt:i4>
      </vt:variant>
      <vt:variant>
        <vt:i4>5</vt:i4>
      </vt:variant>
      <vt:variant>
        <vt:lpwstr/>
      </vt:variant>
      <vt:variant>
        <vt:lpwstr>_Toc160096278</vt:lpwstr>
      </vt:variant>
      <vt:variant>
        <vt:i4>1048634</vt:i4>
      </vt:variant>
      <vt:variant>
        <vt:i4>278</vt:i4>
      </vt:variant>
      <vt:variant>
        <vt:i4>0</vt:i4>
      </vt:variant>
      <vt:variant>
        <vt:i4>5</vt:i4>
      </vt:variant>
      <vt:variant>
        <vt:lpwstr/>
      </vt:variant>
      <vt:variant>
        <vt:lpwstr>_Toc160096277</vt:lpwstr>
      </vt:variant>
      <vt:variant>
        <vt:i4>1048634</vt:i4>
      </vt:variant>
      <vt:variant>
        <vt:i4>269</vt:i4>
      </vt:variant>
      <vt:variant>
        <vt:i4>0</vt:i4>
      </vt:variant>
      <vt:variant>
        <vt:i4>5</vt:i4>
      </vt:variant>
      <vt:variant>
        <vt:lpwstr/>
      </vt:variant>
      <vt:variant>
        <vt:lpwstr>_Toc160096276</vt:lpwstr>
      </vt:variant>
      <vt:variant>
        <vt:i4>1048634</vt:i4>
      </vt:variant>
      <vt:variant>
        <vt:i4>263</vt:i4>
      </vt:variant>
      <vt:variant>
        <vt:i4>0</vt:i4>
      </vt:variant>
      <vt:variant>
        <vt:i4>5</vt:i4>
      </vt:variant>
      <vt:variant>
        <vt:lpwstr/>
      </vt:variant>
      <vt:variant>
        <vt:lpwstr>_Toc160096275</vt:lpwstr>
      </vt:variant>
      <vt:variant>
        <vt:i4>1048634</vt:i4>
      </vt:variant>
      <vt:variant>
        <vt:i4>257</vt:i4>
      </vt:variant>
      <vt:variant>
        <vt:i4>0</vt:i4>
      </vt:variant>
      <vt:variant>
        <vt:i4>5</vt:i4>
      </vt:variant>
      <vt:variant>
        <vt:lpwstr/>
      </vt:variant>
      <vt:variant>
        <vt:lpwstr>_Toc160096274</vt:lpwstr>
      </vt:variant>
      <vt:variant>
        <vt:i4>1048634</vt:i4>
      </vt:variant>
      <vt:variant>
        <vt:i4>251</vt:i4>
      </vt:variant>
      <vt:variant>
        <vt:i4>0</vt:i4>
      </vt:variant>
      <vt:variant>
        <vt:i4>5</vt:i4>
      </vt:variant>
      <vt:variant>
        <vt:lpwstr/>
      </vt:variant>
      <vt:variant>
        <vt:lpwstr>_Toc160096273</vt:lpwstr>
      </vt:variant>
      <vt:variant>
        <vt:i4>1048634</vt:i4>
      </vt:variant>
      <vt:variant>
        <vt:i4>245</vt:i4>
      </vt:variant>
      <vt:variant>
        <vt:i4>0</vt:i4>
      </vt:variant>
      <vt:variant>
        <vt:i4>5</vt:i4>
      </vt:variant>
      <vt:variant>
        <vt:lpwstr/>
      </vt:variant>
      <vt:variant>
        <vt:lpwstr>_Toc160096272</vt:lpwstr>
      </vt:variant>
      <vt:variant>
        <vt:i4>1048634</vt:i4>
      </vt:variant>
      <vt:variant>
        <vt:i4>239</vt:i4>
      </vt:variant>
      <vt:variant>
        <vt:i4>0</vt:i4>
      </vt:variant>
      <vt:variant>
        <vt:i4>5</vt:i4>
      </vt:variant>
      <vt:variant>
        <vt:lpwstr/>
      </vt:variant>
      <vt:variant>
        <vt:lpwstr>_Toc160096271</vt:lpwstr>
      </vt:variant>
      <vt:variant>
        <vt:i4>1048634</vt:i4>
      </vt:variant>
      <vt:variant>
        <vt:i4>233</vt:i4>
      </vt:variant>
      <vt:variant>
        <vt:i4>0</vt:i4>
      </vt:variant>
      <vt:variant>
        <vt:i4>5</vt:i4>
      </vt:variant>
      <vt:variant>
        <vt:lpwstr/>
      </vt:variant>
      <vt:variant>
        <vt:lpwstr>_Toc160096270</vt:lpwstr>
      </vt:variant>
      <vt:variant>
        <vt:i4>1114170</vt:i4>
      </vt:variant>
      <vt:variant>
        <vt:i4>227</vt:i4>
      </vt:variant>
      <vt:variant>
        <vt:i4>0</vt:i4>
      </vt:variant>
      <vt:variant>
        <vt:i4>5</vt:i4>
      </vt:variant>
      <vt:variant>
        <vt:lpwstr/>
      </vt:variant>
      <vt:variant>
        <vt:lpwstr>_Toc160096269</vt:lpwstr>
      </vt:variant>
      <vt:variant>
        <vt:i4>1114170</vt:i4>
      </vt:variant>
      <vt:variant>
        <vt:i4>221</vt:i4>
      </vt:variant>
      <vt:variant>
        <vt:i4>0</vt:i4>
      </vt:variant>
      <vt:variant>
        <vt:i4>5</vt:i4>
      </vt:variant>
      <vt:variant>
        <vt:lpwstr/>
      </vt:variant>
      <vt:variant>
        <vt:lpwstr>_Toc160096268</vt:lpwstr>
      </vt:variant>
      <vt:variant>
        <vt:i4>1114170</vt:i4>
      </vt:variant>
      <vt:variant>
        <vt:i4>215</vt:i4>
      </vt:variant>
      <vt:variant>
        <vt:i4>0</vt:i4>
      </vt:variant>
      <vt:variant>
        <vt:i4>5</vt:i4>
      </vt:variant>
      <vt:variant>
        <vt:lpwstr/>
      </vt:variant>
      <vt:variant>
        <vt:lpwstr>_Toc160096267</vt:lpwstr>
      </vt:variant>
      <vt:variant>
        <vt:i4>1114170</vt:i4>
      </vt:variant>
      <vt:variant>
        <vt:i4>209</vt:i4>
      </vt:variant>
      <vt:variant>
        <vt:i4>0</vt:i4>
      </vt:variant>
      <vt:variant>
        <vt:i4>5</vt:i4>
      </vt:variant>
      <vt:variant>
        <vt:lpwstr/>
      </vt:variant>
      <vt:variant>
        <vt:lpwstr>_Toc160096266</vt:lpwstr>
      </vt:variant>
      <vt:variant>
        <vt:i4>1114170</vt:i4>
      </vt:variant>
      <vt:variant>
        <vt:i4>203</vt:i4>
      </vt:variant>
      <vt:variant>
        <vt:i4>0</vt:i4>
      </vt:variant>
      <vt:variant>
        <vt:i4>5</vt:i4>
      </vt:variant>
      <vt:variant>
        <vt:lpwstr/>
      </vt:variant>
      <vt:variant>
        <vt:lpwstr>_Toc160096265</vt:lpwstr>
      </vt:variant>
      <vt:variant>
        <vt:i4>1114170</vt:i4>
      </vt:variant>
      <vt:variant>
        <vt:i4>197</vt:i4>
      </vt:variant>
      <vt:variant>
        <vt:i4>0</vt:i4>
      </vt:variant>
      <vt:variant>
        <vt:i4>5</vt:i4>
      </vt:variant>
      <vt:variant>
        <vt:lpwstr/>
      </vt:variant>
      <vt:variant>
        <vt:lpwstr>_Toc160096264</vt:lpwstr>
      </vt:variant>
      <vt:variant>
        <vt:i4>1114170</vt:i4>
      </vt:variant>
      <vt:variant>
        <vt:i4>191</vt:i4>
      </vt:variant>
      <vt:variant>
        <vt:i4>0</vt:i4>
      </vt:variant>
      <vt:variant>
        <vt:i4>5</vt:i4>
      </vt:variant>
      <vt:variant>
        <vt:lpwstr/>
      </vt:variant>
      <vt:variant>
        <vt:lpwstr>_Toc160096263</vt:lpwstr>
      </vt:variant>
      <vt:variant>
        <vt:i4>1114170</vt:i4>
      </vt:variant>
      <vt:variant>
        <vt:i4>185</vt:i4>
      </vt:variant>
      <vt:variant>
        <vt:i4>0</vt:i4>
      </vt:variant>
      <vt:variant>
        <vt:i4>5</vt:i4>
      </vt:variant>
      <vt:variant>
        <vt:lpwstr/>
      </vt:variant>
      <vt:variant>
        <vt:lpwstr>_Toc160096262</vt:lpwstr>
      </vt:variant>
      <vt:variant>
        <vt:i4>1114170</vt:i4>
      </vt:variant>
      <vt:variant>
        <vt:i4>179</vt:i4>
      </vt:variant>
      <vt:variant>
        <vt:i4>0</vt:i4>
      </vt:variant>
      <vt:variant>
        <vt:i4>5</vt:i4>
      </vt:variant>
      <vt:variant>
        <vt:lpwstr/>
      </vt:variant>
      <vt:variant>
        <vt:lpwstr>_Toc160096261</vt:lpwstr>
      </vt:variant>
      <vt:variant>
        <vt:i4>1179706</vt:i4>
      </vt:variant>
      <vt:variant>
        <vt:i4>173</vt:i4>
      </vt:variant>
      <vt:variant>
        <vt:i4>0</vt:i4>
      </vt:variant>
      <vt:variant>
        <vt:i4>5</vt:i4>
      </vt:variant>
      <vt:variant>
        <vt:lpwstr/>
      </vt:variant>
      <vt:variant>
        <vt:lpwstr>_Toc160096258</vt:lpwstr>
      </vt:variant>
      <vt:variant>
        <vt:i4>1179706</vt:i4>
      </vt:variant>
      <vt:variant>
        <vt:i4>167</vt:i4>
      </vt:variant>
      <vt:variant>
        <vt:i4>0</vt:i4>
      </vt:variant>
      <vt:variant>
        <vt:i4>5</vt:i4>
      </vt:variant>
      <vt:variant>
        <vt:lpwstr/>
      </vt:variant>
      <vt:variant>
        <vt:lpwstr>_Toc160096257</vt:lpwstr>
      </vt:variant>
      <vt:variant>
        <vt:i4>1179706</vt:i4>
      </vt:variant>
      <vt:variant>
        <vt:i4>161</vt:i4>
      </vt:variant>
      <vt:variant>
        <vt:i4>0</vt:i4>
      </vt:variant>
      <vt:variant>
        <vt:i4>5</vt:i4>
      </vt:variant>
      <vt:variant>
        <vt:lpwstr/>
      </vt:variant>
      <vt:variant>
        <vt:lpwstr>_Toc160096256</vt:lpwstr>
      </vt:variant>
      <vt:variant>
        <vt:i4>1179706</vt:i4>
      </vt:variant>
      <vt:variant>
        <vt:i4>155</vt:i4>
      </vt:variant>
      <vt:variant>
        <vt:i4>0</vt:i4>
      </vt:variant>
      <vt:variant>
        <vt:i4>5</vt:i4>
      </vt:variant>
      <vt:variant>
        <vt:lpwstr/>
      </vt:variant>
      <vt:variant>
        <vt:lpwstr>_Toc160096255</vt:lpwstr>
      </vt:variant>
      <vt:variant>
        <vt:i4>1179706</vt:i4>
      </vt:variant>
      <vt:variant>
        <vt:i4>149</vt:i4>
      </vt:variant>
      <vt:variant>
        <vt:i4>0</vt:i4>
      </vt:variant>
      <vt:variant>
        <vt:i4>5</vt:i4>
      </vt:variant>
      <vt:variant>
        <vt:lpwstr/>
      </vt:variant>
      <vt:variant>
        <vt:lpwstr>_Toc160096254</vt:lpwstr>
      </vt:variant>
      <vt:variant>
        <vt:i4>1179706</vt:i4>
      </vt:variant>
      <vt:variant>
        <vt:i4>143</vt:i4>
      </vt:variant>
      <vt:variant>
        <vt:i4>0</vt:i4>
      </vt:variant>
      <vt:variant>
        <vt:i4>5</vt:i4>
      </vt:variant>
      <vt:variant>
        <vt:lpwstr/>
      </vt:variant>
      <vt:variant>
        <vt:lpwstr>_Toc160096253</vt:lpwstr>
      </vt:variant>
      <vt:variant>
        <vt:i4>1179706</vt:i4>
      </vt:variant>
      <vt:variant>
        <vt:i4>137</vt:i4>
      </vt:variant>
      <vt:variant>
        <vt:i4>0</vt:i4>
      </vt:variant>
      <vt:variant>
        <vt:i4>5</vt:i4>
      </vt:variant>
      <vt:variant>
        <vt:lpwstr/>
      </vt:variant>
      <vt:variant>
        <vt:lpwstr>_Toc160096252</vt:lpwstr>
      </vt:variant>
      <vt:variant>
        <vt:i4>1179706</vt:i4>
      </vt:variant>
      <vt:variant>
        <vt:i4>131</vt:i4>
      </vt:variant>
      <vt:variant>
        <vt:i4>0</vt:i4>
      </vt:variant>
      <vt:variant>
        <vt:i4>5</vt:i4>
      </vt:variant>
      <vt:variant>
        <vt:lpwstr/>
      </vt:variant>
      <vt:variant>
        <vt:lpwstr>_Toc160096251</vt:lpwstr>
      </vt:variant>
      <vt:variant>
        <vt:i4>1179706</vt:i4>
      </vt:variant>
      <vt:variant>
        <vt:i4>125</vt:i4>
      </vt:variant>
      <vt:variant>
        <vt:i4>0</vt:i4>
      </vt:variant>
      <vt:variant>
        <vt:i4>5</vt:i4>
      </vt:variant>
      <vt:variant>
        <vt:lpwstr/>
      </vt:variant>
      <vt:variant>
        <vt:lpwstr>_Toc160096250</vt:lpwstr>
      </vt:variant>
      <vt:variant>
        <vt:i4>1245242</vt:i4>
      </vt:variant>
      <vt:variant>
        <vt:i4>119</vt:i4>
      </vt:variant>
      <vt:variant>
        <vt:i4>0</vt:i4>
      </vt:variant>
      <vt:variant>
        <vt:i4>5</vt:i4>
      </vt:variant>
      <vt:variant>
        <vt:lpwstr/>
      </vt:variant>
      <vt:variant>
        <vt:lpwstr>_Toc160096249</vt:lpwstr>
      </vt:variant>
      <vt:variant>
        <vt:i4>1245242</vt:i4>
      </vt:variant>
      <vt:variant>
        <vt:i4>113</vt:i4>
      </vt:variant>
      <vt:variant>
        <vt:i4>0</vt:i4>
      </vt:variant>
      <vt:variant>
        <vt:i4>5</vt:i4>
      </vt:variant>
      <vt:variant>
        <vt:lpwstr/>
      </vt:variant>
      <vt:variant>
        <vt:lpwstr>_Toc160096247</vt:lpwstr>
      </vt:variant>
      <vt:variant>
        <vt:i4>1245242</vt:i4>
      </vt:variant>
      <vt:variant>
        <vt:i4>107</vt:i4>
      </vt:variant>
      <vt:variant>
        <vt:i4>0</vt:i4>
      </vt:variant>
      <vt:variant>
        <vt:i4>5</vt:i4>
      </vt:variant>
      <vt:variant>
        <vt:lpwstr/>
      </vt:variant>
      <vt:variant>
        <vt:lpwstr>_Toc160096246</vt:lpwstr>
      </vt:variant>
      <vt:variant>
        <vt:i4>1245242</vt:i4>
      </vt:variant>
      <vt:variant>
        <vt:i4>101</vt:i4>
      </vt:variant>
      <vt:variant>
        <vt:i4>0</vt:i4>
      </vt:variant>
      <vt:variant>
        <vt:i4>5</vt:i4>
      </vt:variant>
      <vt:variant>
        <vt:lpwstr/>
      </vt:variant>
      <vt:variant>
        <vt:lpwstr>_Toc160096245</vt:lpwstr>
      </vt:variant>
      <vt:variant>
        <vt:i4>1245242</vt:i4>
      </vt:variant>
      <vt:variant>
        <vt:i4>95</vt:i4>
      </vt:variant>
      <vt:variant>
        <vt:i4>0</vt:i4>
      </vt:variant>
      <vt:variant>
        <vt:i4>5</vt:i4>
      </vt:variant>
      <vt:variant>
        <vt:lpwstr/>
      </vt:variant>
      <vt:variant>
        <vt:lpwstr>_Toc160096244</vt:lpwstr>
      </vt:variant>
      <vt:variant>
        <vt:i4>1245242</vt:i4>
      </vt:variant>
      <vt:variant>
        <vt:i4>89</vt:i4>
      </vt:variant>
      <vt:variant>
        <vt:i4>0</vt:i4>
      </vt:variant>
      <vt:variant>
        <vt:i4>5</vt:i4>
      </vt:variant>
      <vt:variant>
        <vt:lpwstr/>
      </vt:variant>
      <vt:variant>
        <vt:lpwstr>_Toc160096242</vt:lpwstr>
      </vt:variant>
      <vt:variant>
        <vt:i4>1245242</vt:i4>
      </vt:variant>
      <vt:variant>
        <vt:i4>83</vt:i4>
      </vt:variant>
      <vt:variant>
        <vt:i4>0</vt:i4>
      </vt:variant>
      <vt:variant>
        <vt:i4>5</vt:i4>
      </vt:variant>
      <vt:variant>
        <vt:lpwstr/>
      </vt:variant>
      <vt:variant>
        <vt:lpwstr>_Toc160096241</vt:lpwstr>
      </vt:variant>
      <vt:variant>
        <vt:i4>1245242</vt:i4>
      </vt:variant>
      <vt:variant>
        <vt:i4>77</vt:i4>
      </vt:variant>
      <vt:variant>
        <vt:i4>0</vt:i4>
      </vt:variant>
      <vt:variant>
        <vt:i4>5</vt:i4>
      </vt:variant>
      <vt:variant>
        <vt:lpwstr/>
      </vt:variant>
      <vt:variant>
        <vt:lpwstr>_Toc160096240</vt:lpwstr>
      </vt:variant>
      <vt:variant>
        <vt:i4>1310778</vt:i4>
      </vt:variant>
      <vt:variant>
        <vt:i4>71</vt:i4>
      </vt:variant>
      <vt:variant>
        <vt:i4>0</vt:i4>
      </vt:variant>
      <vt:variant>
        <vt:i4>5</vt:i4>
      </vt:variant>
      <vt:variant>
        <vt:lpwstr/>
      </vt:variant>
      <vt:variant>
        <vt:lpwstr>_Toc160096239</vt:lpwstr>
      </vt:variant>
      <vt:variant>
        <vt:i4>1310778</vt:i4>
      </vt:variant>
      <vt:variant>
        <vt:i4>65</vt:i4>
      </vt:variant>
      <vt:variant>
        <vt:i4>0</vt:i4>
      </vt:variant>
      <vt:variant>
        <vt:i4>5</vt:i4>
      </vt:variant>
      <vt:variant>
        <vt:lpwstr/>
      </vt:variant>
      <vt:variant>
        <vt:lpwstr>_Toc160096238</vt:lpwstr>
      </vt:variant>
      <vt:variant>
        <vt:i4>1310778</vt:i4>
      </vt:variant>
      <vt:variant>
        <vt:i4>59</vt:i4>
      </vt:variant>
      <vt:variant>
        <vt:i4>0</vt:i4>
      </vt:variant>
      <vt:variant>
        <vt:i4>5</vt:i4>
      </vt:variant>
      <vt:variant>
        <vt:lpwstr/>
      </vt:variant>
      <vt:variant>
        <vt:lpwstr>_Toc160096237</vt:lpwstr>
      </vt:variant>
      <vt:variant>
        <vt:i4>1310778</vt:i4>
      </vt:variant>
      <vt:variant>
        <vt:i4>53</vt:i4>
      </vt:variant>
      <vt:variant>
        <vt:i4>0</vt:i4>
      </vt:variant>
      <vt:variant>
        <vt:i4>5</vt:i4>
      </vt:variant>
      <vt:variant>
        <vt:lpwstr/>
      </vt:variant>
      <vt:variant>
        <vt:lpwstr>_Toc160096236</vt:lpwstr>
      </vt:variant>
      <vt:variant>
        <vt:i4>1310778</vt:i4>
      </vt:variant>
      <vt:variant>
        <vt:i4>47</vt:i4>
      </vt:variant>
      <vt:variant>
        <vt:i4>0</vt:i4>
      </vt:variant>
      <vt:variant>
        <vt:i4>5</vt:i4>
      </vt:variant>
      <vt:variant>
        <vt:lpwstr/>
      </vt:variant>
      <vt:variant>
        <vt:lpwstr>_Toc160096235</vt:lpwstr>
      </vt:variant>
      <vt:variant>
        <vt:i4>1310778</vt:i4>
      </vt:variant>
      <vt:variant>
        <vt:i4>41</vt:i4>
      </vt:variant>
      <vt:variant>
        <vt:i4>0</vt:i4>
      </vt:variant>
      <vt:variant>
        <vt:i4>5</vt:i4>
      </vt:variant>
      <vt:variant>
        <vt:lpwstr/>
      </vt:variant>
      <vt:variant>
        <vt:lpwstr>_Toc160096234</vt:lpwstr>
      </vt:variant>
      <vt:variant>
        <vt:i4>1310778</vt:i4>
      </vt:variant>
      <vt:variant>
        <vt:i4>35</vt:i4>
      </vt:variant>
      <vt:variant>
        <vt:i4>0</vt:i4>
      </vt:variant>
      <vt:variant>
        <vt:i4>5</vt:i4>
      </vt:variant>
      <vt:variant>
        <vt:lpwstr/>
      </vt:variant>
      <vt:variant>
        <vt:lpwstr>_Toc160096233</vt:lpwstr>
      </vt:variant>
      <vt:variant>
        <vt:i4>1310778</vt:i4>
      </vt:variant>
      <vt:variant>
        <vt:i4>29</vt:i4>
      </vt:variant>
      <vt:variant>
        <vt:i4>0</vt:i4>
      </vt:variant>
      <vt:variant>
        <vt:i4>5</vt:i4>
      </vt:variant>
      <vt:variant>
        <vt:lpwstr/>
      </vt:variant>
      <vt:variant>
        <vt:lpwstr>_Toc160096232</vt:lpwstr>
      </vt:variant>
      <vt:variant>
        <vt:i4>1310778</vt:i4>
      </vt:variant>
      <vt:variant>
        <vt:i4>23</vt:i4>
      </vt:variant>
      <vt:variant>
        <vt:i4>0</vt:i4>
      </vt:variant>
      <vt:variant>
        <vt:i4>5</vt:i4>
      </vt:variant>
      <vt:variant>
        <vt:lpwstr/>
      </vt:variant>
      <vt:variant>
        <vt:lpwstr>_Toc160096231</vt:lpwstr>
      </vt:variant>
      <vt:variant>
        <vt:i4>1310778</vt:i4>
      </vt:variant>
      <vt:variant>
        <vt:i4>17</vt:i4>
      </vt:variant>
      <vt:variant>
        <vt:i4>0</vt:i4>
      </vt:variant>
      <vt:variant>
        <vt:i4>5</vt:i4>
      </vt:variant>
      <vt:variant>
        <vt:lpwstr/>
      </vt:variant>
      <vt:variant>
        <vt:lpwstr>_Toc160096230</vt:lpwstr>
      </vt:variant>
      <vt:variant>
        <vt:i4>1376314</vt:i4>
      </vt:variant>
      <vt:variant>
        <vt:i4>11</vt:i4>
      </vt:variant>
      <vt:variant>
        <vt:i4>0</vt:i4>
      </vt:variant>
      <vt:variant>
        <vt:i4>5</vt:i4>
      </vt:variant>
      <vt:variant>
        <vt:lpwstr/>
      </vt:variant>
      <vt:variant>
        <vt:lpwstr>_Toc160096229</vt:lpwstr>
      </vt:variant>
      <vt:variant>
        <vt:i4>1376314</vt:i4>
      </vt:variant>
      <vt:variant>
        <vt:i4>5</vt:i4>
      </vt:variant>
      <vt:variant>
        <vt:i4>0</vt:i4>
      </vt:variant>
      <vt:variant>
        <vt:i4>5</vt:i4>
      </vt:variant>
      <vt:variant>
        <vt:lpwstr/>
      </vt:variant>
      <vt:variant>
        <vt:lpwstr>_Toc160096228</vt:lpwstr>
      </vt:variant>
      <vt:variant>
        <vt:i4>7340128</vt:i4>
      </vt:variant>
      <vt:variant>
        <vt:i4>0</vt:i4>
      </vt:variant>
      <vt:variant>
        <vt:i4>0</vt:i4>
      </vt:variant>
      <vt:variant>
        <vt:i4>5</vt:i4>
      </vt:variant>
      <vt:variant>
        <vt:lpwstr>http://www.environment.govt.nz/</vt:lpwstr>
      </vt:variant>
      <vt:variant>
        <vt:lpwstr/>
      </vt:variant>
      <vt:variant>
        <vt:i4>2162723</vt:i4>
      </vt:variant>
      <vt:variant>
        <vt:i4>129</vt:i4>
      </vt:variant>
      <vt:variant>
        <vt:i4>0</vt:i4>
      </vt:variant>
      <vt:variant>
        <vt:i4>5</vt:i4>
      </vt:variant>
      <vt:variant>
        <vt:lpwstr>https://www.linz.govt.nz/guidance/geodetic-system/coordinate-systems-used-new-zealand/vertical-datums/new-zealand-vertical-datum-2016-nzvd2016</vt:lpwstr>
      </vt:variant>
      <vt:variant>
        <vt:lpwstr/>
      </vt:variant>
      <vt:variant>
        <vt:i4>4718605</vt:i4>
      </vt:variant>
      <vt:variant>
        <vt:i4>126</vt:i4>
      </vt:variant>
      <vt:variant>
        <vt:i4>0</vt:i4>
      </vt:variant>
      <vt:variant>
        <vt:i4>5</vt:i4>
      </vt:variant>
      <vt:variant>
        <vt:lpwstr>https://www.searise.nz/maps-2</vt:lpwstr>
      </vt:variant>
      <vt:variant>
        <vt:lpwstr/>
      </vt:variant>
      <vt:variant>
        <vt:i4>7405592</vt:i4>
      </vt:variant>
      <vt:variant>
        <vt:i4>123</vt:i4>
      </vt:variant>
      <vt:variant>
        <vt:i4>0</vt:i4>
      </vt:variant>
      <vt:variant>
        <vt:i4>5</vt:i4>
      </vt:variant>
      <vt:variant>
        <vt:lpwstr>https://deepsouthchallenge.co.nz/resource/https-deepsouthchallenge-co-nz-wp-content-uploads-2023-05-a-decade-of-dynamic-adaptive-decision-making-tools-in-new-zealand-practice-applications-lessons-learned-and-next-steps_all-slides-9-march-pdf/</vt:lpwstr>
      </vt:variant>
      <vt:variant>
        <vt:lpwstr/>
      </vt:variant>
      <vt:variant>
        <vt:i4>6750253</vt:i4>
      </vt:variant>
      <vt:variant>
        <vt:i4>117</vt:i4>
      </vt:variant>
      <vt:variant>
        <vt:i4>0</vt:i4>
      </vt:variant>
      <vt:variant>
        <vt:i4>5</vt:i4>
      </vt:variant>
      <vt:variant>
        <vt:lpwstr>https://niwa.co.nz/te-kuwaha/tools-and-resources/te-huringa-ki-te-rangi-adapting-to-climate-change</vt:lpwstr>
      </vt:variant>
      <vt:variant>
        <vt:lpwstr/>
      </vt:variant>
      <vt:variant>
        <vt:i4>2621547</vt:i4>
      </vt:variant>
      <vt:variant>
        <vt:i4>114</vt:i4>
      </vt:variant>
      <vt:variant>
        <vt:i4>0</vt:i4>
      </vt:variant>
      <vt:variant>
        <vt:i4>5</vt:i4>
      </vt:variant>
      <vt:variant>
        <vt:lpwstr>https://www.marlborough.govt.nz/your-council/resource-management-policy-and-plans/proposed-marlborough-environment-plan</vt:lpwstr>
      </vt:variant>
      <vt:variant>
        <vt:lpwstr/>
      </vt:variant>
      <vt:variant>
        <vt:i4>3145742</vt:i4>
      </vt:variant>
      <vt:variant>
        <vt:i4>111</vt:i4>
      </vt:variant>
      <vt:variant>
        <vt:i4>0</vt:i4>
      </vt:variant>
      <vt:variant>
        <vt:i4>5</vt:i4>
      </vt:variant>
      <vt:variant>
        <vt:lpwstr>https://unitaryplan.aucklandcouncil.govt.nz/pages/plan/Book.aspx?exhibit=AucklandUnitaryPlan_Print</vt:lpwstr>
      </vt:variant>
      <vt:variant>
        <vt:lpwstr/>
      </vt:variant>
      <vt:variant>
        <vt:i4>2556020</vt:i4>
      </vt:variant>
      <vt:variant>
        <vt:i4>108</vt:i4>
      </vt:variant>
      <vt:variant>
        <vt:i4>0</vt:i4>
      </vt:variant>
      <vt:variant>
        <vt:i4>5</vt:i4>
      </vt:variant>
      <vt:variant>
        <vt:lpwstr>https://geomapspublic.aucklandcouncil.govt.nz/viewer/index.html</vt:lpwstr>
      </vt:variant>
      <vt:variant>
        <vt:lpwstr/>
      </vt:variant>
      <vt:variant>
        <vt:i4>7471136</vt:i4>
      </vt:variant>
      <vt:variant>
        <vt:i4>105</vt:i4>
      </vt:variant>
      <vt:variant>
        <vt:i4>0</vt:i4>
      </vt:variant>
      <vt:variant>
        <vt:i4>5</vt:i4>
      </vt:variant>
      <vt:variant>
        <vt:lpwstr>https://shape.nelson.govt.nz/coastsnap</vt:lpwstr>
      </vt:variant>
      <vt:variant>
        <vt:lpwstr/>
      </vt:variant>
      <vt:variant>
        <vt:i4>7602232</vt:i4>
      </vt:variant>
      <vt:variant>
        <vt:i4>102</vt:i4>
      </vt:variant>
      <vt:variant>
        <vt:i4>0</vt:i4>
      </vt:variant>
      <vt:variant>
        <vt:i4>5</vt:i4>
      </vt:variant>
      <vt:variant>
        <vt:lpwstr>https://ccc.govt.nz/environment/coast/adapting-to-coastal-hazards/community-science-and-youth-involvement/coastsnap</vt:lpwstr>
      </vt:variant>
      <vt:variant>
        <vt:lpwstr/>
      </vt:variant>
      <vt:variant>
        <vt:i4>1179657</vt:i4>
      </vt:variant>
      <vt:variant>
        <vt:i4>99</vt:i4>
      </vt:variant>
      <vt:variant>
        <vt:i4>0</vt:i4>
      </vt:variant>
      <vt:variant>
        <vt:i4>5</vt:i4>
      </vt:variant>
      <vt:variant>
        <vt:lpwstr>https://data.linz.govt.nz/layer/101290-nz-building-outlines/</vt:lpwstr>
      </vt:variant>
      <vt:variant>
        <vt:lpwstr/>
      </vt:variant>
      <vt:variant>
        <vt:i4>524300</vt:i4>
      </vt:variant>
      <vt:variant>
        <vt:i4>93</vt:i4>
      </vt:variant>
      <vt:variant>
        <vt:i4>0</vt:i4>
      </vt:variant>
      <vt:variant>
        <vt:i4>5</vt:i4>
      </vt:variant>
      <vt:variant>
        <vt:lpwstr>https://www.boprc.govt.nz/environment/climate-change/regional-risk-assessment</vt:lpwstr>
      </vt:variant>
      <vt:variant>
        <vt:lpwstr/>
      </vt:variant>
      <vt:variant>
        <vt:i4>1441879</vt:i4>
      </vt:variant>
      <vt:variant>
        <vt:i4>90</vt:i4>
      </vt:variant>
      <vt:variant>
        <vt:i4>0</vt:i4>
      </vt:variant>
      <vt:variant>
        <vt:i4>5</vt:i4>
      </vt:variant>
      <vt:variant>
        <vt:lpwstr>https://www.deltares.nl/en/software-and-data/products/circle-critical-infrastructures</vt:lpwstr>
      </vt:variant>
      <vt:variant>
        <vt:lpwstr/>
      </vt:variant>
      <vt:variant>
        <vt:i4>65547</vt:i4>
      </vt:variant>
      <vt:variant>
        <vt:i4>87</vt:i4>
      </vt:variant>
      <vt:variant>
        <vt:i4>0</vt:i4>
      </vt:variant>
      <vt:variant>
        <vt:i4>5</vt:i4>
      </vt:variant>
      <vt:variant>
        <vt:lpwstr>https://circle.deltares.org/</vt:lpwstr>
      </vt:variant>
      <vt:variant>
        <vt:lpwstr/>
      </vt:variant>
      <vt:variant>
        <vt:i4>4456473</vt:i4>
      </vt:variant>
      <vt:variant>
        <vt:i4>84</vt:i4>
      </vt:variant>
      <vt:variant>
        <vt:i4>0</vt:i4>
      </vt:variant>
      <vt:variant>
        <vt:i4>5</vt:i4>
      </vt:variant>
      <vt:variant>
        <vt:lpwstr>https://research.uintel.co.nz/access-resilience/</vt:lpwstr>
      </vt:variant>
      <vt:variant>
        <vt:lpwstr/>
      </vt:variant>
      <vt:variant>
        <vt:i4>3276848</vt:i4>
      </vt:variant>
      <vt:variant>
        <vt:i4>81</vt:i4>
      </vt:variant>
      <vt:variant>
        <vt:i4>0</vt:i4>
      </vt:variant>
      <vt:variant>
        <vt:i4>5</vt:i4>
      </vt:variant>
      <vt:variant>
        <vt:lpwstr>https://www.rnz.co.nz/news/ldr/468823/cost-benefits-of-westport-flood-scheme-tipped-to-top-200m</vt:lpwstr>
      </vt:variant>
      <vt:variant>
        <vt:lpwstr/>
      </vt:variant>
      <vt:variant>
        <vt:i4>524368</vt:i4>
      </vt:variant>
      <vt:variant>
        <vt:i4>78</vt:i4>
      </vt:variant>
      <vt:variant>
        <vt:i4>0</vt:i4>
      </vt:variant>
      <vt:variant>
        <vt:i4>5</vt:i4>
      </vt:variant>
      <vt:variant>
        <vt:lpwstr>https://riskscape.org.nz/</vt:lpwstr>
      </vt:variant>
      <vt:variant>
        <vt:lpwstr/>
      </vt:variant>
      <vt:variant>
        <vt:i4>3801203</vt:i4>
      </vt:variant>
      <vt:variant>
        <vt:i4>75</vt:i4>
      </vt:variant>
      <vt:variant>
        <vt:i4>0</vt:i4>
      </vt:variant>
      <vt:variant>
        <vt:i4>5</vt:i4>
      </vt:variant>
      <vt:variant>
        <vt:lpwstr/>
      </vt:variant>
      <vt:variant>
        <vt:lpwstr>table7</vt:lpwstr>
      </vt:variant>
      <vt:variant>
        <vt:i4>3866739</vt:i4>
      </vt:variant>
      <vt:variant>
        <vt:i4>72</vt:i4>
      </vt:variant>
      <vt:variant>
        <vt:i4>0</vt:i4>
      </vt:variant>
      <vt:variant>
        <vt:i4>5</vt:i4>
      </vt:variant>
      <vt:variant>
        <vt:lpwstr/>
      </vt:variant>
      <vt:variant>
        <vt:lpwstr>table6</vt:lpwstr>
      </vt:variant>
      <vt:variant>
        <vt:i4>851999</vt:i4>
      </vt:variant>
      <vt:variant>
        <vt:i4>69</vt:i4>
      </vt:variant>
      <vt:variant>
        <vt:i4>0</vt:i4>
      </vt:variant>
      <vt:variant>
        <vt:i4>5</vt:i4>
      </vt:variant>
      <vt:variant>
        <vt:lpwstr>https://hirds.niwa.co.nz/</vt:lpwstr>
      </vt:variant>
      <vt:variant>
        <vt:lpwstr/>
      </vt:variant>
      <vt:variant>
        <vt:i4>2949247</vt:i4>
      </vt:variant>
      <vt:variant>
        <vt:i4>66</vt:i4>
      </vt:variant>
      <vt:variant>
        <vt:i4>0</vt:i4>
      </vt:variant>
      <vt:variant>
        <vt:i4>5</vt:i4>
      </vt:variant>
      <vt:variant>
        <vt:lpwstr>https://niwa.co.nz/natural-hazards/our-services/extreme-coastal-flood-maps-for-aotearoa-new-zealand</vt:lpwstr>
      </vt:variant>
      <vt:variant>
        <vt:lpwstr/>
      </vt:variant>
      <vt:variant>
        <vt:i4>524368</vt:i4>
      </vt:variant>
      <vt:variant>
        <vt:i4>63</vt:i4>
      </vt:variant>
      <vt:variant>
        <vt:i4>0</vt:i4>
      </vt:variant>
      <vt:variant>
        <vt:i4>5</vt:i4>
      </vt:variant>
      <vt:variant>
        <vt:lpwstr>https://riskscape.org.nz/</vt:lpwstr>
      </vt:variant>
      <vt:variant>
        <vt:lpwstr/>
      </vt:variant>
      <vt:variant>
        <vt:i4>2097207</vt:i4>
      </vt:variant>
      <vt:variant>
        <vt:i4>60</vt:i4>
      </vt:variant>
      <vt:variant>
        <vt:i4>0</vt:i4>
      </vt:variant>
      <vt:variant>
        <vt:i4>5</vt:i4>
      </vt:variant>
      <vt:variant>
        <vt:lpwstr>https://www.tasman.govt.nz/my-council/projects/coastal-management-responding-to-climate-change/coastal-hazards-project/</vt:lpwstr>
      </vt:variant>
      <vt:variant>
        <vt:lpwstr/>
      </vt:variant>
      <vt:variant>
        <vt:i4>3801195</vt:i4>
      </vt:variant>
      <vt:variant>
        <vt:i4>57</vt:i4>
      </vt:variant>
      <vt:variant>
        <vt:i4>0</vt:i4>
      </vt:variant>
      <vt:variant>
        <vt:i4>5</vt:i4>
      </vt:variant>
      <vt:variant>
        <vt:lpwstr>https://mapping1.gw.govt.nz/GW/SLR/</vt:lpwstr>
      </vt:variant>
      <vt:variant>
        <vt:lpwstr/>
      </vt:variant>
      <vt:variant>
        <vt:i4>4325449</vt:i4>
      </vt:variant>
      <vt:variant>
        <vt:i4>54</vt:i4>
      </vt:variant>
      <vt:variant>
        <vt:i4>0</vt:i4>
      </vt:variant>
      <vt:variant>
        <vt:i4>5</vt:i4>
      </vt:variant>
      <vt:variant>
        <vt:lpwstr>https://www.waikatoregion.govt.nz/services/regional-hazards-and-emergency-management/coastal-flooding-inundation/coastal-inundation-tool/</vt:lpwstr>
      </vt:variant>
      <vt:variant>
        <vt:lpwstr/>
      </vt:variant>
      <vt:variant>
        <vt:i4>2949247</vt:i4>
      </vt:variant>
      <vt:variant>
        <vt:i4>48</vt:i4>
      </vt:variant>
      <vt:variant>
        <vt:i4>0</vt:i4>
      </vt:variant>
      <vt:variant>
        <vt:i4>5</vt:i4>
      </vt:variant>
      <vt:variant>
        <vt:lpwstr>https://niwa.co.nz/natural-hazards/our-services/extreme-coastal-flood-maps-for-aotearoa-new-zealand</vt:lpwstr>
      </vt:variant>
      <vt:variant>
        <vt:lpwstr/>
      </vt:variant>
      <vt:variant>
        <vt:i4>7274551</vt:i4>
      </vt:variant>
      <vt:variant>
        <vt:i4>42</vt:i4>
      </vt:variant>
      <vt:variant>
        <vt:i4>0</vt:i4>
      </vt:variant>
      <vt:variant>
        <vt:i4>5</vt:i4>
      </vt:variant>
      <vt:variant>
        <vt:lpwstr>https://www.naturalhazardsportal.govt.nz/s/</vt:lpwstr>
      </vt:variant>
      <vt:variant>
        <vt:lpwstr/>
      </vt:variant>
      <vt:variant>
        <vt:i4>2293871</vt:i4>
      </vt:variant>
      <vt:variant>
        <vt:i4>36</vt:i4>
      </vt:variant>
      <vt:variant>
        <vt:i4>0</vt:i4>
      </vt:variant>
      <vt:variant>
        <vt:i4>5</vt:i4>
      </vt:variant>
      <vt:variant>
        <vt:lpwstr>https://www.orc.govt.nz/managing-our-environment/natural-hazards/otago-natural-hazards-database</vt:lpwstr>
      </vt:variant>
      <vt:variant>
        <vt:lpwstr/>
      </vt:variant>
      <vt:variant>
        <vt:i4>2228282</vt:i4>
      </vt:variant>
      <vt:variant>
        <vt:i4>33</vt:i4>
      </vt:variant>
      <vt:variant>
        <vt:i4>0</vt:i4>
      </vt:variant>
      <vt:variant>
        <vt:i4>5</vt:i4>
      </vt:variant>
      <vt:variant>
        <vt:lpwstr>http://www.civildefence.govt.nz/resources/news-and-events/news-and-events/updated-tsunami-evacuation-zones-directors-guideline-for-cdem-groups</vt:lpwstr>
      </vt:variant>
      <vt:variant>
        <vt:lpwstr/>
      </vt:variant>
      <vt:variant>
        <vt:i4>5439518</vt:i4>
      </vt:variant>
      <vt:variant>
        <vt:i4>30</vt:i4>
      </vt:variant>
      <vt:variant>
        <vt:i4>0</vt:i4>
      </vt:variant>
      <vt:variant>
        <vt:i4>5</vt:i4>
      </vt:variant>
      <vt:variant>
        <vt:lpwstr>http://www.gns.cri.nz/data-and-resources/2021-national-tsunami-hazard-model/</vt:lpwstr>
      </vt:variant>
      <vt:variant>
        <vt:lpwstr/>
      </vt:variant>
      <vt:variant>
        <vt:i4>4259853</vt:i4>
      </vt:variant>
      <vt:variant>
        <vt:i4>27</vt:i4>
      </vt:variant>
      <vt:variant>
        <vt:i4>0</vt:i4>
      </vt:variant>
      <vt:variant>
        <vt:i4>5</vt:i4>
      </vt:variant>
      <vt:variant>
        <vt:lpwstr>https://resiliencechallenge.nz/programme/coastal-hazards/</vt:lpwstr>
      </vt:variant>
      <vt:variant>
        <vt:lpwstr/>
      </vt:variant>
      <vt:variant>
        <vt:i4>851999</vt:i4>
      </vt:variant>
      <vt:variant>
        <vt:i4>24</vt:i4>
      </vt:variant>
      <vt:variant>
        <vt:i4>0</vt:i4>
      </vt:variant>
      <vt:variant>
        <vt:i4>5</vt:i4>
      </vt:variant>
      <vt:variant>
        <vt:lpwstr>https://hirds.niwa.co.nz/</vt:lpwstr>
      </vt:variant>
      <vt:variant>
        <vt:lpwstr/>
      </vt:variant>
      <vt:variant>
        <vt:i4>3801203</vt:i4>
      </vt:variant>
      <vt:variant>
        <vt:i4>21</vt:i4>
      </vt:variant>
      <vt:variant>
        <vt:i4>0</vt:i4>
      </vt:variant>
      <vt:variant>
        <vt:i4>5</vt:i4>
      </vt:variant>
      <vt:variant>
        <vt:lpwstr/>
      </vt:variant>
      <vt:variant>
        <vt:lpwstr>table7</vt:lpwstr>
      </vt:variant>
      <vt:variant>
        <vt:i4>2031662</vt:i4>
      </vt:variant>
      <vt:variant>
        <vt:i4>18</vt:i4>
      </vt:variant>
      <vt:variant>
        <vt:i4>0</vt:i4>
      </vt:variant>
      <vt:variant>
        <vt:i4>5</vt:i4>
      </vt:variant>
      <vt:variant>
        <vt:lpwstr/>
      </vt:variant>
      <vt:variant>
        <vt:lpwstr>_Supplements</vt:lpwstr>
      </vt:variant>
      <vt:variant>
        <vt:i4>5505104</vt:i4>
      </vt:variant>
      <vt:variant>
        <vt:i4>15</vt:i4>
      </vt:variant>
      <vt:variant>
        <vt:i4>0</vt:i4>
      </vt:variant>
      <vt:variant>
        <vt:i4>5</vt:i4>
      </vt:variant>
      <vt:variant>
        <vt:lpwstr>http://www.searise.nz/maps-2</vt:lpwstr>
      </vt:variant>
      <vt:variant>
        <vt:lpwstr/>
      </vt:variant>
      <vt:variant>
        <vt:i4>3735679</vt:i4>
      </vt:variant>
      <vt:variant>
        <vt:i4>12</vt:i4>
      </vt:variant>
      <vt:variant>
        <vt:i4>0</vt:i4>
      </vt:variant>
      <vt:variant>
        <vt:i4>5</vt:i4>
      </vt:variant>
      <vt:variant>
        <vt:lpwstr>https://www.stats.govt.nz/indicators/coastal-sea-level-rise</vt:lpwstr>
      </vt:variant>
      <vt:variant>
        <vt:lpwstr/>
      </vt:variant>
      <vt:variant>
        <vt:i4>3735679</vt:i4>
      </vt:variant>
      <vt:variant>
        <vt:i4>9</vt:i4>
      </vt:variant>
      <vt:variant>
        <vt:i4>0</vt:i4>
      </vt:variant>
      <vt:variant>
        <vt:i4>5</vt:i4>
      </vt:variant>
      <vt:variant>
        <vt:lpwstr>https://www.stats.govt.nz/indicators/coastal-sea-level-rise</vt:lpwstr>
      </vt:variant>
      <vt:variant>
        <vt:lpwstr/>
      </vt:variant>
      <vt:variant>
        <vt:i4>3866739</vt:i4>
      </vt:variant>
      <vt:variant>
        <vt:i4>6</vt:i4>
      </vt:variant>
      <vt:variant>
        <vt:i4>0</vt:i4>
      </vt:variant>
      <vt:variant>
        <vt:i4>5</vt:i4>
      </vt:variant>
      <vt:variant>
        <vt:lpwstr/>
      </vt:variant>
      <vt:variant>
        <vt:lpwstr>table6</vt:lpwstr>
      </vt:variant>
      <vt:variant>
        <vt:i4>1245263</vt:i4>
      </vt:variant>
      <vt:variant>
        <vt:i4>3</vt:i4>
      </vt:variant>
      <vt:variant>
        <vt:i4>0</vt:i4>
      </vt:variant>
      <vt:variant>
        <vt:i4>5</vt:i4>
      </vt:variant>
      <vt:variant>
        <vt:lpwstr>https://www.waitangitribunal.govt.nz/treaty-of-waitangi/principles-of-the-treaty</vt:lpwstr>
      </vt:variant>
      <vt:variant>
        <vt:lpwstr/>
      </vt:variant>
      <vt:variant>
        <vt:i4>6881393</vt:i4>
      </vt:variant>
      <vt:variant>
        <vt:i4>0</vt:i4>
      </vt:variant>
      <vt:variant>
        <vt:i4>0</vt:i4>
      </vt:variant>
      <vt:variant>
        <vt:i4>5</vt:i4>
      </vt:variant>
      <vt:variant>
        <vt:lpwstr>https://environment.govt.nz/publications/national-adaptation-plan-and-emissions-reduction-plan-resource-management-act-1991-guidance-note/</vt:lpwstr>
      </vt:variant>
      <vt:variant>
        <vt:lpwstr/>
      </vt:variant>
      <vt:variant>
        <vt:i4>6881352</vt:i4>
      </vt:variant>
      <vt:variant>
        <vt:i4>36</vt:i4>
      </vt:variant>
      <vt:variant>
        <vt:i4>0</vt:i4>
      </vt:variant>
      <vt:variant>
        <vt:i4>5</vt:i4>
      </vt:variant>
      <vt:variant>
        <vt:lpwstr>mailto:Jenny.Christie@mfe.govt.nz</vt:lpwstr>
      </vt:variant>
      <vt:variant>
        <vt:lpwstr/>
      </vt:variant>
      <vt:variant>
        <vt:i4>1769517</vt:i4>
      </vt:variant>
      <vt:variant>
        <vt:i4>33</vt:i4>
      </vt:variant>
      <vt:variant>
        <vt:i4>0</vt:i4>
      </vt:variant>
      <vt:variant>
        <vt:i4>5</vt:i4>
      </vt:variant>
      <vt:variant>
        <vt:lpwstr>mailto:Clare.Browne@mfe.govt.nz</vt:lpwstr>
      </vt:variant>
      <vt:variant>
        <vt:lpwstr/>
      </vt:variant>
      <vt:variant>
        <vt:i4>6291481</vt:i4>
      </vt:variant>
      <vt:variant>
        <vt:i4>30</vt:i4>
      </vt:variant>
      <vt:variant>
        <vt:i4>0</vt:i4>
      </vt:variant>
      <vt:variant>
        <vt:i4>5</vt:i4>
      </vt:variant>
      <vt:variant>
        <vt:lpwstr>mailto:Lisette.DuPlessis1@mfe.govt.nz</vt:lpwstr>
      </vt:variant>
      <vt:variant>
        <vt:lpwstr/>
      </vt:variant>
      <vt:variant>
        <vt:i4>7995518</vt:i4>
      </vt:variant>
      <vt:variant>
        <vt:i4>27</vt:i4>
      </vt:variant>
      <vt:variant>
        <vt:i4>0</vt:i4>
      </vt:variant>
      <vt:variant>
        <vt:i4>5</vt:i4>
      </vt:variant>
      <vt:variant>
        <vt:lpwstr>https://tangoio.maori.nz/wp-content/uploads/2023/05/MTT_Locality_Plan_version-1.2_compressed.pdf</vt:lpwstr>
      </vt:variant>
      <vt:variant>
        <vt:lpwstr/>
      </vt:variant>
      <vt:variant>
        <vt:i4>1769517</vt:i4>
      </vt:variant>
      <vt:variant>
        <vt:i4>24</vt:i4>
      </vt:variant>
      <vt:variant>
        <vt:i4>0</vt:i4>
      </vt:variant>
      <vt:variant>
        <vt:i4>5</vt:i4>
      </vt:variant>
      <vt:variant>
        <vt:lpwstr>mailto:Clare.Browne@mfe.govt.nz</vt:lpwstr>
      </vt:variant>
      <vt:variant>
        <vt:lpwstr/>
      </vt:variant>
      <vt:variant>
        <vt:i4>6291481</vt:i4>
      </vt:variant>
      <vt:variant>
        <vt:i4>21</vt:i4>
      </vt:variant>
      <vt:variant>
        <vt:i4>0</vt:i4>
      </vt:variant>
      <vt:variant>
        <vt:i4>5</vt:i4>
      </vt:variant>
      <vt:variant>
        <vt:lpwstr>mailto:Lisette.DuPlessis1@mfe.govt.nz</vt:lpwstr>
      </vt:variant>
      <vt:variant>
        <vt:lpwstr/>
      </vt:variant>
      <vt:variant>
        <vt:i4>65599</vt:i4>
      </vt:variant>
      <vt:variant>
        <vt:i4>18</vt:i4>
      </vt:variant>
      <vt:variant>
        <vt:i4>0</vt:i4>
      </vt:variant>
      <vt:variant>
        <vt:i4>5</vt:i4>
      </vt:variant>
      <vt:variant>
        <vt:lpwstr>mailto:Charissa.Billings@mfe.govt.nz</vt:lpwstr>
      </vt:variant>
      <vt:variant>
        <vt:lpwstr/>
      </vt:variant>
      <vt:variant>
        <vt:i4>1769517</vt:i4>
      </vt:variant>
      <vt:variant>
        <vt:i4>15</vt:i4>
      </vt:variant>
      <vt:variant>
        <vt:i4>0</vt:i4>
      </vt:variant>
      <vt:variant>
        <vt:i4>5</vt:i4>
      </vt:variant>
      <vt:variant>
        <vt:lpwstr>mailto:Clare.Browne@mfe.govt.nz</vt:lpwstr>
      </vt:variant>
      <vt:variant>
        <vt:lpwstr/>
      </vt:variant>
      <vt:variant>
        <vt:i4>1769517</vt:i4>
      </vt:variant>
      <vt:variant>
        <vt:i4>12</vt:i4>
      </vt:variant>
      <vt:variant>
        <vt:i4>0</vt:i4>
      </vt:variant>
      <vt:variant>
        <vt:i4>5</vt:i4>
      </vt:variant>
      <vt:variant>
        <vt:lpwstr>mailto:Clare.Browne@mfe.govt.nz</vt:lpwstr>
      </vt:variant>
      <vt:variant>
        <vt:lpwstr/>
      </vt:variant>
      <vt:variant>
        <vt:i4>6881352</vt:i4>
      </vt:variant>
      <vt:variant>
        <vt:i4>9</vt:i4>
      </vt:variant>
      <vt:variant>
        <vt:i4>0</vt:i4>
      </vt:variant>
      <vt:variant>
        <vt:i4>5</vt:i4>
      </vt:variant>
      <vt:variant>
        <vt:lpwstr>mailto:Jenny.Christie@mfe.govt.nz</vt:lpwstr>
      </vt:variant>
      <vt:variant>
        <vt:lpwstr/>
      </vt:variant>
      <vt:variant>
        <vt:i4>4194408</vt:i4>
      </vt:variant>
      <vt:variant>
        <vt:i4>6</vt:i4>
      </vt:variant>
      <vt:variant>
        <vt:i4>0</vt:i4>
      </vt:variant>
      <vt:variant>
        <vt:i4>5</vt:i4>
      </vt:variant>
      <vt:variant>
        <vt:lpwstr>mailto:Mark.Johnson@mfe.govt.nz</vt:lpwstr>
      </vt:variant>
      <vt:variant>
        <vt:lpwstr/>
      </vt:variant>
      <vt:variant>
        <vt:i4>6291481</vt:i4>
      </vt:variant>
      <vt:variant>
        <vt:i4>3</vt:i4>
      </vt:variant>
      <vt:variant>
        <vt:i4>0</vt:i4>
      </vt:variant>
      <vt:variant>
        <vt:i4>5</vt:i4>
      </vt:variant>
      <vt:variant>
        <vt:lpwstr>mailto:Lisette.DuPlessis1@mfe.govt.nz</vt:lpwstr>
      </vt:variant>
      <vt:variant>
        <vt:lpwstr/>
      </vt:variant>
      <vt:variant>
        <vt:i4>6291481</vt:i4>
      </vt:variant>
      <vt:variant>
        <vt:i4>0</vt:i4>
      </vt:variant>
      <vt:variant>
        <vt:i4>0</vt:i4>
      </vt:variant>
      <vt:variant>
        <vt:i4>5</vt:i4>
      </vt:variant>
      <vt:variant>
        <vt:lpwstr>mailto:Lisette.DuPlessis1@mfe.govt.nz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2024-02-28T22:38:00Z</dcterms:created>
  <dcterms:modified xsi:type="dcterms:W3CDTF">2024-02-29T21:32:00Z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2dda6cc-d61d-4fd2-bf18-9b3017d931cc_Enabled">
    <vt:lpwstr>true</vt:lpwstr>
  </property>
  <property fmtid="{D5CDD505-2E9C-101B-9397-08002B2CF9AE}" pid="3" name="MSIP_Label_52dda6cc-d61d-4fd2-bf18-9b3017d931cc_SetDate">
    <vt:lpwstr>2024-02-28T22:39:01Z</vt:lpwstr>
  </property>
  <property fmtid="{D5CDD505-2E9C-101B-9397-08002B2CF9AE}" pid="4" name="MSIP_Label_52dda6cc-d61d-4fd2-bf18-9b3017d931cc_Method">
    <vt:lpwstr>Privileged</vt:lpwstr>
  </property>
  <property fmtid="{D5CDD505-2E9C-101B-9397-08002B2CF9AE}" pid="5" name="MSIP_Label_52dda6cc-d61d-4fd2-bf18-9b3017d931cc_Name">
    <vt:lpwstr>[UNCLASSIFIED]</vt:lpwstr>
  </property>
  <property fmtid="{D5CDD505-2E9C-101B-9397-08002B2CF9AE}" pid="6" name="MSIP_Label_52dda6cc-d61d-4fd2-bf18-9b3017d931cc_SiteId">
    <vt:lpwstr>761dd003-d4ff-4049-8a72-8549b20fcbb1</vt:lpwstr>
  </property>
  <property fmtid="{D5CDD505-2E9C-101B-9397-08002B2CF9AE}" pid="7" name="MSIP_Label_52dda6cc-d61d-4fd2-bf18-9b3017d931cc_ActionId">
    <vt:lpwstr>faae3193-fa70-4f34-a041-18b270bce811</vt:lpwstr>
  </property>
  <property fmtid="{D5CDD505-2E9C-101B-9397-08002B2CF9AE}" pid="8" name="MSIP_Label_52dda6cc-d61d-4fd2-bf18-9b3017d931cc_ContentBits">
    <vt:lpwstr>0</vt:lpwstr>
  </property>
  <property fmtid="{D5CDD505-2E9C-101B-9397-08002B2CF9AE}" pid="9" name="MediaServiceImageTags">
    <vt:lpwstr/>
  </property>
  <property fmtid="{D5CDD505-2E9C-101B-9397-08002B2CF9AE}" pid="10" name="ContentTypeId">
    <vt:lpwstr>0x010100EA5FB0BEBF7DE54D9F252D8A06C053F7</vt:lpwstr>
  </property>
  <property fmtid="{D5CDD505-2E9C-101B-9397-08002B2CF9AE}" pid="11" name="_dlc_DocIdItemGuid">
    <vt:lpwstr>6efb25f9-987e-4b5a-ae46-71e803616fca</vt:lpwstr>
  </property>
</Properties>
</file>